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BF91A" w14:textId="77777777" w:rsidR="000E45B8" w:rsidRPr="00A9092B" w:rsidRDefault="002B42E4" w:rsidP="00E675AB">
      <w:pPr>
        <w:keepLines/>
        <w:spacing w:after="2640"/>
        <w:jc w:val="center"/>
        <w:rPr>
          <w:rFonts w:cs="Times New Roman"/>
          <w:b/>
          <w:sz w:val="32"/>
          <w:szCs w:val="32"/>
        </w:rPr>
      </w:pPr>
      <w:r w:rsidRPr="00A9092B">
        <w:rPr>
          <w:noProof/>
          <w:lang w:eastAsia="en-AU"/>
        </w:rPr>
        <w:drawing>
          <wp:inline distT="0" distB="0" distL="0" distR="0" wp14:anchorId="037A2F1B" wp14:editId="6333EB03">
            <wp:extent cx="5724525" cy="762000"/>
            <wp:effectExtent l="0" t="0" r="9525" b="0"/>
            <wp:docPr id="13" name="Picture 0" descr="Australian Government crest Australian Radiation Protection and Nuclear Safety Agenc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PNSA_strip_blue_16cm.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14:paraId="757F302E" w14:textId="549548B6" w:rsidR="000E45B8" w:rsidRPr="00E675AB" w:rsidRDefault="00C81A48" w:rsidP="00772FB5">
      <w:pPr>
        <w:pStyle w:val="Title"/>
        <w:spacing w:after="1440"/>
      </w:pPr>
      <w:r w:rsidRPr="00E675AB">
        <w:t>Australian R</w:t>
      </w:r>
      <w:r w:rsidR="00E675AB" w:rsidRPr="00E675AB">
        <w:t xml:space="preserve">adiation Protection and Nuclear </w:t>
      </w:r>
      <w:r w:rsidRPr="00E675AB">
        <w:t>Safety Agency</w:t>
      </w:r>
    </w:p>
    <w:p w14:paraId="0B7F0E57" w14:textId="77777777" w:rsidR="009A14BF" w:rsidRDefault="000E45B8" w:rsidP="00972601">
      <w:pPr>
        <w:pStyle w:val="Title"/>
      </w:pPr>
      <w:r w:rsidRPr="00A9092B">
        <w:t>Regulator Performance Framework</w:t>
      </w:r>
      <w:r w:rsidR="00972601">
        <w:t xml:space="preserve"> </w:t>
      </w:r>
    </w:p>
    <w:p w14:paraId="78D31145" w14:textId="6F59C663" w:rsidR="000E45B8" w:rsidRPr="00972601" w:rsidRDefault="000E45B8" w:rsidP="00BF0197">
      <w:pPr>
        <w:pStyle w:val="Subtitle"/>
      </w:pPr>
      <w:r w:rsidRPr="00BF0197">
        <w:t>Self-Assessment Report</w:t>
      </w:r>
      <w:r w:rsidR="006D34F4" w:rsidRPr="00BF0197">
        <w:br/>
      </w:r>
      <w:r w:rsidRPr="00BF0197">
        <w:t>2015-16</w:t>
      </w:r>
    </w:p>
    <w:p w14:paraId="544A6C71" w14:textId="77777777" w:rsidR="000E45B8" w:rsidRPr="00FB44C7" w:rsidRDefault="000E45B8" w:rsidP="00FB44C7">
      <w:r w:rsidRPr="00FB44C7">
        <w:br w:type="page"/>
      </w:r>
    </w:p>
    <w:p w14:paraId="2CE6D3D5" w14:textId="77777777" w:rsidR="00D11DD2" w:rsidRDefault="00931A13" w:rsidP="00D11DD2">
      <w:pPr>
        <w:pStyle w:val="TOC1"/>
        <w:rPr>
          <w:rFonts w:asciiTheme="minorHAnsi" w:eastAsiaTheme="minorEastAsia" w:hAnsiTheme="minorHAnsi"/>
          <w:sz w:val="22"/>
          <w:lang w:eastAsia="en-AU"/>
        </w:rPr>
      </w:pPr>
      <w:r w:rsidRPr="00223D3B">
        <w:rPr>
          <w:rFonts w:cs="Times New Roman"/>
          <w:noProof w:val="0"/>
          <w:szCs w:val="24"/>
        </w:rPr>
        <w:lastRenderedPageBreak/>
        <w:fldChar w:fldCharType="begin"/>
      </w:r>
      <w:r w:rsidRPr="00223D3B">
        <w:rPr>
          <w:rFonts w:cs="Times New Roman"/>
          <w:szCs w:val="24"/>
        </w:rPr>
        <w:instrText xml:space="preserve"> TOC \o "1-3" \h \z \u </w:instrText>
      </w:r>
      <w:r w:rsidRPr="00223D3B">
        <w:rPr>
          <w:rFonts w:cs="Times New Roman"/>
          <w:noProof w:val="0"/>
          <w:szCs w:val="24"/>
        </w:rPr>
        <w:fldChar w:fldCharType="separate"/>
      </w:r>
      <w:hyperlink w:anchor="_Toc470173127" w:history="1">
        <w:r w:rsidR="00D11DD2" w:rsidRPr="0068276D">
          <w:rPr>
            <w:rStyle w:val="Hyperlink"/>
          </w:rPr>
          <w:t>Executive Summary</w:t>
        </w:r>
        <w:r w:rsidR="00D11DD2">
          <w:rPr>
            <w:webHidden/>
          </w:rPr>
          <w:tab/>
        </w:r>
        <w:r w:rsidR="00D11DD2">
          <w:rPr>
            <w:webHidden/>
          </w:rPr>
          <w:fldChar w:fldCharType="begin"/>
        </w:r>
        <w:r w:rsidR="00D11DD2">
          <w:rPr>
            <w:webHidden/>
          </w:rPr>
          <w:instrText xml:space="preserve"> PAGEREF _Toc470173127 \h </w:instrText>
        </w:r>
        <w:r w:rsidR="00D11DD2">
          <w:rPr>
            <w:webHidden/>
          </w:rPr>
        </w:r>
        <w:r w:rsidR="00D11DD2">
          <w:rPr>
            <w:webHidden/>
          </w:rPr>
          <w:fldChar w:fldCharType="separate"/>
        </w:r>
        <w:r w:rsidR="00D11DD2">
          <w:rPr>
            <w:webHidden/>
          </w:rPr>
          <w:t>4</w:t>
        </w:r>
        <w:r w:rsidR="00D11DD2">
          <w:rPr>
            <w:webHidden/>
          </w:rPr>
          <w:fldChar w:fldCharType="end"/>
        </w:r>
      </w:hyperlink>
    </w:p>
    <w:p w14:paraId="2E596CE5" w14:textId="77777777" w:rsidR="00D11DD2" w:rsidRDefault="00D11DD2" w:rsidP="00D11DD2">
      <w:pPr>
        <w:pStyle w:val="TOC2"/>
        <w:rPr>
          <w:rFonts w:asciiTheme="minorHAnsi" w:eastAsiaTheme="minorEastAsia" w:hAnsiTheme="minorHAnsi" w:cstheme="minorBidi"/>
          <w:sz w:val="22"/>
          <w:szCs w:val="22"/>
        </w:rPr>
      </w:pPr>
      <w:hyperlink w:anchor="_Toc470173128" w:history="1">
        <w:r w:rsidRPr="0068276D">
          <w:rPr>
            <w:rStyle w:val="Hyperlink"/>
          </w:rPr>
          <w:t>Summary of assessment</w:t>
        </w:r>
        <w:r>
          <w:rPr>
            <w:webHidden/>
          </w:rPr>
          <w:tab/>
        </w:r>
        <w:r>
          <w:rPr>
            <w:webHidden/>
          </w:rPr>
          <w:fldChar w:fldCharType="begin"/>
        </w:r>
        <w:r>
          <w:rPr>
            <w:webHidden/>
          </w:rPr>
          <w:instrText xml:space="preserve"> PAGEREF _Toc470173128 \h </w:instrText>
        </w:r>
        <w:r>
          <w:rPr>
            <w:webHidden/>
          </w:rPr>
        </w:r>
        <w:r>
          <w:rPr>
            <w:webHidden/>
          </w:rPr>
          <w:fldChar w:fldCharType="separate"/>
        </w:r>
        <w:r>
          <w:rPr>
            <w:webHidden/>
          </w:rPr>
          <w:t>4</w:t>
        </w:r>
        <w:r>
          <w:rPr>
            <w:webHidden/>
          </w:rPr>
          <w:fldChar w:fldCharType="end"/>
        </w:r>
      </w:hyperlink>
    </w:p>
    <w:p w14:paraId="37B350DA" w14:textId="77777777" w:rsidR="00D11DD2" w:rsidRDefault="00D11DD2" w:rsidP="00D11DD2">
      <w:pPr>
        <w:pStyle w:val="TOC2"/>
        <w:rPr>
          <w:rFonts w:asciiTheme="minorHAnsi" w:eastAsiaTheme="minorEastAsia" w:hAnsiTheme="minorHAnsi" w:cstheme="minorBidi"/>
          <w:sz w:val="22"/>
          <w:szCs w:val="22"/>
        </w:rPr>
      </w:pPr>
      <w:hyperlink w:anchor="_Toc470173129" w:history="1">
        <w:r w:rsidRPr="0068276D">
          <w:rPr>
            <w:rStyle w:val="Hyperlink"/>
          </w:rPr>
          <w:t>Performance Improvement Actions Identified</w:t>
        </w:r>
        <w:r>
          <w:rPr>
            <w:webHidden/>
          </w:rPr>
          <w:tab/>
        </w:r>
        <w:r>
          <w:rPr>
            <w:webHidden/>
          </w:rPr>
          <w:fldChar w:fldCharType="begin"/>
        </w:r>
        <w:r>
          <w:rPr>
            <w:webHidden/>
          </w:rPr>
          <w:instrText xml:space="preserve"> PAGEREF _Toc470173129 \h </w:instrText>
        </w:r>
        <w:r>
          <w:rPr>
            <w:webHidden/>
          </w:rPr>
        </w:r>
        <w:r>
          <w:rPr>
            <w:webHidden/>
          </w:rPr>
          <w:fldChar w:fldCharType="separate"/>
        </w:r>
        <w:r>
          <w:rPr>
            <w:webHidden/>
          </w:rPr>
          <w:t>5</w:t>
        </w:r>
        <w:r>
          <w:rPr>
            <w:webHidden/>
          </w:rPr>
          <w:fldChar w:fldCharType="end"/>
        </w:r>
      </w:hyperlink>
    </w:p>
    <w:p w14:paraId="753195DB" w14:textId="77777777" w:rsidR="00D11DD2" w:rsidRDefault="00D11DD2" w:rsidP="00D11DD2">
      <w:pPr>
        <w:pStyle w:val="TOC1"/>
        <w:rPr>
          <w:rFonts w:asciiTheme="minorHAnsi" w:eastAsiaTheme="minorEastAsia" w:hAnsiTheme="minorHAnsi"/>
          <w:sz w:val="22"/>
          <w:lang w:eastAsia="en-AU"/>
        </w:rPr>
      </w:pPr>
      <w:hyperlink w:anchor="_Toc470173130" w:history="1">
        <w:r w:rsidRPr="0068276D">
          <w:rPr>
            <w:rStyle w:val="Hyperlink"/>
          </w:rPr>
          <w:t>1</w:t>
        </w:r>
        <w:r>
          <w:rPr>
            <w:rFonts w:asciiTheme="minorHAnsi" w:eastAsiaTheme="minorEastAsia" w:hAnsiTheme="minorHAnsi"/>
            <w:sz w:val="22"/>
            <w:lang w:eastAsia="en-AU"/>
          </w:rPr>
          <w:tab/>
        </w:r>
        <w:r w:rsidRPr="00D11DD2">
          <w:rPr>
            <w:rStyle w:val="Hyperlink"/>
            <w:color w:val="auto"/>
            <w:u w:val="none"/>
          </w:rPr>
          <w:t>Introduction</w:t>
        </w:r>
        <w:r>
          <w:rPr>
            <w:webHidden/>
          </w:rPr>
          <w:tab/>
        </w:r>
        <w:r>
          <w:rPr>
            <w:webHidden/>
          </w:rPr>
          <w:fldChar w:fldCharType="begin"/>
        </w:r>
        <w:r>
          <w:rPr>
            <w:webHidden/>
          </w:rPr>
          <w:instrText xml:space="preserve"> PAGEREF _Toc470173130 \h </w:instrText>
        </w:r>
        <w:r>
          <w:rPr>
            <w:webHidden/>
          </w:rPr>
        </w:r>
        <w:r>
          <w:rPr>
            <w:webHidden/>
          </w:rPr>
          <w:fldChar w:fldCharType="separate"/>
        </w:r>
        <w:r>
          <w:rPr>
            <w:webHidden/>
          </w:rPr>
          <w:t>6</w:t>
        </w:r>
        <w:r>
          <w:rPr>
            <w:webHidden/>
          </w:rPr>
          <w:fldChar w:fldCharType="end"/>
        </w:r>
      </w:hyperlink>
    </w:p>
    <w:p w14:paraId="0A4EEA86" w14:textId="77777777" w:rsidR="00D11DD2" w:rsidRDefault="00D11DD2" w:rsidP="00D11DD2">
      <w:pPr>
        <w:pStyle w:val="TOC2"/>
        <w:rPr>
          <w:rFonts w:asciiTheme="minorHAnsi" w:eastAsiaTheme="minorEastAsia" w:hAnsiTheme="minorHAnsi" w:cstheme="minorBidi"/>
          <w:sz w:val="22"/>
          <w:szCs w:val="22"/>
        </w:rPr>
      </w:pPr>
      <w:hyperlink w:anchor="_Toc470173131" w:history="1">
        <w:r w:rsidRPr="0068276D">
          <w:rPr>
            <w:rStyle w:val="Hyperlink"/>
          </w:rPr>
          <w:t>1.1</w:t>
        </w:r>
        <w:r>
          <w:rPr>
            <w:rFonts w:asciiTheme="minorHAnsi" w:eastAsiaTheme="minorEastAsia" w:hAnsiTheme="minorHAnsi" w:cstheme="minorBidi"/>
            <w:sz w:val="22"/>
            <w:szCs w:val="22"/>
          </w:rPr>
          <w:tab/>
        </w:r>
        <w:r w:rsidRPr="0068276D">
          <w:rPr>
            <w:rStyle w:val="Hyperlink"/>
          </w:rPr>
          <w:t>The Agency</w:t>
        </w:r>
        <w:r>
          <w:rPr>
            <w:webHidden/>
          </w:rPr>
          <w:tab/>
        </w:r>
        <w:r>
          <w:rPr>
            <w:webHidden/>
          </w:rPr>
          <w:fldChar w:fldCharType="begin"/>
        </w:r>
        <w:r>
          <w:rPr>
            <w:webHidden/>
          </w:rPr>
          <w:instrText xml:space="preserve"> PAGEREF _Toc470173131 \h </w:instrText>
        </w:r>
        <w:r>
          <w:rPr>
            <w:webHidden/>
          </w:rPr>
        </w:r>
        <w:r>
          <w:rPr>
            <w:webHidden/>
          </w:rPr>
          <w:fldChar w:fldCharType="separate"/>
        </w:r>
        <w:r>
          <w:rPr>
            <w:webHidden/>
          </w:rPr>
          <w:t>6</w:t>
        </w:r>
        <w:r>
          <w:rPr>
            <w:webHidden/>
          </w:rPr>
          <w:fldChar w:fldCharType="end"/>
        </w:r>
      </w:hyperlink>
    </w:p>
    <w:p w14:paraId="1087C2D1" w14:textId="77777777" w:rsidR="00D11DD2" w:rsidRDefault="00D11DD2" w:rsidP="00D11DD2">
      <w:pPr>
        <w:pStyle w:val="TOC2"/>
        <w:rPr>
          <w:rFonts w:asciiTheme="minorHAnsi" w:eastAsiaTheme="minorEastAsia" w:hAnsiTheme="minorHAnsi" w:cstheme="minorBidi"/>
          <w:sz w:val="22"/>
          <w:szCs w:val="22"/>
        </w:rPr>
      </w:pPr>
      <w:hyperlink w:anchor="_Toc470173132" w:history="1">
        <w:r w:rsidRPr="0068276D">
          <w:rPr>
            <w:rStyle w:val="Hyperlink"/>
          </w:rPr>
          <w:t>1.2</w:t>
        </w:r>
        <w:r>
          <w:rPr>
            <w:rFonts w:asciiTheme="minorHAnsi" w:eastAsiaTheme="minorEastAsia" w:hAnsiTheme="minorHAnsi" w:cstheme="minorBidi"/>
            <w:sz w:val="22"/>
            <w:szCs w:val="22"/>
          </w:rPr>
          <w:tab/>
        </w:r>
        <w:r w:rsidRPr="0068276D">
          <w:rPr>
            <w:rStyle w:val="Hyperlink"/>
          </w:rPr>
          <w:t>The Report</w:t>
        </w:r>
        <w:r>
          <w:rPr>
            <w:webHidden/>
          </w:rPr>
          <w:tab/>
        </w:r>
        <w:r>
          <w:rPr>
            <w:webHidden/>
          </w:rPr>
          <w:fldChar w:fldCharType="begin"/>
        </w:r>
        <w:r>
          <w:rPr>
            <w:webHidden/>
          </w:rPr>
          <w:instrText xml:space="preserve"> PAGEREF _Toc470173132 \h </w:instrText>
        </w:r>
        <w:r>
          <w:rPr>
            <w:webHidden/>
          </w:rPr>
        </w:r>
        <w:r>
          <w:rPr>
            <w:webHidden/>
          </w:rPr>
          <w:fldChar w:fldCharType="separate"/>
        </w:r>
        <w:r>
          <w:rPr>
            <w:webHidden/>
          </w:rPr>
          <w:t>6</w:t>
        </w:r>
        <w:r>
          <w:rPr>
            <w:webHidden/>
          </w:rPr>
          <w:fldChar w:fldCharType="end"/>
        </w:r>
      </w:hyperlink>
    </w:p>
    <w:p w14:paraId="43497EE1" w14:textId="77777777" w:rsidR="00D11DD2" w:rsidRDefault="00D11DD2" w:rsidP="00D11DD2">
      <w:pPr>
        <w:pStyle w:val="TOC2"/>
        <w:rPr>
          <w:rFonts w:asciiTheme="minorHAnsi" w:eastAsiaTheme="minorEastAsia" w:hAnsiTheme="minorHAnsi" w:cstheme="minorBidi"/>
          <w:sz w:val="22"/>
          <w:szCs w:val="22"/>
        </w:rPr>
      </w:pPr>
      <w:hyperlink w:anchor="_Toc470173133" w:history="1">
        <w:r w:rsidRPr="0068276D">
          <w:rPr>
            <w:rStyle w:val="Hyperlink"/>
          </w:rPr>
          <w:t>1.3</w:t>
        </w:r>
        <w:r>
          <w:rPr>
            <w:rFonts w:asciiTheme="minorHAnsi" w:eastAsiaTheme="minorEastAsia" w:hAnsiTheme="minorHAnsi" w:cstheme="minorBidi"/>
            <w:sz w:val="22"/>
            <w:szCs w:val="22"/>
          </w:rPr>
          <w:tab/>
        </w:r>
        <w:r w:rsidRPr="0068276D">
          <w:rPr>
            <w:rStyle w:val="Hyperlink"/>
          </w:rPr>
          <w:t>Methodology</w:t>
        </w:r>
        <w:r>
          <w:rPr>
            <w:webHidden/>
          </w:rPr>
          <w:tab/>
        </w:r>
        <w:r>
          <w:rPr>
            <w:webHidden/>
          </w:rPr>
          <w:fldChar w:fldCharType="begin"/>
        </w:r>
        <w:r>
          <w:rPr>
            <w:webHidden/>
          </w:rPr>
          <w:instrText xml:space="preserve"> PAGEREF _Toc470173133 \h </w:instrText>
        </w:r>
        <w:r>
          <w:rPr>
            <w:webHidden/>
          </w:rPr>
        </w:r>
        <w:r>
          <w:rPr>
            <w:webHidden/>
          </w:rPr>
          <w:fldChar w:fldCharType="separate"/>
        </w:r>
        <w:r>
          <w:rPr>
            <w:webHidden/>
          </w:rPr>
          <w:t>7</w:t>
        </w:r>
        <w:r>
          <w:rPr>
            <w:webHidden/>
          </w:rPr>
          <w:fldChar w:fldCharType="end"/>
        </w:r>
      </w:hyperlink>
    </w:p>
    <w:p w14:paraId="759544FE" w14:textId="77777777" w:rsidR="00D11DD2" w:rsidRDefault="00D11DD2" w:rsidP="00D11DD2">
      <w:pPr>
        <w:pStyle w:val="TOC1"/>
        <w:rPr>
          <w:rFonts w:asciiTheme="minorHAnsi" w:eastAsiaTheme="minorEastAsia" w:hAnsiTheme="minorHAnsi"/>
          <w:sz w:val="22"/>
          <w:lang w:eastAsia="en-AU"/>
        </w:rPr>
      </w:pPr>
      <w:hyperlink w:anchor="_Toc470173134" w:history="1">
        <w:r w:rsidRPr="0068276D">
          <w:rPr>
            <w:rStyle w:val="Hyperlink"/>
          </w:rPr>
          <w:t>2</w:t>
        </w:r>
        <w:r>
          <w:rPr>
            <w:rFonts w:asciiTheme="minorHAnsi" w:eastAsiaTheme="minorEastAsia" w:hAnsiTheme="minorHAnsi"/>
            <w:sz w:val="22"/>
            <w:lang w:eastAsia="en-AU"/>
          </w:rPr>
          <w:tab/>
        </w:r>
        <w:r w:rsidRPr="0068276D">
          <w:rPr>
            <w:rStyle w:val="Hyperlink"/>
          </w:rPr>
          <w:t>Performa</w:t>
        </w:r>
        <w:bookmarkStart w:id="0" w:name="_GoBack"/>
        <w:bookmarkEnd w:id="0"/>
        <w:r w:rsidRPr="0068276D">
          <w:rPr>
            <w:rStyle w:val="Hyperlink"/>
          </w:rPr>
          <w:t>nce Assessment</w:t>
        </w:r>
        <w:r>
          <w:rPr>
            <w:webHidden/>
          </w:rPr>
          <w:tab/>
        </w:r>
        <w:r>
          <w:rPr>
            <w:webHidden/>
          </w:rPr>
          <w:fldChar w:fldCharType="begin"/>
        </w:r>
        <w:r>
          <w:rPr>
            <w:webHidden/>
          </w:rPr>
          <w:instrText xml:space="preserve"> PAGEREF _Toc470173134 \h </w:instrText>
        </w:r>
        <w:r>
          <w:rPr>
            <w:webHidden/>
          </w:rPr>
        </w:r>
        <w:r>
          <w:rPr>
            <w:webHidden/>
          </w:rPr>
          <w:fldChar w:fldCharType="separate"/>
        </w:r>
        <w:r>
          <w:rPr>
            <w:webHidden/>
          </w:rPr>
          <w:t>9</w:t>
        </w:r>
        <w:r>
          <w:rPr>
            <w:webHidden/>
          </w:rPr>
          <w:fldChar w:fldCharType="end"/>
        </w:r>
      </w:hyperlink>
    </w:p>
    <w:p w14:paraId="7A84BA82" w14:textId="77777777" w:rsidR="00D11DD2" w:rsidRDefault="00D11DD2" w:rsidP="00D11DD2">
      <w:pPr>
        <w:pStyle w:val="TOC2"/>
        <w:rPr>
          <w:rFonts w:asciiTheme="minorHAnsi" w:eastAsiaTheme="minorEastAsia" w:hAnsiTheme="minorHAnsi" w:cstheme="minorBidi"/>
          <w:sz w:val="22"/>
          <w:szCs w:val="22"/>
        </w:rPr>
      </w:pPr>
      <w:hyperlink w:anchor="_Toc470173135" w:history="1">
        <w:r w:rsidRPr="0068276D">
          <w:rPr>
            <w:rStyle w:val="Hyperlink"/>
          </w:rPr>
          <w:t>2.1</w:t>
        </w:r>
        <w:r>
          <w:rPr>
            <w:rFonts w:asciiTheme="minorHAnsi" w:eastAsiaTheme="minorEastAsia" w:hAnsiTheme="minorHAnsi" w:cstheme="minorBidi"/>
            <w:sz w:val="22"/>
            <w:szCs w:val="22"/>
          </w:rPr>
          <w:tab/>
        </w:r>
        <w:r w:rsidRPr="0068276D">
          <w:rPr>
            <w:rStyle w:val="Hyperlink"/>
          </w:rPr>
          <w:t>KPI 1 – Regulators do not unnecessarily impede the efficient operation of regulated entities</w:t>
        </w:r>
        <w:r>
          <w:rPr>
            <w:webHidden/>
          </w:rPr>
          <w:tab/>
        </w:r>
        <w:r>
          <w:rPr>
            <w:webHidden/>
          </w:rPr>
          <w:fldChar w:fldCharType="begin"/>
        </w:r>
        <w:r>
          <w:rPr>
            <w:webHidden/>
          </w:rPr>
          <w:instrText xml:space="preserve"> PAGEREF _Toc470173135 \h </w:instrText>
        </w:r>
        <w:r>
          <w:rPr>
            <w:webHidden/>
          </w:rPr>
        </w:r>
        <w:r>
          <w:rPr>
            <w:webHidden/>
          </w:rPr>
          <w:fldChar w:fldCharType="separate"/>
        </w:r>
        <w:r>
          <w:rPr>
            <w:webHidden/>
          </w:rPr>
          <w:t>9</w:t>
        </w:r>
        <w:r>
          <w:rPr>
            <w:webHidden/>
          </w:rPr>
          <w:fldChar w:fldCharType="end"/>
        </w:r>
      </w:hyperlink>
    </w:p>
    <w:p w14:paraId="50F3FF31" w14:textId="77777777" w:rsidR="00D11DD2" w:rsidRDefault="00D11DD2" w:rsidP="00D11DD2">
      <w:pPr>
        <w:pStyle w:val="TOC3"/>
        <w:rPr>
          <w:rFonts w:asciiTheme="minorHAnsi" w:eastAsiaTheme="minorEastAsia" w:hAnsiTheme="minorHAnsi" w:cstheme="minorBidi"/>
          <w:sz w:val="22"/>
          <w:szCs w:val="22"/>
        </w:rPr>
      </w:pPr>
      <w:hyperlink w:anchor="_Toc470173136" w:history="1">
        <w:r w:rsidRPr="0068276D">
          <w:rPr>
            <w:rStyle w:val="Hyperlink"/>
          </w:rPr>
          <w:t>2.1.1</w:t>
        </w:r>
        <w:r>
          <w:rPr>
            <w:rFonts w:asciiTheme="minorHAnsi" w:eastAsiaTheme="minorEastAsia" w:hAnsiTheme="minorHAnsi" w:cstheme="minorBidi"/>
            <w:sz w:val="22"/>
            <w:szCs w:val="22"/>
          </w:rPr>
          <w:tab/>
        </w:r>
        <w:r w:rsidRPr="0068276D">
          <w:rPr>
            <w:rStyle w:val="Hyperlink"/>
          </w:rPr>
          <w:t>Measures</w:t>
        </w:r>
        <w:r>
          <w:rPr>
            <w:webHidden/>
          </w:rPr>
          <w:tab/>
        </w:r>
        <w:r>
          <w:rPr>
            <w:webHidden/>
          </w:rPr>
          <w:fldChar w:fldCharType="begin"/>
        </w:r>
        <w:r>
          <w:rPr>
            <w:webHidden/>
          </w:rPr>
          <w:instrText xml:space="preserve"> PAGEREF _Toc470173136 \h </w:instrText>
        </w:r>
        <w:r>
          <w:rPr>
            <w:webHidden/>
          </w:rPr>
        </w:r>
        <w:r>
          <w:rPr>
            <w:webHidden/>
          </w:rPr>
          <w:fldChar w:fldCharType="separate"/>
        </w:r>
        <w:r>
          <w:rPr>
            <w:webHidden/>
          </w:rPr>
          <w:t>10</w:t>
        </w:r>
        <w:r>
          <w:rPr>
            <w:webHidden/>
          </w:rPr>
          <w:fldChar w:fldCharType="end"/>
        </w:r>
      </w:hyperlink>
    </w:p>
    <w:p w14:paraId="3B91DF48" w14:textId="77777777" w:rsidR="00D11DD2" w:rsidRDefault="00D11DD2" w:rsidP="00D11DD2">
      <w:pPr>
        <w:pStyle w:val="TOC3"/>
        <w:rPr>
          <w:rFonts w:asciiTheme="minorHAnsi" w:eastAsiaTheme="minorEastAsia" w:hAnsiTheme="minorHAnsi" w:cstheme="minorBidi"/>
          <w:sz w:val="22"/>
          <w:szCs w:val="22"/>
        </w:rPr>
      </w:pPr>
      <w:hyperlink w:anchor="_Toc470173137" w:history="1">
        <w:r w:rsidRPr="0068276D">
          <w:rPr>
            <w:rStyle w:val="Hyperlink"/>
          </w:rPr>
          <w:t>2.1.2</w:t>
        </w:r>
        <w:r>
          <w:rPr>
            <w:rFonts w:asciiTheme="minorHAnsi" w:eastAsiaTheme="minorEastAsia" w:hAnsiTheme="minorHAnsi" w:cstheme="minorBidi"/>
            <w:sz w:val="22"/>
            <w:szCs w:val="22"/>
          </w:rPr>
          <w:tab/>
        </w:r>
        <w:r w:rsidRPr="0068276D">
          <w:rPr>
            <w:rStyle w:val="Hyperlink"/>
          </w:rPr>
          <w:t>Approved evidence metrics for KPI 1</w:t>
        </w:r>
        <w:r>
          <w:rPr>
            <w:webHidden/>
          </w:rPr>
          <w:tab/>
        </w:r>
        <w:r>
          <w:rPr>
            <w:webHidden/>
          </w:rPr>
          <w:fldChar w:fldCharType="begin"/>
        </w:r>
        <w:r>
          <w:rPr>
            <w:webHidden/>
          </w:rPr>
          <w:instrText xml:space="preserve"> PAGEREF _Toc470173137 \h </w:instrText>
        </w:r>
        <w:r>
          <w:rPr>
            <w:webHidden/>
          </w:rPr>
        </w:r>
        <w:r>
          <w:rPr>
            <w:webHidden/>
          </w:rPr>
          <w:fldChar w:fldCharType="separate"/>
        </w:r>
        <w:r>
          <w:rPr>
            <w:webHidden/>
          </w:rPr>
          <w:t>10</w:t>
        </w:r>
        <w:r>
          <w:rPr>
            <w:webHidden/>
          </w:rPr>
          <w:fldChar w:fldCharType="end"/>
        </w:r>
      </w:hyperlink>
    </w:p>
    <w:p w14:paraId="662F96E2" w14:textId="77777777" w:rsidR="00D11DD2" w:rsidRDefault="00D11DD2" w:rsidP="00D11DD2">
      <w:pPr>
        <w:pStyle w:val="TOC3"/>
        <w:rPr>
          <w:rFonts w:asciiTheme="minorHAnsi" w:eastAsiaTheme="minorEastAsia" w:hAnsiTheme="minorHAnsi" w:cstheme="minorBidi"/>
          <w:sz w:val="22"/>
          <w:szCs w:val="22"/>
        </w:rPr>
      </w:pPr>
      <w:hyperlink w:anchor="_Toc470173138" w:history="1">
        <w:r w:rsidRPr="0068276D">
          <w:rPr>
            <w:rStyle w:val="Hyperlink"/>
          </w:rPr>
          <w:t>2.1.3</w:t>
        </w:r>
        <w:r>
          <w:rPr>
            <w:rFonts w:asciiTheme="minorHAnsi" w:eastAsiaTheme="minorEastAsia" w:hAnsiTheme="minorHAnsi" w:cstheme="minorBidi"/>
            <w:sz w:val="22"/>
            <w:szCs w:val="22"/>
          </w:rPr>
          <w:tab/>
        </w:r>
        <w:r w:rsidRPr="0068276D">
          <w:rPr>
            <w:rStyle w:val="Hyperlink"/>
          </w:rPr>
          <w:t>Other evidence to indicate compliance with KPI 1</w:t>
        </w:r>
        <w:r>
          <w:rPr>
            <w:webHidden/>
          </w:rPr>
          <w:tab/>
        </w:r>
        <w:r>
          <w:rPr>
            <w:webHidden/>
          </w:rPr>
          <w:fldChar w:fldCharType="begin"/>
        </w:r>
        <w:r>
          <w:rPr>
            <w:webHidden/>
          </w:rPr>
          <w:instrText xml:space="preserve"> PAGEREF _Toc470173138 \h </w:instrText>
        </w:r>
        <w:r>
          <w:rPr>
            <w:webHidden/>
          </w:rPr>
        </w:r>
        <w:r>
          <w:rPr>
            <w:webHidden/>
          </w:rPr>
          <w:fldChar w:fldCharType="separate"/>
        </w:r>
        <w:r>
          <w:rPr>
            <w:webHidden/>
          </w:rPr>
          <w:t>10</w:t>
        </w:r>
        <w:r>
          <w:rPr>
            <w:webHidden/>
          </w:rPr>
          <w:fldChar w:fldCharType="end"/>
        </w:r>
      </w:hyperlink>
    </w:p>
    <w:p w14:paraId="4ABC521D" w14:textId="77777777" w:rsidR="00D11DD2" w:rsidRDefault="00D11DD2" w:rsidP="00D11DD2">
      <w:pPr>
        <w:pStyle w:val="TOC3"/>
        <w:rPr>
          <w:rFonts w:asciiTheme="minorHAnsi" w:eastAsiaTheme="minorEastAsia" w:hAnsiTheme="minorHAnsi" w:cstheme="minorBidi"/>
          <w:sz w:val="22"/>
          <w:szCs w:val="22"/>
        </w:rPr>
      </w:pPr>
      <w:hyperlink w:anchor="_Toc470173139" w:history="1">
        <w:r w:rsidRPr="0068276D">
          <w:rPr>
            <w:rStyle w:val="Hyperlink"/>
          </w:rPr>
          <w:t>2.1.4</w:t>
        </w:r>
        <w:r>
          <w:rPr>
            <w:rFonts w:asciiTheme="minorHAnsi" w:eastAsiaTheme="minorEastAsia" w:hAnsiTheme="minorHAnsi" w:cstheme="minorBidi"/>
            <w:sz w:val="22"/>
            <w:szCs w:val="22"/>
          </w:rPr>
          <w:tab/>
        </w:r>
        <w:r w:rsidRPr="0068276D">
          <w:rPr>
            <w:rStyle w:val="Hyperlink"/>
          </w:rPr>
          <w:t>Analysis of evidence presented</w:t>
        </w:r>
        <w:r>
          <w:rPr>
            <w:webHidden/>
          </w:rPr>
          <w:tab/>
        </w:r>
        <w:r>
          <w:rPr>
            <w:webHidden/>
          </w:rPr>
          <w:fldChar w:fldCharType="begin"/>
        </w:r>
        <w:r>
          <w:rPr>
            <w:webHidden/>
          </w:rPr>
          <w:instrText xml:space="preserve"> PAGEREF _Toc470173139 \h </w:instrText>
        </w:r>
        <w:r>
          <w:rPr>
            <w:webHidden/>
          </w:rPr>
        </w:r>
        <w:r>
          <w:rPr>
            <w:webHidden/>
          </w:rPr>
          <w:fldChar w:fldCharType="separate"/>
        </w:r>
        <w:r>
          <w:rPr>
            <w:webHidden/>
          </w:rPr>
          <w:t>11</w:t>
        </w:r>
        <w:r>
          <w:rPr>
            <w:webHidden/>
          </w:rPr>
          <w:fldChar w:fldCharType="end"/>
        </w:r>
      </w:hyperlink>
    </w:p>
    <w:p w14:paraId="35A6FF99" w14:textId="77777777" w:rsidR="00D11DD2" w:rsidRDefault="00D11DD2" w:rsidP="00D11DD2">
      <w:pPr>
        <w:pStyle w:val="TOC3"/>
        <w:rPr>
          <w:rFonts w:asciiTheme="minorHAnsi" w:eastAsiaTheme="minorEastAsia" w:hAnsiTheme="minorHAnsi" w:cstheme="minorBidi"/>
          <w:sz w:val="22"/>
          <w:szCs w:val="22"/>
        </w:rPr>
      </w:pPr>
      <w:hyperlink w:anchor="_Toc470173140" w:history="1">
        <w:r w:rsidRPr="0068276D">
          <w:rPr>
            <w:rStyle w:val="Hyperlink"/>
          </w:rPr>
          <w:t>2.1.5</w:t>
        </w:r>
        <w:r>
          <w:rPr>
            <w:rFonts w:asciiTheme="minorHAnsi" w:eastAsiaTheme="minorEastAsia" w:hAnsiTheme="minorHAnsi" w:cstheme="minorBidi"/>
            <w:sz w:val="22"/>
            <w:szCs w:val="22"/>
          </w:rPr>
          <w:tab/>
        </w:r>
        <w:r w:rsidRPr="0068276D">
          <w:rPr>
            <w:rStyle w:val="Hyperlink"/>
          </w:rPr>
          <w:t>Conclusion for KPI 1</w:t>
        </w:r>
        <w:r>
          <w:rPr>
            <w:webHidden/>
          </w:rPr>
          <w:tab/>
        </w:r>
        <w:r>
          <w:rPr>
            <w:webHidden/>
          </w:rPr>
          <w:fldChar w:fldCharType="begin"/>
        </w:r>
        <w:r>
          <w:rPr>
            <w:webHidden/>
          </w:rPr>
          <w:instrText xml:space="preserve"> PAGEREF _Toc470173140 \h </w:instrText>
        </w:r>
        <w:r>
          <w:rPr>
            <w:webHidden/>
          </w:rPr>
        </w:r>
        <w:r>
          <w:rPr>
            <w:webHidden/>
          </w:rPr>
          <w:fldChar w:fldCharType="separate"/>
        </w:r>
        <w:r>
          <w:rPr>
            <w:webHidden/>
          </w:rPr>
          <w:t>12</w:t>
        </w:r>
        <w:r>
          <w:rPr>
            <w:webHidden/>
          </w:rPr>
          <w:fldChar w:fldCharType="end"/>
        </w:r>
      </w:hyperlink>
    </w:p>
    <w:p w14:paraId="62A85AFC" w14:textId="77777777" w:rsidR="00D11DD2" w:rsidRDefault="00D11DD2" w:rsidP="00D11DD2">
      <w:pPr>
        <w:pStyle w:val="TOC3"/>
        <w:rPr>
          <w:rFonts w:asciiTheme="minorHAnsi" w:eastAsiaTheme="minorEastAsia" w:hAnsiTheme="minorHAnsi" w:cstheme="minorBidi"/>
          <w:sz w:val="22"/>
          <w:szCs w:val="22"/>
        </w:rPr>
      </w:pPr>
      <w:hyperlink w:anchor="_Toc470173141" w:history="1">
        <w:r w:rsidRPr="0068276D">
          <w:rPr>
            <w:rStyle w:val="Hyperlink"/>
          </w:rPr>
          <w:t>2.1.6</w:t>
        </w:r>
        <w:r>
          <w:rPr>
            <w:rFonts w:asciiTheme="minorHAnsi" w:eastAsiaTheme="minorEastAsia" w:hAnsiTheme="minorHAnsi" w:cstheme="minorBidi"/>
            <w:sz w:val="22"/>
            <w:szCs w:val="22"/>
          </w:rPr>
          <w:tab/>
        </w:r>
        <w:r w:rsidRPr="0068276D">
          <w:rPr>
            <w:rStyle w:val="Hyperlink"/>
          </w:rPr>
          <w:t>Self-assessed rating of performance against KPI 1 – 2015-16</w:t>
        </w:r>
        <w:r>
          <w:rPr>
            <w:webHidden/>
          </w:rPr>
          <w:tab/>
        </w:r>
        <w:r>
          <w:rPr>
            <w:webHidden/>
          </w:rPr>
          <w:fldChar w:fldCharType="begin"/>
        </w:r>
        <w:r>
          <w:rPr>
            <w:webHidden/>
          </w:rPr>
          <w:instrText xml:space="preserve"> PAGEREF _Toc470173141 \h </w:instrText>
        </w:r>
        <w:r>
          <w:rPr>
            <w:webHidden/>
          </w:rPr>
        </w:r>
        <w:r>
          <w:rPr>
            <w:webHidden/>
          </w:rPr>
          <w:fldChar w:fldCharType="separate"/>
        </w:r>
        <w:r>
          <w:rPr>
            <w:webHidden/>
          </w:rPr>
          <w:t>12</w:t>
        </w:r>
        <w:r>
          <w:rPr>
            <w:webHidden/>
          </w:rPr>
          <w:fldChar w:fldCharType="end"/>
        </w:r>
      </w:hyperlink>
    </w:p>
    <w:p w14:paraId="6FB75D8B" w14:textId="77777777" w:rsidR="00D11DD2" w:rsidRDefault="00D11DD2" w:rsidP="00D11DD2">
      <w:pPr>
        <w:pStyle w:val="TOC3"/>
        <w:rPr>
          <w:rFonts w:asciiTheme="minorHAnsi" w:eastAsiaTheme="minorEastAsia" w:hAnsiTheme="minorHAnsi" w:cstheme="minorBidi"/>
          <w:sz w:val="22"/>
          <w:szCs w:val="22"/>
        </w:rPr>
      </w:pPr>
      <w:hyperlink w:anchor="_Toc470173142" w:history="1">
        <w:r w:rsidRPr="0068276D">
          <w:rPr>
            <w:rStyle w:val="Hyperlink"/>
          </w:rPr>
          <w:t>2.1.7</w:t>
        </w:r>
        <w:r>
          <w:rPr>
            <w:rFonts w:asciiTheme="minorHAnsi" w:eastAsiaTheme="minorEastAsia" w:hAnsiTheme="minorHAnsi" w:cstheme="minorBidi"/>
            <w:sz w:val="22"/>
            <w:szCs w:val="22"/>
          </w:rPr>
          <w:tab/>
        </w:r>
        <w:r w:rsidRPr="0068276D">
          <w:rPr>
            <w:rStyle w:val="Hyperlink"/>
          </w:rPr>
          <w:t>Actions for improving performance against KPI 1</w:t>
        </w:r>
        <w:r>
          <w:rPr>
            <w:webHidden/>
          </w:rPr>
          <w:tab/>
        </w:r>
        <w:r>
          <w:rPr>
            <w:webHidden/>
          </w:rPr>
          <w:fldChar w:fldCharType="begin"/>
        </w:r>
        <w:r>
          <w:rPr>
            <w:webHidden/>
          </w:rPr>
          <w:instrText xml:space="preserve"> PAGEREF _Toc470173142 \h </w:instrText>
        </w:r>
        <w:r>
          <w:rPr>
            <w:webHidden/>
          </w:rPr>
        </w:r>
        <w:r>
          <w:rPr>
            <w:webHidden/>
          </w:rPr>
          <w:fldChar w:fldCharType="separate"/>
        </w:r>
        <w:r>
          <w:rPr>
            <w:webHidden/>
          </w:rPr>
          <w:t>12</w:t>
        </w:r>
        <w:r>
          <w:rPr>
            <w:webHidden/>
          </w:rPr>
          <w:fldChar w:fldCharType="end"/>
        </w:r>
      </w:hyperlink>
    </w:p>
    <w:p w14:paraId="688CA231" w14:textId="77777777" w:rsidR="00D11DD2" w:rsidRDefault="00D11DD2" w:rsidP="00D11DD2">
      <w:pPr>
        <w:pStyle w:val="TOC2"/>
        <w:rPr>
          <w:rFonts w:asciiTheme="minorHAnsi" w:eastAsiaTheme="minorEastAsia" w:hAnsiTheme="minorHAnsi" w:cstheme="minorBidi"/>
          <w:sz w:val="22"/>
          <w:szCs w:val="22"/>
        </w:rPr>
      </w:pPr>
      <w:hyperlink w:anchor="_Toc470173143" w:history="1">
        <w:r w:rsidRPr="0068276D">
          <w:rPr>
            <w:rStyle w:val="Hyperlink"/>
          </w:rPr>
          <w:t>2.2</w:t>
        </w:r>
        <w:r>
          <w:rPr>
            <w:rFonts w:asciiTheme="minorHAnsi" w:eastAsiaTheme="minorEastAsia" w:hAnsiTheme="minorHAnsi" w:cstheme="minorBidi"/>
            <w:sz w:val="22"/>
            <w:szCs w:val="22"/>
          </w:rPr>
          <w:tab/>
        </w:r>
        <w:r w:rsidRPr="0068276D">
          <w:rPr>
            <w:rStyle w:val="Hyperlink"/>
          </w:rPr>
          <w:t>KPI 2 – Communication with regulated entities is clear, targeted and effective</w:t>
        </w:r>
        <w:r>
          <w:rPr>
            <w:webHidden/>
          </w:rPr>
          <w:tab/>
        </w:r>
        <w:r>
          <w:rPr>
            <w:webHidden/>
          </w:rPr>
          <w:fldChar w:fldCharType="begin"/>
        </w:r>
        <w:r>
          <w:rPr>
            <w:webHidden/>
          </w:rPr>
          <w:instrText xml:space="preserve"> PAGEREF _Toc470173143 \h </w:instrText>
        </w:r>
        <w:r>
          <w:rPr>
            <w:webHidden/>
          </w:rPr>
        </w:r>
        <w:r>
          <w:rPr>
            <w:webHidden/>
          </w:rPr>
          <w:fldChar w:fldCharType="separate"/>
        </w:r>
        <w:r>
          <w:rPr>
            <w:webHidden/>
          </w:rPr>
          <w:t>13</w:t>
        </w:r>
        <w:r>
          <w:rPr>
            <w:webHidden/>
          </w:rPr>
          <w:fldChar w:fldCharType="end"/>
        </w:r>
      </w:hyperlink>
    </w:p>
    <w:p w14:paraId="76372603" w14:textId="77777777" w:rsidR="00D11DD2" w:rsidRDefault="00D11DD2" w:rsidP="00D11DD2">
      <w:pPr>
        <w:pStyle w:val="TOC3"/>
        <w:rPr>
          <w:rFonts w:asciiTheme="minorHAnsi" w:eastAsiaTheme="minorEastAsia" w:hAnsiTheme="minorHAnsi" w:cstheme="minorBidi"/>
          <w:sz w:val="22"/>
          <w:szCs w:val="22"/>
        </w:rPr>
      </w:pPr>
      <w:hyperlink w:anchor="_Toc470173144" w:history="1">
        <w:r w:rsidRPr="0068276D">
          <w:rPr>
            <w:rStyle w:val="Hyperlink"/>
          </w:rPr>
          <w:t>2.2.1</w:t>
        </w:r>
        <w:r>
          <w:rPr>
            <w:rFonts w:asciiTheme="minorHAnsi" w:eastAsiaTheme="minorEastAsia" w:hAnsiTheme="minorHAnsi" w:cstheme="minorBidi"/>
            <w:sz w:val="22"/>
            <w:szCs w:val="22"/>
          </w:rPr>
          <w:tab/>
        </w:r>
        <w:r w:rsidRPr="0068276D">
          <w:rPr>
            <w:rStyle w:val="Hyperlink"/>
          </w:rPr>
          <w:t>Measures</w:t>
        </w:r>
        <w:r>
          <w:rPr>
            <w:webHidden/>
          </w:rPr>
          <w:tab/>
        </w:r>
        <w:r>
          <w:rPr>
            <w:webHidden/>
          </w:rPr>
          <w:fldChar w:fldCharType="begin"/>
        </w:r>
        <w:r>
          <w:rPr>
            <w:webHidden/>
          </w:rPr>
          <w:instrText xml:space="preserve"> PAGEREF _Toc470173144 \h </w:instrText>
        </w:r>
        <w:r>
          <w:rPr>
            <w:webHidden/>
          </w:rPr>
        </w:r>
        <w:r>
          <w:rPr>
            <w:webHidden/>
          </w:rPr>
          <w:fldChar w:fldCharType="separate"/>
        </w:r>
        <w:r>
          <w:rPr>
            <w:webHidden/>
          </w:rPr>
          <w:t>14</w:t>
        </w:r>
        <w:r>
          <w:rPr>
            <w:webHidden/>
          </w:rPr>
          <w:fldChar w:fldCharType="end"/>
        </w:r>
      </w:hyperlink>
    </w:p>
    <w:p w14:paraId="3CBA36BA" w14:textId="77777777" w:rsidR="00D11DD2" w:rsidRDefault="00D11DD2" w:rsidP="00D11DD2">
      <w:pPr>
        <w:pStyle w:val="TOC3"/>
        <w:rPr>
          <w:rFonts w:asciiTheme="minorHAnsi" w:eastAsiaTheme="minorEastAsia" w:hAnsiTheme="minorHAnsi" w:cstheme="minorBidi"/>
          <w:sz w:val="22"/>
          <w:szCs w:val="22"/>
        </w:rPr>
      </w:pPr>
      <w:hyperlink w:anchor="_Toc470173145" w:history="1">
        <w:r w:rsidRPr="0068276D">
          <w:rPr>
            <w:rStyle w:val="Hyperlink"/>
          </w:rPr>
          <w:t>2.2.2</w:t>
        </w:r>
        <w:r>
          <w:rPr>
            <w:rFonts w:asciiTheme="minorHAnsi" w:eastAsiaTheme="minorEastAsia" w:hAnsiTheme="minorHAnsi" w:cstheme="minorBidi"/>
            <w:sz w:val="22"/>
            <w:szCs w:val="22"/>
          </w:rPr>
          <w:tab/>
        </w:r>
        <w:r w:rsidRPr="0068276D">
          <w:rPr>
            <w:rStyle w:val="Hyperlink"/>
          </w:rPr>
          <w:t>Approved evidence metrics for KPI 2</w:t>
        </w:r>
        <w:r>
          <w:rPr>
            <w:webHidden/>
          </w:rPr>
          <w:tab/>
        </w:r>
        <w:r>
          <w:rPr>
            <w:webHidden/>
          </w:rPr>
          <w:fldChar w:fldCharType="begin"/>
        </w:r>
        <w:r>
          <w:rPr>
            <w:webHidden/>
          </w:rPr>
          <w:instrText xml:space="preserve"> PAGEREF _Toc470173145 \h </w:instrText>
        </w:r>
        <w:r>
          <w:rPr>
            <w:webHidden/>
          </w:rPr>
        </w:r>
        <w:r>
          <w:rPr>
            <w:webHidden/>
          </w:rPr>
          <w:fldChar w:fldCharType="separate"/>
        </w:r>
        <w:r>
          <w:rPr>
            <w:webHidden/>
          </w:rPr>
          <w:t>14</w:t>
        </w:r>
        <w:r>
          <w:rPr>
            <w:webHidden/>
          </w:rPr>
          <w:fldChar w:fldCharType="end"/>
        </w:r>
      </w:hyperlink>
    </w:p>
    <w:p w14:paraId="4ED25E27" w14:textId="77777777" w:rsidR="00D11DD2" w:rsidRDefault="00D11DD2" w:rsidP="00D11DD2">
      <w:pPr>
        <w:pStyle w:val="TOC3"/>
        <w:rPr>
          <w:rFonts w:asciiTheme="minorHAnsi" w:eastAsiaTheme="minorEastAsia" w:hAnsiTheme="minorHAnsi" w:cstheme="minorBidi"/>
          <w:sz w:val="22"/>
          <w:szCs w:val="22"/>
        </w:rPr>
      </w:pPr>
      <w:hyperlink w:anchor="_Toc470173146" w:history="1">
        <w:r w:rsidRPr="0068276D">
          <w:rPr>
            <w:rStyle w:val="Hyperlink"/>
          </w:rPr>
          <w:t>2.2.3</w:t>
        </w:r>
        <w:r>
          <w:rPr>
            <w:rFonts w:asciiTheme="minorHAnsi" w:eastAsiaTheme="minorEastAsia" w:hAnsiTheme="minorHAnsi" w:cstheme="minorBidi"/>
            <w:sz w:val="22"/>
            <w:szCs w:val="22"/>
          </w:rPr>
          <w:tab/>
        </w:r>
        <w:r w:rsidRPr="0068276D">
          <w:rPr>
            <w:rStyle w:val="Hyperlink"/>
          </w:rPr>
          <w:t>Other evidence to indicate compliance with KPI 2</w:t>
        </w:r>
        <w:r>
          <w:rPr>
            <w:webHidden/>
          </w:rPr>
          <w:tab/>
        </w:r>
        <w:r>
          <w:rPr>
            <w:webHidden/>
          </w:rPr>
          <w:fldChar w:fldCharType="begin"/>
        </w:r>
        <w:r>
          <w:rPr>
            <w:webHidden/>
          </w:rPr>
          <w:instrText xml:space="preserve"> PAGEREF _Toc470173146 \h </w:instrText>
        </w:r>
        <w:r>
          <w:rPr>
            <w:webHidden/>
          </w:rPr>
        </w:r>
        <w:r>
          <w:rPr>
            <w:webHidden/>
          </w:rPr>
          <w:fldChar w:fldCharType="separate"/>
        </w:r>
        <w:r>
          <w:rPr>
            <w:webHidden/>
          </w:rPr>
          <w:t>14</w:t>
        </w:r>
        <w:r>
          <w:rPr>
            <w:webHidden/>
          </w:rPr>
          <w:fldChar w:fldCharType="end"/>
        </w:r>
      </w:hyperlink>
    </w:p>
    <w:p w14:paraId="7772DD2D" w14:textId="77777777" w:rsidR="00D11DD2" w:rsidRDefault="00D11DD2" w:rsidP="00D11DD2">
      <w:pPr>
        <w:pStyle w:val="TOC3"/>
        <w:rPr>
          <w:rFonts w:asciiTheme="minorHAnsi" w:eastAsiaTheme="minorEastAsia" w:hAnsiTheme="minorHAnsi" w:cstheme="minorBidi"/>
          <w:sz w:val="22"/>
          <w:szCs w:val="22"/>
        </w:rPr>
      </w:pPr>
      <w:hyperlink w:anchor="_Toc470173147" w:history="1">
        <w:r w:rsidRPr="0068276D">
          <w:rPr>
            <w:rStyle w:val="Hyperlink"/>
          </w:rPr>
          <w:t>2.2.4</w:t>
        </w:r>
        <w:r>
          <w:rPr>
            <w:rFonts w:asciiTheme="minorHAnsi" w:eastAsiaTheme="minorEastAsia" w:hAnsiTheme="minorHAnsi" w:cstheme="minorBidi"/>
            <w:sz w:val="22"/>
            <w:szCs w:val="22"/>
          </w:rPr>
          <w:tab/>
        </w:r>
        <w:r w:rsidRPr="0068276D">
          <w:rPr>
            <w:rStyle w:val="Hyperlink"/>
          </w:rPr>
          <w:t>Analysis of evidence presented</w:t>
        </w:r>
        <w:r>
          <w:rPr>
            <w:webHidden/>
          </w:rPr>
          <w:tab/>
        </w:r>
        <w:r>
          <w:rPr>
            <w:webHidden/>
          </w:rPr>
          <w:fldChar w:fldCharType="begin"/>
        </w:r>
        <w:r>
          <w:rPr>
            <w:webHidden/>
          </w:rPr>
          <w:instrText xml:space="preserve"> PAGEREF _Toc470173147 \h </w:instrText>
        </w:r>
        <w:r>
          <w:rPr>
            <w:webHidden/>
          </w:rPr>
        </w:r>
        <w:r>
          <w:rPr>
            <w:webHidden/>
          </w:rPr>
          <w:fldChar w:fldCharType="separate"/>
        </w:r>
        <w:r>
          <w:rPr>
            <w:webHidden/>
          </w:rPr>
          <w:t>15</w:t>
        </w:r>
        <w:r>
          <w:rPr>
            <w:webHidden/>
          </w:rPr>
          <w:fldChar w:fldCharType="end"/>
        </w:r>
      </w:hyperlink>
    </w:p>
    <w:p w14:paraId="0C9BED7A" w14:textId="77777777" w:rsidR="00D11DD2" w:rsidRDefault="00D11DD2" w:rsidP="00D11DD2">
      <w:pPr>
        <w:pStyle w:val="TOC3"/>
        <w:rPr>
          <w:rFonts w:asciiTheme="minorHAnsi" w:eastAsiaTheme="minorEastAsia" w:hAnsiTheme="minorHAnsi" w:cstheme="minorBidi"/>
          <w:sz w:val="22"/>
          <w:szCs w:val="22"/>
        </w:rPr>
      </w:pPr>
      <w:hyperlink w:anchor="_Toc470173148" w:history="1">
        <w:r w:rsidRPr="0068276D">
          <w:rPr>
            <w:rStyle w:val="Hyperlink"/>
          </w:rPr>
          <w:t>2.2.5</w:t>
        </w:r>
        <w:r>
          <w:rPr>
            <w:rFonts w:asciiTheme="minorHAnsi" w:eastAsiaTheme="minorEastAsia" w:hAnsiTheme="minorHAnsi" w:cstheme="minorBidi"/>
            <w:sz w:val="22"/>
            <w:szCs w:val="22"/>
          </w:rPr>
          <w:tab/>
        </w:r>
        <w:r w:rsidRPr="0068276D">
          <w:rPr>
            <w:rStyle w:val="Hyperlink"/>
          </w:rPr>
          <w:t>Self-assessed rating of performance against KPI 2 – 2015-16</w:t>
        </w:r>
        <w:r>
          <w:rPr>
            <w:webHidden/>
          </w:rPr>
          <w:tab/>
        </w:r>
        <w:r>
          <w:rPr>
            <w:webHidden/>
          </w:rPr>
          <w:fldChar w:fldCharType="begin"/>
        </w:r>
        <w:r>
          <w:rPr>
            <w:webHidden/>
          </w:rPr>
          <w:instrText xml:space="preserve"> PAGEREF _Toc470173148 \h </w:instrText>
        </w:r>
        <w:r>
          <w:rPr>
            <w:webHidden/>
          </w:rPr>
        </w:r>
        <w:r>
          <w:rPr>
            <w:webHidden/>
          </w:rPr>
          <w:fldChar w:fldCharType="separate"/>
        </w:r>
        <w:r>
          <w:rPr>
            <w:webHidden/>
          </w:rPr>
          <w:t>16</w:t>
        </w:r>
        <w:r>
          <w:rPr>
            <w:webHidden/>
          </w:rPr>
          <w:fldChar w:fldCharType="end"/>
        </w:r>
      </w:hyperlink>
    </w:p>
    <w:p w14:paraId="54F22AF9" w14:textId="77777777" w:rsidR="00D11DD2" w:rsidRDefault="00D11DD2" w:rsidP="00D11DD2">
      <w:pPr>
        <w:pStyle w:val="TOC3"/>
        <w:rPr>
          <w:rFonts w:asciiTheme="minorHAnsi" w:eastAsiaTheme="minorEastAsia" w:hAnsiTheme="minorHAnsi" w:cstheme="minorBidi"/>
          <w:sz w:val="22"/>
          <w:szCs w:val="22"/>
        </w:rPr>
      </w:pPr>
      <w:hyperlink w:anchor="_Toc470173149" w:history="1">
        <w:r w:rsidRPr="0068276D">
          <w:rPr>
            <w:rStyle w:val="Hyperlink"/>
          </w:rPr>
          <w:t>2.2.6</w:t>
        </w:r>
        <w:r>
          <w:rPr>
            <w:rFonts w:asciiTheme="minorHAnsi" w:eastAsiaTheme="minorEastAsia" w:hAnsiTheme="minorHAnsi" w:cstheme="minorBidi"/>
            <w:sz w:val="22"/>
            <w:szCs w:val="22"/>
          </w:rPr>
          <w:tab/>
        </w:r>
        <w:r w:rsidRPr="0068276D">
          <w:rPr>
            <w:rStyle w:val="Hyperlink"/>
          </w:rPr>
          <w:t>Actions for improving performance against KPI 2</w:t>
        </w:r>
        <w:r>
          <w:rPr>
            <w:webHidden/>
          </w:rPr>
          <w:tab/>
        </w:r>
        <w:r>
          <w:rPr>
            <w:webHidden/>
          </w:rPr>
          <w:fldChar w:fldCharType="begin"/>
        </w:r>
        <w:r>
          <w:rPr>
            <w:webHidden/>
          </w:rPr>
          <w:instrText xml:space="preserve"> PAGEREF _Toc470173149 \h </w:instrText>
        </w:r>
        <w:r>
          <w:rPr>
            <w:webHidden/>
          </w:rPr>
        </w:r>
        <w:r>
          <w:rPr>
            <w:webHidden/>
          </w:rPr>
          <w:fldChar w:fldCharType="separate"/>
        </w:r>
        <w:r>
          <w:rPr>
            <w:webHidden/>
          </w:rPr>
          <w:t>16</w:t>
        </w:r>
        <w:r>
          <w:rPr>
            <w:webHidden/>
          </w:rPr>
          <w:fldChar w:fldCharType="end"/>
        </w:r>
      </w:hyperlink>
    </w:p>
    <w:p w14:paraId="69678180" w14:textId="77777777" w:rsidR="00D11DD2" w:rsidRDefault="00D11DD2" w:rsidP="00D11DD2">
      <w:pPr>
        <w:pStyle w:val="TOC2"/>
        <w:rPr>
          <w:rFonts w:asciiTheme="minorHAnsi" w:eastAsiaTheme="minorEastAsia" w:hAnsiTheme="minorHAnsi" w:cstheme="minorBidi"/>
          <w:sz w:val="22"/>
          <w:szCs w:val="22"/>
        </w:rPr>
      </w:pPr>
      <w:hyperlink w:anchor="_Toc470173150" w:history="1">
        <w:r w:rsidRPr="0068276D">
          <w:rPr>
            <w:rStyle w:val="Hyperlink"/>
          </w:rPr>
          <w:t>2.3</w:t>
        </w:r>
        <w:r>
          <w:rPr>
            <w:rFonts w:asciiTheme="minorHAnsi" w:eastAsiaTheme="minorEastAsia" w:hAnsiTheme="minorHAnsi" w:cstheme="minorBidi"/>
            <w:sz w:val="22"/>
            <w:szCs w:val="22"/>
          </w:rPr>
          <w:tab/>
        </w:r>
        <w:r w:rsidRPr="0068276D">
          <w:rPr>
            <w:rStyle w:val="Hyperlink"/>
          </w:rPr>
          <w:t>KPI 3 – Actions undertaken by regulators are proportionate to the regulatory risk being managed</w:t>
        </w:r>
        <w:r>
          <w:rPr>
            <w:webHidden/>
          </w:rPr>
          <w:tab/>
        </w:r>
        <w:r>
          <w:rPr>
            <w:webHidden/>
          </w:rPr>
          <w:fldChar w:fldCharType="begin"/>
        </w:r>
        <w:r>
          <w:rPr>
            <w:webHidden/>
          </w:rPr>
          <w:instrText xml:space="preserve"> PAGEREF _Toc470173150 \h </w:instrText>
        </w:r>
        <w:r>
          <w:rPr>
            <w:webHidden/>
          </w:rPr>
        </w:r>
        <w:r>
          <w:rPr>
            <w:webHidden/>
          </w:rPr>
          <w:fldChar w:fldCharType="separate"/>
        </w:r>
        <w:r>
          <w:rPr>
            <w:webHidden/>
          </w:rPr>
          <w:t>17</w:t>
        </w:r>
        <w:r>
          <w:rPr>
            <w:webHidden/>
          </w:rPr>
          <w:fldChar w:fldCharType="end"/>
        </w:r>
      </w:hyperlink>
    </w:p>
    <w:p w14:paraId="42DFECAF" w14:textId="77777777" w:rsidR="00D11DD2" w:rsidRDefault="00D11DD2" w:rsidP="00D11DD2">
      <w:pPr>
        <w:pStyle w:val="TOC3"/>
        <w:rPr>
          <w:rFonts w:asciiTheme="minorHAnsi" w:eastAsiaTheme="minorEastAsia" w:hAnsiTheme="minorHAnsi" w:cstheme="minorBidi"/>
          <w:sz w:val="22"/>
          <w:szCs w:val="22"/>
        </w:rPr>
      </w:pPr>
      <w:hyperlink w:anchor="_Toc470173151" w:history="1">
        <w:r w:rsidRPr="0068276D">
          <w:rPr>
            <w:rStyle w:val="Hyperlink"/>
          </w:rPr>
          <w:t>2.3.1</w:t>
        </w:r>
        <w:r>
          <w:rPr>
            <w:rFonts w:asciiTheme="minorHAnsi" w:eastAsiaTheme="minorEastAsia" w:hAnsiTheme="minorHAnsi" w:cstheme="minorBidi"/>
            <w:sz w:val="22"/>
            <w:szCs w:val="22"/>
          </w:rPr>
          <w:tab/>
        </w:r>
        <w:r w:rsidRPr="0068276D">
          <w:rPr>
            <w:rStyle w:val="Hyperlink"/>
          </w:rPr>
          <w:t>Measures</w:t>
        </w:r>
        <w:r>
          <w:rPr>
            <w:webHidden/>
          </w:rPr>
          <w:tab/>
        </w:r>
        <w:r>
          <w:rPr>
            <w:webHidden/>
          </w:rPr>
          <w:fldChar w:fldCharType="begin"/>
        </w:r>
        <w:r>
          <w:rPr>
            <w:webHidden/>
          </w:rPr>
          <w:instrText xml:space="preserve"> PAGEREF _Toc470173151 \h </w:instrText>
        </w:r>
        <w:r>
          <w:rPr>
            <w:webHidden/>
          </w:rPr>
        </w:r>
        <w:r>
          <w:rPr>
            <w:webHidden/>
          </w:rPr>
          <w:fldChar w:fldCharType="separate"/>
        </w:r>
        <w:r>
          <w:rPr>
            <w:webHidden/>
          </w:rPr>
          <w:t>18</w:t>
        </w:r>
        <w:r>
          <w:rPr>
            <w:webHidden/>
          </w:rPr>
          <w:fldChar w:fldCharType="end"/>
        </w:r>
      </w:hyperlink>
    </w:p>
    <w:p w14:paraId="2387BF9B" w14:textId="77777777" w:rsidR="00D11DD2" w:rsidRDefault="00D11DD2" w:rsidP="00D11DD2">
      <w:pPr>
        <w:pStyle w:val="TOC3"/>
        <w:rPr>
          <w:rFonts w:asciiTheme="minorHAnsi" w:eastAsiaTheme="minorEastAsia" w:hAnsiTheme="minorHAnsi" w:cstheme="minorBidi"/>
          <w:sz w:val="22"/>
          <w:szCs w:val="22"/>
        </w:rPr>
      </w:pPr>
      <w:hyperlink w:anchor="_Toc470173152" w:history="1">
        <w:r w:rsidRPr="0068276D">
          <w:rPr>
            <w:rStyle w:val="Hyperlink"/>
          </w:rPr>
          <w:t>2.3.2</w:t>
        </w:r>
        <w:r>
          <w:rPr>
            <w:rFonts w:asciiTheme="minorHAnsi" w:eastAsiaTheme="minorEastAsia" w:hAnsiTheme="minorHAnsi" w:cstheme="minorBidi"/>
            <w:sz w:val="22"/>
            <w:szCs w:val="22"/>
          </w:rPr>
          <w:tab/>
        </w:r>
        <w:r w:rsidRPr="0068276D">
          <w:rPr>
            <w:rStyle w:val="Hyperlink"/>
          </w:rPr>
          <w:t>Other evidence to indicate compliance with KPI 3</w:t>
        </w:r>
        <w:r>
          <w:rPr>
            <w:webHidden/>
          </w:rPr>
          <w:tab/>
        </w:r>
        <w:r>
          <w:rPr>
            <w:webHidden/>
          </w:rPr>
          <w:fldChar w:fldCharType="begin"/>
        </w:r>
        <w:r>
          <w:rPr>
            <w:webHidden/>
          </w:rPr>
          <w:instrText xml:space="preserve"> PAGEREF _Toc470173152 \h </w:instrText>
        </w:r>
        <w:r>
          <w:rPr>
            <w:webHidden/>
          </w:rPr>
        </w:r>
        <w:r>
          <w:rPr>
            <w:webHidden/>
          </w:rPr>
          <w:fldChar w:fldCharType="separate"/>
        </w:r>
        <w:r>
          <w:rPr>
            <w:webHidden/>
          </w:rPr>
          <w:t>18</w:t>
        </w:r>
        <w:r>
          <w:rPr>
            <w:webHidden/>
          </w:rPr>
          <w:fldChar w:fldCharType="end"/>
        </w:r>
      </w:hyperlink>
    </w:p>
    <w:p w14:paraId="29CE6278" w14:textId="77777777" w:rsidR="00D11DD2" w:rsidRDefault="00D11DD2" w:rsidP="00D11DD2">
      <w:pPr>
        <w:pStyle w:val="TOC3"/>
        <w:rPr>
          <w:rFonts w:asciiTheme="minorHAnsi" w:eastAsiaTheme="minorEastAsia" w:hAnsiTheme="minorHAnsi" w:cstheme="minorBidi"/>
          <w:sz w:val="22"/>
          <w:szCs w:val="22"/>
        </w:rPr>
      </w:pPr>
      <w:hyperlink w:anchor="_Toc470173153" w:history="1">
        <w:r w:rsidRPr="0068276D">
          <w:rPr>
            <w:rStyle w:val="Hyperlink"/>
          </w:rPr>
          <w:t>2.3.3</w:t>
        </w:r>
        <w:r>
          <w:rPr>
            <w:rFonts w:asciiTheme="minorHAnsi" w:eastAsiaTheme="minorEastAsia" w:hAnsiTheme="minorHAnsi" w:cstheme="minorBidi"/>
            <w:sz w:val="22"/>
            <w:szCs w:val="22"/>
          </w:rPr>
          <w:tab/>
        </w:r>
        <w:r w:rsidRPr="0068276D">
          <w:rPr>
            <w:rStyle w:val="Hyperlink"/>
          </w:rPr>
          <w:t>Analysis of evidence presented</w:t>
        </w:r>
        <w:r>
          <w:rPr>
            <w:webHidden/>
          </w:rPr>
          <w:tab/>
        </w:r>
        <w:r>
          <w:rPr>
            <w:webHidden/>
          </w:rPr>
          <w:fldChar w:fldCharType="begin"/>
        </w:r>
        <w:r>
          <w:rPr>
            <w:webHidden/>
          </w:rPr>
          <w:instrText xml:space="preserve"> PAGEREF _Toc470173153 \h </w:instrText>
        </w:r>
        <w:r>
          <w:rPr>
            <w:webHidden/>
          </w:rPr>
        </w:r>
        <w:r>
          <w:rPr>
            <w:webHidden/>
          </w:rPr>
          <w:fldChar w:fldCharType="separate"/>
        </w:r>
        <w:r>
          <w:rPr>
            <w:webHidden/>
          </w:rPr>
          <w:t>19</w:t>
        </w:r>
        <w:r>
          <w:rPr>
            <w:webHidden/>
          </w:rPr>
          <w:fldChar w:fldCharType="end"/>
        </w:r>
      </w:hyperlink>
    </w:p>
    <w:p w14:paraId="6DA4622B" w14:textId="77777777" w:rsidR="00D11DD2" w:rsidRDefault="00D11DD2" w:rsidP="00D11DD2">
      <w:pPr>
        <w:pStyle w:val="TOC3"/>
        <w:rPr>
          <w:rFonts w:asciiTheme="minorHAnsi" w:eastAsiaTheme="minorEastAsia" w:hAnsiTheme="minorHAnsi" w:cstheme="minorBidi"/>
          <w:sz w:val="22"/>
          <w:szCs w:val="22"/>
        </w:rPr>
      </w:pPr>
      <w:hyperlink w:anchor="_Toc470173154" w:history="1">
        <w:r w:rsidRPr="0068276D">
          <w:rPr>
            <w:rStyle w:val="Hyperlink"/>
          </w:rPr>
          <w:t>2.3.4</w:t>
        </w:r>
        <w:r>
          <w:rPr>
            <w:rFonts w:asciiTheme="minorHAnsi" w:eastAsiaTheme="minorEastAsia" w:hAnsiTheme="minorHAnsi" w:cstheme="minorBidi"/>
            <w:sz w:val="22"/>
            <w:szCs w:val="22"/>
          </w:rPr>
          <w:tab/>
        </w:r>
        <w:r w:rsidRPr="0068276D">
          <w:rPr>
            <w:rStyle w:val="Hyperlink"/>
          </w:rPr>
          <w:t>Self-assessed rating of performance against KPI 3 – 2015-16</w:t>
        </w:r>
        <w:r>
          <w:rPr>
            <w:webHidden/>
          </w:rPr>
          <w:tab/>
        </w:r>
        <w:r>
          <w:rPr>
            <w:webHidden/>
          </w:rPr>
          <w:fldChar w:fldCharType="begin"/>
        </w:r>
        <w:r>
          <w:rPr>
            <w:webHidden/>
          </w:rPr>
          <w:instrText xml:space="preserve"> PAGEREF _Toc470173154 \h </w:instrText>
        </w:r>
        <w:r>
          <w:rPr>
            <w:webHidden/>
          </w:rPr>
        </w:r>
        <w:r>
          <w:rPr>
            <w:webHidden/>
          </w:rPr>
          <w:fldChar w:fldCharType="separate"/>
        </w:r>
        <w:r>
          <w:rPr>
            <w:webHidden/>
          </w:rPr>
          <w:t>20</w:t>
        </w:r>
        <w:r>
          <w:rPr>
            <w:webHidden/>
          </w:rPr>
          <w:fldChar w:fldCharType="end"/>
        </w:r>
      </w:hyperlink>
    </w:p>
    <w:p w14:paraId="5656FDE3" w14:textId="77777777" w:rsidR="00D11DD2" w:rsidRDefault="00D11DD2" w:rsidP="00D11DD2">
      <w:pPr>
        <w:pStyle w:val="TOC3"/>
        <w:rPr>
          <w:rFonts w:asciiTheme="minorHAnsi" w:eastAsiaTheme="minorEastAsia" w:hAnsiTheme="minorHAnsi" w:cstheme="minorBidi"/>
          <w:sz w:val="22"/>
          <w:szCs w:val="22"/>
        </w:rPr>
      </w:pPr>
      <w:hyperlink w:anchor="_Toc470173155" w:history="1">
        <w:r w:rsidRPr="0068276D">
          <w:rPr>
            <w:rStyle w:val="Hyperlink"/>
          </w:rPr>
          <w:t>2.3.5</w:t>
        </w:r>
        <w:r>
          <w:rPr>
            <w:rFonts w:asciiTheme="minorHAnsi" w:eastAsiaTheme="minorEastAsia" w:hAnsiTheme="minorHAnsi" w:cstheme="minorBidi"/>
            <w:sz w:val="22"/>
            <w:szCs w:val="22"/>
          </w:rPr>
          <w:tab/>
        </w:r>
        <w:r w:rsidRPr="0068276D">
          <w:rPr>
            <w:rStyle w:val="Hyperlink"/>
          </w:rPr>
          <w:t>Actions for improving performance against KPI 3</w:t>
        </w:r>
        <w:r>
          <w:rPr>
            <w:webHidden/>
          </w:rPr>
          <w:tab/>
        </w:r>
        <w:r>
          <w:rPr>
            <w:webHidden/>
          </w:rPr>
          <w:fldChar w:fldCharType="begin"/>
        </w:r>
        <w:r>
          <w:rPr>
            <w:webHidden/>
          </w:rPr>
          <w:instrText xml:space="preserve"> PAGEREF _Toc470173155 \h </w:instrText>
        </w:r>
        <w:r>
          <w:rPr>
            <w:webHidden/>
          </w:rPr>
        </w:r>
        <w:r>
          <w:rPr>
            <w:webHidden/>
          </w:rPr>
          <w:fldChar w:fldCharType="separate"/>
        </w:r>
        <w:r>
          <w:rPr>
            <w:webHidden/>
          </w:rPr>
          <w:t>20</w:t>
        </w:r>
        <w:r>
          <w:rPr>
            <w:webHidden/>
          </w:rPr>
          <w:fldChar w:fldCharType="end"/>
        </w:r>
      </w:hyperlink>
    </w:p>
    <w:p w14:paraId="6256C774" w14:textId="77777777" w:rsidR="00D11DD2" w:rsidRDefault="00D11DD2" w:rsidP="00D11DD2">
      <w:pPr>
        <w:pStyle w:val="TOC2"/>
        <w:rPr>
          <w:rFonts w:asciiTheme="minorHAnsi" w:eastAsiaTheme="minorEastAsia" w:hAnsiTheme="minorHAnsi" w:cstheme="minorBidi"/>
          <w:sz w:val="22"/>
          <w:szCs w:val="22"/>
        </w:rPr>
      </w:pPr>
      <w:hyperlink w:anchor="_Toc470173156" w:history="1">
        <w:r w:rsidRPr="0068276D">
          <w:rPr>
            <w:rStyle w:val="Hyperlink"/>
          </w:rPr>
          <w:t>2.4</w:t>
        </w:r>
        <w:r>
          <w:rPr>
            <w:rFonts w:asciiTheme="minorHAnsi" w:eastAsiaTheme="minorEastAsia" w:hAnsiTheme="minorHAnsi" w:cstheme="minorBidi"/>
            <w:sz w:val="22"/>
            <w:szCs w:val="22"/>
          </w:rPr>
          <w:tab/>
        </w:r>
        <w:r w:rsidRPr="0068276D">
          <w:rPr>
            <w:rStyle w:val="Hyperlink"/>
          </w:rPr>
          <w:t>KPI 4 – Compliance and monitoring approaches are streamlined and co-ordinated</w:t>
        </w:r>
        <w:r>
          <w:rPr>
            <w:webHidden/>
          </w:rPr>
          <w:tab/>
        </w:r>
        <w:r>
          <w:rPr>
            <w:webHidden/>
          </w:rPr>
          <w:fldChar w:fldCharType="begin"/>
        </w:r>
        <w:r>
          <w:rPr>
            <w:webHidden/>
          </w:rPr>
          <w:instrText xml:space="preserve"> PAGEREF _Toc470173156 \h </w:instrText>
        </w:r>
        <w:r>
          <w:rPr>
            <w:webHidden/>
          </w:rPr>
        </w:r>
        <w:r>
          <w:rPr>
            <w:webHidden/>
          </w:rPr>
          <w:fldChar w:fldCharType="separate"/>
        </w:r>
        <w:r>
          <w:rPr>
            <w:webHidden/>
          </w:rPr>
          <w:t>21</w:t>
        </w:r>
        <w:r>
          <w:rPr>
            <w:webHidden/>
          </w:rPr>
          <w:fldChar w:fldCharType="end"/>
        </w:r>
      </w:hyperlink>
    </w:p>
    <w:p w14:paraId="362E8CC0" w14:textId="77777777" w:rsidR="00D11DD2" w:rsidRDefault="00D11DD2" w:rsidP="00D11DD2">
      <w:pPr>
        <w:pStyle w:val="TOC3"/>
        <w:rPr>
          <w:rFonts w:asciiTheme="minorHAnsi" w:eastAsiaTheme="minorEastAsia" w:hAnsiTheme="minorHAnsi" w:cstheme="minorBidi"/>
          <w:sz w:val="22"/>
          <w:szCs w:val="22"/>
        </w:rPr>
      </w:pPr>
      <w:hyperlink w:anchor="_Toc470173157" w:history="1">
        <w:r w:rsidRPr="0068276D">
          <w:rPr>
            <w:rStyle w:val="Hyperlink"/>
          </w:rPr>
          <w:t>2.4.1</w:t>
        </w:r>
        <w:r>
          <w:rPr>
            <w:rFonts w:asciiTheme="minorHAnsi" w:eastAsiaTheme="minorEastAsia" w:hAnsiTheme="minorHAnsi" w:cstheme="minorBidi"/>
            <w:sz w:val="22"/>
            <w:szCs w:val="22"/>
          </w:rPr>
          <w:tab/>
        </w:r>
        <w:r w:rsidRPr="0068276D">
          <w:rPr>
            <w:rStyle w:val="Hyperlink"/>
          </w:rPr>
          <w:t>Measures</w:t>
        </w:r>
        <w:r>
          <w:rPr>
            <w:webHidden/>
          </w:rPr>
          <w:tab/>
        </w:r>
        <w:r>
          <w:rPr>
            <w:webHidden/>
          </w:rPr>
          <w:fldChar w:fldCharType="begin"/>
        </w:r>
        <w:r>
          <w:rPr>
            <w:webHidden/>
          </w:rPr>
          <w:instrText xml:space="preserve"> PAGEREF _Toc470173157 \h </w:instrText>
        </w:r>
        <w:r>
          <w:rPr>
            <w:webHidden/>
          </w:rPr>
        </w:r>
        <w:r>
          <w:rPr>
            <w:webHidden/>
          </w:rPr>
          <w:fldChar w:fldCharType="separate"/>
        </w:r>
        <w:r>
          <w:rPr>
            <w:webHidden/>
          </w:rPr>
          <w:t>22</w:t>
        </w:r>
        <w:r>
          <w:rPr>
            <w:webHidden/>
          </w:rPr>
          <w:fldChar w:fldCharType="end"/>
        </w:r>
      </w:hyperlink>
    </w:p>
    <w:p w14:paraId="32DA72E6" w14:textId="77777777" w:rsidR="00D11DD2" w:rsidRDefault="00D11DD2" w:rsidP="00D11DD2">
      <w:pPr>
        <w:pStyle w:val="TOC3"/>
        <w:rPr>
          <w:rFonts w:asciiTheme="minorHAnsi" w:eastAsiaTheme="minorEastAsia" w:hAnsiTheme="minorHAnsi" w:cstheme="minorBidi"/>
          <w:sz w:val="22"/>
          <w:szCs w:val="22"/>
        </w:rPr>
      </w:pPr>
      <w:hyperlink w:anchor="_Toc470173158" w:history="1">
        <w:r w:rsidRPr="0068276D">
          <w:rPr>
            <w:rStyle w:val="Hyperlink"/>
          </w:rPr>
          <w:t>2.4.2</w:t>
        </w:r>
        <w:r>
          <w:rPr>
            <w:rFonts w:asciiTheme="minorHAnsi" w:eastAsiaTheme="minorEastAsia" w:hAnsiTheme="minorHAnsi" w:cstheme="minorBidi"/>
            <w:sz w:val="22"/>
            <w:szCs w:val="22"/>
          </w:rPr>
          <w:tab/>
        </w:r>
        <w:r w:rsidRPr="0068276D">
          <w:rPr>
            <w:rStyle w:val="Hyperlink"/>
          </w:rPr>
          <w:t>Approved evidence metrics for KPI 4</w:t>
        </w:r>
        <w:r>
          <w:rPr>
            <w:webHidden/>
          </w:rPr>
          <w:tab/>
        </w:r>
        <w:r>
          <w:rPr>
            <w:webHidden/>
          </w:rPr>
          <w:fldChar w:fldCharType="begin"/>
        </w:r>
        <w:r>
          <w:rPr>
            <w:webHidden/>
          </w:rPr>
          <w:instrText xml:space="preserve"> PAGEREF _Toc470173158 \h </w:instrText>
        </w:r>
        <w:r>
          <w:rPr>
            <w:webHidden/>
          </w:rPr>
        </w:r>
        <w:r>
          <w:rPr>
            <w:webHidden/>
          </w:rPr>
          <w:fldChar w:fldCharType="separate"/>
        </w:r>
        <w:r>
          <w:rPr>
            <w:webHidden/>
          </w:rPr>
          <w:t>22</w:t>
        </w:r>
        <w:r>
          <w:rPr>
            <w:webHidden/>
          </w:rPr>
          <w:fldChar w:fldCharType="end"/>
        </w:r>
      </w:hyperlink>
    </w:p>
    <w:p w14:paraId="0176B089" w14:textId="77777777" w:rsidR="00D11DD2" w:rsidRDefault="00D11DD2" w:rsidP="00D11DD2">
      <w:pPr>
        <w:pStyle w:val="TOC3"/>
        <w:rPr>
          <w:rFonts w:asciiTheme="minorHAnsi" w:eastAsiaTheme="minorEastAsia" w:hAnsiTheme="minorHAnsi" w:cstheme="minorBidi"/>
          <w:sz w:val="22"/>
          <w:szCs w:val="22"/>
        </w:rPr>
      </w:pPr>
      <w:hyperlink w:anchor="_Toc470173159" w:history="1">
        <w:r w:rsidRPr="0068276D">
          <w:rPr>
            <w:rStyle w:val="Hyperlink"/>
          </w:rPr>
          <w:t>2.4.3</w:t>
        </w:r>
        <w:r>
          <w:rPr>
            <w:rFonts w:asciiTheme="minorHAnsi" w:eastAsiaTheme="minorEastAsia" w:hAnsiTheme="minorHAnsi" w:cstheme="minorBidi"/>
            <w:sz w:val="22"/>
            <w:szCs w:val="22"/>
          </w:rPr>
          <w:tab/>
        </w:r>
        <w:r w:rsidRPr="0068276D">
          <w:rPr>
            <w:rStyle w:val="Hyperlink"/>
          </w:rPr>
          <w:t>Other evidence to indicate compliance with KPI 4</w:t>
        </w:r>
        <w:r>
          <w:rPr>
            <w:webHidden/>
          </w:rPr>
          <w:tab/>
        </w:r>
        <w:r>
          <w:rPr>
            <w:webHidden/>
          </w:rPr>
          <w:fldChar w:fldCharType="begin"/>
        </w:r>
        <w:r>
          <w:rPr>
            <w:webHidden/>
          </w:rPr>
          <w:instrText xml:space="preserve"> PAGEREF _Toc470173159 \h </w:instrText>
        </w:r>
        <w:r>
          <w:rPr>
            <w:webHidden/>
          </w:rPr>
        </w:r>
        <w:r>
          <w:rPr>
            <w:webHidden/>
          </w:rPr>
          <w:fldChar w:fldCharType="separate"/>
        </w:r>
        <w:r>
          <w:rPr>
            <w:webHidden/>
          </w:rPr>
          <w:t>22</w:t>
        </w:r>
        <w:r>
          <w:rPr>
            <w:webHidden/>
          </w:rPr>
          <w:fldChar w:fldCharType="end"/>
        </w:r>
      </w:hyperlink>
    </w:p>
    <w:p w14:paraId="415F161E" w14:textId="77777777" w:rsidR="00D11DD2" w:rsidRDefault="00D11DD2" w:rsidP="00D11DD2">
      <w:pPr>
        <w:pStyle w:val="TOC3"/>
        <w:rPr>
          <w:rFonts w:asciiTheme="minorHAnsi" w:eastAsiaTheme="minorEastAsia" w:hAnsiTheme="minorHAnsi" w:cstheme="minorBidi"/>
          <w:sz w:val="22"/>
          <w:szCs w:val="22"/>
        </w:rPr>
      </w:pPr>
      <w:hyperlink w:anchor="_Toc470173160" w:history="1">
        <w:r w:rsidRPr="0068276D">
          <w:rPr>
            <w:rStyle w:val="Hyperlink"/>
          </w:rPr>
          <w:t>2.4.4</w:t>
        </w:r>
        <w:r>
          <w:rPr>
            <w:rFonts w:asciiTheme="minorHAnsi" w:eastAsiaTheme="minorEastAsia" w:hAnsiTheme="minorHAnsi" w:cstheme="minorBidi"/>
            <w:sz w:val="22"/>
            <w:szCs w:val="22"/>
          </w:rPr>
          <w:tab/>
        </w:r>
        <w:r w:rsidRPr="0068276D">
          <w:rPr>
            <w:rStyle w:val="Hyperlink"/>
          </w:rPr>
          <w:t>Analysis of evidence presented</w:t>
        </w:r>
        <w:r>
          <w:rPr>
            <w:webHidden/>
          </w:rPr>
          <w:tab/>
        </w:r>
        <w:r>
          <w:rPr>
            <w:webHidden/>
          </w:rPr>
          <w:fldChar w:fldCharType="begin"/>
        </w:r>
        <w:r>
          <w:rPr>
            <w:webHidden/>
          </w:rPr>
          <w:instrText xml:space="preserve"> PAGEREF _Toc470173160 \h </w:instrText>
        </w:r>
        <w:r>
          <w:rPr>
            <w:webHidden/>
          </w:rPr>
        </w:r>
        <w:r>
          <w:rPr>
            <w:webHidden/>
          </w:rPr>
          <w:fldChar w:fldCharType="separate"/>
        </w:r>
        <w:r>
          <w:rPr>
            <w:webHidden/>
          </w:rPr>
          <w:t>23</w:t>
        </w:r>
        <w:r>
          <w:rPr>
            <w:webHidden/>
          </w:rPr>
          <w:fldChar w:fldCharType="end"/>
        </w:r>
      </w:hyperlink>
    </w:p>
    <w:p w14:paraId="77E04607" w14:textId="77777777" w:rsidR="00D11DD2" w:rsidRDefault="00D11DD2" w:rsidP="00D11DD2">
      <w:pPr>
        <w:pStyle w:val="TOC3"/>
        <w:rPr>
          <w:rFonts w:asciiTheme="minorHAnsi" w:eastAsiaTheme="minorEastAsia" w:hAnsiTheme="minorHAnsi" w:cstheme="minorBidi"/>
          <w:sz w:val="22"/>
          <w:szCs w:val="22"/>
        </w:rPr>
      </w:pPr>
      <w:hyperlink w:anchor="_Toc470173161" w:history="1">
        <w:r w:rsidRPr="0068276D">
          <w:rPr>
            <w:rStyle w:val="Hyperlink"/>
          </w:rPr>
          <w:t>2.4.5</w:t>
        </w:r>
        <w:r>
          <w:rPr>
            <w:rFonts w:asciiTheme="minorHAnsi" w:eastAsiaTheme="minorEastAsia" w:hAnsiTheme="minorHAnsi" w:cstheme="minorBidi"/>
            <w:sz w:val="22"/>
            <w:szCs w:val="22"/>
          </w:rPr>
          <w:tab/>
        </w:r>
        <w:r w:rsidRPr="0068276D">
          <w:rPr>
            <w:rStyle w:val="Hyperlink"/>
          </w:rPr>
          <w:t>Self-assessed rating of performance against KPI 4 – 2015-16</w:t>
        </w:r>
        <w:r>
          <w:rPr>
            <w:webHidden/>
          </w:rPr>
          <w:tab/>
        </w:r>
        <w:r>
          <w:rPr>
            <w:webHidden/>
          </w:rPr>
          <w:fldChar w:fldCharType="begin"/>
        </w:r>
        <w:r>
          <w:rPr>
            <w:webHidden/>
          </w:rPr>
          <w:instrText xml:space="preserve"> PAGEREF _Toc470173161 \h </w:instrText>
        </w:r>
        <w:r>
          <w:rPr>
            <w:webHidden/>
          </w:rPr>
        </w:r>
        <w:r>
          <w:rPr>
            <w:webHidden/>
          </w:rPr>
          <w:fldChar w:fldCharType="separate"/>
        </w:r>
        <w:r>
          <w:rPr>
            <w:webHidden/>
          </w:rPr>
          <w:t>24</w:t>
        </w:r>
        <w:r>
          <w:rPr>
            <w:webHidden/>
          </w:rPr>
          <w:fldChar w:fldCharType="end"/>
        </w:r>
      </w:hyperlink>
    </w:p>
    <w:p w14:paraId="71EB6AA2" w14:textId="77777777" w:rsidR="00D11DD2" w:rsidRDefault="00D11DD2" w:rsidP="00D11DD2">
      <w:pPr>
        <w:pStyle w:val="TOC3"/>
        <w:rPr>
          <w:rFonts w:asciiTheme="minorHAnsi" w:eastAsiaTheme="minorEastAsia" w:hAnsiTheme="minorHAnsi" w:cstheme="minorBidi"/>
          <w:sz w:val="22"/>
          <w:szCs w:val="22"/>
        </w:rPr>
      </w:pPr>
      <w:hyperlink w:anchor="_Toc470173162" w:history="1">
        <w:r w:rsidRPr="0068276D">
          <w:rPr>
            <w:rStyle w:val="Hyperlink"/>
          </w:rPr>
          <w:t>2.4.6</w:t>
        </w:r>
        <w:r>
          <w:rPr>
            <w:rFonts w:asciiTheme="minorHAnsi" w:eastAsiaTheme="minorEastAsia" w:hAnsiTheme="minorHAnsi" w:cstheme="minorBidi"/>
            <w:sz w:val="22"/>
            <w:szCs w:val="22"/>
          </w:rPr>
          <w:tab/>
        </w:r>
        <w:r w:rsidRPr="0068276D">
          <w:rPr>
            <w:rStyle w:val="Hyperlink"/>
          </w:rPr>
          <w:t>Actions for improving performance against KPI 4</w:t>
        </w:r>
        <w:r>
          <w:rPr>
            <w:webHidden/>
          </w:rPr>
          <w:tab/>
        </w:r>
        <w:r>
          <w:rPr>
            <w:webHidden/>
          </w:rPr>
          <w:fldChar w:fldCharType="begin"/>
        </w:r>
        <w:r>
          <w:rPr>
            <w:webHidden/>
          </w:rPr>
          <w:instrText xml:space="preserve"> PAGEREF _Toc470173162 \h </w:instrText>
        </w:r>
        <w:r>
          <w:rPr>
            <w:webHidden/>
          </w:rPr>
        </w:r>
        <w:r>
          <w:rPr>
            <w:webHidden/>
          </w:rPr>
          <w:fldChar w:fldCharType="separate"/>
        </w:r>
        <w:r>
          <w:rPr>
            <w:webHidden/>
          </w:rPr>
          <w:t>24</w:t>
        </w:r>
        <w:r>
          <w:rPr>
            <w:webHidden/>
          </w:rPr>
          <w:fldChar w:fldCharType="end"/>
        </w:r>
      </w:hyperlink>
    </w:p>
    <w:p w14:paraId="6F66BEDC" w14:textId="77777777" w:rsidR="00D11DD2" w:rsidRDefault="00D11DD2" w:rsidP="00D11DD2">
      <w:pPr>
        <w:pStyle w:val="TOC2"/>
        <w:rPr>
          <w:rFonts w:asciiTheme="minorHAnsi" w:eastAsiaTheme="minorEastAsia" w:hAnsiTheme="minorHAnsi" w:cstheme="minorBidi"/>
          <w:sz w:val="22"/>
          <w:szCs w:val="22"/>
        </w:rPr>
      </w:pPr>
      <w:hyperlink w:anchor="_Toc470173163" w:history="1">
        <w:r w:rsidRPr="0068276D">
          <w:rPr>
            <w:rStyle w:val="Hyperlink"/>
          </w:rPr>
          <w:t>2.5</w:t>
        </w:r>
        <w:r>
          <w:rPr>
            <w:rFonts w:asciiTheme="minorHAnsi" w:eastAsiaTheme="minorEastAsia" w:hAnsiTheme="minorHAnsi" w:cstheme="minorBidi"/>
            <w:sz w:val="22"/>
            <w:szCs w:val="22"/>
          </w:rPr>
          <w:tab/>
        </w:r>
        <w:r w:rsidRPr="0068276D">
          <w:rPr>
            <w:rStyle w:val="Hyperlink"/>
          </w:rPr>
          <w:t>KPI 5 – Regulators are open and transparent in their dealings with regulated entities</w:t>
        </w:r>
        <w:r>
          <w:rPr>
            <w:webHidden/>
          </w:rPr>
          <w:tab/>
        </w:r>
        <w:r>
          <w:rPr>
            <w:webHidden/>
          </w:rPr>
          <w:fldChar w:fldCharType="begin"/>
        </w:r>
        <w:r>
          <w:rPr>
            <w:webHidden/>
          </w:rPr>
          <w:instrText xml:space="preserve"> PAGEREF _Toc470173163 \h </w:instrText>
        </w:r>
        <w:r>
          <w:rPr>
            <w:webHidden/>
          </w:rPr>
        </w:r>
        <w:r>
          <w:rPr>
            <w:webHidden/>
          </w:rPr>
          <w:fldChar w:fldCharType="separate"/>
        </w:r>
        <w:r>
          <w:rPr>
            <w:webHidden/>
          </w:rPr>
          <w:t>24</w:t>
        </w:r>
        <w:r>
          <w:rPr>
            <w:webHidden/>
          </w:rPr>
          <w:fldChar w:fldCharType="end"/>
        </w:r>
      </w:hyperlink>
    </w:p>
    <w:p w14:paraId="53B5016C" w14:textId="77777777" w:rsidR="00D11DD2" w:rsidRDefault="00D11DD2" w:rsidP="00D11DD2">
      <w:pPr>
        <w:pStyle w:val="TOC3"/>
        <w:rPr>
          <w:rFonts w:asciiTheme="minorHAnsi" w:eastAsiaTheme="minorEastAsia" w:hAnsiTheme="minorHAnsi" w:cstheme="minorBidi"/>
          <w:sz w:val="22"/>
          <w:szCs w:val="22"/>
        </w:rPr>
      </w:pPr>
      <w:hyperlink w:anchor="_Toc470173164" w:history="1">
        <w:r w:rsidRPr="0068276D">
          <w:rPr>
            <w:rStyle w:val="Hyperlink"/>
          </w:rPr>
          <w:t>2.5.1</w:t>
        </w:r>
        <w:r>
          <w:rPr>
            <w:rFonts w:asciiTheme="minorHAnsi" w:eastAsiaTheme="minorEastAsia" w:hAnsiTheme="minorHAnsi" w:cstheme="minorBidi"/>
            <w:sz w:val="22"/>
            <w:szCs w:val="22"/>
          </w:rPr>
          <w:tab/>
        </w:r>
        <w:r w:rsidRPr="0068276D">
          <w:rPr>
            <w:rStyle w:val="Hyperlink"/>
          </w:rPr>
          <w:t>Measures</w:t>
        </w:r>
        <w:r>
          <w:rPr>
            <w:webHidden/>
          </w:rPr>
          <w:tab/>
        </w:r>
        <w:r>
          <w:rPr>
            <w:webHidden/>
          </w:rPr>
          <w:fldChar w:fldCharType="begin"/>
        </w:r>
        <w:r>
          <w:rPr>
            <w:webHidden/>
          </w:rPr>
          <w:instrText xml:space="preserve"> PAGEREF _Toc470173164 \h </w:instrText>
        </w:r>
        <w:r>
          <w:rPr>
            <w:webHidden/>
          </w:rPr>
        </w:r>
        <w:r>
          <w:rPr>
            <w:webHidden/>
          </w:rPr>
          <w:fldChar w:fldCharType="separate"/>
        </w:r>
        <w:r>
          <w:rPr>
            <w:webHidden/>
          </w:rPr>
          <w:t>25</w:t>
        </w:r>
        <w:r>
          <w:rPr>
            <w:webHidden/>
          </w:rPr>
          <w:fldChar w:fldCharType="end"/>
        </w:r>
      </w:hyperlink>
    </w:p>
    <w:p w14:paraId="62045DAE" w14:textId="77777777" w:rsidR="00D11DD2" w:rsidRDefault="00D11DD2" w:rsidP="00D11DD2">
      <w:pPr>
        <w:pStyle w:val="TOC3"/>
        <w:rPr>
          <w:rFonts w:asciiTheme="minorHAnsi" w:eastAsiaTheme="minorEastAsia" w:hAnsiTheme="minorHAnsi" w:cstheme="minorBidi"/>
          <w:sz w:val="22"/>
          <w:szCs w:val="22"/>
        </w:rPr>
      </w:pPr>
      <w:hyperlink w:anchor="_Toc470173165" w:history="1">
        <w:r w:rsidRPr="0068276D">
          <w:rPr>
            <w:rStyle w:val="Hyperlink"/>
          </w:rPr>
          <w:t>2.5.2</w:t>
        </w:r>
        <w:r>
          <w:rPr>
            <w:rFonts w:asciiTheme="minorHAnsi" w:eastAsiaTheme="minorEastAsia" w:hAnsiTheme="minorHAnsi" w:cstheme="minorBidi"/>
            <w:sz w:val="22"/>
            <w:szCs w:val="22"/>
          </w:rPr>
          <w:tab/>
        </w:r>
        <w:r w:rsidRPr="0068276D">
          <w:rPr>
            <w:rStyle w:val="Hyperlink"/>
          </w:rPr>
          <w:t>Approved evidence metrics for KPI 5</w:t>
        </w:r>
        <w:r>
          <w:rPr>
            <w:webHidden/>
          </w:rPr>
          <w:tab/>
        </w:r>
        <w:r>
          <w:rPr>
            <w:webHidden/>
          </w:rPr>
          <w:fldChar w:fldCharType="begin"/>
        </w:r>
        <w:r>
          <w:rPr>
            <w:webHidden/>
          </w:rPr>
          <w:instrText xml:space="preserve"> PAGEREF _Toc470173165 \h </w:instrText>
        </w:r>
        <w:r>
          <w:rPr>
            <w:webHidden/>
          </w:rPr>
        </w:r>
        <w:r>
          <w:rPr>
            <w:webHidden/>
          </w:rPr>
          <w:fldChar w:fldCharType="separate"/>
        </w:r>
        <w:r>
          <w:rPr>
            <w:webHidden/>
          </w:rPr>
          <w:t>25</w:t>
        </w:r>
        <w:r>
          <w:rPr>
            <w:webHidden/>
          </w:rPr>
          <w:fldChar w:fldCharType="end"/>
        </w:r>
      </w:hyperlink>
    </w:p>
    <w:p w14:paraId="5C8AC70F" w14:textId="77777777" w:rsidR="00D11DD2" w:rsidRDefault="00D11DD2" w:rsidP="00D11DD2">
      <w:pPr>
        <w:pStyle w:val="TOC3"/>
        <w:rPr>
          <w:rFonts w:asciiTheme="minorHAnsi" w:eastAsiaTheme="minorEastAsia" w:hAnsiTheme="minorHAnsi" w:cstheme="minorBidi"/>
          <w:sz w:val="22"/>
          <w:szCs w:val="22"/>
        </w:rPr>
      </w:pPr>
      <w:hyperlink w:anchor="_Toc470173166" w:history="1">
        <w:r w:rsidRPr="0068276D">
          <w:rPr>
            <w:rStyle w:val="Hyperlink"/>
          </w:rPr>
          <w:t>2.5.3</w:t>
        </w:r>
        <w:r>
          <w:rPr>
            <w:rFonts w:asciiTheme="minorHAnsi" w:eastAsiaTheme="minorEastAsia" w:hAnsiTheme="minorHAnsi" w:cstheme="minorBidi"/>
            <w:sz w:val="22"/>
            <w:szCs w:val="22"/>
          </w:rPr>
          <w:tab/>
        </w:r>
        <w:r w:rsidRPr="0068276D">
          <w:rPr>
            <w:rStyle w:val="Hyperlink"/>
          </w:rPr>
          <w:t>Other evidence to indicate compliance with KPI 5</w:t>
        </w:r>
        <w:r>
          <w:rPr>
            <w:webHidden/>
          </w:rPr>
          <w:tab/>
        </w:r>
        <w:r>
          <w:rPr>
            <w:webHidden/>
          </w:rPr>
          <w:fldChar w:fldCharType="begin"/>
        </w:r>
        <w:r>
          <w:rPr>
            <w:webHidden/>
          </w:rPr>
          <w:instrText xml:space="preserve"> PAGEREF _Toc470173166 \h </w:instrText>
        </w:r>
        <w:r>
          <w:rPr>
            <w:webHidden/>
          </w:rPr>
        </w:r>
        <w:r>
          <w:rPr>
            <w:webHidden/>
          </w:rPr>
          <w:fldChar w:fldCharType="separate"/>
        </w:r>
        <w:r>
          <w:rPr>
            <w:webHidden/>
          </w:rPr>
          <w:t>25</w:t>
        </w:r>
        <w:r>
          <w:rPr>
            <w:webHidden/>
          </w:rPr>
          <w:fldChar w:fldCharType="end"/>
        </w:r>
      </w:hyperlink>
    </w:p>
    <w:p w14:paraId="53036509" w14:textId="77777777" w:rsidR="00D11DD2" w:rsidRDefault="00D11DD2" w:rsidP="00D11DD2">
      <w:pPr>
        <w:pStyle w:val="TOC3"/>
        <w:rPr>
          <w:rFonts w:asciiTheme="minorHAnsi" w:eastAsiaTheme="minorEastAsia" w:hAnsiTheme="minorHAnsi" w:cstheme="minorBidi"/>
          <w:sz w:val="22"/>
          <w:szCs w:val="22"/>
        </w:rPr>
      </w:pPr>
      <w:hyperlink w:anchor="_Toc470173167" w:history="1">
        <w:r w:rsidRPr="0068276D">
          <w:rPr>
            <w:rStyle w:val="Hyperlink"/>
          </w:rPr>
          <w:t>2.5.4</w:t>
        </w:r>
        <w:r>
          <w:rPr>
            <w:rFonts w:asciiTheme="minorHAnsi" w:eastAsiaTheme="minorEastAsia" w:hAnsiTheme="minorHAnsi" w:cstheme="minorBidi"/>
            <w:sz w:val="22"/>
            <w:szCs w:val="22"/>
          </w:rPr>
          <w:tab/>
        </w:r>
        <w:r w:rsidRPr="0068276D">
          <w:rPr>
            <w:rStyle w:val="Hyperlink"/>
          </w:rPr>
          <w:t>Analysis of evidence presented</w:t>
        </w:r>
        <w:r>
          <w:rPr>
            <w:webHidden/>
          </w:rPr>
          <w:tab/>
        </w:r>
        <w:r>
          <w:rPr>
            <w:webHidden/>
          </w:rPr>
          <w:fldChar w:fldCharType="begin"/>
        </w:r>
        <w:r>
          <w:rPr>
            <w:webHidden/>
          </w:rPr>
          <w:instrText xml:space="preserve"> PAGEREF _Toc470173167 \h </w:instrText>
        </w:r>
        <w:r>
          <w:rPr>
            <w:webHidden/>
          </w:rPr>
        </w:r>
        <w:r>
          <w:rPr>
            <w:webHidden/>
          </w:rPr>
          <w:fldChar w:fldCharType="separate"/>
        </w:r>
        <w:r>
          <w:rPr>
            <w:webHidden/>
          </w:rPr>
          <w:t>26</w:t>
        </w:r>
        <w:r>
          <w:rPr>
            <w:webHidden/>
          </w:rPr>
          <w:fldChar w:fldCharType="end"/>
        </w:r>
      </w:hyperlink>
    </w:p>
    <w:p w14:paraId="4447FB43" w14:textId="77777777" w:rsidR="00D11DD2" w:rsidRDefault="00D11DD2" w:rsidP="00D11DD2">
      <w:pPr>
        <w:pStyle w:val="TOC3"/>
        <w:rPr>
          <w:rFonts w:asciiTheme="minorHAnsi" w:eastAsiaTheme="minorEastAsia" w:hAnsiTheme="minorHAnsi" w:cstheme="minorBidi"/>
          <w:sz w:val="22"/>
          <w:szCs w:val="22"/>
        </w:rPr>
      </w:pPr>
      <w:hyperlink w:anchor="_Toc470173168" w:history="1">
        <w:r w:rsidRPr="0068276D">
          <w:rPr>
            <w:rStyle w:val="Hyperlink"/>
          </w:rPr>
          <w:t>2.5.5</w:t>
        </w:r>
        <w:r>
          <w:rPr>
            <w:rFonts w:asciiTheme="minorHAnsi" w:eastAsiaTheme="minorEastAsia" w:hAnsiTheme="minorHAnsi" w:cstheme="minorBidi"/>
            <w:sz w:val="22"/>
            <w:szCs w:val="22"/>
          </w:rPr>
          <w:tab/>
        </w:r>
        <w:r w:rsidRPr="0068276D">
          <w:rPr>
            <w:rStyle w:val="Hyperlink"/>
          </w:rPr>
          <w:t>Self-assessed rating of performance against KPI 5 – 2015-16</w:t>
        </w:r>
        <w:r>
          <w:rPr>
            <w:webHidden/>
          </w:rPr>
          <w:tab/>
        </w:r>
        <w:r>
          <w:rPr>
            <w:webHidden/>
          </w:rPr>
          <w:fldChar w:fldCharType="begin"/>
        </w:r>
        <w:r>
          <w:rPr>
            <w:webHidden/>
          </w:rPr>
          <w:instrText xml:space="preserve"> PAGEREF _Toc470173168 \h </w:instrText>
        </w:r>
        <w:r>
          <w:rPr>
            <w:webHidden/>
          </w:rPr>
        </w:r>
        <w:r>
          <w:rPr>
            <w:webHidden/>
          </w:rPr>
          <w:fldChar w:fldCharType="separate"/>
        </w:r>
        <w:r>
          <w:rPr>
            <w:webHidden/>
          </w:rPr>
          <w:t>27</w:t>
        </w:r>
        <w:r>
          <w:rPr>
            <w:webHidden/>
          </w:rPr>
          <w:fldChar w:fldCharType="end"/>
        </w:r>
      </w:hyperlink>
    </w:p>
    <w:p w14:paraId="187F0FE2" w14:textId="77777777" w:rsidR="00D11DD2" w:rsidRDefault="00D11DD2" w:rsidP="00D11DD2">
      <w:pPr>
        <w:pStyle w:val="TOC3"/>
        <w:rPr>
          <w:rFonts w:asciiTheme="minorHAnsi" w:eastAsiaTheme="minorEastAsia" w:hAnsiTheme="minorHAnsi" w:cstheme="minorBidi"/>
          <w:sz w:val="22"/>
          <w:szCs w:val="22"/>
        </w:rPr>
      </w:pPr>
      <w:hyperlink w:anchor="_Toc470173169" w:history="1">
        <w:r w:rsidRPr="0068276D">
          <w:rPr>
            <w:rStyle w:val="Hyperlink"/>
          </w:rPr>
          <w:t>2.5.6</w:t>
        </w:r>
        <w:r>
          <w:rPr>
            <w:rFonts w:asciiTheme="minorHAnsi" w:eastAsiaTheme="minorEastAsia" w:hAnsiTheme="minorHAnsi" w:cstheme="minorBidi"/>
            <w:sz w:val="22"/>
            <w:szCs w:val="22"/>
          </w:rPr>
          <w:tab/>
        </w:r>
        <w:r w:rsidRPr="0068276D">
          <w:rPr>
            <w:rStyle w:val="Hyperlink"/>
          </w:rPr>
          <w:t>Actions for improving performance against KPI 5</w:t>
        </w:r>
        <w:r>
          <w:rPr>
            <w:webHidden/>
          </w:rPr>
          <w:tab/>
        </w:r>
        <w:r>
          <w:rPr>
            <w:webHidden/>
          </w:rPr>
          <w:fldChar w:fldCharType="begin"/>
        </w:r>
        <w:r>
          <w:rPr>
            <w:webHidden/>
          </w:rPr>
          <w:instrText xml:space="preserve"> PAGEREF _Toc470173169 \h </w:instrText>
        </w:r>
        <w:r>
          <w:rPr>
            <w:webHidden/>
          </w:rPr>
        </w:r>
        <w:r>
          <w:rPr>
            <w:webHidden/>
          </w:rPr>
          <w:fldChar w:fldCharType="separate"/>
        </w:r>
        <w:r>
          <w:rPr>
            <w:webHidden/>
          </w:rPr>
          <w:t>27</w:t>
        </w:r>
        <w:r>
          <w:rPr>
            <w:webHidden/>
          </w:rPr>
          <w:fldChar w:fldCharType="end"/>
        </w:r>
      </w:hyperlink>
    </w:p>
    <w:p w14:paraId="5D912312" w14:textId="77777777" w:rsidR="00D11DD2" w:rsidRDefault="00D11DD2" w:rsidP="00D11DD2">
      <w:pPr>
        <w:pStyle w:val="TOC2"/>
        <w:rPr>
          <w:rFonts w:asciiTheme="minorHAnsi" w:eastAsiaTheme="minorEastAsia" w:hAnsiTheme="minorHAnsi" w:cstheme="minorBidi"/>
          <w:sz w:val="22"/>
          <w:szCs w:val="22"/>
        </w:rPr>
      </w:pPr>
      <w:hyperlink w:anchor="_Toc470173170" w:history="1">
        <w:r w:rsidRPr="0068276D">
          <w:rPr>
            <w:rStyle w:val="Hyperlink"/>
          </w:rPr>
          <w:t>2.6</w:t>
        </w:r>
        <w:r>
          <w:rPr>
            <w:rFonts w:asciiTheme="minorHAnsi" w:eastAsiaTheme="minorEastAsia" w:hAnsiTheme="minorHAnsi" w:cstheme="minorBidi"/>
            <w:sz w:val="22"/>
            <w:szCs w:val="22"/>
          </w:rPr>
          <w:tab/>
        </w:r>
        <w:r w:rsidRPr="0068276D">
          <w:rPr>
            <w:rStyle w:val="Hyperlink"/>
          </w:rPr>
          <w:t>KPI 6 – Regulators actively contribute to the continuous improvement of regulatory frameworks</w:t>
        </w:r>
        <w:r>
          <w:rPr>
            <w:webHidden/>
          </w:rPr>
          <w:tab/>
        </w:r>
        <w:r>
          <w:rPr>
            <w:webHidden/>
          </w:rPr>
          <w:fldChar w:fldCharType="begin"/>
        </w:r>
        <w:r>
          <w:rPr>
            <w:webHidden/>
          </w:rPr>
          <w:instrText xml:space="preserve"> PAGEREF _Toc470173170 \h </w:instrText>
        </w:r>
        <w:r>
          <w:rPr>
            <w:webHidden/>
          </w:rPr>
        </w:r>
        <w:r>
          <w:rPr>
            <w:webHidden/>
          </w:rPr>
          <w:fldChar w:fldCharType="separate"/>
        </w:r>
        <w:r>
          <w:rPr>
            <w:webHidden/>
          </w:rPr>
          <w:t>27</w:t>
        </w:r>
        <w:r>
          <w:rPr>
            <w:webHidden/>
          </w:rPr>
          <w:fldChar w:fldCharType="end"/>
        </w:r>
      </w:hyperlink>
    </w:p>
    <w:p w14:paraId="23FB5ECE" w14:textId="77777777" w:rsidR="00D11DD2" w:rsidRDefault="00D11DD2" w:rsidP="00D11DD2">
      <w:pPr>
        <w:pStyle w:val="TOC3"/>
        <w:rPr>
          <w:rFonts w:asciiTheme="minorHAnsi" w:eastAsiaTheme="minorEastAsia" w:hAnsiTheme="minorHAnsi" w:cstheme="minorBidi"/>
          <w:sz w:val="22"/>
          <w:szCs w:val="22"/>
        </w:rPr>
      </w:pPr>
      <w:hyperlink w:anchor="_Toc470173171" w:history="1">
        <w:r w:rsidRPr="0068276D">
          <w:rPr>
            <w:rStyle w:val="Hyperlink"/>
          </w:rPr>
          <w:t>2.6.1</w:t>
        </w:r>
        <w:r>
          <w:rPr>
            <w:rFonts w:asciiTheme="minorHAnsi" w:eastAsiaTheme="minorEastAsia" w:hAnsiTheme="minorHAnsi" w:cstheme="minorBidi"/>
            <w:sz w:val="22"/>
            <w:szCs w:val="22"/>
          </w:rPr>
          <w:tab/>
        </w:r>
        <w:r w:rsidRPr="0068276D">
          <w:rPr>
            <w:rStyle w:val="Hyperlink"/>
          </w:rPr>
          <w:t>Measures</w:t>
        </w:r>
        <w:r>
          <w:rPr>
            <w:webHidden/>
          </w:rPr>
          <w:tab/>
        </w:r>
        <w:r>
          <w:rPr>
            <w:webHidden/>
          </w:rPr>
          <w:fldChar w:fldCharType="begin"/>
        </w:r>
        <w:r>
          <w:rPr>
            <w:webHidden/>
          </w:rPr>
          <w:instrText xml:space="preserve"> PAGEREF _Toc470173171 \h </w:instrText>
        </w:r>
        <w:r>
          <w:rPr>
            <w:webHidden/>
          </w:rPr>
        </w:r>
        <w:r>
          <w:rPr>
            <w:webHidden/>
          </w:rPr>
          <w:fldChar w:fldCharType="separate"/>
        </w:r>
        <w:r>
          <w:rPr>
            <w:webHidden/>
          </w:rPr>
          <w:t>28</w:t>
        </w:r>
        <w:r>
          <w:rPr>
            <w:webHidden/>
          </w:rPr>
          <w:fldChar w:fldCharType="end"/>
        </w:r>
      </w:hyperlink>
    </w:p>
    <w:p w14:paraId="7D70C293" w14:textId="77777777" w:rsidR="00D11DD2" w:rsidRDefault="00D11DD2" w:rsidP="00D11DD2">
      <w:pPr>
        <w:pStyle w:val="TOC3"/>
        <w:rPr>
          <w:rFonts w:asciiTheme="minorHAnsi" w:eastAsiaTheme="minorEastAsia" w:hAnsiTheme="minorHAnsi" w:cstheme="minorBidi"/>
          <w:sz w:val="22"/>
          <w:szCs w:val="22"/>
        </w:rPr>
      </w:pPr>
      <w:hyperlink w:anchor="_Toc470173172" w:history="1">
        <w:r w:rsidRPr="0068276D">
          <w:rPr>
            <w:rStyle w:val="Hyperlink"/>
          </w:rPr>
          <w:t>2.6.2</w:t>
        </w:r>
        <w:r>
          <w:rPr>
            <w:rFonts w:asciiTheme="minorHAnsi" w:eastAsiaTheme="minorEastAsia" w:hAnsiTheme="minorHAnsi" w:cstheme="minorBidi"/>
            <w:sz w:val="22"/>
            <w:szCs w:val="22"/>
          </w:rPr>
          <w:tab/>
        </w:r>
        <w:r w:rsidRPr="0068276D">
          <w:rPr>
            <w:rStyle w:val="Hyperlink"/>
          </w:rPr>
          <w:t>Approved evidence metrics for KPI 6</w:t>
        </w:r>
        <w:r>
          <w:rPr>
            <w:webHidden/>
          </w:rPr>
          <w:tab/>
        </w:r>
        <w:r>
          <w:rPr>
            <w:webHidden/>
          </w:rPr>
          <w:fldChar w:fldCharType="begin"/>
        </w:r>
        <w:r>
          <w:rPr>
            <w:webHidden/>
          </w:rPr>
          <w:instrText xml:space="preserve"> PAGEREF _Toc470173172 \h </w:instrText>
        </w:r>
        <w:r>
          <w:rPr>
            <w:webHidden/>
          </w:rPr>
        </w:r>
        <w:r>
          <w:rPr>
            <w:webHidden/>
          </w:rPr>
          <w:fldChar w:fldCharType="separate"/>
        </w:r>
        <w:r>
          <w:rPr>
            <w:webHidden/>
          </w:rPr>
          <w:t>28</w:t>
        </w:r>
        <w:r>
          <w:rPr>
            <w:webHidden/>
          </w:rPr>
          <w:fldChar w:fldCharType="end"/>
        </w:r>
      </w:hyperlink>
    </w:p>
    <w:p w14:paraId="69E57504" w14:textId="77777777" w:rsidR="00D11DD2" w:rsidRDefault="00D11DD2" w:rsidP="00D11DD2">
      <w:pPr>
        <w:pStyle w:val="TOC3"/>
        <w:rPr>
          <w:rFonts w:asciiTheme="minorHAnsi" w:eastAsiaTheme="minorEastAsia" w:hAnsiTheme="minorHAnsi" w:cstheme="minorBidi"/>
          <w:sz w:val="22"/>
          <w:szCs w:val="22"/>
        </w:rPr>
      </w:pPr>
      <w:hyperlink w:anchor="_Toc470173173" w:history="1">
        <w:r w:rsidRPr="0068276D">
          <w:rPr>
            <w:rStyle w:val="Hyperlink"/>
          </w:rPr>
          <w:t>2.6.3</w:t>
        </w:r>
        <w:r>
          <w:rPr>
            <w:rFonts w:asciiTheme="minorHAnsi" w:eastAsiaTheme="minorEastAsia" w:hAnsiTheme="minorHAnsi" w:cstheme="minorBidi"/>
            <w:sz w:val="22"/>
            <w:szCs w:val="22"/>
          </w:rPr>
          <w:tab/>
        </w:r>
        <w:r w:rsidRPr="0068276D">
          <w:rPr>
            <w:rStyle w:val="Hyperlink"/>
          </w:rPr>
          <w:t>Other evidence to indicate compliance with KPI 6</w:t>
        </w:r>
        <w:r>
          <w:rPr>
            <w:webHidden/>
          </w:rPr>
          <w:tab/>
        </w:r>
        <w:r>
          <w:rPr>
            <w:webHidden/>
          </w:rPr>
          <w:fldChar w:fldCharType="begin"/>
        </w:r>
        <w:r>
          <w:rPr>
            <w:webHidden/>
          </w:rPr>
          <w:instrText xml:space="preserve"> PAGEREF _Toc470173173 \h </w:instrText>
        </w:r>
        <w:r>
          <w:rPr>
            <w:webHidden/>
          </w:rPr>
        </w:r>
        <w:r>
          <w:rPr>
            <w:webHidden/>
          </w:rPr>
          <w:fldChar w:fldCharType="separate"/>
        </w:r>
        <w:r>
          <w:rPr>
            <w:webHidden/>
          </w:rPr>
          <w:t>29</w:t>
        </w:r>
        <w:r>
          <w:rPr>
            <w:webHidden/>
          </w:rPr>
          <w:fldChar w:fldCharType="end"/>
        </w:r>
      </w:hyperlink>
    </w:p>
    <w:p w14:paraId="22C6FEC9" w14:textId="77777777" w:rsidR="00D11DD2" w:rsidRDefault="00D11DD2" w:rsidP="00D11DD2">
      <w:pPr>
        <w:pStyle w:val="TOC3"/>
        <w:rPr>
          <w:rFonts w:asciiTheme="minorHAnsi" w:eastAsiaTheme="minorEastAsia" w:hAnsiTheme="minorHAnsi" w:cstheme="minorBidi"/>
          <w:sz w:val="22"/>
          <w:szCs w:val="22"/>
        </w:rPr>
      </w:pPr>
      <w:hyperlink w:anchor="_Toc470173174" w:history="1">
        <w:r w:rsidRPr="0068276D">
          <w:rPr>
            <w:rStyle w:val="Hyperlink"/>
          </w:rPr>
          <w:t>2.6.4</w:t>
        </w:r>
        <w:r>
          <w:rPr>
            <w:rFonts w:asciiTheme="minorHAnsi" w:eastAsiaTheme="minorEastAsia" w:hAnsiTheme="minorHAnsi" w:cstheme="minorBidi"/>
            <w:sz w:val="22"/>
            <w:szCs w:val="22"/>
          </w:rPr>
          <w:tab/>
        </w:r>
        <w:r w:rsidRPr="0068276D">
          <w:rPr>
            <w:rStyle w:val="Hyperlink"/>
          </w:rPr>
          <w:t>Analysis of evidence presented</w:t>
        </w:r>
        <w:r>
          <w:rPr>
            <w:webHidden/>
          </w:rPr>
          <w:tab/>
        </w:r>
        <w:r>
          <w:rPr>
            <w:webHidden/>
          </w:rPr>
          <w:fldChar w:fldCharType="begin"/>
        </w:r>
        <w:r>
          <w:rPr>
            <w:webHidden/>
          </w:rPr>
          <w:instrText xml:space="preserve"> PAGEREF _Toc470173174 \h </w:instrText>
        </w:r>
        <w:r>
          <w:rPr>
            <w:webHidden/>
          </w:rPr>
        </w:r>
        <w:r>
          <w:rPr>
            <w:webHidden/>
          </w:rPr>
          <w:fldChar w:fldCharType="separate"/>
        </w:r>
        <w:r>
          <w:rPr>
            <w:webHidden/>
          </w:rPr>
          <w:t>29</w:t>
        </w:r>
        <w:r>
          <w:rPr>
            <w:webHidden/>
          </w:rPr>
          <w:fldChar w:fldCharType="end"/>
        </w:r>
      </w:hyperlink>
    </w:p>
    <w:p w14:paraId="472920D0" w14:textId="77777777" w:rsidR="00D11DD2" w:rsidRDefault="00D11DD2" w:rsidP="00D11DD2">
      <w:pPr>
        <w:pStyle w:val="TOC3"/>
        <w:rPr>
          <w:rFonts w:asciiTheme="minorHAnsi" w:eastAsiaTheme="minorEastAsia" w:hAnsiTheme="minorHAnsi" w:cstheme="minorBidi"/>
          <w:sz w:val="22"/>
          <w:szCs w:val="22"/>
        </w:rPr>
      </w:pPr>
      <w:hyperlink w:anchor="_Toc470173175" w:history="1">
        <w:r w:rsidRPr="0068276D">
          <w:rPr>
            <w:rStyle w:val="Hyperlink"/>
          </w:rPr>
          <w:t>2.6.5</w:t>
        </w:r>
        <w:r>
          <w:rPr>
            <w:rFonts w:asciiTheme="minorHAnsi" w:eastAsiaTheme="minorEastAsia" w:hAnsiTheme="minorHAnsi" w:cstheme="minorBidi"/>
            <w:sz w:val="22"/>
            <w:szCs w:val="22"/>
          </w:rPr>
          <w:tab/>
        </w:r>
        <w:r w:rsidRPr="0068276D">
          <w:rPr>
            <w:rStyle w:val="Hyperlink"/>
          </w:rPr>
          <w:t>Conclusions</w:t>
        </w:r>
        <w:r>
          <w:rPr>
            <w:webHidden/>
          </w:rPr>
          <w:tab/>
        </w:r>
        <w:r>
          <w:rPr>
            <w:webHidden/>
          </w:rPr>
          <w:fldChar w:fldCharType="begin"/>
        </w:r>
        <w:r>
          <w:rPr>
            <w:webHidden/>
          </w:rPr>
          <w:instrText xml:space="preserve"> PAGEREF _Toc470173175 \h </w:instrText>
        </w:r>
        <w:r>
          <w:rPr>
            <w:webHidden/>
          </w:rPr>
        </w:r>
        <w:r>
          <w:rPr>
            <w:webHidden/>
          </w:rPr>
          <w:fldChar w:fldCharType="separate"/>
        </w:r>
        <w:r>
          <w:rPr>
            <w:webHidden/>
          </w:rPr>
          <w:t>30</w:t>
        </w:r>
        <w:r>
          <w:rPr>
            <w:webHidden/>
          </w:rPr>
          <w:fldChar w:fldCharType="end"/>
        </w:r>
      </w:hyperlink>
    </w:p>
    <w:p w14:paraId="0FDCA375" w14:textId="77777777" w:rsidR="00D11DD2" w:rsidRDefault="00D11DD2" w:rsidP="00D11DD2">
      <w:pPr>
        <w:pStyle w:val="TOC3"/>
        <w:rPr>
          <w:rFonts w:asciiTheme="minorHAnsi" w:eastAsiaTheme="minorEastAsia" w:hAnsiTheme="minorHAnsi" w:cstheme="minorBidi"/>
          <w:sz w:val="22"/>
          <w:szCs w:val="22"/>
        </w:rPr>
      </w:pPr>
      <w:hyperlink w:anchor="_Toc470173176" w:history="1">
        <w:r w:rsidRPr="0068276D">
          <w:rPr>
            <w:rStyle w:val="Hyperlink"/>
          </w:rPr>
          <w:t>2.6.6</w:t>
        </w:r>
        <w:r>
          <w:rPr>
            <w:rFonts w:asciiTheme="minorHAnsi" w:eastAsiaTheme="minorEastAsia" w:hAnsiTheme="minorHAnsi" w:cstheme="minorBidi"/>
            <w:sz w:val="22"/>
            <w:szCs w:val="22"/>
          </w:rPr>
          <w:tab/>
        </w:r>
        <w:r w:rsidRPr="0068276D">
          <w:rPr>
            <w:rStyle w:val="Hyperlink"/>
          </w:rPr>
          <w:t>Self-assessed rating of performance against KPI 6 – 2015-16</w:t>
        </w:r>
        <w:r>
          <w:rPr>
            <w:webHidden/>
          </w:rPr>
          <w:tab/>
        </w:r>
        <w:r>
          <w:rPr>
            <w:webHidden/>
          </w:rPr>
          <w:fldChar w:fldCharType="begin"/>
        </w:r>
        <w:r>
          <w:rPr>
            <w:webHidden/>
          </w:rPr>
          <w:instrText xml:space="preserve"> PAGEREF _Toc470173176 \h </w:instrText>
        </w:r>
        <w:r>
          <w:rPr>
            <w:webHidden/>
          </w:rPr>
        </w:r>
        <w:r>
          <w:rPr>
            <w:webHidden/>
          </w:rPr>
          <w:fldChar w:fldCharType="separate"/>
        </w:r>
        <w:r>
          <w:rPr>
            <w:webHidden/>
          </w:rPr>
          <w:t>30</w:t>
        </w:r>
        <w:r>
          <w:rPr>
            <w:webHidden/>
          </w:rPr>
          <w:fldChar w:fldCharType="end"/>
        </w:r>
      </w:hyperlink>
    </w:p>
    <w:p w14:paraId="1E777574" w14:textId="77777777" w:rsidR="00D11DD2" w:rsidRDefault="00D11DD2" w:rsidP="00D11DD2">
      <w:pPr>
        <w:pStyle w:val="TOC3"/>
        <w:rPr>
          <w:rFonts w:asciiTheme="minorHAnsi" w:eastAsiaTheme="minorEastAsia" w:hAnsiTheme="minorHAnsi" w:cstheme="minorBidi"/>
          <w:sz w:val="22"/>
          <w:szCs w:val="22"/>
        </w:rPr>
      </w:pPr>
      <w:hyperlink w:anchor="_Toc470173177" w:history="1">
        <w:r w:rsidRPr="0068276D">
          <w:rPr>
            <w:rStyle w:val="Hyperlink"/>
          </w:rPr>
          <w:t>2.6.7</w:t>
        </w:r>
        <w:r>
          <w:rPr>
            <w:rFonts w:asciiTheme="minorHAnsi" w:eastAsiaTheme="minorEastAsia" w:hAnsiTheme="minorHAnsi" w:cstheme="minorBidi"/>
            <w:sz w:val="22"/>
            <w:szCs w:val="22"/>
          </w:rPr>
          <w:tab/>
        </w:r>
        <w:r w:rsidRPr="0068276D">
          <w:rPr>
            <w:rStyle w:val="Hyperlink"/>
          </w:rPr>
          <w:t>Actions for improving performance against KPI 6</w:t>
        </w:r>
        <w:r>
          <w:rPr>
            <w:webHidden/>
          </w:rPr>
          <w:tab/>
        </w:r>
        <w:r>
          <w:rPr>
            <w:webHidden/>
          </w:rPr>
          <w:fldChar w:fldCharType="begin"/>
        </w:r>
        <w:r>
          <w:rPr>
            <w:webHidden/>
          </w:rPr>
          <w:instrText xml:space="preserve"> PAGEREF _Toc470173177 \h </w:instrText>
        </w:r>
        <w:r>
          <w:rPr>
            <w:webHidden/>
          </w:rPr>
        </w:r>
        <w:r>
          <w:rPr>
            <w:webHidden/>
          </w:rPr>
          <w:fldChar w:fldCharType="separate"/>
        </w:r>
        <w:r>
          <w:rPr>
            <w:webHidden/>
          </w:rPr>
          <w:t>30</w:t>
        </w:r>
        <w:r>
          <w:rPr>
            <w:webHidden/>
          </w:rPr>
          <w:fldChar w:fldCharType="end"/>
        </w:r>
      </w:hyperlink>
    </w:p>
    <w:p w14:paraId="67E1B496" w14:textId="77777777" w:rsidR="00D11DD2" w:rsidRDefault="00D11DD2" w:rsidP="00D11DD2">
      <w:pPr>
        <w:pStyle w:val="TOC1"/>
        <w:rPr>
          <w:rFonts w:asciiTheme="minorHAnsi" w:eastAsiaTheme="minorEastAsia" w:hAnsiTheme="minorHAnsi"/>
          <w:sz w:val="22"/>
          <w:lang w:eastAsia="en-AU"/>
        </w:rPr>
      </w:pPr>
      <w:hyperlink w:anchor="_Toc470173178" w:history="1">
        <w:r w:rsidRPr="0068276D">
          <w:rPr>
            <w:rStyle w:val="Hyperlink"/>
            <w:lang w:eastAsia="en-AU"/>
          </w:rPr>
          <w:t>3</w:t>
        </w:r>
        <w:r>
          <w:rPr>
            <w:rFonts w:asciiTheme="minorHAnsi" w:eastAsiaTheme="minorEastAsia" w:hAnsiTheme="minorHAnsi"/>
            <w:sz w:val="22"/>
            <w:lang w:eastAsia="en-AU"/>
          </w:rPr>
          <w:tab/>
        </w:r>
        <w:r w:rsidRPr="0068276D">
          <w:rPr>
            <w:rStyle w:val="Hyperlink"/>
            <w:lang w:eastAsia="en-AU"/>
          </w:rPr>
          <w:t>Overall Assessment</w:t>
        </w:r>
        <w:r>
          <w:rPr>
            <w:webHidden/>
          </w:rPr>
          <w:tab/>
        </w:r>
        <w:r>
          <w:rPr>
            <w:webHidden/>
          </w:rPr>
          <w:fldChar w:fldCharType="begin"/>
        </w:r>
        <w:r>
          <w:rPr>
            <w:webHidden/>
          </w:rPr>
          <w:instrText xml:space="preserve"> PAGEREF _Toc470173178 \h </w:instrText>
        </w:r>
        <w:r>
          <w:rPr>
            <w:webHidden/>
          </w:rPr>
        </w:r>
        <w:r>
          <w:rPr>
            <w:webHidden/>
          </w:rPr>
          <w:fldChar w:fldCharType="separate"/>
        </w:r>
        <w:r>
          <w:rPr>
            <w:webHidden/>
          </w:rPr>
          <w:t>31</w:t>
        </w:r>
        <w:r>
          <w:rPr>
            <w:webHidden/>
          </w:rPr>
          <w:fldChar w:fldCharType="end"/>
        </w:r>
      </w:hyperlink>
    </w:p>
    <w:p w14:paraId="58D9C957" w14:textId="77777777" w:rsidR="00D11DD2" w:rsidRDefault="00D11DD2" w:rsidP="00D11DD2">
      <w:pPr>
        <w:pStyle w:val="TOC2"/>
        <w:rPr>
          <w:rFonts w:asciiTheme="minorHAnsi" w:eastAsiaTheme="minorEastAsia" w:hAnsiTheme="minorHAnsi" w:cstheme="minorBidi"/>
          <w:sz w:val="22"/>
          <w:szCs w:val="22"/>
        </w:rPr>
      </w:pPr>
      <w:hyperlink w:anchor="_Toc470173179" w:history="1">
        <w:r w:rsidRPr="0068276D">
          <w:rPr>
            <w:rStyle w:val="Hyperlink"/>
          </w:rPr>
          <w:t>3.1</w:t>
        </w:r>
        <w:r>
          <w:rPr>
            <w:rFonts w:asciiTheme="minorHAnsi" w:eastAsiaTheme="minorEastAsia" w:hAnsiTheme="minorHAnsi" w:cstheme="minorBidi"/>
            <w:sz w:val="22"/>
            <w:szCs w:val="22"/>
          </w:rPr>
          <w:tab/>
        </w:r>
        <w:r w:rsidRPr="0068276D">
          <w:rPr>
            <w:rStyle w:val="Hyperlink"/>
          </w:rPr>
          <w:t>Analysis of evidence</w:t>
        </w:r>
        <w:r>
          <w:rPr>
            <w:webHidden/>
          </w:rPr>
          <w:tab/>
        </w:r>
        <w:r>
          <w:rPr>
            <w:webHidden/>
          </w:rPr>
          <w:fldChar w:fldCharType="begin"/>
        </w:r>
        <w:r>
          <w:rPr>
            <w:webHidden/>
          </w:rPr>
          <w:instrText xml:space="preserve"> PAGEREF _Toc470173179 \h </w:instrText>
        </w:r>
        <w:r>
          <w:rPr>
            <w:webHidden/>
          </w:rPr>
        </w:r>
        <w:r>
          <w:rPr>
            <w:webHidden/>
          </w:rPr>
          <w:fldChar w:fldCharType="separate"/>
        </w:r>
        <w:r>
          <w:rPr>
            <w:webHidden/>
          </w:rPr>
          <w:t>31</w:t>
        </w:r>
        <w:r>
          <w:rPr>
            <w:webHidden/>
          </w:rPr>
          <w:fldChar w:fldCharType="end"/>
        </w:r>
      </w:hyperlink>
    </w:p>
    <w:p w14:paraId="360DE932" w14:textId="77777777" w:rsidR="00D11DD2" w:rsidRDefault="00D11DD2" w:rsidP="00D11DD2">
      <w:pPr>
        <w:pStyle w:val="TOC2"/>
        <w:rPr>
          <w:rFonts w:asciiTheme="minorHAnsi" w:eastAsiaTheme="minorEastAsia" w:hAnsiTheme="minorHAnsi" w:cstheme="minorBidi"/>
          <w:sz w:val="22"/>
          <w:szCs w:val="22"/>
        </w:rPr>
      </w:pPr>
      <w:hyperlink w:anchor="_Toc470173180" w:history="1">
        <w:r w:rsidRPr="0068276D">
          <w:rPr>
            <w:rStyle w:val="Hyperlink"/>
          </w:rPr>
          <w:t>3.2</w:t>
        </w:r>
        <w:r>
          <w:rPr>
            <w:rFonts w:asciiTheme="minorHAnsi" w:eastAsiaTheme="minorEastAsia" w:hAnsiTheme="minorHAnsi" w:cstheme="minorBidi"/>
            <w:sz w:val="22"/>
            <w:szCs w:val="22"/>
          </w:rPr>
          <w:tab/>
        </w:r>
        <w:r w:rsidRPr="0068276D">
          <w:rPr>
            <w:rStyle w:val="Hyperlink"/>
          </w:rPr>
          <w:t>Overall self-assessed rating of performance – 2015-16</w:t>
        </w:r>
        <w:r>
          <w:rPr>
            <w:webHidden/>
          </w:rPr>
          <w:tab/>
        </w:r>
        <w:r>
          <w:rPr>
            <w:webHidden/>
          </w:rPr>
          <w:fldChar w:fldCharType="begin"/>
        </w:r>
        <w:r>
          <w:rPr>
            <w:webHidden/>
          </w:rPr>
          <w:instrText xml:space="preserve"> PAGEREF _Toc470173180 \h </w:instrText>
        </w:r>
        <w:r>
          <w:rPr>
            <w:webHidden/>
          </w:rPr>
        </w:r>
        <w:r>
          <w:rPr>
            <w:webHidden/>
          </w:rPr>
          <w:fldChar w:fldCharType="separate"/>
        </w:r>
        <w:r>
          <w:rPr>
            <w:webHidden/>
          </w:rPr>
          <w:t>31</w:t>
        </w:r>
        <w:r>
          <w:rPr>
            <w:webHidden/>
          </w:rPr>
          <w:fldChar w:fldCharType="end"/>
        </w:r>
      </w:hyperlink>
    </w:p>
    <w:p w14:paraId="4EB7EDCB" w14:textId="77777777" w:rsidR="00D11DD2" w:rsidRDefault="00D11DD2" w:rsidP="00D11DD2">
      <w:pPr>
        <w:pStyle w:val="TOC2"/>
        <w:rPr>
          <w:rFonts w:asciiTheme="minorHAnsi" w:eastAsiaTheme="minorEastAsia" w:hAnsiTheme="minorHAnsi" w:cstheme="minorBidi"/>
          <w:sz w:val="22"/>
          <w:szCs w:val="22"/>
        </w:rPr>
      </w:pPr>
      <w:hyperlink w:anchor="_Toc470173181" w:history="1">
        <w:r w:rsidRPr="0068276D">
          <w:rPr>
            <w:rStyle w:val="Hyperlink"/>
          </w:rPr>
          <w:t>3.3</w:t>
        </w:r>
        <w:r>
          <w:rPr>
            <w:rFonts w:asciiTheme="minorHAnsi" w:eastAsiaTheme="minorEastAsia" w:hAnsiTheme="minorHAnsi" w:cstheme="minorBidi"/>
            <w:sz w:val="22"/>
            <w:szCs w:val="22"/>
          </w:rPr>
          <w:tab/>
        </w:r>
        <w:r w:rsidRPr="0068276D">
          <w:rPr>
            <w:rStyle w:val="Hyperlink"/>
          </w:rPr>
          <w:t>Performance improvement actions identified</w:t>
        </w:r>
        <w:r>
          <w:rPr>
            <w:webHidden/>
          </w:rPr>
          <w:tab/>
        </w:r>
        <w:r>
          <w:rPr>
            <w:webHidden/>
          </w:rPr>
          <w:fldChar w:fldCharType="begin"/>
        </w:r>
        <w:r>
          <w:rPr>
            <w:webHidden/>
          </w:rPr>
          <w:instrText xml:space="preserve"> PAGEREF _Toc470173181 \h </w:instrText>
        </w:r>
        <w:r>
          <w:rPr>
            <w:webHidden/>
          </w:rPr>
        </w:r>
        <w:r>
          <w:rPr>
            <w:webHidden/>
          </w:rPr>
          <w:fldChar w:fldCharType="separate"/>
        </w:r>
        <w:r>
          <w:rPr>
            <w:webHidden/>
          </w:rPr>
          <w:t>31</w:t>
        </w:r>
        <w:r>
          <w:rPr>
            <w:webHidden/>
          </w:rPr>
          <w:fldChar w:fldCharType="end"/>
        </w:r>
      </w:hyperlink>
    </w:p>
    <w:p w14:paraId="012A5B4B" w14:textId="77777777" w:rsidR="00D11DD2" w:rsidRDefault="00D11DD2" w:rsidP="00D11DD2">
      <w:pPr>
        <w:pStyle w:val="TOC1"/>
        <w:rPr>
          <w:rFonts w:asciiTheme="minorHAnsi" w:eastAsiaTheme="minorEastAsia" w:hAnsiTheme="minorHAnsi"/>
          <w:sz w:val="22"/>
          <w:lang w:eastAsia="en-AU"/>
        </w:rPr>
      </w:pPr>
      <w:hyperlink w:anchor="_Toc470173182" w:history="1">
        <w:r w:rsidRPr="0068276D">
          <w:rPr>
            <w:rStyle w:val="Hyperlink"/>
          </w:rPr>
          <w:t>4</w:t>
        </w:r>
        <w:r>
          <w:rPr>
            <w:rFonts w:asciiTheme="minorHAnsi" w:eastAsiaTheme="minorEastAsia" w:hAnsiTheme="minorHAnsi"/>
            <w:sz w:val="22"/>
            <w:lang w:eastAsia="en-AU"/>
          </w:rPr>
          <w:tab/>
        </w:r>
        <w:r w:rsidRPr="0068276D">
          <w:rPr>
            <w:rStyle w:val="Hyperlink"/>
          </w:rPr>
          <w:t>Concluding remarks</w:t>
        </w:r>
        <w:r>
          <w:rPr>
            <w:webHidden/>
          </w:rPr>
          <w:tab/>
        </w:r>
        <w:r>
          <w:rPr>
            <w:webHidden/>
          </w:rPr>
          <w:fldChar w:fldCharType="begin"/>
        </w:r>
        <w:r>
          <w:rPr>
            <w:webHidden/>
          </w:rPr>
          <w:instrText xml:space="preserve"> PAGEREF _Toc470173182 \h </w:instrText>
        </w:r>
        <w:r>
          <w:rPr>
            <w:webHidden/>
          </w:rPr>
        </w:r>
        <w:r>
          <w:rPr>
            <w:webHidden/>
          </w:rPr>
          <w:fldChar w:fldCharType="separate"/>
        </w:r>
        <w:r>
          <w:rPr>
            <w:webHidden/>
          </w:rPr>
          <w:t>33</w:t>
        </w:r>
        <w:r>
          <w:rPr>
            <w:webHidden/>
          </w:rPr>
          <w:fldChar w:fldCharType="end"/>
        </w:r>
      </w:hyperlink>
    </w:p>
    <w:p w14:paraId="50FCF7DB" w14:textId="77777777" w:rsidR="00D11DD2" w:rsidRDefault="00D11DD2" w:rsidP="00D11DD2">
      <w:pPr>
        <w:pStyle w:val="TOC1"/>
        <w:rPr>
          <w:rFonts w:asciiTheme="minorHAnsi" w:eastAsiaTheme="minorEastAsia" w:hAnsiTheme="minorHAnsi"/>
          <w:sz w:val="22"/>
          <w:lang w:eastAsia="en-AU"/>
        </w:rPr>
      </w:pPr>
      <w:hyperlink w:anchor="_Toc470173183" w:history="1">
        <w:r w:rsidRPr="0068276D">
          <w:rPr>
            <w:rStyle w:val="Hyperlink"/>
          </w:rPr>
          <w:t>Appendix A</w:t>
        </w:r>
        <w:r>
          <w:rPr>
            <w:webHidden/>
          </w:rPr>
          <w:tab/>
        </w:r>
        <w:r>
          <w:rPr>
            <w:webHidden/>
          </w:rPr>
          <w:fldChar w:fldCharType="begin"/>
        </w:r>
        <w:r>
          <w:rPr>
            <w:webHidden/>
          </w:rPr>
          <w:instrText xml:space="preserve"> PAGEREF _Toc470173183 \h </w:instrText>
        </w:r>
        <w:r>
          <w:rPr>
            <w:webHidden/>
          </w:rPr>
        </w:r>
        <w:r>
          <w:rPr>
            <w:webHidden/>
          </w:rPr>
          <w:fldChar w:fldCharType="separate"/>
        </w:r>
        <w:r>
          <w:rPr>
            <w:webHidden/>
          </w:rPr>
          <w:t>34</w:t>
        </w:r>
        <w:r>
          <w:rPr>
            <w:webHidden/>
          </w:rPr>
          <w:fldChar w:fldCharType="end"/>
        </w:r>
      </w:hyperlink>
    </w:p>
    <w:p w14:paraId="13BD5B76" w14:textId="77777777" w:rsidR="00D11DD2" w:rsidRDefault="00D11DD2" w:rsidP="00D11DD2">
      <w:pPr>
        <w:pStyle w:val="TOC2"/>
        <w:rPr>
          <w:rFonts w:asciiTheme="minorHAnsi" w:eastAsiaTheme="minorEastAsia" w:hAnsiTheme="minorHAnsi" w:cstheme="minorBidi"/>
          <w:sz w:val="22"/>
          <w:szCs w:val="22"/>
        </w:rPr>
      </w:pPr>
      <w:hyperlink w:anchor="_Toc470173184" w:history="1">
        <w:r w:rsidRPr="0068276D">
          <w:rPr>
            <w:rStyle w:val="Hyperlink"/>
            <w:bCs/>
          </w:rPr>
          <w:t>Facility licence holders:</w:t>
        </w:r>
        <w:r>
          <w:rPr>
            <w:webHidden/>
          </w:rPr>
          <w:tab/>
        </w:r>
        <w:r>
          <w:rPr>
            <w:webHidden/>
          </w:rPr>
          <w:fldChar w:fldCharType="begin"/>
        </w:r>
        <w:r>
          <w:rPr>
            <w:webHidden/>
          </w:rPr>
          <w:instrText xml:space="preserve"> PAGEREF _Toc470173184 \h </w:instrText>
        </w:r>
        <w:r>
          <w:rPr>
            <w:webHidden/>
          </w:rPr>
        </w:r>
        <w:r>
          <w:rPr>
            <w:webHidden/>
          </w:rPr>
          <w:fldChar w:fldCharType="separate"/>
        </w:r>
        <w:r>
          <w:rPr>
            <w:webHidden/>
          </w:rPr>
          <w:t>34</w:t>
        </w:r>
        <w:r>
          <w:rPr>
            <w:webHidden/>
          </w:rPr>
          <w:fldChar w:fldCharType="end"/>
        </w:r>
      </w:hyperlink>
    </w:p>
    <w:p w14:paraId="626A8712" w14:textId="77777777" w:rsidR="00D11DD2" w:rsidRDefault="00D11DD2" w:rsidP="00D11DD2">
      <w:pPr>
        <w:pStyle w:val="TOC2"/>
        <w:rPr>
          <w:rFonts w:asciiTheme="minorHAnsi" w:eastAsiaTheme="minorEastAsia" w:hAnsiTheme="minorHAnsi" w:cstheme="minorBidi"/>
          <w:sz w:val="22"/>
          <w:szCs w:val="22"/>
        </w:rPr>
      </w:pPr>
      <w:hyperlink w:anchor="_Toc470173185" w:history="1">
        <w:r w:rsidRPr="0068276D">
          <w:rPr>
            <w:rStyle w:val="Hyperlink"/>
            <w:bCs/>
          </w:rPr>
          <w:t>Source licence holders:</w:t>
        </w:r>
        <w:r>
          <w:rPr>
            <w:webHidden/>
          </w:rPr>
          <w:tab/>
        </w:r>
        <w:r>
          <w:rPr>
            <w:webHidden/>
          </w:rPr>
          <w:fldChar w:fldCharType="begin"/>
        </w:r>
        <w:r>
          <w:rPr>
            <w:webHidden/>
          </w:rPr>
          <w:instrText xml:space="preserve"> PAGEREF _Toc470173185 \h </w:instrText>
        </w:r>
        <w:r>
          <w:rPr>
            <w:webHidden/>
          </w:rPr>
        </w:r>
        <w:r>
          <w:rPr>
            <w:webHidden/>
          </w:rPr>
          <w:fldChar w:fldCharType="separate"/>
        </w:r>
        <w:r>
          <w:rPr>
            <w:webHidden/>
          </w:rPr>
          <w:t>34</w:t>
        </w:r>
        <w:r>
          <w:rPr>
            <w:webHidden/>
          </w:rPr>
          <w:fldChar w:fldCharType="end"/>
        </w:r>
      </w:hyperlink>
    </w:p>
    <w:p w14:paraId="2BCCA923" w14:textId="77777777" w:rsidR="00D11DD2" w:rsidRDefault="00D11DD2" w:rsidP="00D11DD2">
      <w:pPr>
        <w:pStyle w:val="TOC1"/>
        <w:rPr>
          <w:rFonts w:asciiTheme="minorHAnsi" w:eastAsiaTheme="minorEastAsia" w:hAnsiTheme="minorHAnsi"/>
          <w:sz w:val="22"/>
          <w:lang w:eastAsia="en-AU"/>
        </w:rPr>
      </w:pPr>
      <w:hyperlink w:anchor="_Toc470173186" w:history="1">
        <w:r w:rsidRPr="0068276D">
          <w:rPr>
            <w:rStyle w:val="Hyperlink"/>
          </w:rPr>
          <w:t>Appendix B</w:t>
        </w:r>
        <w:r>
          <w:rPr>
            <w:webHidden/>
          </w:rPr>
          <w:tab/>
        </w:r>
        <w:r>
          <w:rPr>
            <w:webHidden/>
          </w:rPr>
          <w:fldChar w:fldCharType="begin"/>
        </w:r>
        <w:r>
          <w:rPr>
            <w:webHidden/>
          </w:rPr>
          <w:instrText xml:space="preserve"> PAGEREF _Toc470173186 \h </w:instrText>
        </w:r>
        <w:r>
          <w:rPr>
            <w:webHidden/>
          </w:rPr>
        </w:r>
        <w:r>
          <w:rPr>
            <w:webHidden/>
          </w:rPr>
          <w:fldChar w:fldCharType="separate"/>
        </w:r>
        <w:r>
          <w:rPr>
            <w:webHidden/>
          </w:rPr>
          <w:t>36</w:t>
        </w:r>
        <w:r>
          <w:rPr>
            <w:webHidden/>
          </w:rPr>
          <w:fldChar w:fldCharType="end"/>
        </w:r>
      </w:hyperlink>
    </w:p>
    <w:p w14:paraId="4273284A" w14:textId="56DD707B" w:rsidR="008952AB" w:rsidRDefault="00931A13" w:rsidP="00D11DD2">
      <w:pPr>
        <w:pStyle w:val="TOC3"/>
      </w:pPr>
      <w:r w:rsidRPr="00223D3B">
        <w:fldChar w:fldCharType="end"/>
      </w:r>
      <w:r w:rsidR="008952AB">
        <w:br w:type="page"/>
      </w:r>
    </w:p>
    <w:p w14:paraId="30383F06" w14:textId="1F8B6A21" w:rsidR="005F46E0" w:rsidRPr="00A9092B" w:rsidRDefault="005F46E0" w:rsidP="00FB44C7">
      <w:pPr>
        <w:pStyle w:val="Heading1"/>
        <w:numPr>
          <w:ilvl w:val="0"/>
          <w:numId w:val="0"/>
        </w:numPr>
        <w:ind w:left="431" w:hanging="431"/>
      </w:pPr>
      <w:bookmarkStart w:id="1" w:name="_Toc470173127"/>
      <w:r w:rsidRPr="00A9092B">
        <w:lastRenderedPageBreak/>
        <w:t>Executive Summary</w:t>
      </w:r>
      <w:bookmarkEnd w:id="1"/>
    </w:p>
    <w:p w14:paraId="78D68857" w14:textId="5571061B" w:rsidR="005E0774" w:rsidRPr="00A9092B" w:rsidRDefault="005E0774" w:rsidP="008952AB">
      <w:r w:rsidRPr="00A9092B">
        <w:t>The Australian Radiation Protection and Nuclear Safety Agency (ARPANSA)</w:t>
      </w:r>
      <w:r w:rsidR="008F71DA" w:rsidRPr="00A9092B">
        <w:t xml:space="preserve"> </w:t>
      </w:r>
      <w:proofErr w:type="gramStart"/>
      <w:r w:rsidR="008F71DA" w:rsidRPr="00A9092B">
        <w:t>regulate</w:t>
      </w:r>
      <w:r w:rsidR="007D7960" w:rsidRPr="00A9092B">
        <w:t>s</w:t>
      </w:r>
      <w:proofErr w:type="gramEnd"/>
      <w:r w:rsidR="008F71DA" w:rsidRPr="00A9092B">
        <w:t xml:space="preserve"> </w:t>
      </w:r>
      <w:r w:rsidR="001B6370">
        <w:t>safety</w:t>
      </w:r>
      <w:r w:rsidR="002C0729">
        <w:t xml:space="preserve"> and security</w:t>
      </w:r>
      <w:r w:rsidR="001B6370">
        <w:t xml:space="preserve"> of </w:t>
      </w:r>
      <w:r w:rsidR="00E85709">
        <w:t>radiation sources and facilities</w:t>
      </w:r>
      <w:r w:rsidR="001B6370">
        <w:t xml:space="preserve"> and nuclear installations owned</w:t>
      </w:r>
      <w:r w:rsidR="00E85709">
        <w:t xml:space="preserve"> or operated </w:t>
      </w:r>
      <w:r w:rsidR="008F71DA" w:rsidRPr="00A9092B">
        <w:t xml:space="preserve">by Commonwealth </w:t>
      </w:r>
      <w:r w:rsidR="001B6370">
        <w:t xml:space="preserve">Government </w:t>
      </w:r>
      <w:r w:rsidR="008F71DA" w:rsidRPr="00A9092B">
        <w:t>entities.</w:t>
      </w:r>
    </w:p>
    <w:p w14:paraId="59397687" w14:textId="2DA9C1A9" w:rsidR="008F71DA" w:rsidRPr="00772FB5" w:rsidRDefault="008F71DA" w:rsidP="008952AB">
      <w:pPr>
        <w:pStyle w:val="Heading2"/>
        <w:numPr>
          <w:ilvl w:val="0"/>
          <w:numId w:val="0"/>
        </w:numPr>
        <w:jc w:val="left"/>
      </w:pPr>
      <w:bookmarkStart w:id="2" w:name="_Toc470173128"/>
      <w:r w:rsidRPr="00772FB5">
        <w:t>Summa</w:t>
      </w:r>
      <w:r w:rsidR="00772FB5">
        <w:t>ry of assessment</w:t>
      </w:r>
      <w:bookmarkEnd w:id="2"/>
    </w:p>
    <w:p w14:paraId="0C84FBE0" w14:textId="4A1C07E3" w:rsidR="004D7F6A" w:rsidRPr="00A9092B" w:rsidRDefault="004D7F6A" w:rsidP="008952AB">
      <w:r>
        <w:t xml:space="preserve">This review was the first formal assessment of ARPANSA against the </w:t>
      </w:r>
      <w:r w:rsidRPr="00A9092B">
        <w:t>Key Performance Indicator</w:t>
      </w:r>
      <w:r>
        <w:t>s</w:t>
      </w:r>
      <w:r w:rsidRPr="00A9092B">
        <w:t xml:space="preserve"> (KPI</w:t>
      </w:r>
      <w:r>
        <w:t>s</w:t>
      </w:r>
      <w:r w:rsidRPr="00A9092B">
        <w:t>)</w:t>
      </w:r>
      <w:r>
        <w:t xml:space="preserve"> outlined in the </w:t>
      </w:r>
      <w:r w:rsidRPr="004D7F6A">
        <w:t>Government Regulator Performance Framework</w:t>
      </w:r>
      <w:r w:rsidR="00251C94">
        <w:t xml:space="preserve"> (RPF)</w:t>
      </w:r>
      <w:r>
        <w:t xml:space="preserve">. </w:t>
      </w:r>
    </w:p>
    <w:p w14:paraId="64BF8A41" w14:textId="4CA1853E" w:rsidR="00C661E8" w:rsidRDefault="00D974DC" w:rsidP="008952AB">
      <w:r w:rsidRPr="00A9092B">
        <w:t>The assessment foun</w:t>
      </w:r>
      <w:r w:rsidR="00C71D89" w:rsidRPr="00A9092B">
        <w:t>d a high level of</w:t>
      </w:r>
      <w:r w:rsidR="00323563" w:rsidRPr="00A9092B">
        <w:t xml:space="preserve"> commitment </w:t>
      </w:r>
      <w:r w:rsidR="00121966" w:rsidRPr="00A9092B">
        <w:t xml:space="preserve">to </w:t>
      </w:r>
      <w:r w:rsidR="00323563" w:rsidRPr="00A9092B">
        <w:t>the val</w:t>
      </w:r>
      <w:r w:rsidR="00E85709">
        <w:t>ues of the R</w:t>
      </w:r>
      <w:r w:rsidR="00323563" w:rsidRPr="00A9092B">
        <w:t>PF.</w:t>
      </w:r>
      <w:r w:rsidR="00C71D89" w:rsidRPr="00A9092B">
        <w:t xml:space="preserve"> </w:t>
      </w:r>
      <w:r w:rsidR="001B6370">
        <w:t xml:space="preserve">A number of </w:t>
      </w:r>
      <w:r w:rsidR="001843B9" w:rsidRPr="00A9092B">
        <w:t>improvement</w:t>
      </w:r>
      <w:r w:rsidR="001843B9">
        <w:t>s</w:t>
      </w:r>
      <w:r w:rsidR="001843B9" w:rsidDel="001843B9">
        <w:t xml:space="preserve"> </w:t>
      </w:r>
      <w:r w:rsidR="0001661D" w:rsidRPr="00A9092B">
        <w:t>were identified</w:t>
      </w:r>
      <w:r w:rsidR="00FB0863" w:rsidRPr="00A9092B">
        <w:t xml:space="preserve"> which </w:t>
      </w:r>
      <w:proofErr w:type="gramStart"/>
      <w:r w:rsidR="00541DF0">
        <w:t>may</w:t>
      </w:r>
      <w:proofErr w:type="gramEnd"/>
      <w:r w:rsidR="00541DF0" w:rsidRPr="00A9092B">
        <w:t xml:space="preserve"> </w:t>
      </w:r>
      <w:r w:rsidR="00FB0863" w:rsidRPr="00A9092B">
        <w:t>help to further impro</w:t>
      </w:r>
      <w:r w:rsidR="00121966" w:rsidRPr="00A9092B">
        <w:t xml:space="preserve">ve the efficient </w:t>
      </w:r>
      <w:r w:rsidR="00E85709">
        <w:t xml:space="preserve">and effective </w:t>
      </w:r>
      <w:r w:rsidR="00FB0863" w:rsidRPr="00A9092B">
        <w:t>regulation</w:t>
      </w:r>
      <w:r w:rsidR="00E85709">
        <w:t xml:space="preserve"> of </w:t>
      </w:r>
      <w:r w:rsidR="009315F4">
        <w:t>C</w:t>
      </w:r>
      <w:r w:rsidR="00E85709">
        <w:t>ommonwealth entities dealing with radiation</w:t>
      </w:r>
      <w:r w:rsidR="00FB0863" w:rsidRPr="00A9092B">
        <w:t>.</w:t>
      </w:r>
      <w:r w:rsidR="004D7F6A">
        <w:t xml:space="preserve"> </w:t>
      </w:r>
    </w:p>
    <w:p w14:paraId="46922259" w14:textId="7069CB95" w:rsidR="00D22D7E" w:rsidRPr="00A9092B" w:rsidRDefault="00C661E8" w:rsidP="008952AB">
      <w:pPr>
        <w:spacing w:after="120"/>
      </w:pPr>
      <w:r>
        <w:t>I</w:t>
      </w:r>
      <w:r w:rsidR="003C2365">
        <w:t xml:space="preserve">t </w:t>
      </w:r>
      <w:proofErr w:type="gramStart"/>
      <w:r w:rsidR="003C2365">
        <w:t>was found</w:t>
      </w:r>
      <w:proofErr w:type="gramEnd"/>
      <w:r w:rsidR="003C2365">
        <w:t xml:space="preserve"> that some of the </w:t>
      </w:r>
      <w:r w:rsidR="003C2365" w:rsidRPr="004D7F6A">
        <w:t xml:space="preserve">Performance Indicators (PIs) which </w:t>
      </w:r>
      <w:r w:rsidR="003C2365">
        <w:t>formed the agreed metrics did not directly align with the KPIs.</w:t>
      </w:r>
      <w:r>
        <w:t xml:space="preserve"> </w:t>
      </w:r>
      <w:r w:rsidR="008D5319">
        <w:t xml:space="preserve">It </w:t>
      </w:r>
      <w:proofErr w:type="gramStart"/>
      <w:r w:rsidR="008D5319">
        <w:t>was also found</w:t>
      </w:r>
      <w:proofErr w:type="gramEnd"/>
      <w:r w:rsidR="008D5319">
        <w:t xml:space="preserve"> that the KPIs were not </w:t>
      </w:r>
      <w:r w:rsidR="00BD065E">
        <w:t>broad</w:t>
      </w:r>
      <w:r w:rsidR="008D5319">
        <w:t xml:space="preserve"> enough to fully capture regulatory performance against the framework. </w:t>
      </w:r>
      <w:r w:rsidR="00E203FD">
        <w:t>Considering a broader range of evidence</w:t>
      </w:r>
      <w:r w:rsidR="00D10825">
        <w:t xml:space="preserve">, </w:t>
      </w:r>
      <w:r w:rsidR="003979DC">
        <w:t xml:space="preserve">the team concluded that </w:t>
      </w:r>
      <w:r w:rsidR="00E203FD">
        <w:t>defining more representative PIs</w:t>
      </w:r>
      <w:r w:rsidR="00D10825">
        <w:t xml:space="preserve"> and making targets more realistic</w:t>
      </w:r>
      <w:r w:rsidR="00E203FD">
        <w:t xml:space="preserve"> </w:t>
      </w:r>
      <w:proofErr w:type="gramStart"/>
      <w:r w:rsidR="00E203FD">
        <w:t>may</w:t>
      </w:r>
      <w:proofErr w:type="gramEnd"/>
      <w:r w:rsidR="00E203FD">
        <w:t xml:space="preserve"> improve </w:t>
      </w:r>
      <w:r>
        <w:t>ARPAN</w:t>
      </w:r>
      <w:r w:rsidR="000946E7">
        <w:t>S</w:t>
      </w:r>
      <w:r>
        <w:t>A’s</w:t>
      </w:r>
      <w:r w:rsidR="00D10825">
        <w:t xml:space="preserve"> performance against the KPIs</w:t>
      </w:r>
      <w:r w:rsidR="00E203FD">
        <w:t>.</w:t>
      </w:r>
    </w:p>
    <w:p w14:paraId="6A5C005F" w14:textId="1AEDE75B" w:rsidR="003B3DF7" w:rsidRPr="00367B9F" w:rsidRDefault="00C71D89" w:rsidP="008952AB">
      <w:pPr>
        <w:spacing w:after="120"/>
      </w:pPr>
      <w:r w:rsidRPr="00A9092B">
        <w:t xml:space="preserve">The results against each KPI </w:t>
      </w:r>
      <w:proofErr w:type="gramStart"/>
      <w:r w:rsidRPr="00A9092B">
        <w:t>are presented</w:t>
      </w:r>
      <w:proofErr w:type="gramEnd"/>
      <w:r w:rsidRPr="00A9092B">
        <w:t xml:space="preserve"> in the table below</w:t>
      </w:r>
      <w:r w:rsidR="002B6A48">
        <w:rPr>
          <w:rFonts w:cs="Times New Roman"/>
          <w:bCs/>
          <w:szCs w:val="24"/>
          <w:lang w:eastAsia="en-AU"/>
        </w:rPr>
        <w:t>.</w:t>
      </w:r>
    </w:p>
    <w:tbl>
      <w:tblPr>
        <w:tblStyle w:val="MediumGrid2-Accent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Description w:val="Summary assessment table is a summary list of the Ratings givern to each Key Performance Indicators (KPIs) under the Regulator Performance Framework. This table contains 3 column headings: 1. KPS, 2. Summary of analysis and Rating of Performance."/>
      </w:tblPr>
      <w:tblGrid>
        <w:gridCol w:w="3296"/>
        <w:gridCol w:w="4325"/>
        <w:gridCol w:w="1559"/>
      </w:tblGrid>
      <w:tr w:rsidR="00B01BC4" w:rsidRPr="00CF637A" w14:paraId="6A390E45" w14:textId="77777777" w:rsidTr="001D11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96" w:type="dxa"/>
            <w:tcBorders>
              <w:top w:val="none" w:sz="0" w:space="0" w:color="auto"/>
              <w:left w:val="none" w:sz="0" w:space="0" w:color="auto"/>
              <w:bottom w:val="none" w:sz="0" w:space="0" w:color="auto"/>
              <w:right w:val="none" w:sz="0" w:space="0" w:color="auto"/>
            </w:tcBorders>
            <w:vAlign w:val="center"/>
          </w:tcPr>
          <w:p w14:paraId="66872735" w14:textId="77777777" w:rsidR="00B01BC4" w:rsidRPr="004378FA" w:rsidRDefault="00B01BC4" w:rsidP="00CF637A">
            <w:pPr>
              <w:pStyle w:val="Tableheading"/>
              <w:rPr>
                <w:b/>
              </w:rPr>
            </w:pPr>
            <w:r w:rsidRPr="004378FA">
              <w:rPr>
                <w:b/>
              </w:rPr>
              <w:t>KPI</w:t>
            </w:r>
          </w:p>
        </w:tc>
        <w:tc>
          <w:tcPr>
            <w:tcW w:w="4325" w:type="dxa"/>
            <w:vAlign w:val="center"/>
          </w:tcPr>
          <w:p w14:paraId="6C6E9CEF" w14:textId="77777777" w:rsidR="00B01BC4" w:rsidRPr="004378FA" w:rsidRDefault="00B01BC4" w:rsidP="00CF637A">
            <w:pPr>
              <w:pStyle w:val="Tableheading"/>
              <w:cnfStyle w:val="100000000000" w:firstRow="1" w:lastRow="0" w:firstColumn="0" w:lastColumn="0" w:oddVBand="0" w:evenVBand="0" w:oddHBand="0" w:evenHBand="0" w:firstRowFirstColumn="0" w:firstRowLastColumn="0" w:lastRowFirstColumn="0" w:lastRowLastColumn="0"/>
              <w:rPr>
                <w:b/>
              </w:rPr>
            </w:pPr>
            <w:r w:rsidRPr="004378FA">
              <w:rPr>
                <w:b/>
              </w:rPr>
              <w:t>Summary of analysis</w:t>
            </w:r>
          </w:p>
        </w:tc>
        <w:tc>
          <w:tcPr>
            <w:tcW w:w="1559" w:type="dxa"/>
          </w:tcPr>
          <w:p w14:paraId="6A8778FA" w14:textId="77777777" w:rsidR="00B01BC4" w:rsidRPr="004378FA" w:rsidRDefault="00B01BC4" w:rsidP="00CF637A">
            <w:pPr>
              <w:pStyle w:val="Tableheading"/>
              <w:cnfStyle w:val="100000000000" w:firstRow="1" w:lastRow="0" w:firstColumn="0" w:lastColumn="0" w:oddVBand="0" w:evenVBand="0" w:oddHBand="0" w:evenHBand="0" w:firstRowFirstColumn="0" w:firstRowLastColumn="0" w:lastRowFirstColumn="0" w:lastRowLastColumn="0"/>
              <w:rPr>
                <w:b/>
              </w:rPr>
            </w:pPr>
            <w:r w:rsidRPr="004378FA">
              <w:rPr>
                <w:b/>
              </w:rPr>
              <w:t>Rating of Performance</w:t>
            </w:r>
          </w:p>
        </w:tc>
      </w:tr>
      <w:tr w:rsidR="00B01BC4" w:rsidRPr="009A4BD4" w14:paraId="034CA880" w14:textId="77777777" w:rsidTr="00B63BE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296" w:type="dxa"/>
            <w:tcBorders>
              <w:left w:val="none" w:sz="0" w:space="0" w:color="auto"/>
              <w:bottom w:val="none" w:sz="0" w:space="0" w:color="auto"/>
              <w:right w:val="none" w:sz="0" w:space="0" w:color="auto"/>
            </w:tcBorders>
            <w:vAlign w:val="center"/>
          </w:tcPr>
          <w:p w14:paraId="29E56C25" w14:textId="559C2412" w:rsidR="00B01BC4" w:rsidRPr="00B63BEE" w:rsidRDefault="00B01BC4" w:rsidP="00B63BEE">
            <w:pPr>
              <w:pStyle w:val="Tableheading"/>
              <w:spacing w:before="0" w:after="0"/>
              <w:rPr>
                <w:rFonts w:ascii="Times New Roman" w:hAnsi="Times New Roman"/>
              </w:rPr>
            </w:pPr>
            <w:r w:rsidRPr="00B63BEE">
              <w:rPr>
                <w:rFonts w:ascii="Times New Roman" w:hAnsi="Times New Roman"/>
              </w:rPr>
              <w:t>KPI 1</w:t>
            </w:r>
            <w:r w:rsidR="009A4BD4" w:rsidRPr="00B63BEE">
              <w:rPr>
                <w:rFonts w:ascii="Times New Roman" w:hAnsi="Times New Roman"/>
              </w:rPr>
              <w:t xml:space="preserve"> –</w:t>
            </w:r>
            <w:r w:rsidRPr="00B63BEE">
              <w:rPr>
                <w:rFonts w:ascii="Times New Roman" w:hAnsi="Times New Roman"/>
              </w:rPr>
              <w:t xml:space="preserve"> Regulators do not unnecessarily impede the efficient operation of regulated entities</w:t>
            </w:r>
          </w:p>
        </w:tc>
        <w:tc>
          <w:tcPr>
            <w:tcW w:w="4325" w:type="dxa"/>
            <w:tcBorders>
              <w:left w:val="none" w:sz="0" w:space="0" w:color="auto"/>
              <w:right w:val="none" w:sz="0" w:space="0" w:color="auto"/>
            </w:tcBorders>
            <w:vAlign w:val="center"/>
          </w:tcPr>
          <w:p w14:paraId="05FE14B2" w14:textId="051D7AAC" w:rsidR="00B01BC4" w:rsidRPr="00B63BEE" w:rsidRDefault="00B01BC4" w:rsidP="003A75D1">
            <w:pPr>
              <w:pStyle w:val="Tabletext"/>
              <w:cnfStyle w:val="000000100000" w:firstRow="0" w:lastRow="0" w:firstColumn="0" w:lastColumn="0" w:oddVBand="0" w:evenVBand="0" w:oddHBand="1" w:evenHBand="0" w:firstRowFirstColumn="0" w:firstRowLastColumn="0" w:lastRowFirstColumn="0" w:lastRowLastColumn="0"/>
            </w:pPr>
            <w:r w:rsidRPr="00B63BEE">
              <w:t>Inspections are scheduled and notified in advance</w:t>
            </w:r>
            <w:r w:rsidR="009D0289" w:rsidRPr="00B63BEE">
              <w:t xml:space="preserve"> and</w:t>
            </w:r>
            <w:r w:rsidRPr="00B63BEE">
              <w:t xml:space="preserve"> timelines are typically set and adhered </w:t>
            </w:r>
            <w:proofErr w:type="gramStart"/>
            <w:r w:rsidRPr="00B63BEE">
              <w:t>to</w:t>
            </w:r>
            <w:proofErr w:type="gramEnd"/>
            <w:r w:rsidRPr="00B63BEE">
              <w:t xml:space="preserve">. </w:t>
            </w:r>
          </w:p>
        </w:tc>
        <w:tc>
          <w:tcPr>
            <w:tcW w:w="1559" w:type="dxa"/>
            <w:tcBorders>
              <w:left w:val="none" w:sz="0" w:space="0" w:color="auto"/>
            </w:tcBorders>
            <w:vAlign w:val="center"/>
          </w:tcPr>
          <w:p w14:paraId="7F6C92E7" w14:textId="77777777" w:rsidR="00B01BC4" w:rsidRPr="00B63BEE" w:rsidRDefault="00B01BC4" w:rsidP="003A75D1">
            <w:pPr>
              <w:pStyle w:val="Tabletext"/>
              <w:cnfStyle w:val="000000100000" w:firstRow="0" w:lastRow="0" w:firstColumn="0" w:lastColumn="0" w:oddVBand="0" w:evenVBand="0" w:oddHBand="1" w:evenHBand="0" w:firstRowFirstColumn="0" w:firstRowLastColumn="0" w:lastRowFirstColumn="0" w:lastRowLastColumn="0"/>
            </w:pPr>
            <w:r w:rsidRPr="00B63BEE">
              <w:rPr>
                <w:bCs/>
                <w:noProof/>
                <w:lang w:eastAsia="en-AU"/>
              </w:rPr>
              <mc:AlternateContent>
                <mc:Choice Requires="wps">
                  <w:drawing>
                    <wp:inline distT="0" distB="0" distL="0" distR="0" wp14:anchorId="56D38361" wp14:editId="24B2F406">
                      <wp:extent cx="101600" cy="118533"/>
                      <wp:effectExtent l="57150" t="38100" r="31750" b="72390"/>
                      <wp:docPr id="26" name="Oval 26"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" fillcolor="#cdddac [1622]" stroked="f">
                      <v:fill color2="#f0f4e6 [502]" rotate="t" angle="180" colors="0 #dafda7;22938f #e4fdc2;1 #f5ffe6" focus="100%" type="gradient"/>
                      <v:shadow on="t" color="black" opacity="24903f" origin=",.5" offset="0,.55556mm"/>
                      <w10:anchorlock/>
                    </v:oval>
                  </w:pict>
                </mc:Fallback>
              </mc:AlternateContent>
            </w:r>
            <w:r w:rsidRPr="00B63BEE">
              <w:t>Good</w:t>
            </w:r>
          </w:p>
        </w:tc>
      </w:tr>
      <w:tr w:rsidR="00B01BC4" w:rsidRPr="009A4BD4" w14:paraId="034CA8AC" w14:textId="77777777" w:rsidTr="00B63BEE">
        <w:trPr>
          <w:trHeight w:val="794"/>
        </w:trPr>
        <w:tc>
          <w:tcPr>
            <w:cnfStyle w:val="001000000000" w:firstRow="0" w:lastRow="0" w:firstColumn="1" w:lastColumn="0" w:oddVBand="0" w:evenVBand="0" w:oddHBand="0" w:evenHBand="0" w:firstRowFirstColumn="0" w:firstRowLastColumn="0" w:lastRowFirstColumn="0" w:lastRowLastColumn="0"/>
            <w:tcW w:w="3296" w:type="dxa"/>
            <w:tcBorders>
              <w:left w:val="none" w:sz="0" w:space="0" w:color="auto"/>
              <w:bottom w:val="none" w:sz="0" w:space="0" w:color="auto"/>
              <w:right w:val="none" w:sz="0" w:space="0" w:color="auto"/>
            </w:tcBorders>
            <w:vAlign w:val="center"/>
          </w:tcPr>
          <w:p w14:paraId="2EE8DE4A" w14:textId="5EAEA3B7" w:rsidR="00B01BC4" w:rsidRPr="00B63BEE" w:rsidRDefault="00B01BC4" w:rsidP="00B63BEE">
            <w:pPr>
              <w:pStyle w:val="Tableheading"/>
              <w:spacing w:before="0" w:after="0"/>
              <w:rPr>
                <w:rFonts w:ascii="Times New Roman" w:hAnsi="Times New Roman"/>
              </w:rPr>
            </w:pPr>
            <w:r w:rsidRPr="00B63BEE">
              <w:rPr>
                <w:rFonts w:ascii="Times New Roman" w:hAnsi="Times New Roman"/>
              </w:rPr>
              <w:t xml:space="preserve">KPI 2 </w:t>
            </w:r>
            <w:r w:rsidR="009A4BD4" w:rsidRPr="00B63BEE">
              <w:rPr>
                <w:rFonts w:ascii="Times New Roman" w:hAnsi="Times New Roman"/>
              </w:rPr>
              <w:t>–</w:t>
            </w:r>
            <w:r w:rsidRPr="00B63BEE">
              <w:rPr>
                <w:rFonts w:ascii="Times New Roman" w:hAnsi="Times New Roman"/>
              </w:rPr>
              <w:t xml:space="preserve"> Communication with regulated entities is clear, targeted and effective</w:t>
            </w:r>
          </w:p>
        </w:tc>
        <w:tc>
          <w:tcPr>
            <w:tcW w:w="4325" w:type="dxa"/>
            <w:vAlign w:val="center"/>
          </w:tcPr>
          <w:p w14:paraId="600F6439" w14:textId="77777777" w:rsidR="00B01BC4" w:rsidRPr="00B63BEE" w:rsidRDefault="00B01BC4" w:rsidP="003A75D1">
            <w:pPr>
              <w:pStyle w:val="Tabletext"/>
              <w:cnfStyle w:val="000000000000" w:firstRow="0" w:lastRow="0" w:firstColumn="0" w:lastColumn="0" w:oddVBand="0" w:evenVBand="0" w:oddHBand="0" w:evenHBand="0" w:firstRowFirstColumn="0" w:firstRowLastColumn="0" w:lastRowFirstColumn="0" w:lastRowLastColumn="0"/>
            </w:pPr>
            <w:r w:rsidRPr="00B63BEE">
              <w:t xml:space="preserve">A number of positive communication initiatives are in place. However, communication including timelines, guidance documents, and skills </w:t>
            </w:r>
            <w:proofErr w:type="gramStart"/>
            <w:r w:rsidRPr="00B63BEE">
              <w:t>could be improved</w:t>
            </w:r>
            <w:proofErr w:type="gramEnd"/>
            <w:r w:rsidRPr="00B63BEE">
              <w:t>.</w:t>
            </w:r>
          </w:p>
        </w:tc>
        <w:tc>
          <w:tcPr>
            <w:tcW w:w="1559" w:type="dxa"/>
            <w:vAlign w:val="center"/>
          </w:tcPr>
          <w:p w14:paraId="4984B626" w14:textId="2023F683" w:rsidR="00B01BC4" w:rsidRPr="00B63BEE" w:rsidRDefault="002C0378" w:rsidP="003A75D1">
            <w:pPr>
              <w:pStyle w:val="Tabletext"/>
              <w:cnfStyle w:val="000000000000" w:firstRow="0" w:lastRow="0" w:firstColumn="0" w:lastColumn="0" w:oddVBand="0" w:evenVBand="0" w:oddHBand="0" w:evenHBand="0" w:firstRowFirstColumn="0" w:firstRowLastColumn="0" w:lastRowFirstColumn="0" w:lastRowLastColumn="0"/>
            </w:pPr>
            <w:r w:rsidRPr="00B63BEE">
              <w:rPr>
                <w:bCs/>
                <w:noProof/>
                <w:lang w:eastAsia="en-AU"/>
              </w:rPr>
              <mc:AlternateContent>
                <mc:Choice Requires="wps">
                  <w:drawing>
                    <wp:inline distT="0" distB="0" distL="0" distR="0" wp14:anchorId="1EB4C307" wp14:editId="6829057D">
                      <wp:extent cx="101600" cy="118533"/>
                      <wp:effectExtent l="57150" t="19050" r="31750" b="91440"/>
                      <wp:docPr id="7" name="Oval 7"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7"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" fillcolor="#506329 [1638]" strokecolor="#94b64e [3046]">
                      <v:fill color2="#93b64c [3014]" rotate="t" angle="180" colors="0 #769535;52429f #9bc348;1 #9cc746" focus="100%" type="gradient">
                        <o:fill v:ext="view" type="gradientUnscaled"/>
                      </v:fill>
                      <v:shadow on="t" color="black" opacity="22937f" origin=",.5" offset="0,.63889mm"/>
                      <w10:anchorlock/>
                    </v:oval>
                  </w:pict>
                </mc:Fallback>
              </mc:AlternateContent>
            </w:r>
            <w:r w:rsidRPr="00B63BEE">
              <w:t>Very Good</w:t>
            </w:r>
          </w:p>
        </w:tc>
      </w:tr>
      <w:tr w:rsidR="00B01BC4" w:rsidRPr="009A4BD4" w14:paraId="7C4FC568" w14:textId="77777777" w:rsidTr="00B63BE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296" w:type="dxa"/>
            <w:tcBorders>
              <w:left w:val="none" w:sz="0" w:space="0" w:color="auto"/>
              <w:bottom w:val="none" w:sz="0" w:space="0" w:color="auto"/>
              <w:right w:val="none" w:sz="0" w:space="0" w:color="auto"/>
            </w:tcBorders>
            <w:vAlign w:val="center"/>
          </w:tcPr>
          <w:p w14:paraId="2EEF924C" w14:textId="1C8C8EAF" w:rsidR="00B01BC4" w:rsidRPr="00B63BEE" w:rsidRDefault="00B01BC4" w:rsidP="00B63BEE">
            <w:pPr>
              <w:pStyle w:val="Tableheading"/>
              <w:spacing w:before="0" w:after="0"/>
              <w:rPr>
                <w:rFonts w:ascii="Times New Roman" w:hAnsi="Times New Roman"/>
              </w:rPr>
            </w:pPr>
            <w:r w:rsidRPr="00B63BEE">
              <w:rPr>
                <w:rFonts w:ascii="Times New Roman" w:hAnsi="Times New Roman"/>
              </w:rPr>
              <w:t xml:space="preserve">KPI 3 </w:t>
            </w:r>
            <w:r w:rsidR="009A4BD4" w:rsidRPr="00B63BEE">
              <w:rPr>
                <w:rFonts w:ascii="Times New Roman" w:hAnsi="Times New Roman"/>
              </w:rPr>
              <w:t>–</w:t>
            </w:r>
            <w:r w:rsidRPr="00B63BEE">
              <w:rPr>
                <w:rFonts w:ascii="Times New Roman" w:hAnsi="Times New Roman"/>
              </w:rPr>
              <w:t xml:space="preserve"> Actions undertaken by regulators are proportionate to the regulatory risk being managed</w:t>
            </w:r>
          </w:p>
        </w:tc>
        <w:tc>
          <w:tcPr>
            <w:tcW w:w="4325" w:type="dxa"/>
            <w:tcBorders>
              <w:left w:val="none" w:sz="0" w:space="0" w:color="auto"/>
              <w:right w:val="none" w:sz="0" w:space="0" w:color="auto"/>
            </w:tcBorders>
            <w:vAlign w:val="center"/>
          </w:tcPr>
          <w:p w14:paraId="2F547831" w14:textId="1165448D" w:rsidR="00B01BC4" w:rsidRPr="00B63BEE" w:rsidRDefault="00B01BC4" w:rsidP="003A75D1">
            <w:pPr>
              <w:pStyle w:val="Tabletext"/>
              <w:cnfStyle w:val="000000100000" w:firstRow="0" w:lastRow="0" w:firstColumn="0" w:lastColumn="0" w:oddVBand="0" w:evenVBand="0" w:oddHBand="1" w:evenHBand="0" w:firstRowFirstColumn="0" w:firstRowLastColumn="0" w:lastRowFirstColumn="0" w:lastRowLastColumn="0"/>
            </w:pPr>
            <w:r w:rsidRPr="00B63BEE">
              <w:t xml:space="preserve">APRANSA has implemented a risk based inspection </w:t>
            </w:r>
            <w:r w:rsidR="00251C94" w:rsidRPr="00B63BEE">
              <w:t>schedule</w:t>
            </w:r>
            <w:r w:rsidR="009D0289" w:rsidRPr="00B63BEE">
              <w:t>,</w:t>
            </w:r>
            <w:r w:rsidR="00251C94" w:rsidRPr="00B63BEE">
              <w:t xml:space="preserve"> </w:t>
            </w:r>
            <w:r w:rsidRPr="00B63BEE">
              <w:t>and conduct</w:t>
            </w:r>
            <w:r w:rsidR="00251C94" w:rsidRPr="00B63BEE">
              <w:t>s regular</w:t>
            </w:r>
            <w:r w:rsidRPr="00B63BEE">
              <w:t xml:space="preserve"> site visits and </w:t>
            </w:r>
            <w:r w:rsidR="00251C94" w:rsidRPr="00B63BEE">
              <w:t>l</w:t>
            </w:r>
            <w:r w:rsidR="001F7A0E" w:rsidRPr="00B63BEE">
              <w:t>icence holder</w:t>
            </w:r>
            <w:r w:rsidRPr="00B63BEE">
              <w:t xml:space="preserve"> forums. </w:t>
            </w:r>
          </w:p>
        </w:tc>
        <w:tc>
          <w:tcPr>
            <w:tcW w:w="1559" w:type="dxa"/>
            <w:tcBorders>
              <w:left w:val="none" w:sz="0" w:space="0" w:color="auto"/>
            </w:tcBorders>
            <w:vAlign w:val="center"/>
          </w:tcPr>
          <w:p w14:paraId="5693B9E7" w14:textId="77777777" w:rsidR="00B01BC4" w:rsidRPr="00B63BEE" w:rsidRDefault="00B01BC4" w:rsidP="003A75D1">
            <w:pPr>
              <w:pStyle w:val="Tabletext"/>
              <w:cnfStyle w:val="000000100000" w:firstRow="0" w:lastRow="0" w:firstColumn="0" w:lastColumn="0" w:oddVBand="0" w:evenVBand="0" w:oddHBand="1" w:evenHBand="0" w:firstRowFirstColumn="0" w:firstRowLastColumn="0" w:lastRowFirstColumn="0" w:lastRowLastColumn="0"/>
            </w:pPr>
            <w:r w:rsidRPr="00B63BEE">
              <w:rPr>
                <w:bCs/>
                <w:noProof/>
                <w:lang w:eastAsia="en-AU"/>
              </w:rPr>
              <mc:AlternateContent>
                <mc:Choice Requires="wps">
                  <w:drawing>
                    <wp:inline distT="0" distB="0" distL="0" distR="0" wp14:anchorId="7D835F81" wp14:editId="7786F260">
                      <wp:extent cx="101600" cy="118533"/>
                      <wp:effectExtent l="57150" t="38100" r="31750" b="72390"/>
                      <wp:docPr id="46" name="Oval 46"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6"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" fillcolor="#cdddac [1622]" stroked="f">
                      <v:fill color2="#f0f4e6 [502]" rotate="t" angle="180" colors="0 #dafda7;22938f #e4fdc2;1 #f5ffe6" focus="100%" type="gradient"/>
                      <v:shadow on="t" color="black" opacity="24903f" origin=",.5" offset="0,.55556mm"/>
                      <w10:anchorlock/>
                    </v:oval>
                  </w:pict>
                </mc:Fallback>
              </mc:AlternateContent>
            </w:r>
            <w:r w:rsidRPr="00B63BEE">
              <w:t>Good</w:t>
            </w:r>
          </w:p>
        </w:tc>
      </w:tr>
      <w:tr w:rsidR="00B01BC4" w:rsidRPr="009A4BD4" w14:paraId="3291A907" w14:textId="77777777" w:rsidTr="00B63BEE">
        <w:trPr>
          <w:trHeight w:val="794"/>
        </w:trPr>
        <w:tc>
          <w:tcPr>
            <w:cnfStyle w:val="001000000000" w:firstRow="0" w:lastRow="0" w:firstColumn="1" w:lastColumn="0" w:oddVBand="0" w:evenVBand="0" w:oddHBand="0" w:evenHBand="0" w:firstRowFirstColumn="0" w:firstRowLastColumn="0" w:lastRowFirstColumn="0" w:lastRowLastColumn="0"/>
            <w:tcW w:w="3296" w:type="dxa"/>
            <w:tcBorders>
              <w:left w:val="none" w:sz="0" w:space="0" w:color="auto"/>
              <w:bottom w:val="none" w:sz="0" w:space="0" w:color="auto"/>
              <w:right w:val="none" w:sz="0" w:space="0" w:color="auto"/>
            </w:tcBorders>
            <w:vAlign w:val="center"/>
          </w:tcPr>
          <w:p w14:paraId="1B55159A" w14:textId="62024AD7" w:rsidR="00B01BC4" w:rsidRPr="00B63BEE" w:rsidRDefault="00B01BC4" w:rsidP="00B63BEE">
            <w:pPr>
              <w:pStyle w:val="Tableheading"/>
              <w:spacing w:before="0" w:after="0"/>
              <w:rPr>
                <w:rFonts w:ascii="Times New Roman" w:hAnsi="Times New Roman"/>
              </w:rPr>
            </w:pPr>
            <w:r w:rsidRPr="00B63BEE">
              <w:rPr>
                <w:rFonts w:ascii="Times New Roman" w:hAnsi="Times New Roman"/>
              </w:rPr>
              <w:t xml:space="preserve">KPI 4 </w:t>
            </w:r>
            <w:r w:rsidR="009A4BD4" w:rsidRPr="00B63BEE">
              <w:rPr>
                <w:rFonts w:ascii="Times New Roman" w:hAnsi="Times New Roman"/>
              </w:rPr>
              <w:t>–</w:t>
            </w:r>
            <w:r w:rsidRPr="00B63BEE">
              <w:rPr>
                <w:rFonts w:ascii="Times New Roman" w:hAnsi="Times New Roman"/>
              </w:rPr>
              <w:t xml:space="preserve"> Compliance and monitoring approaches are streamlined and co-ordinated</w:t>
            </w:r>
          </w:p>
        </w:tc>
        <w:tc>
          <w:tcPr>
            <w:tcW w:w="4325" w:type="dxa"/>
            <w:vAlign w:val="center"/>
          </w:tcPr>
          <w:p w14:paraId="3BAF1DF8" w14:textId="249D0152" w:rsidR="00B01BC4" w:rsidRPr="00B63BEE" w:rsidRDefault="00B01BC4" w:rsidP="003A75D1">
            <w:pPr>
              <w:pStyle w:val="Tabletext"/>
              <w:cnfStyle w:val="000000000000" w:firstRow="0" w:lastRow="0" w:firstColumn="0" w:lastColumn="0" w:oddVBand="0" w:evenVBand="0" w:oddHBand="0" w:evenHBand="0" w:firstRowFirstColumn="0" w:firstRowLastColumn="0" w:lastRowFirstColumn="0" w:lastRowLastColumn="0"/>
            </w:pPr>
            <w:r w:rsidRPr="00B63BEE">
              <w:t>ARPANSA has implemented a graded approach focusing on performance deficiencies rather than non-compliances and formal enforcement options.</w:t>
            </w:r>
            <w:r w:rsidR="009D0289" w:rsidRPr="00B63BEE">
              <w:t xml:space="preserve"> S</w:t>
            </w:r>
            <w:r w:rsidRPr="00B63BEE">
              <w:t xml:space="preserve">tandardisation </w:t>
            </w:r>
            <w:r w:rsidR="009D0289" w:rsidRPr="00B63BEE">
              <w:t xml:space="preserve">of inspection </w:t>
            </w:r>
            <w:r w:rsidRPr="00B63BEE">
              <w:t xml:space="preserve">and data recording </w:t>
            </w:r>
            <w:proofErr w:type="gramStart"/>
            <w:r w:rsidRPr="00B63BEE">
              <w:t>could be improved</w:t>
            </w:r>
            <w:proofErr w:type="gramEnd"/>
            <w:r w:rsidRPr="00B63BEE">
              <w:t>. The PI used for this KPI may not accurately reflect performance.</w:t>
            </w:r>
          </w:p>
        </w:tc>
        <w:tc>
          <w:tcPr>
            <w:tcW w:w="1559" w:type="dxa"/>
            <w:vAlign w:val="center"/>
          </w:tcPr>
          <w:p w14:paraId="481D995F" w14:textId="50B7C3AD" w:rsidR="00B01BC4" w:rsidRPr="00B63BEE" w:rsidRDefault="00B01BC4" w:rsidP="003A75D1">
            <w:pPr>
              <w:pStyle w:val="Tabletext"/>
              <w:cnfStyle w:val="000000000000" w:firstRow="0" w:lastRow="0" w:firstColumn="0" w:lastColumn="0" w:oddVBand="0" w:evenVBand="0" w:oddHBand="0" w:evenHBand="0" w:firstRowFirstColumn="0" w:firstRowLastColumn="0" w:lastRowFirstColumn="0" w:lastRowLastColumn="0"/>
            </w:pPr>
            <w:r w:rsidRPr="00B63BEE">
              <w:rPr>
                <w:bCs/>
                <w:noProof/>
                <w:lang w:eastAsia="en-AU"/>
              </w:rPr>
              <mc:AlternateContent>
                <mc:Choice Requires="wps">
                  <w:drawing>
                    <wp:inline distT="0" distB="0" distL="0" distR="0" wp14:anchorId="60B337B2" wp14:editId="0F0D4F2E">
                      <wp:extent cx="101600" cy="118533"/>
                      <wp:effectExtent l="57150" t="38100" r="31750" b="72390"/>
                      <wp:docPr id="9" name="Oval 9"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" fillcolor="#cdddac [1622]" stroked="f">
                      <v:fill color2="#f0f4e6 [502]" rotate="t" angle="180" colors="0 #dafda7;22938f #e4fdc2;1 #f5ffe6" focus="100%" type="gradient"/>
                      <v:shadow on="t" color="black" opacity="24903f" origin=",.5" offset="0,.55556mm"/>
                      <w10:anchorlock/>
                    </v:oval>
                  </w:pict>
                </mc:Fallback>
              </mc:AlternateContent>
            </w:r>
            <w:r w:rsidRPr="00B63BEE">
              <w:t>Good</w:t>
            </w:r>
          </w:p>
        </w:tc>
      </w:tr>
      <w:tr w:rsidR="00B01BC4" w:rsidRPr="009A4BD4" w14:paraId="34D7953A" w14:textId="77777777" w:rsidTr="00B63BEE">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3296" w:type="dxa"/>
            <w:tcBorders>
              <w:left w:val="none" w:sz="0" w:space="0" w:color="auto"/>
              <w:bottom w:val="none" w:sz="0" w:space="0" w:color="auto"/>
              <w:right w:val="none" w:sz="0" w:space="0" w:color="auto"/>
            </w:tcBorders>
            <w:vAlign w:val="center"/>
          </w:tcPr>
          <w:p w14:paraId="190E5161" w14:textId="06E30CD0" w:rsidR="00B01BC4" w:rsidRPr="00B63BEE" w:rsidRDefault="00B01BC4" w:rsidP="00B63BEE">
            <w:pPr>
              <w:pStyle w:val="Tableheading"/>
              <w:spacing w:before="0" w:after="0"/>
              <w:rPr>
                <w:rFonts w:ascii="Times New Roman" w:hAnsi="Times New Roman"/>
              </w:rPr>
            </w:pPr>
            <w:r w:rsidRPr="00B63BEE">
              <w:rPr>
                <w:rFonts w:ascii="Times New Roman" w:hAnsi="Times New Roman"/>
              </w:rPr>
              <w:t xml:space="preserve">KPI 5 </w:t>
            </w:r>
            <w:r w:rsidR="009A4BD4" w:rsidRPr="00B63BEE">
              <w:rPr>
                <w:rFonts w:ascii="Times New Roman" w:hAnsi="Times New Roman"/>
              </w:rPr>
              <w:t>–</w:t>
            </w:r>
            <w:r w:rsidRPr="00B63BEE">
              <w:rPr>
                <w:rFonts w:ascii="Times New Roman" w:hAnsi="Times New Roman"/>
              </w:rPr>
              <w:t xml:space="preserve"> Regulators are open and transparent in their dealings with regulated entities</w:t>
            </w:r>
          </w:p>
        </w:tc>
        <w:tc>
          <w:tcPr>
            <w:tcW w:w="4325" w:type="dxa"/>
            <w:tcBorders>
              <w:left w:val="none" w:sz="0" w:space="0" w:color="auto"/>
              <w:right w:val="none" w:sz="0" w:space="0" w:color="auto"/>
            </w:tcBorders>
            <w:vAlign w:val="center"/>
          </w:tcPr>
          <w:p w14:paraId="2DD42E13" w14:textId="0D609150" w:rsidR="00B01BC4" w:rsidRPr="00B63BEE" w:rsidRDefault="00B01BC4" w:rsidP="003A75D1">
            <w:pPr>
              <w:pStyle w:val="Tabletext"/>
              <w:cnfStyle w:val="000000100000" w:firstRow="0" w:lastRow="0" w:firstColumn="0" w:lastColumn="0" w:oddVBand="0" w:evenVBand="0" w:oddHBand="1" w:evenHBand="0" w:firstRowFirstColumn="0" w:firstRowLastColumn="0" w:lastRowFirstColumn="0" w:lastRowLastColumn="0"/>
            </w:pPr>
            <w:r w:rsidRPr="00B63BEE">
              <w:t xml:space="preserve">A significant number of ARPANSA documents including inspection reports are available online. However, transparency of some processes and data </w:t>
            </w:r>
            <w:proofErr w:type="gramStart"/>
            <w:r w:rsidRPr="00B63BEE">
              <w:t>could be improved</w:t>
            </w:r>
            <w:proofErr w:type="gramEnd"/>
            <w:r w:rsidRPr="00B63BEE">
              <w:t>. The PIs may not adequately reflect the intentions of the KPI.</w:t>
            </w:r>
          </w:p>
        </w:tc>
        <w:tc>
          <w:tcPr>
            <w:tcW w:w="1559" w:type="dxa"/>
            <w:tcBorders>
              <w:left w:val="none" w:sz="0" w:space="0" w:color="auto"/>
            </w:tcBorders>
            <w:vAlign w:val="center"/>
          </w:tcPr>
          <w:p w14:paraId="3FF854BC" w14:textId="77777777" w:rsidR="00B01BC4" w:rsidRPr="00B63BEE" w:rsidRDefault="00B01BC4" w:rsidP="003A75D1">
            <w:pPr>
              <w:pStyle w:val="Tabletext"/>
              <w:cnfStyle w:val="000000100000" w:firstRow="0" w:lastRow="0" w:firstColumn="0" w:lastColumn="0" w:oddVBand="0" w:evenVBand="0" w:oddHBand="1" w:evenHBand="0" w:firstRowFirstColumn="0" w:firstRowLastColumn="0" w:lastRowFirstColumn="0" w:lastRowLastColumn="0"/>
            </w:pPr>
            <w:r w:rsidRPr="00B63BEE">
              <w:rPr>
                <w:bCs/>
                <w:noProof/>
                <w:lang w:eastAsia="en-AU"/>
              </w:rPr>
              <mc:AlternateContent>
                <mc:Choice Requires="wps">
                  <w:drawing>
                    <wp:inline distT="0" distB="0" distL="0" distR="0" wp14:anchorId="6CF3F169" wp14:editId="0CA34665">
                      <wp:extent cx="101600" cy="118533"/>
                      <wp:effectExtent l="57150" t="38100" r="31750" b="72390"/>
                      <wp:docPr id="44" name="Oval 44"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4"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" fillcolor="#cdddac [1622]" stroked="f">
                      <v:fill color2="#f0f4e6 [502]" rotate="t" angle="180" colors="0 #dafda7;22938f #e4fdc2;1 #f5ffe6" focus="100%" type="gradient"/>
                      <v:shadow on="t" color="black" opacity="24903f" origin=",.5" offset="0,.55556mm"/>
                      <w10:anchorlock/>
                    </v:oval>
                  </w:pict>
                </mc:Fallback>
              </mc:AlternateContent>
            </w:r>
            <w:r w:rsidRPr="00B63BEE">
              <w:t>Good</w:t>
            </w:r>
          </w:p>
        </w:tc>
      </w:tr>
      <w:tr w:rsidR="00B01BC4" w:rsidRPr="009A4BD4" w14:paraId="454A0CAC" w14:textId="77777777" w:rsidTr="009023F5">
        <w:trPr>
          <w:trHeight w:val="794"/>
        </w:trPr>
        <w:tc>
          <w:tcPr>
            <w:cnfStyle w:val="001000000000" w:firstRow="0" w:lastRow="0" w:firstColumn="1" w:lastColumn="0" w:oddVBand="0" w:evenVBand="0" w:oddHBand="0" w:evenHBand="0" w:firstRowFirstColumn="0" w:firstRowLastColumn="0" w:lastRowFirstColumn="0" w:lastRowLastColumn="0"/>
            <w:tcW w:w="3296" w:type="dxa"/>
            <w:tcBorders>
              <w:left w:val="none" w:sz="0" w:space="0" w:color="auto"/>
              <w:bottom w:val="single" w:sz="4" w:space="0" w:color="auto"/>
              <w:right w:val="none" w:sz="0" w:space="0" w:color="auto"/>
            </w:tcBorders>
            <w:vAlign w:val="center"/>
          </w:tcPr>
          <w:p w14:paraId="4D849F3F" w14:textId="788C4810" w:rsidR="00B01BC4" w:rsidRPr="00B63BEE" w:rsidRDefault="00B01BC4" w:rsidP="00B63BEE">
            <w:pPr>
              <w:pStyle w:val="Tableheading"/>
              <w:spacing w:before="0" w:after="0"/>
              <w:rPr>
                <w:rFonts w:ascii="Times New Roman" w:hAnsi="Times New Roman"/>
              </w:rPr>
            </w:pPr>
            <w:r w:rsidRPr="00B63BEE">
              <w:rPr>
                <w:rFonts w:ascii="Times New Roman" w:hAnsi="Times New Roman"/>
              </w:rPr>
              <w:t xml:space="preserve">KPI 6 </w:t>
            </w:r>
            <w:r w:rsidR="009A4BD4" w:rsidRPr="00B63BEE">
              <w:rPr>
                <w:rFonts w:ascii="Times New Roman" w:hAnsi="Times New Roman"/>
              </w:rPr>
              <w:t>–</w:t>
            </w:r>
            <w:r w:rsidRPr="00B63BEE">
              <w:rPr>
                <w:rFonts w:ascii="Times New Roman" w:hAnsi="Times New Roman"/>
              </w:rPr>
              <w:t xml:space="preserve"> Regulators actively contribute to the continuous improvement of regulatory frameworks</w:t>
            </w:r>
          </w:p>
        </w:tc>
        <w:tc>
          <w:tcPr>
            <w:tcW w:w="4325" w:type="dxa"/>
            <w:tcBorders>
              <w:bottom w:val="single" w:sz="4" w:space="0" w:color="auto"/>
            </w:tcBorders>
            <w:vAlign w:val="center"/>
          </w:tcPr>
          <w:p w14:paraId="6FBCACE1" w14:textId="0D9726A4" w:rsidR="00B01BC4" w:rsidRPr="00B63BEE" w:rsidRDefault="00B01BC4" w:rsidP="003A75D1">
            <w:pPr>
              <w:pStyle w:val="Tabletext"/>
              <w:cnfStyle w:val="000000000000" w:firstRow="0" w:lastRow="0" w:firstColumn="0" w:lastColumn="0" w:oddVBand="0" w:evenVBand="0" w:oddHBand="0" w:evenHBand="0" w:firstRowFirstColumn="0" w:firstRowLastColumn="0" w:lastRowFirstColumn="0" w:lastRowLastColumn="0"/>
            </w:pPr>
            <w:r w:rsidRPr="00B63BEE">
              <w:t xml:space="preserve">ARPANSA has a dedicated continuous improvement team </w:t>
            </w:r>
            <w:r w:rsidR="00251C94" w:rsidRPr="00B63BEE">
              <w:t xml:space="preserve">that </w:t>
            </w:r>
            <w:r w:rsidRPr="00B63BEE">
              <w:t xml:space="preserve">analyses performance regularly and rigorously. The PIs used </w:t>
            </w:r>
            <w:proofErr w:type="gramStart"/>
            <w:r w:rsidRPr="00B63BEE">
              <w:t>should be reviewed</w:t>
            </w:r>
            <w:proofErr w:type="gramEnd"/>
            <w:r w:rsidRPr="00B63BEE">
              <w:t xml:space="preserve"> to ensure alignment with the KPI.</w:t>
            </w:r>
          </w:p>
        </w:tc>
        <w:tc>
          <w:tcPr>
            <w:tcW w:w="1559" w:type="dxa"/>
            <w:tcBorders>
              <w:bottom w:val="single" w:sz="4" w:space="0" w:color="auto"/>
            </w:tcBorders>
            <w:vAlign w:val="center"/>
          </w:tcPr>
          <w:p w14:paraId="34413990" w14:textId="77777777" w:rsidR="00B01BC4" w:rsidRPr="00B63BEE" w:rsidRDefault="00B01BC4" w:rsidP="003A75D1">
            <w:pPr>
              <w:pStyle w:val="Tabletext"/>
              <w:cnfStyle w:val="000000000000" w:firstRow="0" w:lastRow="0" w:firstColumn="0" w:lastColumn="0" w:oddVBand="0" w:evenVBand="0" w:oddHBand="0" w:evenHBand="0" w:firstRowFirstColumn="0" w:firstRowLastColumn="0" w:lastRowFirstColumn="0" w:lastRowLastColumn="0"/>
            </w:pPr>
            <w:r w:rsidRPr="00B63BEE">
              <w:rPr>
                <w:bCs/>
                <w:noProof/>
                <w:lang w:eastAsia="en-AU"/>
              </w:rPr>
              <mc:AlternateContent>
                <mc:Choice Requires="wps">
                  <w:drawing>
                    <wp:inline distT="0" distB="0" distL="0" distR="0" wp14:anchorId="63D992CA" wp14:editId="6ED04A62">
                      <wp:extent cx="101600" cy="118533"/>
                      <wp:effectExtent l="57150" t="19050" r="31750" b="91440"/>
                      <wp:docPr id="45" name="Oval 45"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5"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w10:anchorlock/>
                    </v:oval>
                  </w:pict>
                </mc:Fallback>
              </mc:AlternateContent>
            </w:r>
            <w:r w:rsidRPr="00B63BEE">
              <w:t>Very Good</w:t>
            </w:r>
          </w:p>
        </w:tc>
      </w:tr>
      <w:tr w:rsidR="009023F5" w:rsidRPr="009A4BD4" w14:paraId="2B637C7E" w14:textId="77777777" w:rsidTr="009023F5">
        <w:trPr>
          <w:cnfStyle w:val="010000000000" w:firstRow="0" w:lastRow="1"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7621" w:type="dxa"/>
            <w:gridSpan w:val="2"/>
            <w:tcBorders>
              <w:top w:val="single" w:sz="4" w:space="0" w:color="auto"/>
              <w:left w:val="single" w:sz="4" w:space="0" w:color="auto"/>
              <w:bottom w:val="single" w:sz="4" w:space="0" w:color="auto"/>
              <w:right w:val="single" w:sz="4" w:space="0" w:color="auto"/>
            </w:tcBorders>
            <w:vAlign w:val="center"/>
          </w:tcPr>
          <w:p w14:paraId="3F8EEFA0" w14:textId="438A0DA9" w:rsidR="009023F5" w:rsidRPr="00B63BEE" w:rsidRDefault="009023F5" w:rsidP="003A75D1">
            <w:pPr>
              <w:pStyle w:val="Tabletext"/>
            </w:pPr>
            <w:r w:rsidRPr="009A4BD4">
              <w:t>Overall Assessment</w:t>
            </w:r>
          </w:p>
        </w:tc>
        <w:tc>
          <w:tcPr>
            <w:tcW w:w="1559" w:type="dxa"/>
            <w:tcBorders>
              <w:top w:val="single" w:sz="4" w:space="0" w:color="auto"/>
              <w:left w:val="single" w:sz="4" w:space="0" w:color="auto"/>
              <w:bottom w:val="single" w:sz="4" w:space="0" w:color="auto"/>
              <w:right w:val="single" w:sz="4" w:space="0" w:color="auto"/>
            </w:tcBorders>
            <w:vAlign w:val="center"/>
          </w:tcPr>
          <w:p w14:paraId="698B986D" w14:textId="0623F615" w:rsidR="009023F5" w:rsidRPr="00B63BEE" w:rsidRDefault="009023F5" w:rsidP="003A75D1">
            <w:pPr>
              <w:pStyle w:val="Tabletext"/>
              <w:cnfStyle w:val="010000000000" w:firstRow="0" w:lastRow="1" w:firstColumn="0" w:lastColumn="0" w:oddVBand="0" w:evenVBand="0" w:oddHBand="0" w:evenHBand="0" w:firstRowFirstColumn="0" w:firstRowLastColumn="0" w:lastRowFirstColumn="0" w:lastRowLastColumn="0"/>
              <w:rPr>
                <w:bCs w:val="0"/>
                <w:noProof/>
                <w:lang w:eastAsia="en-AU"/>
              </w:rPr>
            </w:pPr>
            <w:r w:rsidRPr="009A4BD4">
              <w:rPr>
                <w:noProof/>
                <w:szCs w:val="20"/>
                <w:lang w:eastAsia="en-AU"/>
              </w:rPr>
              <mc:AlternateContent>
                <mc:Choice Requires="wps">
                  <w:drawing>
                    <wp:inline distT="0" distB="0" distL="0" distR="0" wp14:anchorId="6DBA5046" wp14:editId="1FA68983">
                      <wp:extent cx="101600" cy="118533"/>
                      <wp:effectExtent l="57150" t="38100" r="31750" b="91440"/>
                      <wp:docPr id="1" name="Oval 1"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" fillcolor="#cdddac [1622]" strokecolor="#94b64e [3046]">
                      <v:fill color2="#f0f4e6 [502]" rotate="t" angle="180" colors="0 #dafda7;22938f #e4fdc2;1 #f5ffe6" focus="100%" type="gradient"/>
                      <v:shadow on="t" color="black" opacity="24903f" origin=",.5" offset="0,.55556mm"/>
                      <w10:anchorlock/>
                    </v:oval>
                  </w:pict>
                </mc:Fallback>
              </mc:AlternateContent>
            </w:r>
            <w:r w:rsidRPr="003B5D09">
              <w:rPr>
                <w:rFonts w:ascii="Times New Roman" w:hAnsi="Times New Roman"/>
                <w:b w:val="0"/>
              </w:rPr>
              <w:t>Good</w:t>
            </w:r>
          </w:p>
        </w:tc>
      </w:tr>
    </w:tbl>
    <w:p w14:paraId="45FF73AD" w14:textId="705DDF51" w:rsidR="008F71DA" w:rsidRPr="00A9092B" w:rsidRDefault="008F71DA" w:rsidP="0067756D">
      <w:pPr>
        <w:pStyle w:val="Heading2"/>
        <w:numPr>
          <w:ilvl w:val="0"/>
          <w:numId w:val="0"/>
        </w:numPr>
        <w:spacing w:before="240"/>
        <w:jc w:val="left"/>
      </w:pPr>
      <w:bookmarkStart w:id="3" w:name="_Toc470173129"/>
      <w:r w:rsidRPr="00A9092B">
        <w:lastRenderedPageBreak/>
        <w:t>Performance Improvement Actions Identified</w:t>
      </w:r>
      <w:bookmarkEnd w:id="3"/>
    </w:p>
    <w:p w14:paraId="74057C9A" w14:textId="7E81A5E9" w:rsidR="00C71D89" w:rsidRPr="00A9092B" w:rsidRDefault="00C71D89" w:rsidP="0067756D">
      <w:pPr>
        <w:spacing w:after="120"/>
      </w:pPr>
      <w:r w:rsidRPr="00A9092B">
        <w:t xml:space="preserve">The following actions </w:t>
      </w:r>
      <w:proofErr w:type="gramStart"/>
      <w:r w:rsidR="008E369A">
        <w:t>were recommended</w:t>
      </w:r>
      <w:proofErr w:type="gramEnd"/>
      <w:r w:rsidR="008E369A">
        <w:t xml:space="preserve"> for consideration</w:t>
      </w:r>
      <w:r w:rsidR="004A3E8A" w:rsidRPr="00A9092B">
        <w:t>:</w:t>
      </w:r>
    </w:p>
    <w:p w14:paraId="118A0819" w14:textId="3E37A237" w:rsidR="00FD01B7" w:rsidRPr="00A9092B" w:rsidRDefault="00FD01B7" w:rsidP="00972601">
      <w:pPr>
        <w:pStyle w:val="ListParagraph"/>
        <w:numPr>
          <w:ilvl w:val="0"/>
          <w:numId w:val="37"/>
        </w:numPr>
        <w:spacing w:after="120"/>
        <w:ind w:left="360"/>
      </w:pPr>
      <w:r w:rsidRPr="00A9092B">
        <w:t xml:space="preserve">Review </w:t>
      </w:r>
      <w:r w:rsidR="003103CA">
        <w:t>ARPANSA</w:t>
      </w:r>
      <w:r w:rsidRPr="00A9092B">
        <w:t>’s PI targets to ensure that goals are achievable, realistic</w:t>
      </w:r>
      <w:r w:rsidR="00450897" w:rsidRPr="00A9092B">
        <w:t xml:space="preserve"> and align </w:t>
      </w:r>
      <w:r w:rsidR="006A3AF1">
        <w:t xml:space="preserve">better </w:t>
      </w:r>
      <w:r w:rsidR="00450897" w:rsidRPr="00A9092B">
        <w:t xml:space="preserve">with the intention of the </w:t>
      </w:r>
      <w:r w:rsidR="00785E00">
        <w:t xml:space="preserve">RPF </w:t>
      </w:r>
      <w:r w:rsidR="00905F0A" w:rsidRPr="00A9092B">
        <w:t>K</w:t>
      </w:r>
      <w:r w:rsidR="00450897" w:rsidRPr="00A9092B">
        <w:t>PI</w:t>
      </w:r>
      <w:r w:rsidR="00EA7D17">
        <w:t>s</w:t>
      </w:r>
      <w:r w:rsidRPr="00A9092B">
        <w:t>.</w:t>
      </w:r>
    </w:p>
    <w:p w14:paraId="77656D23" w14:textId="77777777" w:rsidR="0004787A" w:rsidRPr="00A9092B" w:rsidRDefault="00AF261D" w:rsidP="00972601">
      <w:pPr>
        <w:pStyle w:val="ListParagraph"/>
        <w:numPr>
          <w:ilvl w:val="0"/>
          <w:numId w:val="37"/>
        </w:numPr>
        <w:spacing w:after="120"/>
        <w:ind w:left="360"/>
      </w:pPr>
      <w:r w:rsidRPr="00A9092B">
        <w:t>Improve standardisation of inspections</w:t>
      </w:r>
      <w:r w:rsidR="00323563" w:rsidRPr="00A9092B">
        <w:t xml:space="preserve">, outcomes and approaches </w:t>
      </w:r>
      <w:r w:rsidRPr="00A9092B">
        <w:t xml:space="preserve">through training and </w:t>
      </w:r>
      <w:r w:rsidR="00450897" w:rsidRPr="00A9092B">
        <w:t>teamwork</w:t>
      </w:r>
      <w:r w:rsidR="00390D89">
        <w:t xml:space="preserve"> strategies</w:t>
      </w:r>
      <w:r w:rsidR="00450897" w:rsidRPr="00A9092B">
        <w:t>.</w:t>
      </w:r>
    </w:p>
    <w:p w14:paraId="182BCF30" w14:textId="0013F1FB" w:rsidR="005F46E0" w:rsidRPr="00367B9F" w:rsidRDefault="006A3AF1" w:rsidP="00972601">
      <w:pPr>
        <w:pStyle w:val="ListParagraph"/>
        <w:numPr>
          <w:ilvl w:val="0"/>
          <w:numId w:val="37"/>
        </w:numPr>
        <w:spacing w:after="120"/>
        <w:ind w:left="360"/>
      </w:pPr>
      <w:proofErr w:type="gramStart"/>
      <w:r>
        <w:t>Further</w:t>
      </w:r>
      <w:proofErr w:type="gramEnd"/>
      <w:r>
        <w:t xml:space="preserve"> i</w:t>
      </w:r>
      <w:r w:rsidR="00323563" w:rsidRPr="00A9092B">
        <w:t xml:space="preserve">mprove communication with </w:t>
      </w:r>
      <w:r w:rsidR="001F7A0E">
        <w:t>licence holder</w:t>
      </w:r>
      <w:r w:rsidR="006712A6" w:rsidRPr="00A9092B">
        <w:t>s</w:t>
      </w:r>
      <w:r w:rsidR="00323563" w:rsidRPr="00A9092B">
        <w:t xml:space="preserve"> through</w:t>
      </w:r>
      <w:r w:rsidR="008D1CC8" w:rsidRPr="00A9092B">
        <w:t xml:space="preserve"> </w:t>
      </w:r>
      <w:r w:rsidR="004627F4" w:rsidRPr="00A9092B">
        <w:t>increased feedback and improved guidance material.</w:t>
      </w:r>
      <w:r w:rsidR="00367B9F">
        <w:br w:type="page"/>
      </w:r>
    </w:p>
    <w:p w14:paraId="63B82A6B" w14:textId="77777777" w:rsidR="000E45B8" w:rsidRPr="00A9092B" w:rsidRDefault="000E45B8" w:rsidP="00133CE8">
      <w:pPr>
        <w:pStyle w:val="Heading1"/>
        <w:numPr>
          <w:ilvl w:val="0"/>
          <w:numId w:val="34"/>
        </w:numPr>
      </w:pPr>
      <w:bookmarkStart w:id="4" w:name="_Toc470173130"/>
      <w:r w:rsidRPr="00A9092B">
        <w:lastRenderedPageBreak/>
        <w:t>Introduction</w:t>
      </w:r>
      <w:bookmarkEnd w:id="4"/>
    </w:p>
    <w:p w14:paraId="2B403DBD" w14:textId="5B3DD586" w:rsidR="000E45B8" w:rsidRPr="00A9092B" w:rsidRDefault="009548CF" w:rsidP="00133CE8">
      <w:pPr>
        <w:pStyle w:val="Heading2"/>
        <w:jc w:val="left"/>
      </w:pPr>
      <w:bookmarkStart w:id="5" w:name="_Toc470173131"/>
      <w:r w:rsidRPr="00A9092B">
        <w:t xml:space="preserve">The </w:t>
      </w:r>
      <w:r w:rsidR="000E45B8" w:rsidRPr="00A9092B">
        <w:t>Agency</w:t>
      </w:r>
      <w:bookmarkEnd w:id="5"/>
    </w:p>
    <w:p w14:paraId="1F896D3F" w14:textId="55841CAD" w:rsidR="0073279D" w:rsidRPr="00766632" w:rsidRDefault="00545FA9" w:rsidP="00972601">
      <w:r>
        <w:t xml:space="preserve">The </w:t>
      </w:r>
      <w:r w:rsidRPr="00A9092B">
        <w:t xml:space="preserve">Australian Radiation Protection and Nuclear Safety Agency </w:t>
      </w:r>
      <w:r>
        <w:t>(</w:t>
      </w:r>
      <w:r w:rsidR="0073279D" w:rsidRPr="00A9092B">
        <w:t>ARPANSA</w:t>
      </w:r>
      <w:r>
        <w:t>)</w:t>
      </w:r>
      <w:r w:rsidR="0073279D" w:rsidRPr="00A9092B">
        <w:t xml:space="preserve"> is </w:t>
      </w:r>
      <w:r w:rsidRPr="00A9092B">
        <w:t xml:space="preserve">a portfolio agency of the Department of Health, and </w:t>
      </w:r>
      <w:proofErr w:type="gramStart"/>
      <w:r w:rsidRPr="00A9092B">
        <w:t>is</w:t>
      </w:r>
      <w:proofErr w:type="gramEnd"/>
      <w:r w:rsidRPr="00A9092B">
        <w:t xml:space="preserve"> prescribed as a non-corporate Commonwealth entity under the </w:t>
      </w:r>
      <w:r w:rsidRPr="00D44DA2">
        <w:rPr>
          <w:i/>
        </w:rPr>
        <w:t>Public Governance, Performance and Accountability Act 2013</w:t>
      </w:r>
      <w:r w:rsidRPr="00A9092B">
        <w:t>.</w:t>
      </w:r>
      <w:r>
        <w:t xml:space="preserve"> ARPANSA is the </w:t>
      </w:r>
      <w:r w:rsidR="0073279D" w:rsidRPr="00A9092B">
        <w:t xml:space="preserve">Australian Government's primary authority on radiation protection and nuclear safety. </w:t>
      </w:r>
    </w:p>
    <w:p w14:paraId="5A8D4098" w14:textId="33D158C3" w:rsidR="00415BA7" w:rsidRDefault="00415BA7" w:rsidP="00972601">
      <w:r w:rsidRPr="00A9092B">
        <w:t xml:space="preserve">The </w:t>
      </w:r>
      <w:r w:rsidRPr="001103BB">
        <w:rPr>
          <w:i/>
        </w:rPr>
        <w:t>Australian Radiation Protection and Nuclear Safety Act 1998</w:t>
      </w:r>
      <w:r w:rsidRPr="001103BB">
        <w:t xml:space="preserve"> </w:t>
      </w:r>
      <w:r>
        <w:t>(</w:t>
      </w:r>
      <w:r w:rsidR="001E212C">
        <w:t>the</w:t>
      </w:r>
      <w:r>
        <w:t xml:space="preserve"> </w:t>
      </w:r>
      <w:r w:rsidRPr="00A9092B">
        <w:t>Act</w:t>
      </w:r>
      <w:r>
        <w:t>)</w:t>
      </w:r>
      <w:r w:rsidRPr="00A9092B">
        <w:t xml:space="preserve"> establishes the CEO of ARPANSA</w:t>
      </w:r>
      <w:r w:rsidR="003D6AB6">
        <w:t xml:space="preserve"> as the safety regulator of Commonwealth entities engaged in nuclear or radiation activities</w:t>
      </w:r>
      <w:r>
        <w:t xml:space="preserve">. The object of the Act is to protect people and the environment from the harmful effects of radiation. </w:t>
      </w:r>
    </w:p>
    <w:p w14:paraId="77F3E540" w14:textId="416C6EC8" w:rsidR="00237AE0" w:rsidRPr="00A9092B" w:rsidRDefault="00237AE0" w:rsidP="00972601">
      <w:r>
        <w:t xml:space="preserve">The Act </w:t>
      </w:r>
      <w:proofErr w:type="gramStart"/>
      <w:r>
        <w:t>was amended</w:t>
      </w:r>
      <w:proofErr w:type="gramEnd"/>
      <w:r>
        <w:t xml:space="preserve"> in late 2015 to improve the clarity of </w:t>
      </w:r>
      <w:r w:rsidR="000946E7">
        <w:t xml:space="preserve">regulatory </w:t>
      </w:r>
      <w:r>
        <w:t xml:space="preserve">requirements related </w:t>
      </w:r>
      <w:r w:rsidRPr="000D5BA4">
        <w:t>to</w:t>
      </w:r>
      <w:r>
        <w:t xml:space="preserve"> legacy sites and for</w:t>
      </w:r>
      <w:r w:rsidRPr="000D5BA4">
        <w:t xml:space="preserve"> contractors working with Commonwealth</w:t>
      </w:r>
      <w:r>
        <w:t xml:space="preserve"> agencies</w:t>
      </w:r>
      <w:r w:rsidR="000946E7">
        <w:t>. It also updated</w:t>
      </w:r>
      <w:r>
        <w:t xml:space="preserve"> the language</w:t>
      </w:r>
      <w:r w:rsidR="003D1683">
        <w:t xml:space="preserve"> </w:t>
      </w:r>
      <w:r>
        <w:t>to be more consistent with national</w:t>
      </w:r>
      <w:r w:rsidR="003D6AB6">
        <w:t>ly</w:t>
      </w:r>
      <w:r>
        <w:t xml:space="preserve"> and international</w:t>
      </w:r>
      <w:r w:rsidR="003D6AB6">
        <w:t>ly</w:t>
      </w:r>
      <w:r>
        <w:t xml:space="preserve"> accepted terms, </w:t>
      </w:r>
      <w:r w:rsidR="003D6AB6">
        <w:t>to</w:t>
      </w:r>
      <w:r>
        <w:t xml:space="preserve"> </w:t>
      </w:r>
      <w:r w:rsidR="000946E7">
        <w:t>ma</w:t>
      </w:r>
      <w:r w:rsidR="003D6AB6">
        <w:t>ke</w:t>
      </w:r>
      <w:r w:rsidR="000946E7">
        <w:t xml:space="preserve"> </w:t>
      </w:r>
      <w:r>
        <w:t>minor changes to enhance regulatory administration</w:t>
      </w:r>
      <w:r w:rsidR="003F054B">
        <w:t>,</w:t>
      </w:r>
      <w:r>
        <w:t xml:space="preserve"> and provide additional options to enhance the graded approach to non-compliance. </w:t>
      </w:r>
    </w:p>
    <w:p w14:paraId="21D8A3FE" w14:textId="1DFE608C" w:rsidR="007B2F86" w:rsidRPr="00A9092B" w:rsidRDefault="005278B8" w:rsidP="00972601">
      <w:pPr>
        <w:rPr>
          <w:spacing w:val="-4"/>
        </w:rPr>
      </w:pPr>
      <w:r w:rsidRPr="00A9092B">
        <w:t>The CEO has both regulatory and non-regulatory functions</w:t>
      </w:r>
      <w:r>
        <w:t xml:space="preserve">. </w:t>
      </w:r>
      <w:r w:rsidRPr="00A9092B">
        <w:t>The non-regulatory functions include providing scientific advice, radiation monitoring and calibration services, and undertaking research.</w:t>
      </w:r>
      <w:r>
        <w:t xml:space="preserve"> </w:t>
      </w:r>
      <w:r w:rsidR="007B2F86" w:rsidRPr="00A9092B">
        <w:rPr>
          <w:spacing w:val="-4"/>
        </w:rPr>
        <w:t xml:space="preserve">The Regulatory Services Branch (RSB) </w:t>
      </w:r>
      <w:r w:rsidR="007808A5">
        <w:rPr>
          <w:spacing w:val="-4"/>
        </w:rPr>
        <w:t xml:space="preserve">of ARPANSA </w:t>
      </w:r>
      <w:r w:rsidR="007B2F86" w:rsidRPr="00A9092B">
        <w:rPr>
          <w:spacing w:val="-4"/>
        </w:rPr>
        <w:t xml:space="preserve">assists the CEO </w:t>
      </w:r>
      <w:proofErr w:type="gramStart"/>
      <w:r w:rsidR="007B2F86" w:rsidRPr="00A9092B">
        <w:rPr>
          <w:spacing w:val="-4"/>
        </w:rPr>
        <w:t>perform</w:t>
      </w:r>
      <w:proofErr w:type="gramEnd"/>
      <w:r w:rsidR="007B2F86" w:rsidRPr="00A9092B">
        <w:rPr>
          <w:spacing w:val="-4"/>
        </w:rPr>
        <w:t xml:space="preserve"> his regulatory functions</w:t>
      </w:r>
      <w:r w:rsidR="00C74FE4">
        <w:rPr>
          <w:spacing w:val="-4"/>
        </w:rPr>
        <w:t xml:space="preserve">. </w:t>
      </w:r>
      <w:r w:rsidR="007B2F86" w:rsidRPr="00A9092B">
        <w:rPr>
          <w:spacing w:val="-4"/>
        </w:rPr>
        <w:t xml:space="preserve">The </w:t>
      </w:r>
      <w:r w:rsidR="007B2F86" w:rsidRPr="00A9092B">
        <w:rPr>
          <w:color w:val="000000"/>
          <w:spacing w:val="-4"/>
        </w:rPr>
        <w:t>RS</w:t>
      </w:r>
      <w:r w:rsidR="007B2F86" w:rsidRPr="00A9092B">
        <w:rPr>
          <w:spacing w:val="-4"/>
        </w:rPr>
        <w:t>B has primary responsibility for regulati</w:t>
      </w:r>
      <w:r w:rsidR="007808A5">
        <w:rPr>
          <w:spacing w:val="-4"/>
        </w:rPr>
        <w:t>n</w:t>
      </w:r>
      <w:r w:rsidR="00C264B1">
        <w:rPr>
          <w:spacing w:val="-4"/>
        </w:rPr>
        <w:t>g</w:t>
      </w:r>
      <w:r w:rsidR="007808A5">
        <w:rPr>
          <w:spacing w:val="-4"/>
        </w:rPr>
        <w:t xml:space="preserve"> </w:t>
      </w:r>
      <w:r w:rsidR="007B2F86" w:rsidRPr="00A9092B">
        <w:rPr>
          <w:spacing w:val="-4"/>
        </w:rPr>
        <w:t>the safety and security of Commonwealth facilities and sources. In addition to licensing, compliance monitoring and enforcement, the RSB also investigates accidents and incidents</w:t>
      </w:r>
      <w:r w:rsidR="00752042">
        <w:rPr>
          <w:spacing w:val="-4"/>
        </w:rPr>
        <w:t>,</w:t>
      </w:r>
      <w:r w:rsidR="007B2F86" w:rsidRPr="00A9092B">
        <w:rPr>
          <w:spacing w:val="-4"/>
        </w:rPr>
        <w:t xml:space="preserve"> and prepares regulatory guidance</w:t>
      </w:r>
      <w:r w:rsidR="00003038" w:rsidRPr="00A9092B">
        <w:rPr>
          <w:spacing w:val="-4"/>
        </w:rPr>
        <w:t>.</w:t>
      </w:r>
      <w:r w:rsidR="00DB0D2B">
        <w:rPr>
          <w:spacing w:val="-4"/>
        </w:rPr>
        <w:t xml:space="preserve"> RSB draws on </w:t>
      </w:r>
      <w:r w:rsidR="00405BD9">
        <w:rPr>
          <w:spacing w:val="-4"/>
        </w:rPr>
        <w:t>expertise</w:t>
      </w:r>
      <w:r w:rsidR="00DB0D2B">
        <w:rPr>
          <w:spacing w:val="-4"/>
        </w:rPr>
        <w:t xml:space="preserve"> </w:t>
      </w:r>
      <w:r w:rsidR="000946E7">
        <w:rPr>
          <w:spacing w:val="-4"/>
        </w:rPr>
        <w:t xml:space="preserve">from </w:t>
      </w:r>
      <w:r w:rsidR="00DB0D2B">
        <w:rPr>
          <w:spacing w:val="-4"/>
        </w:rPr>
        <w:t>other functional units of ARPANSA as required and appropriate.</w:t>
      </w:r>
    </w:p>
    <w:p w14:paraId="0F180564" w14:textId="7C040520" w:rsidR="00237AE0" w:rsidRDefault="001E212C" w:rsidP="00972601">
      <w:pPr>
        <w:rPr>
          <w:spacing w:val="-4"/>
        </w:rPr>
      </w:pPr>
      <w:r>
        <w:rPr>
          <w:spacing w:val="-4"/>
        </w:rPr>
        <w:t xml:space="preserve">To meet the object of the Act, </w:t>
      </w:r>
      <w:r w:rsidR="00661F3E">
        <w:rPr>
          <w:spacing w:val="-4"/>
        </w:rPr>
        <w:t>ARPANSA</w:t>
      </w:r>
      <w:r w:rsidR="00661F3E" w:rsidRPr="00A9092B">
        <w:rPr>
          <w:spacing w:val="-4"/>
        </w:rPr>
        <w:t xml:space="preserve"> is responsible for </w:t>
      </w:r>
      <w:r w:rsidR="00BB699A">
        <w:rPr>
          <w:spacing w:val="-4"/>
        </w:rPr>
        <w:t xml:space="preserve">the </w:t>
      </w:r>
      <w:r w:rsidR="00312B3E">
        <w:rPr>
          <w:spacing w:val="-4"/>
        </w:rPr>
        <w:t xml:space="preserve">safety regulation </w:t>
      </w:r>
      <w:r w:rsidR="00661F3E" w:rsidRPr="00A9092B">
        <w:rPr>
          <w:spacing w:val="-4"/>
        </w:rPr>
        <w:t>of</w:t>
      </w:r>
      <w:r w:rsidR="00BB699A">
        <w:rPr>
          <w:spacing w:val="-4"/>
        </w:rPr>
        <w:t xml:space="preserve"> </w:t>
      </w:r>
      <w:r w:rsidR="007D4B82">
        <w:rPr>
          <w:spacing w:val="-4"/>
        </w:rPr>
        <w:t xml:space="preserve">50 </w:t>
      </w:r>
      <w:r w:rsidR="00312B3E">
        <w:rPr>
          <w:spacing w:val="-4"/>
        </w:rPr>
        <w:t xml:space="preserve">nuclear and radiation </w:t>
      </w:r>
      <w:r w:rsidR="00661F3E" w:rsidRPr="00A9092B">
        <w:rPr>
          <w:spacing w:val="-4"/>
        </w:rPr>
        <w:t>facilit</w:t>
      </w:r>
      <w:r w:rsidR="007D4B82">
        <w:rPr>
          <w:spacing w:val="-4"/>
        </w:rPr>
        <w:t>ies under</w:t>
      </w:r>
      <w:r w:rsidR="00661F3E" w:rsidRPr="00A9092B">
        <w:rPr>
          <w:spacing w:val="-4"/>
        </w:rPr>
        <w:t xml:space="preserve"> </w:t>
      </w:r>
      <w:r w:rsidR="007D4B82" w:rsidRPr="00A9092B">
        <w:rPr>
          <w:spacing w:val="-4"/>
        </w:rPr>
        <w:t xml:space="preserve">37 </w:t>
      </w:r>
      <w:r w:rsidR="00256163">
        <w:rPr>
          <w:spacing w:val="-4"/>
        </w:rPr>
        <w:t xml:space="preserve">facility </w:t>
      </w:r>
      <w:r w:rsidR="00661F3E" w:rsidRPr="00A9092B">
        <w:rPr>
          <w:spacing w:val="-4"/>
        </w:rPr>
        <w:t xml:space="preserve">licences and </w:t>
      </w:r>
      <w:r w:rsidR="0073279D">
        <w:rPr>
          <w:spacing w:val="-4"/>
        </w:rPr>
        <w:t>approximately 70,000 radiation sources</w:t>
      </w:r>
      <w:r w:rsidR="0073279D" w:rsidRPr="00A9092B">
        <w:rPr>
          <w:spacing w:val="-4"/>
        </w:rPr>
        <w:t xml:space="preserve"> </w:t>
      </w:r>
      <w:r w:rsidR="0073279D">
        <w:rPr>
          <w:spacing w:val="-4"/>
        </w:rPr>
        <w:t xml:space="preserve">under </w:t>
      </w:r>
      <w:r w:rsidR="006B08C7" w:rsidRPr="00A9092B">
        <w:rPr>
          <w:spacing w:val="-4"/>
        </w:rPr>
        <w:t>5</w:t>
      </w:r>
      <w:r w:rsidR="006B08C7">
        <w:rPr>
          <w:spacing w:val="-4"/>
        </w:rPr>
        <w:t>7</w:t>
      </w:r>
      <w:r w:rsidR="006B08C7" w:rsidRPr="00A9092B">
        <w:rPr>
          <w:spacing w:val="-4"/>
        </w:rPr>
        <w:t xml:space="preserve"> </w:t>
      </w:r>
      <w:r w:rsidR="00661F3E" w:rsidRPr="00A9092B">
        <w:rPr>
          <w:spacing w:val="-4"/>
        </w:rPr>
        <w:t xml:space="preserve">source </w:t>
      </w:r>
      <w:r w:rsidR="00661F3E" w:rsidRPr="00FE6A12">
        <w:rPr>
          <w:spacing w:val="-4"/>
        </w:rPr>
        <w:t xml:space="preserve">licences. </w:t>
      </w:r>
      <w:r w:rsidR="005215B4" w:rsidRPr="00664616">
        <w:rPr>
          <w:spacing w:val="-4"/>
        </w:rPr>
        <w:t xml:space="preserve">The </w:t>
      </w:r>
      <w:r w:rsidR="00664616">
        <w:rPr>
          <w:spacing w:val="-4"/>
        </w:rPr>
        <w:t>complexity of</w:t>
      </w:r>
      <w:r w:rsidR="00237AE0" w:rsidRPr="00664616">
        <w:rPr>
          <w:spacing w:val="-4"/>
        </w:rPr>
        <w:t xml:space="preserve"> these licen</w:t>
      </w:r>
      <w:r w:rsidR="005215B4" w:rsidRPr="00664616">
        <w:rPr>
          <w:spacing w:val="-4"/>
        </w:rPr>
        <w:t>s</w:t>
      </w:r>
      <w:r w:rsidR="00237AE0" w:rsidRPr="00664616">
        <w:rPr>
          <w:spacing w:val="-4"/>
        </w:rPr>
        <w:t xml:space="preserve">ed activities </w:t>
      </w:r>
      <w:r w:rsidR="00FA11DE" w:rsidRPr="00664616">
        <w:rPr>
          <w:spacing w:val="-4"/>
        </w:rPr>
        <w:t xml:space="preserve">range </w:t>
      </w:r>
      <w:r w:rsidR="00237AE0" w:rsidRPr="00664616">
        <w:rPr>
          <w:spacing w:val="-4"/>
        </w:rPr>
        <w:t xml:space="preserve">from the </w:t>
      </w:r>
      <w:proofErr w:type="gramStart"/>
      <w:r w:rsidR="00237AE0" w:rsidRPr="00664616">
        <w:rPr>
          <w:spacing w:val="-4"/>
        </w:rPr>
        <w:t>20 megawatt</w:t>
      </w:r>
      <w:proofErr w:type="gramEnd"/>
      <w:r w:rsidR="00237AE0" w:rsidRPr="00664616">
        <w:rPr>
          <w:spacing w:val="-4"/>
        </w:rPr>
        <w:t xml:space="preserve"> OPAL research reactor to low risk items such as x-ray baggage scanners and handheld radiofrequency and ultraviolet sources</w:t>
      </w:r>
      <w:r w:rsidR="00237AE0" w:rsidRPr="00237AE0">
        <w:rPr>
          <w:spacing w:val="-4"/>
        </w:rPr>
        <w:t>.</w:t>
      </w:r>
      <w:r w:rsidR="00685644" w:rsidRPr="00685644">
        <w:rPr>
          <w:spacing w:val="-4"/>
        </w:rPr>
        <w:t xml:space="preserve"> </w:t>
      </w:r>
      <w:r w:rsidR="00685644" w:rsidRPr="00FE6A12">
        <w:rPr>
          <w:spacing w:val="-4"/>
        </w:rPr>
        <w:t xml:space="preserve">A full </w:t>
      </w:r>
      <w:r w:rsidR="00685644" w:rsidRPr="00E428C6">
        <w:rPr>
          <w:spacing w:val="-4"/>
        </w:rPr>
        <w:t xml:space="preserve">list of the </w:t>
      </w:r>
      <w:r w:rsidR="00685644">
        <w:rPr>
          <w:spacing w:val="-4"/>
        </w:rPr>
        <w:t>45</w:t>
      </w:r>
      <w:r w:rsidR="00685644" w:rsidRPr="00E428C6">
        <w:rPr>
          <w:spacing w:val="-4"/>
        </w:rPr>
        <w:t xml:space="preserve"> </w:t>
      </w:r>
      <w:r w:rsidR="00685644">
        <w:rPr>
          <w:spacing w:val="-4"/>
        </w:rPr>
        <w:t>C</w:t>
      </w:r>
      <w:r w:rsidR="00685644" w:rsidRPr="00E428C6">
        <w:rPr>
          <w:spacing w:val="-4"/>
        </w:rPr>
        <w:t>ommonwealth entities that h</w:t>
      </w:r>
      <w:r w:rsidR="00685644">
        <w:rPr>
          <w:spacing w:val="-4"/>
        </w:rPr>
        <w:t>e</w:t>
      </w:r>
      <w:r w:rsidR="00685644" w:rsidRPr="00E428C6">
        <w:rPr>
          <w:spacing w:val="-4"/>
        </w:rPr>
        <w:t>ld licences</w:t>
      </w:r>
      <w:r w:rsidR="00685644">
        <w:rPr>
          <w:spacing w:val="-4"/>
        </w:rPr>
        <w:t xml:space="preserve"> as at 30 June 2016</w:t>
      </w:r>
      <w:r w:rsidR="00685644" w:rsidRPr="00E428C6">
        <w:rPr>
          <w:spacing w:val="-4"/>
        </w:rPr>
        <w:t xml:space="preserve"> </w:t>
      </w:r>
      <w:proofErr w:type="gramStart"/>
      <w:r w:rsidR="00685644" w:rsidRPr="00E428C6">
        <w:rPr>
          <w:spacing w:val="-4"/>
        </w:rPr>
        <w:t>is provided</w:t>
      </w:r>
      <w:proofErr w:type="gramEnd"/>
      <w:r w:rsidR="00685644" w:rsidRPr="00FE6A12">
        <w:rPr>
          <w:spacing w:val="-4"/>
        </w:rPr>
        <w:t xml:space="preserve"> in </w:t>
      </w:r>
      <w:r w:rsidR="00685644">
        <w:rPr>
          <w:spacing w:val="-4"/>
        </w:rPr>
        <w:t>A</w:t>
      </w:r>
      <w:r w:rsidR="00685644" w:rsidRPr="00FE6A12">
        <w:rPr>
          <w:spacing w:val="-4"/>
        </w:rPr>
        <w:t>ppendix</w:t>
      </w:r>
      <w:r w:rsidR="00685644">
        <w:rPr>
          <w:spacing w:val="-4"/>
        </w:rPr>
        <w:t> </w:t>
      </w:r>
      <w:r w:rsidR="00685644" w:rsidRPr="00FE6A12">
        <w:rPr>
          <w:spacing w:val="-4"/>
        </w:rPr>
        <w:t>A.</w:t>
      </w:r>
    </w:p>
    <w:p w14:paraId="2793970F" w14:textId="4253DE3E" w:rsidR="00797B83" w:rsidRPr="00A9092B" w:rsidRDefault="00EE5178" w:rsidP="00972601">
      <w:pPr>
        <w:rPr>
          <w:spacing w:val="-4"/>
        </w:rPr>
      </w:pPr>
      <w:r>
        <w:rPr>
          <w:spacing w:val="-4"/>
        </w:rPr>
        <w:t>R</w:t>
      </w:r>
      <w:r w:rsidR="00797B83">
        <w:rPr>
          <w:spacing w:val="-4"/>
        </w:rPr>
        <w:t xml:space="preserve">egulatory activities include the assessment and issuing of new licences, amendment of licences, </w:t>
      </w:r>
      <w:r w:rsidR="003D1683">
        <w:rPr>
          <w:spacing w:val="-4"/>
        </w:rPr>
        <w:t xml:space="preserve">assessment </w:t>
      </w:r>
      <w:r w:rsidR="00797B83">
        <w:rPr>
          <w:spacing w:val="-4"/>
        </w:rPr>
        <w:t xml:space="preserve">of </w:t>
      </w:r>
      <w:r w:rsidR="00415BA7">
        <w:rPr>
          <w:spacing w:val="-4"/>
        </w:rPr>
        <w:t>changes significant to safety</w:t>
      </w:r>
      <w:r w:rsidR="005215B4">
        <w:rPr>
          <w:spacing w:val="-4"/>
        </w:rPr>
        <w:t>,</w:t>
      </w:r>
      <w:r w:rsidR="00415BA7">
        <w:rPr>
          <w:spacing w:val="-4"/>
        </w:rPr>
        <w:t xml:space="preserve"> and monitoring compliance with the Act</w:t>
      </w:r>
      <w:r w:rsidR="0073279D">
        <w:rPr>
          <w:spacing w:val="-4"/>
        </w:rPr>
        <w:t>,</w:t>
      </w:r>
      <w:r w:rsidR="00415BA7">
        <w:rPr>
          <w:spacing w:val="-4"/>
        </w:rPr>
        <w:t xml:space="preserve"> </w:t>
      </w:r>
      <w:r w:rsidR="00B20915">
        <w:rPr>
          <w:spacing w:val="-4"/>
        </w:rPr>
        <w:t>Regulations and</w:t>
      </w:r>
      <w:r w:rsidR="00FA661D">
        <w:rPr>
          <w:spacing w:val="-4"/>
        </w:rPr>
        <w:t xml:space="preserve"> </w:t>
      </w:r>
      <w:r w:rsidR="00415BA7">
        <w:rPr>
          <w:spacing w:val="-4"/>
        </w:rPr>
        <w:t xml:space="preserve">licence conditions. </w:t>
      </w:r>
      <w:r w:rsidR="00685644">
        <w:rPr>
          <w:spacing w:val="-4"/>
        </w:rPr>
        <w:t xml:space="preserve"> </w:t>
      </w:r>
    </w:p>
    <w:p w14:paraId="1726BABB" w14:textId="68B775ED" w:rsidR="0055456B" w:rsidRPr="00931668" w:rsidRDefault="000242D9" w:rsidP="00972601">
      <w:r>
        <w:t>R</w:t>
      </w:r>
      <w:r w:rsidR="002538B3" w:rsidRPr="00A9092B">
        <w:t xml:space="preserve">esources </w:t>
      </w:r>
      <w:r w:rsidR="002538B3">
        <w:t>for</w:t>
      </w:r>
      <w:r w:rsidR="002538B3" w:rsidRPr="00A9092B">
        <w:t xml:space="preserve"> </w:t>
      </w:r>
      <w:r w:rsidR="00797B83">
        <w:t xml:space="preserve">compliance monitoring and </w:t>
      </w:r>
      <w:r w:rsidR="002538B3" w:rsidRPr="00A9092B">
        <w:t xml:space="preserve">inspection </w:t>
      </w:r>
      <w:proofErr w:type="gramStart"/>
      <w:r w:rsidR="002538B3">
        <w:t>are allocated</w:t>
      </w:r>
      <w:proofErr w:type="gramEnd"/>
      <w:r w:rsidR="002538B3">
        <w:t xml:space="preserve"> </w:t>
      </w:r>
      <w:r w:rsidR="002538B3" w:rsidRPr="00A9092B">
        <w:t>using a risk-</w:t>
      </w:r>
      <w:r w:rsidR="002538B3">
        <w:t xml:space="preserve">based </w:t>
      </w:r>
      <w:r w:rsidR="00752DB8">
        <w:t xml:space="preserve">graded </w:t>
      </w:r>
      <w:r w:rsidR="002538B3" w:rsidRPr="00A9092B">
        <w:t>approach</w:t>
      </w:r>
      <w:r w:rsidR="002538B3">
        <w:t>.</w:t>
      </w:r>
      <w:r w:rsidR="002538B3" w:rsidRPr="00A9092B">
        <w:t xml:space="preserve"> </w:t>
      </w:r>
      <w:r w:rsidR="002538B3">
        <w:t xml:space="preserve">This includes </w:t>
      </w:r>
      <w:r w:rsidR="007B2F86" w:rsidRPr="00A9092B">
        <w:t>leveraging short-term contractual arrangements</w:t>
      </w:r>
      <w:r w:rsidR="003623BC">
        <w:t>,</w:t>
      </w:r>
      <w:r w:rsidR="006C52E1">
        <w:t xml:space="preserve"> where appropriate</w:t>
      </w:r>
      <w:r w:rsidR="003623BC">
        <w:t>,</w:t>
      </w:r>
      <w:r w:rsidR="00A92C3D">
        <w:t xml:space="preserve"> to ensure the availability of specialist skills and knowledge</w:t>
      </w:r>
      <w:r w:rsidR="00C74FE4">
        <w:t xml:space="preserve">. </w:t>
      </w:r>
      <w:r w:rsidR="007C4B48" w:rsidRPr="00A9092B">
        <w:t>C</w:t>
      </w:r>
      <w:r w:rsidR="007B2F86" w:rsidRPr="00A9092B">
        <w:rPr>
          <w:spacing w:val="-2"/>
        </w:rPr>
        <w:t xml:space="preserve">osts of </w:t>
      </w:r>
      <w:r w:rsidR="00D05A37">
        <w:rPr>
          <w:spacing w:val="-2"/>
        </w:rPr>
        <w:t>ARPANSA’s regulatory</w:t>
      </w:r>
      <w:r w:rsidR="007B2F86" w:rsidRPr="00A9092B">
        <w:rPr>
          <w:spacing w:val="-2"/>
        </w:rPr>
        <w:t xml:space="preserve"> operations </w:t>
      </w:r>
      <w:proofErr w:type="gramStart"/>
      <w:r w:rsidR="007B2F86" w:rsidRPr="00A9092B">
        <w:rPr>
          <w:spacing w:val="-2"/>
        </w:rPr>
        <w:t>are recovered</w:t>
      </w:r>
      <w:proofErr w:type="gramEnd"/>
      <w:r w:rsidR="007B2F86" w:rsidRPr="00A9092B">
        <w:rPr>
          <w:spacing w:val="-2"/>
        </w:rPr>
        <w:t xml:space="preserve"> </w:t>
      </w:r>
      <w:r w:rsidR="005215B4">
        <w:rPr>
          <w:spacing w:val="-2"/>
        </w:rPr>
        <w:t>through</w:t>
      </w:r>
      <w:r w:rsidR="005215B4" w:rsidRPr="00A9092B">
        <w:rPr>
          <w:spacing w:val="-2"/>
        </w:rPr>
        <w:t xml:space="preserve"> </w:t>
      </w:r>
      <w:r w:rsidR="007B2F86" w:rsidRPr="00A9092B">
        <w:rPr>
          <w:spacing w:val="-2"/>
        </w:rPr>
        <w:t>licence application fees and annual licence charges</w:t>
      </w:r>
      <w:r w:rsidR="00C74FE4">
        <w:rPr>
          <w:spacing w:val="-2"/>
        </w:rPr>
        <w:t xml:space="preserve">. </w:t>
      </w:r>
    </w:p>
    <w:p w14:paraId="49ED3578" w14:textId="6DAA0D0B" w:rsidR="00D41DDD" w:rsidRPr="00A9092B" w:rsidRDefault="008E65AA" w:rsidP="003A75D1">
      <w:pPr>
        <w:pStyle w:val="Heading2"/>
        <w:jc w:val="left"/>
      </w:pPr>
      <w:bookmarkStart w:id="6" w:name="_Toc470173132"/>
      <w:r w:rsidRPr="00A9092B">
        <w:t>The</w:t>
      </w:r>
      <w:r w:rsidR="00D41DDD" w:rsidRPr="00A9092B">
        <w:t xml:space="preserve"> </w:t>
      </w:r>
      <w:r w:rsidR="00941216" w:rsidRPr="00A9092B">
        <w:t>R</w:t>
      </w:r>
      <w:r w:rsidR="00D41DDD" w:rsidRPr="00A9092B">
        <w:t>eport</w:t>
      </w:r>
      <w:bookmarkEnd w:id="6"/>
    </w:p>
    <w:p w14:paraId="2C291AEE" w14:textId="34DBD4C0" w:rsidR="00A94177" w:rsidRPr="00B20915" w:rsidRDefault="00A924F2" w:rsidP="00972601">
      <w:pPr>
        <w:spacing w:after="120"/>
        <w:rPr>
          <w:szCs w:val="24"/>
        </w:rPr>
      </w:pPr>
      <w:r w:rsidRPr="00A9092B">
        <w:rPr>
          <w:szCs w:val="24"/>
        </w:rPr>
        <w:t xml:space="preserve">In October 2014, the Australian Government released the Government Regulator Performance Framework (RPF), ISBN 978-925237-08, as part of the commitment to reduce </w:t>
      </w:r>
      <w:r w:rsidRPr="00A9092B">
        <w:rPr>
          <w:szCs w:val="24"/>
        </w:rPr>
        <w:lastRenderedPageBreak/>
        <w:t xml:space="preserve">unnecessary or inefficient regulation imposed on individuals, business and community organisations. </w:t>
      </w:r>
      <w:r w:rsidR="001A6596">
        <w:rPr>
          <w:szCs w:val="24"/>
        </w:rPr>
        <w:t>I</w:t>
      </w:r>
      <w:r w:rsidR="00AF776B" w:rsidRPr="00A9092B">
        <w:rPr>
          <w:szCs w:val="24"/>
        </w:rPr>
        <w:t xml:space="preserve">n December 2014, </w:t>
      </w:r>
      <w:r w:rsidR="00367B9F">
        <w:rPr>
          <w:szCs w:val="24"/>
        </w:rPr>
        <w:t>ARPANSA</w:t>
      </w:r>
      <w:r w:rsidR="007D2E01" w:rsidRPr="00A9092B">
        <w:rPr>
          <w:szCs w:val="24"/>
        </w:rPr>
        <w:t xml:space="preserve"> </w:t>
      </w:r>
      <w:r w:rsidR="00AF776B" w:rsidRPr="00A9092B">
        <w:rPr>
          <w:szCs w:val="24"/>
        </w:rPr>
        <w:t>aligned</w:t>
      </w:r>
      <w:r w:rsidR="0070049F" w:rsidRPr="00A9092B">
        <w:rPr>
          <w:szCs w:val="24"/>
        </w:rPr>
        <w:t xml:space="preserve"> its Regulatory Delivery M</w:t>
      </w:r>
      <w:r w:rsidR="007D2E01" w:rsidRPr="00A9092B">
        <w:rPr>
          <w:szCs w:val="24"/>
        </w:rPr>
        <w:t xml:space="preserve">odel with the RPF </w:t>
      </w:r>
      <w:r w:rsidR="000F6D50" w:rsidRPr="00A9092B">
        <w:rPr>
          <w:szCs w:val="24"/>
        </w:rPr>
        <w:t>to</w:t>
      </w:r>
      <w:r w:rsidR="007D2E01" w:rsidRPr="00A9092B">
        <w:rPr>
          <w:szCs w:val="24"/>
        </w:rPr>
        <w:t xml:space="preserve"> </w:t>
      </w:r>
      <w:r w:rsidR="006C52E1">
        <w:rPr>
          <w:szCs w:val="24"/>
        </w:rPr>
        <w:t>emphasise</w:t>
      </w:r>
      <w:r w:rsidR="0030498B" w:rsidRPr="00A9092B">
        <w:rPr>
          <w:color w:val="000000"/>
          <w:szCs w:val="24"/>
        </w:rPr>
        <w:t xml:space="preserve"> openness, clarity, reliability, efficiency</w:t>
      </w:r>
      <w:r w:rsidR="00A74F3A">
        <w:rPr>
          <w:color w:val="000000"/>
          <w:szCs w:val="24"/>
        </w:rPr>
        <w:t xml:space="preserve"> and effectiveness</w:t>
      </w:r>
      <w:r w:rsidR="0030498B" w:rsidRPr="00A9092B">
        <w:rPr>
          <w:color w:val="000000"/>
          <w:szCs w:val="24"/>
        </w:rPr>
        <w:t>.</w:t>
      </w:r>
      <w:r w:rsidR="006C52E1">
        <w:rPr>
          <w:color w:val="000000"/>
          <w:szCs w:val="24"/>
        </w:rPr>
        <w:t xml:space="preserve"> </w:t>
      </w:r>
    </w:p>
    <w:p w14:paraId="3FFAEA3D" w14:textId="7EE4F3AC" w:rsidR="007D2E01" w:rsidRPr="00A9092B" w:rsidRDefault="006C52E1" w:rsidP="00972601">
      <w:pPr>
        <w:spacing w:after="120"/>
        <w:rPr>
          <w:szCs w:val="24"/>
        </w:rPr>
      </w:pPr>
      <w:r>
        <w:rPr>
          <w:color w:val="000000"/>
          <w:szCs w:val="24"/>
        </w:rPr>
        <w:t>ARPANSA</w:t>
      </w:r>
      <w:r w:rsidR="0030498B" w:rsidRPr="00A9092B">
        <w:rPr>
          <w:color w:val="000000"/>
          <w:szCs w:val="24"/>
        </w:rPr>
        <w:t xml:space="preserve"> has </w:t>
      </w:r>
      <w:r w:rsidR="00AF776B" w:rsidRPr="00A9092B">
        <w:rPr>
          <w:color w:val="000000"/>
          <w:szCs w:val="24"/>
        </w:rPr>
        <w:t>sought to improve</w:t>
      </w:r>
      <w:r w:rsidR="0030498B" w:rsidRPr="00A9092B">
        <w:rPr>
          <w:color w:val="000000"/>
          <w:szCs w:val="24"/>
        </w:rPr>
        <w:t xml:space="preserve"> communication and consultation</w:t>
      </w:r>
      <w:r>
        <w:rPr>
          <w:color w:val="000000"/>
          <w:szCs w:val="24"/>
        </w:rPr>
        <w:t xml:space="preserve"> with </w:t>
      </w:r>
      <w:r w:rsidR="005215B4">
        <w:rPr>
          <w:color w:val="000000"/>
          <w:szCs w:val="24"/>
        </w:rPr>
        <w:t>l</w:t>
      </w:r>
      <w:r w:rsidR="00E969FC">
        <w:rPr>
          <w:color w:val="000000"/>
          <w:szCs w:val="24"/>
        </w:rPr>
        <w:t xml:space="preserve">icence </w:t>
      </w:r>
      <w:r w:rsidR="005215B4">
        <w:rPr>
          <w:color w:val="000000"/>
          <w:szCs w:val="24"/>
        </w:rPr>
        <w:t>h</w:t>
      </w:r>
      <w:r w:rsidR="00E969FC">
        <w:rPr>
          <w:color w:val="000000"/>
          <w:szCs w:val="24"/>
        </w:rPr>
        <w:t>older</w:t>
      </w:r>
      <w:r w:rsidR="00752042">
        <w:rPr>
          <w:color w:val="000000"/>
          <w:szCs w:val="24"/>
        </w:rPr>
        <w:t>s</w:t>
      </w:r>
      <w:r>
        <w:rPr>
          <w:color w:val="000000"/>
          <w:szCs w:val="24"/>
        </w:rPr>
        <w:t xml:space="preserve"> while </w:t>
      </w:r>
      <w:r w:rsidRPr="00A9092B">
        <w:rPr>
          <w:color w:val="000000"/>
          <w:szCs w:val="24"/>
        </w:rPr>
        <w:t xml:space="preserve">emphasising </w:t>
      </w:r>
      <w:r>
        <w:rPr>
          <w:color w:val="000000"/>
          <w:szCs w:val="24"/>
        </w:rPr>
        <w:t xml:space="preserve">their </w:t>
      </w:r>
      <w:r w:rsidRPr="00A9092B">
        <w:rPr>
          <w:color w:val="000000"/>
          <w:szCs w:val="24"/>
        </w:rPr>
        <w:t>prime responsibility for safety</w:t>
      </w:r>
      <w:r>
        <w:rPr>
          <w:color w:val="000000"/>
          <w:szCs w:val="24"/>
        </w:rPr>
        <w:t xml:space="preserve">. ARPANSA strives </w:t>
      </w:r>
      <w:proofErr w:type="gramStart"/>
      <w:r>
        <w:rPr>
          <w:color w:val="000000"/>
          <w:szCs w:val="24"/>
        </w:rPr>
        <w:t>to continu</w:t>
      </w:r>
      <w:r w:rsidR="003B05C3">
        <w:rPr>
          <w:color w:val="000000"/>
          <w:szCs w:val="24"/>
        </w:rPr>
        <w:t>ously</w:t>
      </w:r>
      <w:r>
        <w:rPr>
          <w:color w:val="000000"/>
          <w:szCs w:val="24"/>
        </w:rPr>
        <w:t xml:space="preserve"> improve</w:t>
      </w:r>
      <w:proofErr w:type="gramEnd"/>
      <w:r w:rsidR="00AF776B" w:rsidRPr="00A9092B">
        <w:rPr>
          <w:color w:val="000000"/>
          <w:szCs w:val="24"/>
        </w:rPr>
        <w:t xml:space="preserve"> the </w:t>
      </w:r>
      <w:r>
        <w:rPr>
          <w:color w:val="000000"/>
          <w:szCs w:val="24"/>
        </w:rPr>
        <w:t xml:space="preserve">quality and </w:t>
      </w:r>
      <w:r w:rsidR="00AF776B" w:rsidRPr="00A9092B">
        <w:rPr>
          <w:color w:val="000000"/>
          <w:szCs w:val="24"/>
        </w:rPr>
        <w:t xml:space="preserve">consistency of </w:t>
      </w:r>
      <w:r>
        <w:rPr>
          <w:color w:val="000000"/>
          <w:szCs w:val="24"/>
        </w:rPr>
        <w:t>its</w:t>
      </w:r>
      <w:r w:rsidR="00AF776B" w:rsidRPr="00A9092B">
        <w:rPr>
          <w:color w:val="000000"/>
          <w:szCs w:val="24"/>
        </w:rPr>
        <w:t xml:space="preserve"> regulatory service</w:t>
      </w:r>
      <w:r w:rsidR="00752042">
        <w:rPr>
          <w:color w:val="000000"/>
          <w:szCs w:val="24"/>
        </w:rPr>
        <w:t>s</w:t>
      </w:r>
      <w:r w:rsidR="00492CD6">
        <w:rPr>
          <w:color w:val="000000"/>
          <w:szCs w:val="24"/>
        </w:rPr>
        <w:t xml:space="preserve"> and implementation of the </w:t>
      </w:r>
      <w:r w:rsidR="0030498B" w:rsidRPr="00A9092B">
        <w:rPr>
          <w:color w:val="000000"/>
          <w:szCs w:val="24"/>
        </w:rPr>
        <w:t>graded approach to risk.</w:t>
      </w:r>
      <w:r w:rsidR="00616200" w:rsidRPr="00A9092B">
        <w:rPr>
          <w:color w:val="000000"/>
          <w:szCs w:val="24"/>
        </w:rPr>
        <w:t xml:space="preserve"> The structure</w:t>
      </w:r>
      <w:r w:rsidR="00DB0D2B">
        <w:rPr>
          <w:color w:val="000000"/>
          <w:szCs w:val="24"/>
        </w:rPr>
        <w:t xml:space="preserve"> of the </w:t>
      </w:r>
      <w:r w:rsidR="00430894">
        <w:rPr>
          <w:color w:val="000000"/>
          <w:szCs w:val="24"/>
        </w:rPr>
        <w:t xml:space="preserve">RSB </w:t>
      </w:r>
      <w:r w:rsidR="00616200" w:rsidRPr="00A9092B">
        <w:rPr>
          <w:color w:val="000000"/>
          <w:szCs w:val="24"/>
        </w:rPr>
        <w:t xml:space="preserve">was altered </w:t>
      </w:r>
      <w:r w:rsidR="00492CD6">
        <w:rPr>
          <w:color w:val="000000"/>
          <w:szCs w:val="24"/>
        </w:rPr>
        <w:t>creating</w:t>
      </w:r>
      <w:r w:rsidR="00616200" w:rsidRPr="00A9092B">
        <w:rPr>
          <w:color w:val="000000"/>
          <w:szCs w:val="24"/>
        </w:rPr>
        <w:t xml:space="preserve"> </w:t>
      </w:r>
      <w:r w:rsidR="00DB0D2B">
        <w:rPr>
          <w:color w:val="000000"/>
          <w:szCs w:val="24"/>
        </w:rPr>
        <w:t xml:space="preserve">new </w:t>
      </w:r>
      <w:r w:rsidR="00616200" w:rsidRPr="00A9092B">
        <w:rPr>
          <w:color w:val="000000"/>
          <w:szCs w:val="24"/>
        </w:rPr>
        <w:t>functional areas</w:t>
      </w:r>
      <w:r w:rsidR="004A3EC7">
        <w:rPr>
          <w:color w:val="000000"/>
          <w:szCs w:val="24"/>
        </w:rPr>
        <w:t xml:space="preserve">, </w:t>
      </w:r>
      <w:r w:rsidR="00752042">
        <w:rPr>
          <w:color w:val="000000"/>
          <w:szCs w:val="24"/>
        </w:rPr>
        <w:t>includ</w:t>
      </w:r>
      <w:r w:rsidR="004A3EC7">
        <w:rPr>
          <w:color w:val="000000"/>
          <w:szCs w:val="24"/>
        </w:rPr>
        <w:t>ing</w:t>
      </w:r>
      <w:r w:rsidR="00752042">
        <w:rPr>
          <w:color w:val="000000"/>
          <w:szCs w:val="24"/>
        </w:rPr>
        <w:t xml:space="preserve"> a</w:t>
      </w:r>
      <w:r w:rsidR="00616200" w:rsidRPr="00A9092B">
        <w:rPr>
          <w:color w:val="000000"/>
          <w:szCs w:val="24"/>
        </w:rPr>
        <w:t xml:space="preserve"> section dedicated to </w:t>
      </w:r>
      <w:r w:rsidR="00FA11DE">
        <w:rPr>
          <w:color w:val="000000"/>
          <w:szCs w:val="24"/>
        </w:rPr>
        <w:t xml:space="preserve">performance monitoring and </w:t>
      </w:r>
      <w:r w:rsidR="00616200" w:rsidRPr="00A9092B">
        <w:rPr>
          <w:color w:val="000000"/>
          <w:szCs w:val="24"/>
        </w:rPr>
        <w:t>continuous improvement</w:t>
      </w:r>
      <w:r w:rsidR="00752042">
        <w:rPr>
          <w:color w:val="000000"/>
          <w:szCs w:val="24"/>
        </w:rPr>
        <w:t>,</w:t>
      </w:r>
      <w:r w:rsidR="00616200" w:rsidRPr="00A9092B">
        <w:rPr>
          <w:color w:val="000000"/>
          <w:szCs w:val="24"/>
        </w:rPr>
        <w:t xml:space="preserve"> and another </w:t>
      </w:r>
      <w:r w:rsidR="00752042">
        <w:rPr>
          <w:color w:val="000000"/>
          <w:szCs w:val="24"/>
        </w:rPr>
        <w:t>focusing on</w:t>
      </w:r>
      <w:r w:rsidR="00616200" w:rsidRPr="00A9092B">
        <w:rPr>
          <w:color w:val="000000"/>
          <w:szCs w:val="24"/>
        </w:rPr>
        <w:t xml:space="preserve"> regulatory services meet</w:t>
      </w:r>
      <w:r w:rsidR="00752042">
        <w:rPr>
          <w:color w:val="000000"/>
          <w:szCs w:val="24"/>
        </w:rPr>
        <w:t>ing</w:t>
      </w:r>
      <w:r w:rsidR="00616200" w:rsidRPr="00A9092B">
        <w:rPr>
          <w:color w:val="000000"/>
          <w:szCs w:val="24"/>
        </w:rPr>
        <w:t xml:space="preserve"> international </w:t>
      </w:r>
      <w:r w:rsidR="00752042">
        <w:rPr>
          <w:color w:val="000000"/>
          <w:szCs w:val="24"/>
        </w:rPr>
        <w:t>excellence</w:t>
      </w:r>
      <w:r w:rsidR="001A6596">
        <w:rPr>
          <w:color w:val="000000"/>
          <w:szCs w:val="24"/>
        </w:rPr>
        <w:t>,</w:t>
      </w:r>
      <w:r w:rsidR="00752042">
        <w:rPr>
          <w:color w:val="000000"/>
          <w:szCs w:val="24"/>
        </w:rPr>
        <w:t xml:space="preserve"> </w:t>
      </w:r>
      <w:r w:rsidR="009E5C22">
        <w:rPr>
          <w:color w:val="000000"/>
          <w:szCs w:val="24"/>
        </w:rPr>
        <w:t>including the promotion and use of</w:t>
      </w:r>
      <w:r w:rsidR="00723AF1" w:rsidRPr="00A9092B">
        <w:rPr>
          <w:color w:val="000000"/>
          <w:szCs w:val="24"/>
        </w:rPr>
        <w:t xml:space="preserve"> trusted international standards</w:t>
      </w:r>
      <w:r w:rsidR="009E5C22">
        <w:rPr>
          <w:color w:val="000000"/>
          <w:szCs w:val="24"/>
        </w:rPr>
        <w:t xml:space="preserve"> in regulatory decision making</w:t>
      </w:r>
      <w:r w:rsidR="00C74FE4">
        <w:rPr>
          <w:color w:val="000000"/>
          <w:szCs w:val="24"/>
        </w:rPr>
        <w:t>.</w:t>
      </w:r>
    </w:p>
    <w:p w14:paraId="17F8EE78" w14:textId="57705389" w:rsidR="00A924F2" w:rsidRPr="0094094C" w:rsidRDefault="00A924F2" w:rsidP="00972601">
      <w:pPr>
        <w:spacing w:after="120"/>
        <w:rPr>
          <w:szCs w:val="24"/>
        </w:rPr>
      </w:pPr>
      <w:r w:rsidRPr="00A9092B">
        <w:rPr>
          <w:szCs w:val="24"/>
        </w:rPr>
        <w:t xml:space="preserve">The framework established </w:t>
      </w:r>
      <w:r w:rsidR="00AF776B" w:rsidRPr="00A9092B">
        <w:rPr>
          <w:szCs w:val="24"/>
        </w:rPr>
        <w:t xml:space="preserve">by the RPF </w:t>
      </w:r>
      <w:r w:rsidR="00492CD6" w:rsidRPr="00A9092B">
        <w:rPr>
          <w:szCs w:val="24"/>
        </w:rPr>
        <w:t>includes</w:t>
      </w:r>
      <w:r w:rsidR="00AF776B" w:rsidRPr="00A9092B">
        <w:rPr>
          <w:szCs w:val="24"/>
        </w:rPr>
        <w:t xml:space="preserve"> </w:t>
      </w:r>
      <w:r w:rsidRPr="00A9092B">
        <w:rPr>
          <w:szCs w:val="24"/>
        </w:rPr>
        <w:t xml:space="preserve">a common set of </w:t>
      </w:r>
      <w:r w:rsidR="00492CD6" w:rsidRPr="00A9092B">
        <w:rPr>
          <w:szCs w:val="24"/>
        </w:rPr>
        <w:t xml:space="preserve">six </w:t>
      </w:r>
      <w:r w:rsidRPr="00A9092B">
        <w:rPr>
          <w:szCs w:val="24"/>
        </w:rPr>
        <w:t>Key Performance Indicators (KPI</w:t>
      </w:r>
      <w:r w:rsidR="004A3EC7">
        <w:rPr>
          <w:szCs w:val="24"/>
        </w:rPr>
        <w:t>s</w:t>
      </w:r>
      <w:r w:rsidRPr="00A9092B">
        <w:rPr>
          <w:szCs w:val="24"/>
        </w:rPr>
        <w:t xml:space="preserve">) </w:t>
      </w:r>
      <w:r w:rsidR="00A94177">
        <w:rPr>
          <w:szCs w:val="24"/>
        </w:rPr>
        <w:t>to</w:t>
      </w:r>
      <w:r w:rsidR="00A94177" w:rsidRPr="00A9092B">
        <w:rPr>
          <w:szCs w:val="24"/>
        </w:rPr>
        <w:t xml:space="preserve"> </w:t>
      </w:r>
      <w:r w:rsidRPr="00A9092B">
        <w:rPr>
          <w:szCs w:val="24"/>
        </w:rPr>
        <w:t>allow for a comprehensive assessment of regulator performance and engagement with stakeholders</w:t>
      </w:r>
      <w:r w:rsidR="00C74FE4">
        <w:rPr>
          <w:szCs w:val="24"/>
        </w:rPr>
        <w:t xml:space="preserve">. </w:t>
      </w:r>
      <w:r w:rsidR="00B46FCB">
        <w:rPr>
          <w:szCs w:val="24"/>
        </w:rPr>
        <w:t>ARPANSA</w:t>
      </w:r>
      <w:r w:rsidR="00C7483F">
        <w:rPr>
          <w:szCs w:val="24"/>
        </w:rPr>
        <w:t xml:space="preserve"> obtained ministerial approval for</w:t>
      </w:r>
      <w:r w:rsidRPr="00A9092B">
        <w:rPr>
          <w:szCs w:val="24"/>
        </w:rPr>
        <w:t xml:space="preserve"> a set of </w:t>
      </w:r>
      <w:r w:rsidR="00FA661D">
        <w:rPr>
          <w:szCs w:val="24"/>
        </w:rPr>
        <w:t>12</w:t>
      </w:r>
      <w:r w:rsidR="00FA661D" w:rsidRPr="00A9092B">
        <w:rPr>
          <w:szCs w:val="24"/>
        </w:rPr>
        <w:t xml:space="preserve"> </w:t>
      </w:r>
      <w:r w:rsidR="0006261C" w:rsidRPr="00A9092B">
        <w:rPr>
          <w:szCs w:val="24"/>
        </w:rPr>
        <w:t>quantitative</w:t>
      </w:r>
      <w:r w:rsidRPr="00A9092B">
        <w:rPr>
          <w:szCs w:val="24"/>
        </w:rPr>
        <w:t xml:space="preserve"> </w:t>
      </w:r>
      <w:r w:rsidR="004F05C0" w:rsidRPr="00A9092B">
        <w:rPr>
          <w:szCs w:val="24"/>
        </w:rPr>
        <w:t>P</w:t>
      </w:r>
      <w:r w:rsidRPr="00A9092B">
        <w:rPr>
          <w:szCs w:val="24"/>
        </w:rPr>
        <w:t xml:space="preserve">erformance </w:t>
      </w:r>
      <w:r w:rsidR="004F05C0" w:rsidRPr="00A9092B">
        <w:rPr>
          <w:szCs w:val="24"/>
        </w:rPr>
        <w:t>I</w:t>
      </w:r>
      <w:r w:rsidRPr="00A9092B">
        <w:rPr>
          <w:szCs w:val="24"/>
        </w:rPr>
        <w:t>ndicators (PI</w:t>
      </w:r>
      <w:r w:rsidR="004A3EC7">
        <w:rPr>
          <w:szCs w:val="24"/>
        </w:rPr>
        <w:t>s</w:t>
      </w:r>
      <w:r w:rsidRPr="00A9092B">
        <w:rPr>
          <w:szCs w:val="24"/>
        </w:rPr>
        <w:t xml:space="preserve">) which </w:t>
      </w:r>
      <w:r w:rsidRPr="00405BD9">
        <w:rPr>
          <w:szCs w:val="24"/>
        </w:rPr>
        <w:t xml:space="preserve">relate to the six </w:t>
      </w:r>
      <w:r w:rsidR="00723AF1" w:rsidRPr="00405BD9">
        <w:rPr>
          <w:szCs w:val="24"/>
        </w:rPr>
        <w:t xml:space="preserve">RPF </w:t>
      </w:r>
      <w:r w:rsidRPr="00405BD9">
        <w:rPr>
          <w:szCs w:val="24"/>
        </w:rPr>
        <w:t>KPIs</w:t>
      </w:r>
      <w:r w:rsidR="00C74FE4" w:rsidRPr="00405BD9">
        <w:rPr>
          <w:szCs w:val="24"/>
        </w:rPr>
        <w:t xml:space="preserve">. </w:t>
      </w:r>
      <w:r w:rsidR="000F6D50" w:rsidRPr="00405BD9">
        <w:rPr>
          <w:szCs w:val="24"/>
        </w:rPr>
        <w:t xml:space="preserve">Data </w:t>
      </w:r>
      <w:r w:rsidR="000F6D50" w:rsidRPr="0094094C">
        <w:rPr>
          <w:szCs w:val="24"/>
        </w:rPr>
        <w:t>collect</w:t>
      </w:r>
      <w:r w:rsidR="00305DB9">
        <w:rPr>
          <w:szCs w:val="24"/>
        </w:rPr>
        <w:t xml:space="preserve">ion </w:t>
      </w:r>
      <w:r w:rsidR="001019AB">
        <w:rPr>
          <w:szCs w:val="24"/>
        </w:rPr>
        <w:t>began</w:t>
      </w:r>
      <w:r w:rsidR="000F6D50" w:rsidRPr="0094094C">
        <w:rPr>
          <w:szCs w:val="24"/>
        </w:rPr>
        <w:t xml:space="preserve"> </w:t>
      </w:r>
      <w:r w:rsidR="00305DB9">
        <w:rPr>
          <w:szCs w:val="24"/>
        </w:rPr>
        <w:t xml:space="preserve">in </w:t>
      </w:r>
      <w:r w:rsidR="000F6D50" w:rsidRPr="0094094C">
        <w:rPr>
          <w:szCs w:val="24"/>
        </w:rPr>
        <w:t>March 2015</w:t>
      </w:r>
      <w:r w:rsidRPr="0094094C">
        <w:rPr>
          <w:szCs w:val="24"/>
        </w:rPr>
        <w:t xml:space="preserve">. </w:t>
      </w:r>
      <w:r w:rsidR="00405BD9" w:rsidRPr="0094094C">
        <w:rPr>
          <w:szCs w:val="24"/>
        </w:rPr>
        <w:t xml:space="preserve">A list of data sources </w:t>
      </w:r>
      <w:proofErr w:type="gramStart"/>
      <w:r w:rsidR="00405BD9" w:rsidRPr="0094094C">
        <w:rPr>
          <w:szCs w:val="24"/>
        </w:rPr>
        <w:t>is provided</w:t>
      </w:r>
      <w:proofErr w:type="gramEnd"/>
      <w:r w:rsidRPr="0094094C">
        <w:rPr>
          <w:szCs w:val="24"/>
        </w:rPr>
        <w:t xml:space="preserve"> in Appendix </w:t>
      </w:r>
      <w:r w:rsidR="00FE6A12" w:rsidRPr="0094094C">
        <w:rPr>
          <w:szCs w:val="24"/>
        </w:rPr>
        <w:t>B</w:t>
      </w:r>
      <w:r w:rsidRPr="0094094C">
        <w:rPr>
          <w:szCs w:val="24"/>
        </w:rPr>
        <w:t xml:space="preserve">. </w:t>
      </w:r>
    </w:p>
    <w:p w14:paraId="43E12FEF" w14:textId="55BBDA7E" w:rsidR="004D7F6A" w:rsidRPr="0094094C" w:rsidRDefault="004D7F6A" w:rsidP="00972601">
      <w:pPr>
        <w:spacing w:after="120"/>
        <w:rPr>
          <w:szCs w:val="24"/>
        </w:rPr>
      </w:pPr>
      <w:r w:rsidRPr="0094094C">
        <w:rPr>
          <w:szCs w:val="24"/>
        </w:rPr>
        <w:t>The</w:t>
      </w:r>
      <w:r w:rsidR="00FF5E57">
        <w:rPr>
          <w:szCs w:val="24"/>
        </w:rPr>
        <w:t xml:space="preserve"> </w:t>
      </w:r>
      <w:r w:rsidR="00FA661D">
        <w:rPr>
          <w:szCs w:val="24"/>
        </w:rPr>
        <w:t xml:space="preserve">12 </w:t>
      </w:r>
      <w:r w:rsidR="00FF5E57">
        <w:rPr>
          <w:szCs w:val="24"/>
        </w:rPr>
        <w:t>ARPANSA</w:t>
      </w:r>
      <w:r w:rsidRPr="0094094C">
        <w:rPr>
          <w:szCs w:val="24"/>
        </w:rPr>
        <w:t xml:space="preserve"> </w:t>
      </w:r>
      <w:r w:rsidR="00B40DF0" w:rsidRPr="0094094C">
        <w:rPr>
          <w:szCs w:val="24"/>
        </w:rPr>
        <w:t xml:space="preserve">PIs </w:t>
      </w:r>
      <w:proofErr w:type="gramStart"/>
      <w:r w:rsidR="00B40DF0" w:rsidRPr="0094094C">
        <w:rPr>
          <w:szCs w:val="24"/>
        </w:rPr>
        <w:t>were developed</w:t>
      </w:r>
      <w:proofErr w:type="gramEnd"/>
      <w:r w:rsidR="00B40DF0" w:rsidRPr="0094094C">
        <w:rPr>
          <w:szCs w:val="24"/>
        </w:rPr>
        <w:t xml:space="preserve"> in parallel </w:t>
      </w:r>
      <w:r w:rsidR="00FA661D">
        <w:rPr>
          <w:szCs w:val="24"/>
        </w:rPr>
        <w:t>with</w:t>
      </w:r>
      <w:r w:rsidR="00B40DF0" w:rsidRPr="0094094C">
        <w:rPr>
          <w:szCs w:val="24"/>
        </w:rPr>
        <w:t xml:space="preserve"> the </w:t>
      </w:r>
      <w:r w:rsidR="004A3EC7">
        <w:rPr>
          <w:szCs w:val="24"/>
        </w:rPr>
        <w:t>R</w:t>
      </w:r>
      <w:r w:rsidR="00B40DF0" w:rsidRPr="0094094C">
        <w:rPr>
          <w:szCs w:val="24"/>
        </w:rPr>
        <w:t xml:space="preserve">egulatory </w:t>
      </w:r>
      <w:r w:rsidR="004A3EC7">
        <w:rPr>
          <w:szCs w:val="24"/>
        </w:rPr>
        <w:t>D</w:t>
      </w:r>
      <w:r w:rsidR="00B40DF0" w:rsidRPr="0094094C">
        <w:rPr>
          <w:szCs w:val="24"/>
        </w:rPr>
        <w:t xml:space="preserve">elivery </w:t>
      </w:r>
      <w:r w:rsidR="004A3EC7">
        <w:rPr>
          <w:szCs w:val="24"/>
        </w:rPr>
        <w:t>M</w:t>
      </w:r>
      <w:r w:rsidR="00B40DF0" w:rsidRPr="0094094C">
        <w:rPr>
          <w:szCs w:val="24"/>
        </w:rPr>
        <w:t xml:space="preserve">odel and had not been previously tested. </w:t>
      </w:r>
      <w:r w:rsidR="00B40DF0" w:rsidRPr="00FF5E57">
        <w:rPr>
          <w:szCs w:val="24"/>
        </w:rPr>
        <w:t xml:space="preserve">This </w:t>
      </w:r>
      <w:r w:rsidR="00305DB9">
        <w:rPr>
          <w:szCs w:val="24"/>
        </w:rPr>
        <w:t xml:space="preserve">first </w:t>
      </w:r>
      <w:r w:rsidR="00B40DF0" w:rsidRPr="00FF5E57">
        <w:rPr>
          <w:szCs w:val="24"/>
        </w:rPr>
        <w:t xml:space="preserve">self-assessment identified that </w:t>
      </w:r>
      <w:r w:rsidR="00046613" w:rsidRPr="00FF5E57">
        <w:rPr>
          <w:szCs w:val="24"/>
        </w:rPr>
        <w:t>some</w:t>
      </w:r>
      <w:r w:rsidR="00B40DF0" w:rsidRPr="00FF5E57">
        <w:rPr>
          <w:szCs w:val="24"/>
        </w:rPr>
        <w:t xml:space="preserve"> PIs </w:t>
      </w:r>
      <w:proofErr w:type="gramStart"/>
      <w:r w:rsidR="00B40DF0" w:rsidRPr="00FF5E57">
        <w:rPr>
          <w:szCs w:val="24"/>
        </w:rPr>
        <w:t>are not adequately</w:t>
      </w:r>
      <w:r w:rsidR="00305DB9">
        <w:rPr>
          <w:szCs w:val="24"/>
        </w:rPr>
        <w:t xml:space="preserve"> </w:t>
      </w:r>
      <w:r w:rsidR="00B40DF0" w:rsidRPr="00FF5E57">
        <w:rPr>
          <w:szCs w:val="24"/>
        </w:rPr>
        <w:t>aligned</w:t>
      </w:r>
      <w:proofErr w:type="gramEnd"/>
      <w:r w:rsidR="00B40DF0" w:rsidRPr="00FF5E57">
        <w:rPr>
          <w:szCs w:val="24"/>
        </w:rPr>
        <w:t xml:space="preserve"> with the </w:t>
      </w:r>
      <w:r w:rsidR="00C7483F" w:rsidRPr="00FF5E57">
        <w:rPr>
          <w:szCs w:val="24"/>
        </w:rPr>
        <w:t>RPF KPIs</w:t>
      </w:r>
      <w:r w:rsidR="00305DB9">
        <w:rPr>
          <w:szCs w:val="24"/>
        </w:rPr>
        <w:t xml:space="preserve"> and s</w:t>
      </w:r>
      <w:r w:rsidR="00C7483F" w:rsidRPr="00FF5E57">
        <w:rPr>
          <w:szCs w:val="24"/>
        </w:rPr>
        <w:t>ome individual targets have been set at inap</w:t>
      </w:r>
      <w:r w:rsidR="00931668">
        <w:rPr>
          <w:szCs w:val="24"/>
        </w:rPr>
        <w:t xml:space="preserve">propriate levels. </w:t>
      </w:r>
      <w:r w:rsidR="00C7483F" w:rsidRPr="00FF5E57">
        <w:rPr>
          <w:szCs w:val="24"/>
        </w:rPr>
        <w:t xml:space="preserve">In these </w:t>
      </w:r>
      <w:r w:rsidR="00046613" w:rsidRPr="00FF5E57">
        <w:rPr>
          <w:szCs w:val="24"/>
        </w:rPr>
        <w:t>cases,</w:t>
      </w:r>
      <w:r w:rsidR="00C7483F" w:rsidRPr="00FF5E57">
        <w:rPr>
          <w:szCs w:val="24"/>
        </w:rPr>
        <w:t xml:space="preserve"> new </w:t>
      </w:r>
      <w:r w:rsidR="000D5EDB">
        <w:rPr>
          <w:szCs w:val="24"/>
        </w:rPr>
        <w:t>targets</w:t>
      </w:r>
      <w:r w:rsidR="00C7483F" w:rsidRPr="00FF5E57">
        <w:rPr>
          <w:szCs w:val="24"/>
        </w:rPr>
        <w:t xml:space="preserve"> </w:t>
      </w:r>
      <w:proofErr w:type="gramStart"/>
      <w:r w:rsidR="00C7483F" w:rsidRPr="00FF5E57">
        <w:rPr>
          <w:szCs w:val="24"/>
        </w:rPr>
        <w:t>have been implemented</w:t>
      </w:r>
      <w:proofErr w:type="gramEnd"/>
      <w:r w:rsidR="00C7483F" w:rsidRPr="00FF5E57">
        <w:rPr>
          <w:szCs w:val="24"/>
        </w:rPr>
        <w:t xml:space="preserve"> for the 2016</w:t>
      </w:r>
      <w:r w:rsidR="00931668">
        <w:rPr>
          <w:szCs w:val="24"/>
        </w:rPr>
        <w:t>-</w:t>
      </w:r>
      <w:r w:rsidR="00C7483F" w:rsidRPr="00FF5E57">
        <w:rPr>
          <w:szCs w:val="24"/>
        </w:rPr>
        <w:t>17 financial year.</w:t>
      </w:r>
      <w:r w:rsidR="008A093C" w:rsidRPr="00FF5E57">
        <w:rPr>
          <w:szCs w:val="24"/>
        </w:rPr>
        <w:t xml:space="preserve"> The quantitative PIs </w:t>
      </w:r>
      <w:r w:rsidR="000D5EDB">
        <w:rPr>
          <w:szCs w:val="24"/>
        </w:rPr>
        <w:t xml:space="preserve">alone </w:t>
      </w:r>
      <w:r w:rsidR="008A093C" w:rsidRPr="00FF5E57">
        <w:rPr>
          <w:szCs w:val="24"/>
        </w:rPr>
        <w:t xml:space="preserve">were insufficient to fully assess regulatory performance against the </w:t>
      </w:r>
      <w:r w:rsidR="00FF5E57">
        <w:rPr>
          <w:szCs w:val="24"/>
        </w:rPr>
        <w:t xml:space="preserve">RPF </w:t>
      </w:r>
      <w:proofErr w:type="gramStart"/>
      <w:r w:rsidR="008A093C" w:rsidRPr="00FF5E57">
        <w:rPr>
          <w:szCs w:val="24"/>
        </w:rPr>
        <w:t>KPIs</w:t>
      </w:r>
      <w:r w:rsidR="00FF5E57">
        <w:rPr>
          <w:szCs w:val="24"/>
        </w:rPr>
        <w:t>,</w:t>
      </w:r>
      <w:proofErr w:type="gramEnd"/>
      <w:r w:rsidR="00FF5E57">
        <w:rPr>
          <w:szCs w:val="24"/>
        </w:rPr>
        <w:t xml:space="preserve"> therefore</w:t>
      </w:r>
      <w:r w:rsidR="008A093C" w:rsidRPr="00FF5E57">
        <w:rPr>
          <w:szCs w:val="24"/>
        </w:rPr>
        <w:t xml:space="preserve"> additional evidence was considered in </w:t>
      </w:r>
      <w:r w:rsidR="00FF5E57">
        <w:rPr>
          <w:szCs w:val="24"/>
        </w:rPr>
        <w:t xml:space="preserve">the </w:t>
      </w:r>
      <w:r w:rsidR="00931668">
        <w:rPr>
          <w:szCs w:val="24"/>
        </w:rPr>
        <w:br/>
      </w:r>
      <w:r w:rsidR="008A093C" w:rsidRPr="00FF5E57">
        <w:rPr>
          <w:szCs w:val="24"/>
        </w:rPr>
        <w:t>self-assessment.</w:t>
      </w:r>
    </w:p>
    <w:p w14:paraId="30F8C276" w14:textId="00DECCE2" w:rsidR="002C290F" w:rsidRPr="00931668" w:rsidRDefault="00A924F2" w:rsidP="00972601">
      <w:pPr>
        <w:spacing w:after="120"/>
        <w:rPr>
          <w:rFonts w:cs="Times New Roman"/>
          <w:b/>
          <w:szCs w:val="24"/>
        </w:rPr>
      </w:pPr>
      <w:r w:rsidRPr="00931668">
        <w:rPr>
          <w:szCs w:val="24"/>
        </w:rPr>
        <w:t xml:space="preserve">In March 2016, </w:t>
      </w:r>
      <w:r w:rsidR="00D159CD" w:rsidRPr="00931668">
        <w:rPr>
          <w:szCs w:val="24"/>
        </w:rPr>
        <w:t>RSB</w:t>
      </w:r>
      <w:r w:rsidRPr="00931668">
        <w:rPr>
          <w:szCs w:val="24"/>
        </w:rPr>
        <w:t xml:space="preserve"> developed a self-assessment method and plan to meet the requirements of the RPF. The assessment plan sets out to support a continuous improvement cycle by the critical analysis of regulatory performance </w:t>
      </w:r>
      <w:r w:rsidR="0016571F" w:rsidRPr="00931668">
        <w:rPr>
          <w:szCs w:val="24"/>
        </w:rPr>
        <w:t xml:space="preserve">and </w:t>
      </w:r>
      <w:r w:rsidRPr="00931668">
        <w:rPr>
          <w:szCs w:val="24"/>
        </w:rPr>
        <w:t>identifi</w:t>
      </w:r>
      <w:r w:rsidR="0016571F" w:rsidRPr="00931668">
        <w:rPr>
          <w:szCs w:val="24"/>
        </w:rPr>
        <w:t>cation of</w:t>
      </w:r>
      <w:r w:rsidRPr="00931668">
        <w:rPr>
          <w:szCs w:val="24"/>
        </w:rPr>
        <w:t xml:space="preserve"> good practices and areas for improvement. This report outlines the implementation of the ARPANSA Focussed </w:t>
      </w:r>
      <w:r w:rsidR="00931668">
        <w:rPr>
          <w:szCs w:val="24"/>
        </w:rPr>
        <w:br/>
      </w:r>
      <w:r w:rsidRPr="00931668">
        <w:rPr>
          <w:szCs w:val="24"/>
        </w:rPr>
        <w:t>Self-Assessment Plan 2016 and provides details of the assessment outcomes</w:t>
      </w:r>
      <w:r w:rsidRPr="00931668">
        <w:rPr>
          <w:b/>
          <w:szCs w:val="24"/>
        </w:rPr>
        <w:t>.</w:t>
      </w:r>
    </w:p>
    <w:p w14:paraId="5248EC27" w14:textId="2FCB40A3" w:rsidR="000E45B8" w:rsidRPr="00A9092B" w:rsidRDefault="000E45B8" w:rsidP="00133CE8">
      <w:pPr>
        <w:pStyle w:val="Heading2"/>
        <w:jc w:val="left"/>
      </w:pPr>
      <w:bookmarkStart w:id="7" w:name="_Toc470173133"/>
      <w:r w:rsidRPr="00A9092B">
        <w:t>Methodology</w:t>
      </w:r>
      <w:bookmarkEnd w:id="7"/>
    </w:p>
    <w:p w14:paraId="5298725A" w14:textId="50EEDC71" w:rsidR="00723AF1" w:rsidRPr="00A9092B" w:rsidRDefault="00D05AA5" w:rsidP="00972601">
      <w:pPr>
        <w:spacing w:after="120"/>
        <w:rPr>
          <w:szCs w:val="24"/>
        </w:rPr>
      </w:pPr>
      <w:r>
        <w:rPr>
          <w:szCs w:val="24"/>
        </w:rPr>
        <w:t xml:space="preserve">This report </w:t>
      </w:r>
      <w:proofErr w:type="gramStart"/>
      <w:r>
        <w:rPr>
          <w:szCs w:val="24"/>
        </w:rPr>
        <w:t>is based</w:t>
      </w:r>
      <w:proofErr w:type="gramEnd"/>
      <w:r>
        <w:rPr>
          <w:szCs w:val="24"/>
        </w:rPr>
        <w:t xml:space="preserve"> on the outcomes of a</w:t>
      </w:r>
      <w:r w:rsidR="00902ABB">
        <w:rPr>
          <w:szCs w:val="24"/>
        </w:rPr>
        <w:t xml:space="preserve"> </w:t>
      </w:r>
      <w:r>
        <w:rPr>
          <w:szCs w:val="24"/>
        </w:rPr>
        <w:t>self-assessment audit undertaken from July</w:t>
      </w:r>
      <w:r w:rsidR="00EE2270">
        <w:rPr>
          <w:szCs w:val="24"/>
        </w:rPr>
        <w:t xml:space="preserve"> </w:t>
      </w:r>
      <w:r>
        <w:rPr>
          <w:szCs w:val="24"/>
        </w:rPr>
        <w:t>24 to July 29</w:t>
      </w:r>
      <w:r w:rsidR="00A4446E">
        <w:rPr>
          <w:szCs w:val="24"/>
        </w:rPr>
        <w:t>,</w:t>
      </w:r>
      <w:r w:rsidR="00437D6C">
        <w:rPr>
          <w:szCs w:val="24"/>
        </w:rPr>
        <w:t xml:space="preserve"> </w:t>
      </w:r>
      <w:r w:rsidR="00902ABB">
        <w:rPr>
          <w:szCs w:val="24"/>
        </w:rPr>
        <w:t>which</w:t>
      </w:r>
      <w:r w:rsidR="00A4446E">
        <w:rPr>
          <w:szCs w:val="24"/>
        </w:rPr>
        <w:t xml:space="preserve"> </w:t>
      </w:r>
      <w:r w:rsidR="00437D6C">
        <w:rPr>
          <w:szCs w:val="24"/>
        </w:rPr>
        <w:t>includ</w:t>
      </w:r>
      <w:r w:rsidR="00A4446E">
        <w:rPr>
          <w:szCs w:val="24"/>
        </w:rPr>
        <w:t>ed</w:t>
      </w:r>
      <w:r w:rsidR="00437D6C">
        <w:rPr>
          <w:szCs w:val="24"/>
        </w:rPr>
        <w:t xml:space="preserve"> fieldwork. It </w:t>
      </w:r>
      <w:r w:rsidR="00F95BED">
        <w:rPr>
          <w:szCs w:val="24"/>
        </w:rPr>
        <w:t>considered</w:t>
      </w:r>
      <w:r w:rsidR="00723AF1" w:rsidRPr="00A9092B">
        <w:rPr>
          <w:szCs w:val="24"/>
        </w:rPr>
        <w:t xml:space="preserve"> all </w:t>
      </w:r>
      <w:r w:rsidR="00752042" w:rsidRPr="00752042">
        <w:rPr>
          <w:szCs w:val="24"/>
        </w:rPr>
        <w:t>ARPANSA</w:t>
      </w:r>
      <w:r w:rsidR="00723AF1" w:rsidRPr="00A9092B">
        <w:rPr>
          <w:szCs w:val="24"/>
        </w:rPr>
        <w:t xml:space="preserve"> regulatory activities undertaken in the period from 1 July 2015 to 30 June 2016</w:t>
      </w:r>
      <w:r w:rsidR="00931668">
        <w:rPr>
          <w:szCs w:val="24"/>
        </w:rPr>
        <w:t>.</w:t>
      </w:r>
    </w:p>
    <w:p w14:paraId="0FB5E5B5" w14:textId="52A4B920" w:rsidR="0055456B" w:rsidRPr="006C4028" w:rsidRDefault="00CB147C" w:rsidP="00972601">
      <w:pPr>
        <w:spacing w:after="120"/>
        <w:rPr>
          <w:rFonts w:cs="Times New Roman"/>
          <w:szCs w:val="24"/>
        </w:rPr>
      </w:pPr>
      <w:proofErr w:type="gramStart"/>
      <w:r w:rsidRPr="00A9092B">
        <w:rPr>
          <w:rFonts w:cs="Times New Roman"/>
          <w:szCs w:val="24"/>
        </w:rPr>
        <w:t>P</w:t>
      </w:r>
      <w:r w:rsidR="00917FE1" w:rsidRPr="00A9092B">
        <w:rPr>
          <w:rFonts w:cs="Times New Roman"/>
          <w:szCs w:val="24"/>
        </w:rPr>
        <w:t xml:space="preserve">erformance against the </w:t>
      </w:r>
      <w:r w:rsidRPr="00A9092B">
        <w:rPr>
          <w:rFonts w:cs="Times New Roman"/>
          <w:szCs w:val="24"/>
        </w:rPr>
        <w:t>framework was assessed by a five</w:t>
      </w:r>
      <w:r w:rsidR="00ED40CC">
        <w:rPr>
          <w:rFonts w:cs="Times New Roman"/>
          <w:szCs w:val="24"/>
        </w:rPr>
        <w:t>-</w:t>
      </w:r>
      <w:r w:rsidRPr="00A9092B">
        <w:rPr>
          <w:rFonts w:cs="Times New Roman"/>
          <w:szCs w:val="24"/>
        </w:rPr>
        <w:t>person team</w:t>
      </w:r>
      <w:r w:rsidR="001F7A0E">
        <w:rPr>
          <w:rFonts w:cs="Times New Roman"/>
          <w:szCs w:val="24"/>
        </w:rPr>
        <w:t xml:space="preserve"> that </w:t>
      </w:r>
      <w:r w:rsidRPr="00A9092B">
        <w:rPr>
          <w:rFonts w:cs="Times New Roman"/>
          <w:szCs w:val="24"/>
        </w:rPr>
        <w:t xml:space="preserve">included </w:t>
      </w:r>
      <w:r w:rsidR="005B0FFF">
        <w:rPr>
          <w:rFonts w:cs="Times New Roman"/>
          <w:szCs w:val="24"/>
        </w:rPr>
        <w:t xml:space="preserve">two </w:t>
      </w:r>
      <w:r w:rsidR="00CD7C2C">
        <w:rPr>
          <w:rFonts w:cs="Times New Roman"/>
          <w:szCs w:val="24"/>
        </w:rPr>
        <w:t xml:space="preserve">members </w:t>
      </w:r>
      <w:r w:rsidR="005B0FFF">
        <w:rPr>
          <w:rFonts w:cs="Times New Roman"/>
          <w:szCs w:val="24"/>
        </w:rPr>
        <w:t xml:space="preserve">external to ARPANSA </w:t>
      </w:r>
      <w:r w:rsidRPr="00A9092B">
        <w:rPr>
          <w:rFonts w:cs="Times New Roman"/>
          <w:szCs w:val="24"/>
        </w:rPr>
        <w:t xml:space="preserve">and one </w:t>
      </w:r>
      <w:r w:rsidR="00CD7C2C">
        <w:rPr>
          <w:rFonts w:cs="Times New Roman"/>
          <w:szCs w:val="24"/>
        </w:rPr>
        <w:t xml:space="preserve">ARPANSA staff member </w:t>
      </w:r>
      <w:r w:rsidR="005B0FFF">
        <w:rPr>
          <w:rFonts w:cs="Times New Roman"/>
          <w:szCs w:val="24"/>
        </w:rPr>
        <w:t xml:space="preserve">external to </w:t>
      </w:r>
      <w:r w:rsidR="00F95BED">
        <w:rPr>
          <w:rFonts w:cs="Times New Roman"/>
          <w:szCs w:val="24"/>
        </w:rPr>
        <w:t>RSB</w:t>
      </w:r>
      <w:proofErr w:type="gramEnd"/>
      <w:r w:rsidR="00ED40CC">
        <w:rPr>
          <w:rFonts w:cs="Times New Roman"/>
          <w:szCs w:val="24"/>
        </w:rPr>
        <w:t>.</w:t>
      </w:r>
    </w:p>
    <w:p w14:paraId="522C641A" w14:textId="43D64F88" w:rsidR="00AC1955" w:rsidRPr="00A9092B" w:rsidRDefault="00AC1955" w:rsidP="00972601">
      <w:pPr>
        <w:rPr>
          <w:rFonts w:cs="Arial"/>
          <w:szCs w:val="24"/>
          <w:u w:val="single"/>
        </w:rPr>
      </w:pPr>
      <w:r w:rsidRPr="00A9092B">
        <w:rPr>
          <w:rFonts w:cs="Arial"/>
          <w:szCs w:val="24"/>
          <w:u w:val="single"/>
        </w:rPr>
        <w:t>Team Leader</w:t>
      </w:r>
    </w:p>
    <w:p w14:paraId="0C091D67" w14:textId="558D894A" w:rsidR="00AC1955" w:rsidRPr="009A4BD4" w:rsidRDefault="00AC1955" w:rsidP="00972601">
      <w:pPr>
        <w:pStyle w:val="ListParagraph"/>
        <w:numPr>
          <w:ilvl w:val="0"/>
          <w:numId w:val="35"/>
        </w:numPr>
        <w:spacing w:after="120"/>
        <w:ind w:left="714" w:hanging="357"/>
        <w:rPr>
          <w:rFonts w:cs="Times New Roman"/>
          <w:szCs w:val="24"/>
        </w:rPr>
      </w:pPr>
      <w:r w:rsidRPr="009A4BD4">
        <w:rPr>
          <w:rFonts w:cs="Arial"/>
          <w:szCs w:val="24"/>
        </w:rPr>
        <w:t xml:space="preserve">John Ward </w:t>
      </w:r>
      <w:r w:rsidR="009A4BD4">
        <w:rPr>
          <w:rFonts w:cs="Arial"/>
          <w:szCs w:val="24"/>
        </w:rPr>
        <w:t>–</w:t>
      </w:r>
      <w:r w:rsidRPr="009A4BD4">
        <w:rPr>
          <w:rFonts w:cs="Arial"/>
          <w:szCs w:val="24"/>
        </w:rPr>
        <w:t xml:space="preserve"> Manager Continuous Improvement, Regulatory Services Branch, ARPANSA</w:t>
      </w:r>
    </w:p>
    <w:p w14:paraId="54B9B7BB" w14:textId="77777777" w:rsidR="00AC1955" w:rsidRPr="00A9092B" w:rsidRDefault="00AC1955" w:rsidP="00972601">
      <w:pPr>
        <w:spacing w:before="60" w:line="240" w:lineRule="auto"/>
        <w:rPr>
          <w:rFonts w:cs="Arial"/>
          <w:szCs w:val="24"/>
          <w:u w:val="single"/>
        </w:rPr>
      </w:pPr>
      <w:r w:rsidRPr="00A9092B">
        <w:rPr>
          <w:rFonts w:cs="Arial"/>
          <w:szCs w:val="24"/>
          <w:u w:val="single"/>
        </w:rPr>
        <w:t>Team Members</w:t>
      </w:r>
    </w:p>
    <w:p w14:paraId="73CA6D6D" w14:textId="3F732093" w:rsidR="00AC1955" w:rsidRPr="00A9092B" w:rsidRDefault="00AC1955" w:rsidP="00972601">
      <w:pPr>
        <w:pStyle w:val="ListParagraph"/>
        <w:numPr>
          <w:ilvl w:val="0"/>
          <w:numId w:val="29"/>
        </w:numPr>
        <w:spacing w:after="120"/>
        <w:ind w:left="782" w:hanging="357"/>
        <w:rPr>
          <w:rFonts w:cs="Arial"/>
          <w:szCs w:val="24"/>
        </w:rPr>
      </w:pPr>
      <w:r w:rsidRPr="00A9092B">
        <w:rPr>
          <w:rFonts w:cs="Arial"/>
          <w:szCs w:val="24"/>
        </w:rPr>
        <w:t xml:space="preserve">Alexander Adams Jr </w:t>
      </w:r>
      <w:r w:rsidR="009A4BD4">
        <w:rPr>
          <w:rFonts w:cs="Arial"/>
          <w:szCs w:val="24"/>
        </w:rPr>
        <w:t>–</w:t>
      </w:r>
      <w:r w:rsidR="00766632">
        <w:rPr>
          <w:rFonts w:cs="Arial"/>
          <w:szCs w:val="24"/>
        </w:rPr>
        <w:t xml:space="preserve"> </w:t>
      </w:r>
      <w:r w:rsidRPr="00A9092B">
        <w:rPr>
          <w:rFonts w:cs="Arial"/>
          <w:szCs w:val="24"/>
        </w:rPr>
        <w:t xml:space="preserve">Chief of the Research and Test Reactors Licensing Branch, </w:t>
      </w:r>
      <w:r w:rsidR="001D2A42">
        <w:rPr>
          <w:rFonts w:cs="Arial"/>
          <w:szCs w:val="24"/>
        </w:rPr>
        <w:t xml:space="preserve">US </w:t>
      </w:r>
      <w:r w:rsidRPr="00A9092B">
        <w:rPr>
          <w:rFonts w:cs="Arial"/>
          <w:szCs w:val="24"/>
        </w:rPr>
        <w:t>Nuclear Regulatory Commission</w:t>
      </w:r>
    </w:p>
    <w:p w14:paraId="37D4EF66" w14:textId="77777777" w:rsidR="00AC1955" w:rsidRPr="00A9092B" w:rsidRDefault="00AC1955" w:rsidP="00972601">
      <w:pPr>
        <w:pStyle w:val="ListParagraph"/>
        <w:numPr>
          <w:ilvl w:val="0"/>
          <w:numId w:val="29"/>
        </w:numPr>
        <w:spacing w:after="120"/>
        <w:ind w:left="782" w:hanging="357"/>
        <w:rPr>
          <w:rFonts w:cs="Arial"/>
          <w:szCs w:val="24"/>
        </w:rPr>
      </w:pPr>
      <w:r w:rsidRPr="00A9092B">
        <w:rPr>
          <w:rFonts w:cs="Arial"/>
          <w:szCs w:val="24"/>
        </w:rPr>
        <w:lastRenderedPageBreak/>
        <w:t>Paula Berghofer – Manager Regulatory Affairs, Australian Nuclear Science and Technology Organisation (ANSTO), Lucas Heights NSW</w:t>
      </w:r>
    </w:p>
    <w:p w14:paraId="7EF0FF2E" w14:textId="186B3517" w:rsidR="00AC1955" w:rsidRPr="00A9092B" w:rsidRDefault="00AC1955" w:rsidP="00972601">
      <w:pPr>
        <w:pStyle w:val="ListParagraph"/>
        <w:numPr>
          <w:ilvl w:val="0"/>
          <w:numId w:val="29"/>
        </w:numPr>
        <w:spacing w:after="120"/>
        <w:ind w:left="782" w:hanging="357"/>
        <w:rPr>
          <w:rFonts w:cs="Arial"/>
          <w:szCs w:val="24"/>
        </w:rPr>
      </w:pPr>
      <w:r w:rsidRPr="00A9092B">
        <w:rPr>
          <w:rFonts w:cs="Arial"/>
          <w:szCs w:val="24"/>
        </w:rPr>
        <w:t>George Savvides –</w:t>
      </w:r>
      <w:r w:rsidR="00766632">
        <w:rPr>
          <w:rFonts w:cs="Arial"/>
          <w:szCs w:val="24"/>
        </w:rPr>
        <w:t xml:space="preserve"> </w:t>
      </w:r>
      <w:r w:rsidRPr="00A9092B">
        <w:rPr>
          <w:rFonts w:cs="Arial"/>
          <w:szCs w:val="24"/>
        </w:rPr>
        <w:t>Chief Financial Officer</w:t>
      </w:r>
      <w:r w:rsidR="00430894">
        <w:rPr>
          <w:rFonts w:cs="Arial"/>
          <w:szCs w:val="24"/>
        </w:rPr>
        <w:t xml:space="preserve"> and </w:t>
      </w:r>
      <w:r w:rsidR="00766632">
        <w:rPr>
          <w:rFonts w:cs="Arial"/>
          <w:szCs w:val="24"/>
        </w:rPr>
        <w:t>H</w:t>
      </w:r>
      <w:r w:rsidR="00430894">
        <w:rPr>
          <w:rFonts w:cs="Arial"/>
          <w:szCs w:val="24"/>
        </w:rPr>
        <w:t xml:space="preserve">ead of </w:t>
      </w:r>
      <w:r w:rsidRPr="00A9092B">
        <w:rPr>
          <w:rFonts w:cs="Arial"/>
          <w:szCs w:val="24"/>
        </w:rPr>
        <w:t xml:space="preserve">Corporate Office, ARPANSA </w:t>
      </w:r>
    </w:p>
    <w:p w14:paraId="7E7A93D3" w14:textId="36ACF5D3" w:rsidR="00AC1955" w:rsidRPr="009A4BD4" w:rsidRDefault="00AC1955" w:rsidP="00972601">
      <w:pPr>
        <w:pStyle w:val="ListParagraph"/>
        <w:numPr>
          <w:ilvl w:val="0"/>
          <w:numId w:val="29"/>
        </w:numPr>
        <w:spacing w:after="120"/>
        <w:ind w:left="782" w:hanging="357"/>
        <w:rPr>
          <w:rFonts w:cs="Times New Roman"/>
          <w:szCs w:val="24"/>
        </w:rPr>
      </w:pPr>
      <w:r w:rsidRPr="009A4BD4">
        <w:rPr>
          <w:rFonts w:cs="Arial"/>
          <w:szCs w:val="24"/>
        </w:rPr>
        <w:t>Francesca Wigney –</w:t>
      </w:r>
      <w:r w:rsidR="00766632" w:rsidRPr="009A4BD4">
        <w:rPr>
          <w:rFonts w:cs="Arial"/>
          <w:szCs w:val="24"/>
        </w:rPr>
        <w:t xml:space="preserve"> </w:t>
      </w:r>
      <w:r w:rsidRPr="009A4BD4">
        <w:rPr>
          <w:rFonts w:cs="Arial"/>
          <w:szCs w:val="24"/>
        </w:rPr>
        <w:t xml:space="preserve">Senior Regulatory Officer, Facility </w:t>
      </w:r>
      <w:r w:rsidR="00766632" w:rsidRPr="009A4BD4">
        <w:rPr>
          <w:rFonts w:cs="Arial"/>
          <w:szCs w:val="24"/>
        </w:rPr>
        <w:t xml:space="preserve">Licensing </w:t>
      </w:r>
      <w:r w:rsidRPr="009A4BD4">
        <w:rPr>
          <w:rFonts w:cs="Arial"/>
          <w:szCs w:val="24"/>
        </w:rPr>
        <w:t>Section, Regulatory Services Branch, ARPANSA</w:t>
      </w:r>
    </w:p>
    <w:p w14:paraId="3F85F944" w14:textId="3D2AD5CC" w:rsidR="00E43559" w:rsidRDefault="00E43559" w:rsidP="00972601">
      <w:pPr>
        <w:spacing w:after="120"/>
        <w:rPr>
          <w:szCs w:val="24"/>
        </w:rPr>
      </w:pPr>
      <w:r w:rsidRPr="00A9092B">
        <w:rPr>
          <w:szCs w:val="24"/>
        </w:rPr>
        <w:t xml:space="preserve">The assessment focussed on a review of performance against </w:t>
      </w:r>
      <w:r w:rsidR="006712A6" w:rsidRPr="00A9092B">
        <w:rPr>
          <w:szCs w:val="24"/>
        </w:rPr>
        <w:t xml:space="preserve">the </w:t>
      </w:r>
      <w:r w:rsidR="00437D6C">
        <w:rPr>
          <w:szCs w:val="24"/>
        </w:rPr>
        <w:t>12</w:t>
      </w:r>
      <w:r w:rsidR="00437D6C" w:rsidRPr="00A9092B">
        <w:rPr>
          <w:szCs w:val="24"/>
        </w:rPr>
        <w:t xml:space="preserve"> </w:t>
      </w:r>
      <w:r w:rsidRPr="00A9092B">
        <w:rPr>
          <w:szCs w:val="24"/>
        </w:rPr>
        <w:t xml:space="preserve">RSB PIs to ensure that the intent of the </w:t>
      </w:r>
      <w:r w:rsidR="004F05C0" w:rsidRPr="00A9092B">
        <w:rPr>
          <w:szCs w:val="24"/>
        </w:rPr>
        <w:t>six</w:t>
      </w:r>
      <w:r w:rsidRPr="00A9092B">
        <w:rPr>
          <w:szCs w:val="24"/>
        </w:rPr>
        <w:t xml:space="preserve"> RPF KPIs continues to </w:t>
      </w:r>
      <w:proofErr w:type="gramStart"/>
      <w:r w:rsidRPr="00A9092B">
        <w:rPr>
          <w:szCs w:val="24"/>
        </w:rPr>
        <w:t>be met</w:t>
      </w:r>
      <w:proofErr w:type="gramEnd"/>
      <w:r w:rsidR="00CF4F40">
        <w:rPr>
          <w:szCs w:val="24"/>
        </w:rPr>
        <w:t xml:space="preserve"> and to verify that quantitative</w:t>
      </w:r>
      <w:r w:rsidRPr="00A9092B">
        <w:rPr>
          <w:szCs w:val="24"/>
        </w:rPr>
        <w:t xml:space="preserve"> data was accurately recorded</w:t>
      </w:r>
      <w:r w:rsidR="00C74FE4">
        <w:rPr>
          <w:szCs w:val="24"/>
        </w:rPr>
        <w:t xml:space="preserve">. </w:t>
      </w:r>
    </w:p>
    <w:p w14:paraId="6F94370F" w14:textId="3276DFA5" w:rsidR="00E15624" w:rsidRPr="00A9092B" w:rsidRDefault="00E15624" w:rsidP="00972601">
      <w:pPr>
        <w:spacing w:after="120"/>
        <w:rPr>
          <w:szCs w:val="24"/>
        </w:rPr>
      </w:pPr>
      <w:r>
        <w:rPr>
          <w:szCs w:val="24"/>
        </w:rPr>
        <w:t xml:space="preserve">The team </w:t>
      </w:r>
      <w:r w:rsidR="006C0063">
        <w:rPr>
          <w:szCs w:val="24"/>
        </w:rPr>
        <w:t>set out to identify</w:t>
      </w:r>
      <w:r w:rsidR="0077068D">
        <w:rPr>
          <w:szCs w:val="24"/>
        </w:rPr>
        <w:t xml:space="preserve"> </w:t>
      </w:r>
      <w:r w:rsidR="00531DE1">
        <w:rPr>
          <w:szCs w:val="24"/>
        </w:rPr>
        <w:t xml:space="preserve">Areas </w:t>
      </w:r>
      <w:r w:rsidR="006C0063">
        <w:rPr>
          <w:szCs w:val="24"/>
        </w:rPr>
        <w:t>for</w:t>
      </w:r>
      <w:r w:rsidR="00531DE1">
        <w:rPr>
          <w:szCs w:val="24"/>
        </w:rPr>
        <w:t xml:space="preserve"> Improvement (AFI)</w:t>
      </w:r>
      <w:r w:rsidR="00EE2353">
        <w:rPr>
          <w:szCs w:val="24"/>
        </w:rPr>
        <w:t xml:space="preserve"> to</w:t>
      </w:r>
      <w:r w:rsidR="00437D6C">
        <w:rPr>
          <w:szCs w:val="24"/>
        </w:rPr>
        <w:t xml:space="preserve"> </w:t>
      </w:r>
      <w:r w:rsidR="00531DE1">
        <w:rPr>
          <w:szCs w:val="24"/>
        </w:rPr>
        <w:t>assist</w:t>
      </w:r>
      <w:r w:rsidR="0077068D">
        <w:rPr>
          <w:szCs w:val="24"/>
        </w:rPr>
        <w:t xml:space="preserve"> </w:t>
      </w:r>
      <w:r>
        <w:rPr>
          <w:szCs w:val="24"/>
        </w:rPr>
        <w:t>ARPANSA improv</w:t>
      </w:r>
      <w:r w:rsidR="00437D6C">
        <w:rPr>
          <w:szCs w:val="24"/>
        </w:rPr>
        <w:t>e</w:t>
      </w:r>
      <w:r>
        <w:rPr>
          <w:szCs w:val="24"/>
        </w:rPr>
        <w:t xml:space="preserve"> the accuracy of the </w:t>
      </w:r>
      <w:r w:rsidR="00EE2353">
        <w:rPr>
          <w:szCs w:val="24"/>
        </w:rPr>
        <w:t xml:space="preserve">PIs </w:t>
      </w:r>
      <w:r w:rsidR="00367B9F">
        <w:rPr>
          <w:szCs w:val="24"/>
        </w:rPr>
        <w:t xml:space="preserve">as well as regulatory outcomes. </w:t>
      </w:r>
    </w:p>
    <w:p w14:paraId="241138B5" w14:textId="66CF10F0" w:rsidR="00E43559" w:rsidRPr="00A9092B" w:rsidRDefault="00E43559" w:rsidP="00972601">
      <w:pPr>
        <w:spacing w:after="120"/>
        <w:rPr>
          <w:szCs w:val="24"/>
        </w:rPr>
      </w:pPr>
      <w:r w:rsidRPr="00A9092B">
        <w:rPr>
          <w:szCs w:val="24"/>
        </w:rPr>
        <w:t>To provide qualitative information on performance</w:t>
      </w:r>
      <w:r w:rsidR="00FB47BD" w:rsidRPr="00A9092B">
        <w:rPr>
          <w:szCs w:val="24"/>
        </w:rPr>
        <w:t>,</w:t>
      </w:r>
      <w:r w:rsidRPr="00A9092B">
        <w:rPr>
          <w:szCs w:val="24"/>
        </w:rPr>
        <w:t xml:space="preserve"> the assessment </w:t>
      </w:r>
      <w:r w:rsidR="003B552D" w:rsidRPr="00A9092B">
        <w:rPr>
          <w:szCs w:val="24"/>
        </w:rPr>
        <w:t xml:space="preserve">team </w:t>
      </w:r>
      <w:r w:rsidR="00595A7E">
        <w:rPr>
          <w:szCs w:val="24"/>
        </w:rPr>
        <w:t xml:space="preserve">also </w:t>
      </w:r>
      <w:r w:rsidRPr="00A9092B">
        <w:rPr>
          <w:szCs w:val="24"/>
        </w:rPr>
        <w:t>examined underlying data and information by:</w:t>
      </w:r>
    </w:p>
    <w:p w14:paraId="43B92DC7" w14:textId="022AA61A" w:rsidR="00E43559" w:rsidRPr="00A9092B" w:rsidRDefault="00E43559" w:rsidP="00972601">
      <w:pPr>
        <w:pStyle w:val="ListParagraph"/>
        <w:numPr>
          <w:ilvl w:val="0"/>
          <w:numId w:val="29"/>
        </w:numPr>
        <w:spacing w:after="120"/>
        <w:ind w:left="714" w:hanging="357"/>
        <w:rPr>
          <w:rFonts w:cs="Arial"/>
          <w:szCs w:val="24"/>
        </w:rPr>
      </w:pPr>
      <w:r w:rsidRPr="00A9092B">
        <w:rPr>
          <w:rFonts w:cs="Arial"/>
          <w:szCs w:val="24"/>
        </w:rPr>
        <w:t>reviewing various data sources (</w:t>
      </w:r>
      <w:r w:rsidR="00531DE1">
        <w:rPr>
          <w:rFonts w:cs="Arial"/>
          <w:szCs w:val="24"/>
        </w:rPr>
        <w:t xml:space="preserve">e.g. </w:t>
      </w:r>
      <w:r w:rsidRPr="00A9092B">
        <w:rPr>
          <w:rFonts w:cs="Arial"/>
          <w:szCs w:val="24"/>
        </w:rPr>
        <w:t xml:space="preserve">inspection data and </w:t>
      </w:r>
      <w:r w:rsidR="00531DE1">
        <w:rPr>
          <w:rFonts w:cs="Arial"/>
          <w:szCs w:val="24"/>
        </w:rPr>
        <w:t>findings, surveys, records</w:t>
      </w:r>
      <w:r w:rsidRPr="00A9092B">
        <w:rPr>
          <w:rFonts w:cs="Arial"/>
          <w:szCs w:val="24"/>
        </w:rPr>
        <w:t>)</w:t>
      </w:r>
    </w:p>
    <w:p w14:paraId="321E03B6" w14:textId="3932F323" w:rsidR="00E43559" w:rsidRPr="00A9092B" w:rsidRDefault="00E43559" w:rsidP="00972601">
      <w:pPr>
        <w:pStyle w:val="ListParagraph"/>
        <w:numPr>
          <w:ilvl w:val="0"/>
          <w:numId w:val="29"/>
        </w:numPr>
        <w:spacing w:after="120"/>
        <w:ind w:left="714" w:hanging="357"/>
        <w:rPr>
          <w:rFonts w:cs="Arial"/>
          <w:szCs w:val="24"/>
        </w:rPr>
      </w:pPr>
      <w:r w:rsidRPr="00A9092B">
        <w:rPr>
          <w:rFonts w:cs="Arial"/>
          <w:szCs w:val="24"/>
        </w:rPr>
        <w:t>review</w:t>
      </w:r>
      <w:r w:rsidR="00FB47BD" w:rsidRPr="00A9092B">
        <w:rPr>
          <w:rFonts w:cs="Arial"/>
          <w:szCs w:val="24"/>
        </w:rPr>
        <w:t>ing</w:t>
      </w:r>
      <w:r w:rsidRPr="00A9092B">
        <w:rPr>
          <w:rFonts w:cs="Arial"/>
          <w:szCs w:val="24"/>
        </w:rPr>
        <w:t xml:space="preserve"> </w:t>
      </w:r>
      <w:r w:rsidR="00FB47BD" w:rsidRPr="00A9092B">
        <w:rPr>
          <w:rFonts w:cs="Arial"/>
          <w:szCs w:val="24"/>
        </w:rPr>
        <w:t xml:space="preserve">the </w:t>
      </w:r>
      <w:r w:rsidRPr="00A9092B">
        <w:rPr>
          <w:rFonts w:cs="Arial"/>
          <w:szCs w:val="24"/>
        </w:rPr>
        <w:t xml:space="preserve">inspection processes and procedures </w:t>
      </w:r>
    </w:p>
    <w:p w14:paraId="44811D7B" w14:textId="72A64853" w:rsidR="00E43559" w:rsidRPr="00A9092B" w:rsidRDefault="00E43559" w:rsidP="00972601">
      <w:pPr>
        <w:pStyle w:val="ListParagraph"/>
        <w:numPr>
          <w:ilvl w:val="0"/>
          <w:numId w:val="29"/>
        </w:numPr>
        <w:spacing w:after="120"/>
        <w:ind w:left="714" w:hanging="357"/>
        <w:rPr>
          <w:rFonts w:cs="Arial"/>
          <w:szCs w:val="24"/>
        </w:rPr>
      </w:pPr>
      <w:r w:rsidRPr="00A9092B">
        <w:rPr>
          <w:rFonts w:cs="Arial"/>
          <w:szCs w:val="24"/>
        </w:rPr>
        <w:t xml:space="preserve">interviewing </w:t>
      </w:r>
      <w:r w:rsidR="0077068D">
        <w:rPr>
          <w:rFonts w:cs="Arial"/>
          <w:szCs w:val="24"/>
        </w:rPr>
        <w:t>ARPANSA</w:t>
      </w:r>
      <w:r w:rsidRPr="00A9092B">
        <w:rPr>
          <w:rFonts w:cs="Arial"/>
          <w:szCs w:val="24"/>
        </w:rPr>
        <w:t xml:space="preserve"> staff and management </w:t>
      </w:r>
    </w:p>
    <w:p w14:paraId="2854D2A6" w14:textId="68B2AED8" w:rsidR="00E43559" w:rsidRPr="00A9092B" w:rsidRDefault="00FB47BD" w:rsidP="00972601">
      <w:pPr>
        <w:pStyle w:val="ListParagraph"/>
        <w:numPr>
          <w:ilvl w:val="0"/>
          <w:numId w:val="29"/>
        </w:numPr>
        <w:spacing w:after="120"/>
        <w:ind w:left="714" w:hanging="357"/>
        <w:rPr>
          <w:rFonts w:cs="Arial"/>
          <w:szCs w:val="24"/>
        </w:rPr>
      </w:pPr>
      <w:r w:rsidRPr="00A9092B">
        <w:rPr>
          <w:rFonts w:cs="Arial"/>
          <w:szCs w:val="24"/>
        </w:rPr>
        <w:t>observing</w:t>
      </w:r>
      <w:r w:rsidR="00E43559" w:rsidRPr="00A9092B">
        <w:rPr>
          <w:rFonts w:cs="Arial"/>
          <w:szCs w:val="24"/>
        </w:rPr>
        <w:t xml:space="preserve"> a </w:t>
      </w:r>
      <w:r w:rsidR="00EE2353">
        <w:rPr>
          <w:rFonts w:cs="Arial"/>
          <w:szCs w:val="24"/>
        </w:rPr>
        <w:t>s</w:t>
      </w:r>
      <w:r w:rsidR="00E43559" w:rsidRPr="00A9092B">
        <w:rPr>
          <w:rFonts w:cs="Arial"/>
          <w:szCs w:val="24"/>
        </w:rPr>
        <w:t xml:space="preserve">ource </w:t>
      </w:r>
      <w:r w:rsidR="00EE2353">
        <w:rPr>
          <w:rFonts w:cs="Arial"/>
          <w:szCs w:val="24"/>
        </w:rPr>
        <w:t>l</w:t>
      </w:r>
      <w:r w:rsidR="00E43559" w:rsidRPr="00A9092B">
        <w:rPr>
          <w:rFonts w:cs="Arial"/>
          <w:szCs w:val="24"/>
        </w:rPr>
        <w:t>icence and</w:t>
      </w:r>
      <w:r w:rsidR="00A74F3A">
        <w:rPr>
          <w:rFonts w:cs="Arial"/>
          <w:szCs w:val="24"/>
        </w:rPr>
        <w:t xml:space="preserve"> a</w:t>
      </w:r>
      <w:r w:rsidR="00E43559" w:rsidRPr="00A9092B">
        <w:rPr>
          <w:rFonts w:cs="Arial"/>
          <w:szCs w:val="24"/>
        </w:rPr>
        <w:t xml:space="preserve"> </w:t>
      </w:r>
      <w:r w:rsidR="00EE2353">
        <w:rPr>
          <w:rFonts w:cs="Arial"/>
          <w:szCs w:val="24"/>
        </w:rPr>
        <w:t>f</w:t>
      </w:r>
      <w:r w:rsidR="00E43559" w:rsidRPr="00A9092B">
        <w:rPr>
          <w:rFonts w:cs="Arial"/>
          <w:szCs w:val="24"/>
        </w:rPr>
        <w:t xml:space="preserve">acility </w:t>
      </w:r>
      <w:r w:rsidR="00EE2353">
        <w:rPr>
          <w:rFonts w:cs="Arial"/>
          <w:szCs w:val="24"/>
        </w:rPr>
        <w:t>l</w:t>
      </w:r>
      <w:r w:rsidR="00E43559" w:rsidRPr="00A9092B">
        <w:rPr>
          <w:rFonts w:cs="Arial"/>
          <w:szCs w:val="24"/>
        </w:rPr>
        <w:t xml:space="preserve">icence </w:t>
      </w:r>
      <w:r w:rsidR="00492CD6">
        <w:rPr>
          <w:rFonts w:cs="Arial"/>
          <w:szCs w:val="24"/>
        </w:rPr>
        <w:t>i</w:t>
      </w:r>
      <w:r w:rsidR="00E43559" w:rsidRPr="00A9092B">
        <w:rPr>
          <w:rFonts w:cs="Arial"/>
          <w:szCs w:val="24"/>
        </w:rPr>
        <w:t xml:space="preserve">nspection </w:t>
      </w:r>
    </w:p>
    <w:p w14:paraId="5921F169" w14:textId="70DF4BDC" w:rsidR="00E43559" w:rsidRPr="00A9092B" w:rsidRDefault="00E43559" w:rsidP="00972601">
      <w:pPr>
        <w:pStyle w:val="ListParagraph"/>
        <w:numPr>
          <w:ilvl w:val="0"/>
          <w:numId w:val="29"/>
        </w:numPr>
        <w:spacing w:after="120"/>
        <w:ind w:left="714" w:hanging="357"/>
        <w:rPr>
          <w:rFonts w:cs="Arial"/>
          <w:szCs w:val="24"/>
        </w:rPr>
      </w:pPr>
      <w:proofErr w:type="gramStart"/>
      <w:r w:rsidRPr="00A9092B">
        <w:rPr>
          <w:rFonts w:cs="Arial"/>
          <w:szCs w:val="24"/>
        </w:rPr>
        <w:t>interviewing</w:t>
      </w:r>
      <w:proofErr w:type="gramEnd"/>
      <w:r w:rsidR="00785A55" w:rsidRPr="00A9092B">
        <w:rPr>
          <w:rFonts w:cs="Arial"/>
          <w:szCs w:val="24"/>
        </w:rPr>
        <w:t xml:space="preserve"> </w:t>
      </w:r>
      <w:r w:rsidR="00947E97">
        <w:rPr>
          <w:rFonts w:cs="Arial"/>
          <w:szCs w:val="24"/>
        </w:rPr>
        <w:t xml:space="preserve">more than 12 </w:t>
      </w:r>
      <w:r w:rsidRPr="00A9092B">
        <w:rPr>
          <w:rFonts w:cs="Arial"/>
          <w:szCs w:val="24"/>
        </w:rPr>
        <w:t>staff and management</w:t>
      </w:r>
      <w:r w:rsidR="00947E97">
        <w:rPr>
          <w:rFonts w:cs="Arial"/>
          <w:szCs w:val="24"/>
        </w:rPr>
        <w:t xml:space="preserve"> from two licence holders</w:t>
      </w:r>
      <w:r w:rsidR="00772FB5">
        <w:rPr>
          <w:rFonts w:cs="Arial"/>
          <w:szCs w:val="24"/>
        </w:rPr>
        <w:t>.</w:t>
      </w:r>
    </w:p>
    <w:p w14:paraId="5F2DA0A6" w14:textId="0C528907" w:rsidR="000E45B8" w:rsidRPr="006C4028" w:rsidRDefault="00E43559" w:rsidP="00972601">
      <w:pPr>
        <w:spacing w:after="120"/>
        <w:rPr>
          <w:rFonts w:cs="Arial"/>
          <w:szCs w:val="24"/>
        </w:rPr>
      </w:pPr>
      <w:r w:rsidRPr="00A9092B">
        <w:rPr>
          <w:rFonts w:cs="Arial"/>
          <w:szCs w:val="24"/>
        </w:rPr>
        <w:t xml:space="preserve">A list of data and documents provided to the assessment team is in Appendix </w:t>
      </w:r>
      <w:r w:rsidR="006C0063">
        <w:rPr>
          <w:rFonts w:cs="Arial"/>
          <w:szCs w:val="24"/>
        </w:rPr>
        <w:t>B</w:t>
      </w:r>
      <w:r w:rsidR="005410FF" w:rsidRPr="00A9092B">
        <w:rPr>
          <w:rFonts w:cs="Arial"/>
          <w:szCs w:val="24"/>
        </w:rPr>
        <w:t>.</w:t>
      </w:r>
      <w:r w:rsidR="000E45B8" w:rsidRPr="00A9092B">
        <w:rPr>
          <w:rFonts w:cs="Times New Roman"/>
          <w:b/>
          <w:sz w:val="32"/>
          <w:szCs w:val="32"/>
        </w:rPr>
        <w:br w:type="page"/>
      </w:r>
    </w:p>
    <w:p w14:paraId="7478D93E" w14:textId="77777777" w:rsidR="000E45B8" w:rsidRPr="00A9092B" w:rsidRDefault="000E45B8" w:rsidP="00133CE8">
      <w:pPr>
        <w:pStyle w:val="Heading1"/>
      </w:pPr>
      <w:bookmarkStart w:id="8" w:name="_Toc470173134"/>
      <w:r w:rsidRPr="00A9092B">
        <w:lastRenderedPageBreak/>
        <w:t xml:space="preserve">Performance </w:t>
      </w:r>
      <w:r w:rsidR="008E65AA" w:rsidRPr="00A9092B">
        <w:t>Assessment</w:t>
      </w:r>
      <w:bookmarkEnd w:id="8"/>
    </w:p>
    <w:p w14:paraId="5B3310AA" w14:textId="0D48C421" w:rsidR="000E45B8" w:rsidRPr="00A9092B" w:rsidRDefault="000E45B8" w:rsidP="00972601">
      <w:pPr>
        <w:pStyle w:val="Heading2"/>
        <w:jc w:val="left"/>
        <w:rPr>
          <w:lang w:eastAsia="en-AU"/>
        </w:rPr>
      </w:pPr>
      <w:bookmarkStart w:id="9" w:name="_Toc470173135"/>
      <w:r w:rsidRPr="00A9092B">
        <w:rPr>
          <w:lang w:eastAsia="en-AU"/>
        </w:rPr>
        <w:t>KPI 1</w:t>
      </w:r>
      <w:r w:rsidR="00B126D2">
        <w:rPr>
          <w:lang w:eastAsia="en-AU"/>
        </w:rPr>
        <w:t xml:space="preserve"> –</w:t>
      </w:r>
      <w:r w:rsidRPr="00A9092B">
        <w:rPr>
          <w:lang w:eastAsia="en-AU"/>
        </w:rPr>
        <w:t xml:space="preserve"> Regulators do not unnecessarily impede the efficient operation of regulated entities</w:t>
      </w:r>
      <w:bookmarkEnd w:id="9"/>
    </w:p>
    <w:p w14:paraId="3BFBA322" w14:textId="1535E815" w:rsidR="0081143A" w:rsidRDefault="005D26CB" w:rsidP="00972601">
      <w:pPr>
        <w:rPr>
          <w:lang w:eastAsia="en-AU"/>
        </w:rPr>
      </w:pPr>
      <w:r>
        <w:rPr>
          <w:lang w:eastAsia="en-AU"/>
        </w:rPr>
        <w:t xml:space="preserve">ARPANSA follows </w:t>
      </w:r>
      <w:r w:rsidR="005B73A7">
        <w:rPr>
          <w:lang w:eastAsia="en-AU"/>
        </w:rPr>
        <w:t xml:space="preserve">the </w:t>
      </w:r>
      <w:r>
        <w:rPr>
          <w:lang w:eastAsia="en-AU"/>
        </w:rPr>
        <w:t>international</w:t>
      </w:r>
      <w:r w:rsidR="005B73A7">
        <w:rPr>
          <w:lang w:eastAsia="en-AU"/>
        </w:rPr>
        <w:t>ly</w:t>
      </w:r>
      <w:r>
        <w:rPr>
          <w:lang w:eastAsia="en-AU"/>
        </w:rPr>
        <w:t xml:space="preserve"> </w:t>
      </w:r>
      <w:r w:rsidR="005B73A7">
        <w:rPr>
          <w:lang w:eastAsia="en-AU"/>
        </w:rPr>
        <w:t xml:space="preserve">agreed principle </w:t>
      </w:r>
      <w:r>
        <w:rPr>
          <w:lang w:eastAsia="en-AU"/>
        </w:rPr>
        <w:t>that the</w:t>
      </w:r>
      <w:r w:rsidR="00EF3F83">
        <w:rPr>
          <w:lang w:eastAsia="en-AU"/>
        </w:rPr>
        <w:t xml:space="preserve"> </w:t>
      </w:r>
      <w:r w:rsidR="004F0F59">
        <w:rPr>
          <w:lang w:eastAsia="en-AU"/>
        </w:rPr>
        <w:t>prime</w:t>
      </w:r>
      <w:r w:rsidR="00EF3F83">
        <w:rPr>
          <w:lang w:eastAsia="en-AU"/>
        </w:rPr>
        <w:t xml:space="preserve"> responsibility for protecting people and the environment</w:t>
      </w:r>
      <w:r w:rsidR="0081143A">
        <w:rPr>
          <w:lang w:eastAsia="en-AU"/>
        </w:rPr>
        <w:t xml:space="preserve"> rests with the licence holder</w:t>
      </w:r>
      <w:r w:rsidR="0081143A" w:rsidRPr="0081143A">
        <w:rPr>
          <w:lang w:eastAsia="en-AU"/>
        </w:rPr>
        <w:t xml:space="preserve">. </w:t>
      </w:r>
      <w:r w:rsidR="004F0F59" w:rsidRPr="0081143A">
        <w:rPr>
          <w:lang w:eastAsia="en-AU"/>
        </w:rPr>
        <w:t xml:space="preserve">ARPANSA has developed guidelines </w:t>
      </w:r>
      <w:r w:rsidR="00595A7E" w:rsidRPr="0081143A">
        <w:rPr>
          <w:lang w:eastAsia="en-AU"/>
        </w:rPr>
        <w:t>that assist licence holders</w:t>
      </w:r>
      <w:r w:rsidR="0081143A" w:rsidRPr="0081143A">
        <w:rPr>
          <w:lang w:eastAsia="en-AU"/>
        </w:rPr>
        <w:t xml:space="preserve"> </w:t>
      </w:r>
      <w:r w:rsidR="004F0F59" w:rsidRPr="0081143A">
        <w:rPr>
          <w:lang w:eastAsia="en-AU"/>
        </w:rPr>
        <w:t xml:space="preserve">to develop </w:t>
      </w:r>
      <w:r w:rsidR="00821C27" w:rsidRPr="0081143A">
        <w:rPr>
          <w:lang w:eastAsia="en-AU"/>
        </w:rPr>
        <w:t>their</w:t>
      </w:r>
      <w:r w:rsidR="006C59BE" w:rsidRPr="0081143A">
        <w:rPr>
          <w:lang w:eastAsia="en-AU"/>
        </w:rPr>
        <w:t xml:space="preserve"> own</w:t>
      </w:r>
      <w:r w:rsidR="004F0F59" w:rsidRPr="0081143A">
        <w:rPr>
          <w:lang w:eastAsia="en-AU"/>
        </w:rPr>
        <w:t xml:space="preserve"> </w:t>
      </w:r>
      <w:r w:rsidR="0081143A" w:rsidRPr="0081143A">
        <w:rPr>
          <w:lang w:eastAsia="en-AU"/>
        </w:rPr>
        <w:t xml:space="preserve">plans and arrangements to </w:t>
      </w:r>
      <w:r w:rsidR="00015E15" w:rsidRPr="0081143A">
        <w:rPr>
          <w:lang w:eastAsia="en-AU"/>
        </w:rPr>
        <w:t>fulfil</w:t>
      </w:r>
      <w:r w:rsidR="004F0F59" w:rsidRPr="0081143A">
        <w:rPr>
          <w:lang w:eastAsia="en-AU"/>
        </w:rPr>
        <w:t xml:space="preserve"> this responsibilit</w:t>
      </w:r>
      <w:r w:rsidR="00FF7025" w:rsidRPr="0081143A">
        <w:rPr>
          <w:lang w:eastAsia="en-AU"/>
        </w:rPr>
        <w:t>y</w:t>
      </w:r>
      <w:r w:rsidR="004F0F59" w:rsidRPr="0081143A">
        <w:rPr>
          <w:lang w:eastAsia="en-AU"/>
        </w:rPr>
        <w:t xml:space="preserve"> </w:t>
      </w:r>
      <w:r w:rsidR="00D05AA5" w:rsidRPr="0081143A">
        <w:rPr>
          <w:lang w:eastAsia="en-AU"/>
        </w:rPr>
        <w:t>and to</w:t>
      </w:r>
      <w:r w:rsidR="00821C27" w:rsidRPr="0081143A">
        <w:rPr>
          <w:lang w:eastAsia="en-AU"/>
        </w:rPr>
        <w:t xml:space="preserve"> </w:t>
      </w:r>
      <w:r w:rsidR="004F0F59" w:rsidRPr="0081143A">
        <w:rPr>
          <w:lang w:eastAsia="en-AU"/>
        </w:rPr>
        <w:t>demonstrat</w:t>
      </w:r>
      <w:r w:rsidR="00FF7025" w:rsidRPr="0081143A">
        <w:rPr>
          <w:lang w:eastAsia="en-AU"/>
        </w:rPr>
        <w:t>e</w:t>
      </w:r>
      <w:r w:rsidR="00821C27" w:rsidRPr="0081143A">
        <w:rPr>
          <w:lang w:eastAsia="en-AU"/>
        </w:rPr>
        <w:t xml:space="preserve"> </w:t>
      </w:r>
      <w:r w:rsidR="004F0F59" w:rsidRPr="0081143A">
        <w:rPr>
          <w:lang w:eastAsia="en-AU"/>
        </w:rPr>
        <w:t>compliance with the Act and Regulations</w:t>
      </w:r>
      <w:r w:rsidR="0081143A">
        <w:rPr>
          <w:lang w:eastAsia="en-AU"/>
        </w:rPr>
        <w:t>.</w:t>
      </w:r>
    </w:p>
    <w:p w14:paraId="32E60542" w14:textId="3B98D797" w:rsidR="00EF3F83" w:rsidRDefault="00EB6D3C" w:rsidP="00972601">
      <w:pPr>
        <w:keepLines/>
        <w:autoSpaceDE w:val="0"/>
        <w:autoSpaceDN w:val="0"/>
        <w:adjustRightInd w:val="0"/>
        <w:spacing w:after="120"/>
        <w:rPr>
          <w:rFonts w:cs="Times New Roman"/>
          <w:bCs/>
          <w:szCs w:val="24"/>
          <w:lang w:eastAsia="en-AU"/>
        </w:rPr>
      </w:pPr>
      <w:r>
        <w:rPr>
          <w:rFonts w:cs="Times New Roman"/>
          <w:bCs/>
          <w:szCs w:val="24"/>
          <w:lang w:eastAsia="en-AU"/>
        </w:rPr>
        <w:t xml:space="preserve">ARPANSA strives to create a regulatory environment that is risk-informed, proportionate and effective. </w:t>
      </w:r>
      <w:r w:rsidR="0045055F">
        <w:rPr>
          <w:rFonts w:cs="Times New Roman"/>
          <w:bCs/>
          <w:szCs w:val="24"/>
          <w:lang w:eastAsia="en-AU"/>
        </w:rPr>
        <w:t>R</w:t>
      </w:r>
      <w:r w:rsidR="00FF7025">
        <w:rPr>
          <w:rFonts w:cs="Times New Roman"/>
          <w:bCs/>
          <w:szCs w:val="24"/>
          <w:lang w:eastAsia="en-AU"/>
        </w:rPr>
        <w:t xml:space="preserve">egulatory </w:t>
      </w:r>
      <w:r w:rsidR="004F0F59">
        <w:rPr>
          <w:rFonts w:cs="Times New Roman"/>
          <w:bCs/>
          <w:szCs w:val="24"/>
          <w:lang w:eastAsia="en-AU"/>
        </w:rPr>
        <w:t>guidance</w:t>
      </w:r>
      <w:r w:rsidR="00FF7025">
        <w:rPr>
          <w:rFonts w:cs="Times New Roman"/>
          <w:bCs/>
          <w:szCs w:val="24"/>
          <w:lang w:eastAsia="en-AU"/>
        </w:rPr>
        <w:t xml:space="preserve"> </w:t>
      </w:r>
      <w:r w:rsidR="0045055F">
        <w:rPr>
          <w:rFonts w:cs="Times New Roman"/>
          <w:bCs/>
          <w:szCs w:val="24"/>
          <w:lang w:eastAsia="en-AU"/>
        </w:rPr>
        <w:t xml:space="preserve">has been increased and enhanced </w:t>
      </w:r>
      <w:r w:rsidR="00FF7025">
        <w:rPr>
          <w:rFonts w:cs="Times New Roman"/>
          <w:bCs/>
          <w:szCs w:val="24"/>
          <w:lang w:eastAsia="en-AU"/>
        </w:rPr>
        <w:t xml:space="preserve">using </w:t>
      </w:r>
      <w:r w:rsidR="0045055F">
        <w:rPr>
          <w:rFonts w:cs="Times New Roman"/>
          <w:bCs/>
          <w:szCs w:val="24"/>
          <w:lang w:eastAsia="en-AU"/>
        </w:rPr>
        <w:t xml:space="preserve">the ARPANSA </w:t>
      </w:r>
      <w:r w:rsidR="00FF7025">
        <w:rPr>
          <w:rFonts w:cs="Times New Roman"/>
          <w:bCs/>
          <w:szCs w:val="24"/>
          <w:lang w:eastAsia="en-AU"/>
        </w:rPr>
        <w:t>website</w:t>
      </w:r>
      <w:r w:rsidR="0045055F">
        <w:rPr>
          <w:rFonts w:cs="Times New Roman"/>
          <w:bCs/>
          <w:szCs w:val="24"/>
          <w:lang w:eastAsia="en-AU"/>
        </w:rPr>
        <w:t>,</w:t>
      </w:r>
      <w:r w:rsidR="00FF7025">
        <w:rPr>
          <w:rFonts w:cs="Times New Roman"/>
          <w:bCs/>
          <w:szCs w:val="24"/>
          <w:lang w:eastAsia="en-AU"/>
        </w:rPr>
        <w:t xml:space="preserve"> and through</w:t>
      </w:r>
      <w:r w:rsidR="004F0F59">
        <w:rPr>
          <w:rFonts w:cs="Times New Roman"/>
          <w:bCs/>
          <w:szCs w:val="24"/>
          <w:lang w:eastAsia="en-AU"/>
        </w:rPr>
        <w:t xml:space="preserve"> meetings, forums and workshops</w:t>
      </w:r>
      <w:r w:rsidR="00FF7025">
        <w:rPr>
          <w:rFonts w:cs="Times New Roman"/>
          <w:bCs/>
          <w:szCs w:val="24"/>
          <w:lang w:eastAsia="en-AU"/>
        </w:rPr>
        <w:t xml:space="preserve">. </w:t>
      </w:r>
      <w:r w:rsidR="006C6B06">
        <w:rPr>
          <w:rFonts w:cs="Times New Roman"/>
          <w:bCs/>
          <w:szCs w:val="24"/>
          <w:lang w:eastAsia="en-AU"/>
        </w:rPr>
        <w:t>ARPANSA has streamlined its risk-based approach to regulation, especially for low hazard activities.</w:t>
      </w:r>
    </w:p>
    <w:p w14:paraId="3D6492CA" w14:textId="11B94AA4" w:rsidR="00DD6FBF" w:rsidRPr="00A9092B" w:rsidRDefault="00DD6FBF" w:rsidP="00972601">
      <w:pPr>
        <w:keepLines/>
        <w:autoSpaceDE w:val="0"/>
        <w:autoSpaceDN w:val="0"/>
        <w:adjustRightInd w:val="0"/>
        <w:spacing w:after="120"/>
        <w:rPr>
          <w:rFonts w:cs="Times New Roman"/>
          <w:bCs/>
          <w:szCs w:val="24"/>
          <w:lang w:eastAsia="en-AU"/>
        </w:rPr>
      </w:pPr>
      <w:r w:rsidRPr="00A9092B">
        <w:rPr>
          <w:rFonts w:cs="Times New Roman"/>
          <w:bCs/>
          <w:szCs w:val="24"/>
          <w:lang w:eastAsia="en-AU"/>
        </w:rPr>
        <w:t>ARPANSA receive</w:t>
      </w:r>
      <w:r>
        <w:rPr>
          <w:rFonts w:cs="Times New Roman"/>
          <w:bCs/>
          <w:szCs w:val="24"/>
          <w:lang w:eastAsia="en-AU"/>
        </w:rPr>
        <w:t>s</w:t>
      </w:r>
      <w:r w:rsidRPr="00A9092B">
        <w:rPr>
          <w:rFonts w:cs="Times New Roman"/>
          <w:bCs/>
          <w:szCs w:val="24"/>
          <w:lang w:eastAsia="en-AU"/>
        </w:rPr>
        <w:t xml:space="preserve"> various </w:t>
      </w:r>
      <w:r>
        <w:rPr>
          <w:rFonts w:cs="Times New Roman"/>
          <w:bCs/>
          <w:szCs w:val="24"/>
          <w:lang w:eastAsia="en-AU"/>
        </w:rPr>
        <w:t xml:space="preserve">types of </w:t>
      </w:r>
      <w:r w:rsidRPr="00A9092B">
        <w:rPr>
          <w:rFonts w:cs="Times New Roman"/>
          <w:bCs/>
          <w:szCs w:val="24"/>
          <w:lang w:eastAsia="en-AU"/>
        </w:rPr>
        <w:t>applications</w:t>
      </w:r>
      <w:r w:rsidR="00C52DAF">
        <w:rPr>
          <w:rFonts w:cs="Times New Roman"/>
          <w:bCs/>
          <w:szCs w:val="24"/>
          <w:lang w:eastAsia="en-AU"/>
        </w:rPr>
        <w:t xml:space="preserve"> for </w:t>
      </w:r>
      <w:r w:rsidR="007358A0">
        <w:rPr>
          <w:rFonts w:cs="Times New Roman"/>
          <w:bCs/>
          <w:szCs w:val="24"/>
          <w:lang w:eastAsia="en-AU"/>
        </w:rPr>
        <w:t xml:space="preserve">nuclear and radiation facilities and </w:t>
      </w:r>
      <w:r w:rsidR="00C52DAF">
        <w:rPr>
          <w:rFonts w:cs="Times New Roman"/>
          <w:bCs/>
          <w:szCs w:val="24"/>
          <w:lang w:eastAsia="en-AU"/>
        </w:rPr>
        <w:t>sources</w:t>
      </w:r>
      <w:r>
        <w:rPr>
          <w:rFonts w:cs="Times New Roman"/>
          <w:bCs/>
          <w:szCs w:val="24"/>
          <w:lang w:eastAsia="en-AU"/>
        </w:rPr>
        <w:t>,</w:t>
      </w:r>
      <w:r w:rsidRPr="00A9092B">
        <w:rPr>
          <w:rFonts w:cs="Times New Roman"/>
          <w:bCs/>
          <w:szCs w:val="24"/>
          <w:lang w:eastAsia="en-AU"/>
        </w:rPr>
        <w:t xml:space="preserve"> </w:t>
      </w:r>
      <w:r>
        <w:rPr>
          <w:rFonts w:cs="Times New Roman"/>
          <w:bCs/>
          <w:szCs w:val="24"/>
          <w:lang w:eastAsia="en-AU"/>
        </w:rPr>
        <w:t>including</w:t>
      </w:r>
      <w:r w:rsidRPr="00A9092B">
        <w:rPr>
          <w:rFonts w:cs="Times New Roman"/>
          <w:bCs/>
          <w:szCs w:val="24"/>
          <w:lang w:eastAsia="en-AU"/>
        </w:rPr>
        <w:t xml:space="preserve"> licences</w:t>
      </w:r>
      <w:r w:rsidR="00E01737">
        <w:rPr>
          <w:rFonts w:cs="Times New Roman"/>
          <w:bCs/>
          <w:szCs w:val="24"/>
          <w:lang w:eastAsia="en-AU"/>
        </w:rPr>
        <w:t xml:space="preserve"> for new activities</w:t>
      </w:r>
      <w:r w:rsidRPr="00A9092B">
        <w:rPr>
          <w:rFonts w:cs="Times New Roman"/>
          <w:bCs/>
          <w:szCs w:val="24"/>
          <w:lang w:eastAsia="en-AU"/>
        </w:rPr>
        <w:t>, requests for approval to construct items important to safety, requests for safety</w:t>
      </w:r>
      <w:r w:rsidR="00335956">
        <w:rPr>
          <w:rFonts w:cs="Times New Roman"/>
          <w:bCs/>
          <w:szCs w:val="24"/>
          <w:lang w:eastAsia="en-AU"/>
        </w:rPr>
        <w:t>-</w:t>
      </w:r>
      <w:r w:rsidRPr="00A9092B">
        <w:rPr>
          <w:rFonts w:cs="Times New Roman"/>
          <w:bCs/>
          <w:szCs w:val="24"/>
          <w:lang w:eastAsia="en-AU"/>
        </w:rPr>
        <w:t>significant changes</w:t>
      </w:r>
      <w:r w:rsidR="007358A0">
        <w:rPr>
          <w:rFonts w:cs="Times New Roman"/>
          <w:bCs/>
          <w:szCs w:val="24"/>
          <w:lang w:eastAsia="en-AU"/>
        </w:rPr>
        <w:t xml:space="preserve"> to activit</w:t>
      </w:r>
      <w:r w:rsidR="00D86297">
        <w:rPr>
          <w:rFonts w:cs="Times New Roman"/>
          <w:bCs/>
          <w:szCs w:val="24"/>
          <w:lang w:eastAsia="en-AU"/>
        </w:rPr>
        <w:t>i</w:t>
      </w:r>
      <w:r w:rsidR="007358A0">
        <w:rPr>
          <w:rFonts w:cs="Times New Roman"/>
          <w:bCs/>
          <w:szCs w:val="24"/>
          <w:lang w:eastAsia="en-AU"/>
        </w:rPr>
        <w:t>es</w:t>
      </w:r>
      <w:r w:rsidRPr="00A9092B">
        <w:rPr>
          <w:rFonts w:cs="Times New Roman"/>
          <w:bCs/>
          <w:szCs w:val="24"/>
          <w:lang w:eastAsia="en-AU"/>
        </w:rPr>
        <w:t xml:space="preserve">, </w:t>
      </w:r>
      <w:r w:rsidR="009A1030" w:rsidRPr="00A9092B">
        <w:rPr>
          <w:rFonts w:cs="Times New Roman"/>
          <w:bCs/>
          <w:szCs w:val="24"/>
          <w:lang w:eastAsia="en-AU"/>
        </w:rPr>
        <w:t>transfer</w:t>
      </w:r>
      <w:r w:rsidR="009A1030">
        <w:rPr>
          <w:rFonts w:cs="Times New Roman"/>
          <w:bCs/>
          <w:szCs w:val="24"/>
          <w:lang w:eastAsia="en-AU"/>
        </w:rPr>
        <w:t xml:space="preserve"> or disposal of sources, and </w:t>
      </w:r>
      <w:r w:rsidRPr="00A9092B">
        <w:rPr>
          <w:rFonts w:cs="Times New Roman"/>
          <w:bCs/>
          <w:szCs w:val="24"/>
          <w:lang w:eastAsia="en-AU"/>
        </w:rPr>
        <w:t xml:space="preserve">transport </w:t>
      </w:r>
      <w:r>
        <w:rPr>
          <w:rFonts w:cs="Times New Roman"/>
          <w:bCs/>
          <w:szCs w:val="24"/>
          <w:lang w:eastAsia="en-AU"/>
        </w:rPr>
        <w:t>of radioactive material</w:t>
      </w:r>
      <w:r w:rsidRPr="00A9092B">
        <w:rPr>
          <w:rFonts w:cs="Times New Roman"/>
          <w:bCs/>
          <w:szCs w:val="24"/>
          <w:lang w:eastAsia="en-AU"/>
        </w:rPr>
        <w:t xml:space="preserve">. </w:t>
      </w:r>
      <w:r w:rsidR="00E01737">
        <w:rPr>
          <w:rFonts w:cs="Times New Roman"/>
          <w:bCs/>
          <w:szCs w:val="24"/>
          <w:lang w:eastAsia="en-AU"/>
        </w:rPr>
        <w:t xml:space="preserve">The scope and depth of documentation needed </w:t>
      </w:r>
      <w:r w:rsidR="006C6B06">
        <w:rPr>
          <w:rFonts w:cs="Times New Roman"/>
          <w:bCs/>
          <w:szCs w:val="24"/>
          <w:lang w:eastAsia="en-AU"/>
        </w:rPr>
        <w:t xml:space="preserve">to demonstrate safety </w:t>
      </w:r>
      <w:r w:rsidR="00E01737">
        <w:rPr>
          <w:rFonts w:cs="Times New Roman"/>
          <w:bCs/>
          <w:szCs w:val="24"/>
          <w:lang w:eastAsia="en-AU"/>
        </w:rPr>
        <w:t xml:space="preserve">depends on the risk of the proposed activity. </w:t>
      </w:r>
      <w:r>
        <w:rPr>
          <w:rFonts w:cs="Times New Roman"/>
          <w:bCs/>
          <w:szCs w:val="24"/>
          <w:lang w:eastAsia="en-AU"/>
        </w:rPr>
        <w:t>ARPANSA strives to a</w:t>
      </w:r>
      <w:r w:rsidR="00E01737">
        <w:rPr>
          <w:rFonts w:cs="Times New Roman"/>
          <w:bCs/>
          <w:szCs w:val="24"/>
          <w:lang w:eastAsia="en-AU"/>
        </w:rPr>
        <w:t>ssess</w:t>
      </w:r>
      <w:r w:rsidRPr="00A9092B">
        <w:rPr>
          <w:rFonts w:cs="Times New Roman"/>
          <w:bCs/>
          <w:szCs w:val="24"/>
          <w:lang w:eastAsia="en-AU"/>
        </w:rPr>
        <w:t xml:space="preserve"> applications in a timely manner</w:t>
      </w:r>
      <w:r>
        <w:rPr>
          <w:rFonts w:cs="Times New Roman"/>
          <w:bCs/>
          <w:szCs w:val="24"/>
          <w:lang w:eastAsia="en-AU"/>
        </w:rPr>
        <w:t xml:space="preserve"> a</w:t>
      </w:r>
      <w:r w:rsidR="00015E15">
        <w:rPr>
          <w:rFonts w:cs="Times New Roman"/>
          <w:bCs/>
          <w:szCs w:val="24"/>
          <w:lang w:eastAsia="en-AU"/>
        </w:rPr>
        <w:t xml:space="preserve">nd within a timeframe agreed </w:t>
      </w:r>
      <w:r>
        <w:rPr>
          <w:rFonts w:cs="Times New Roman"/>
          <w:bCs/>
          <w:szCs w:val="24"/>
          <w:lang w:eastAsia="en-AU"/>
        </w:rPr>
        <w:t>with the applicant. Th</w:t>
      </w:r>
      <w:r w:rsidR="006C6B06">
        <w:rPr>
          <w:rFonts w:cs="Times New Roman"/>
          <w:bCs/>
          <w:szCs w:val="24"/>
          <w:lang w:eastAsia="en-AU"/>
        </w:rPr>
        <w:t>e timeframe</w:t>
      </w:r>
      <w:r w:rsidR="009A1030">
        <w:rPr>
          <w:rFonts w:cs="Times New Roman"/>
          <w:bCs/>
          <w:szCs w:val="24"/>
          <w:lang w:eastAsia="en-AU"/>
        </w:rPr>
        <w:t xml:space="preserve"> </w:t>
      </w:r>
      <w:r>
        <w:rPr>
          <w:rFonts w:cs="Times New Roman"/>
          <w:bCs/>
          <w:szCs w:val="24"/>
          <w:lang w:eastAsia="en-AU"/>
        </w:rPr>
        <w:t>depend</w:t>
      </w:r>
      <w:r w:rsidR="009A1030">
        <w:rPr>
          <w:rFonts w:cs="Times New Roman"/>
          <w:bCs/>
          <w:szCs w:val="24"/>
          <w:lang w:eastAsia="en-AU"/>
        </w:rPr>
        <w:t>s</w:t>
      </w:r>
      <w:r w:rsidRPr="00A9092B">
        <w:rPr>
          <w:rFonts w:cs="Times New Roman"/>
          <w:bCs/>
          <w:szCs w:val="24"/>
          <w:lang w:eastAsia="en-AU"/>
        </w:rPr>
        <w:t xml:space="preserve"> on the nature </w:t>
      </w:r>
      <w:r>
        <w:rPr>
          <w:rFonts w:cs="Times New Roman"/>
          <w:bCs/>
          <w:szCs w:val="24"/>
          <w:lang w:eastAsia="en-AU"/>
        </w:rPr>
        <w:t>and complexity of the application</w:t>
      </w:r>
      <w:r w:rsidR="001139CA">
        <w:rPr>
          <w:rFonts w:cs="Times New Roman"/>
          <w:bCs/>
          <w:szCs w:val="24"/>
          <w:lang w:eastAsia="en-AU"/>
        </w:rPr>
        <w:t xml:space="preserve"> and </w:t>
      </w:r>
      <w:r w:rsidR="00B31E06">
        <w:rPr>
          <w:rFonts w:cs="Times New Roman"/>
          <w:bCs/>
          <w:szCs w:val="24"/>
          <w:lang w:eastAsia="en-AU"/>
        </w:rPr>
        <w:t>takes account of</w:t>
      </w:r>
      <w:r w:rsidR="001139CA">
        <w:rPr>
          <w:rFonts w:cs="Times New Roman"/>
          <w:bCs/>
          <w:szCs w:val="24"/>
          <w:lang w:eastAsia="en-AU"/>
        </w:rPr>
        <w:t xml:space="preserve"> </w:t>
      </w:r>
      <w:r w:rsidR="009A1030">
        <w:rPr>
          <w:rFonts w:cs="Times New Roman"/>
          <w:bCs/>
          <w:szCs w:val="24"/>
          <w:lang w:eastAsia="en-AU"/>
        </w:rPr>
        <w:t xml:space="preserve">the </w:t>
      </w:r>
      <w:r w:rsidR="001E7F2A">
        <w:rPr>
          <w:rFonts w:cs="Times New Roman"/>
          <w:bCs/>
          <w:szCs w:val="24"/>
          <w:lang w:eastAsia="en-AU"/>
        </w:rPr>
        <w:t>l</w:t>
      </w:r>
      <w:r w:rsidR="001F7A0E">
        <w:rPr>
          <w:rFonts w:cs="Times New Roman"/>
          <w:bCs/>
          <w:szCs w:val="24"/>
          <w:lang w:eastAsia="en-AU"/>
        </w:rPr>
        <w:t>icence holder</w:t>
      </w:r>
      <w:r w:rsidR="00335956">
        <w:rPr>
          <w:rFonts w:cs="Times New Roman"/>
          <w:bCs/>
          <w:szCs w:val="24"/>
          <w:lang w:eastAsia="en-AU"/>
        </w:rPr>
        <w:t>’s</w:t>
      </w:r>
      <w:r w:rsidR="001139CA">
        <w:rPr>
          <w:rFonts w:cs="Times New Roman"/>
          <w:bCs/>
          <w:szCs w:val="24"/>
          <w:lang w:eastAsia="en-AU"/>
        </w:rPr>
        <w:t xml:space="preserve"> programs and priorities</w:t>
      </w:r>
      <w:r w:rsidRPr="00A9092B">
        <w:rPr>
          <w:rFonts w:cs="Times New Roman"/>
          <w:bCs/>
          <w:szCs w:val="24"/>
          <w:lang w:eastAsia="en-AU"/>
        </w:rPr>
        <w:t>.</w:t>
      </w:r>
    </w:p>
    <w:p w14:paraId="204F0496" w14:textId="0CD1F77A" w:rsidR="00E561F8" w:rsidRPr="00E561F8" w:rsidRDefault="000F0A52" w:rsidP="00972601">
      <w:pPr>
        <w:spacing w:after="120"/>
        <w:rPr>
          <w:rFonts w:ascii="Times" w:eastAsia="Times New Roman" w:hAnsi="Times" w:cs="Times New Roman"/>
          <w:sz w:val="20"/>
          <w:szCs w:val="20"/>
        </w:rPr>
      </w:pPr>
      <w:r>
        <w:rPr>
          <w:rFonts w:cs="Times New Roman"/>
          <w:bCs/>
          <w:szCs w:val="24"/>
          <w:lang w:eastAsia="en-AU"/>
        </w:rPr>
        <w:t>ARPANSA maintains a risk-based inspection program. I</w:t>
      </w:r>
      <w:r w:rsidR="00780CBD" w:rsidRPr="00A9092B">
        <w:rPr>
          <w:rFonts w:cs="Times New Roman"/>
          <w:bCs/>
          <w:szCs w:val="24"/>
          <w:lang w:eastAsia="en-AU"/>
        </w:rPr>
        <w:t xml:space="preserve">nspections </w:t>
      </w:r>
      <w:r w:rsidR="00C52DAF">
        <w:rPr>
          <w:rFonts w:cs="Times New Roman"/>
          <w:bCs/>
          <w:szCs w:val="24"/>
          <w:lang w:eastAsia="en-AU"/>
        </w:rPr>
        <w:t>of licen</w:t>
      </w:r>
      <w:r>
        <w:rPr>
          <w:rFonts w:cs="Times New Roman"/>
          <w:bCs/>
          <w:szCs w:val="24"/>
          <w:lang w:eastAsia="en-AU"/>
        </w:rPr>
        <w:t>s</w:t>
      </w:r>
      <w:r w:rsidR="00C52DAF">
        <w:rPr>
          <w:rFonts w:cs="Times New Roman"/>
          <w:bCs/>
          <w:szCs w:val="24"/>
          <w:lang w:eastAsia="en-AU"/>
        </w:rPr>
        <w:t xml:space="preserve">ed activities </w:t>
      </w:r>
      <w:r>
        <w:rPr>
          <w:rFonts w:cs="Times New Roman"/>
          <w:bCs/>
          <w:szCs w:val="24"/>
          <w:lang w:eastAsia="en-AU"/>
        </w:rPr>
        <w:t xml:space="preserve">follow </w:t>
      </w:r>
      <w:r w:rsidR="001A6141" w:rsidRPr="00A9092B">
        <w:rPr>
          <w:rFonts w:cs="Times New Roman"/>
          <w:bCs/>
          <w:szCs w:val="24"/>
          <w:lang w:eastAsia="en-AU"/>
        </w:rPr>
        <w:t>a three</w:t>
      </w:r>
      <w:r>
        <w:rPr>
          <w:rFonts w:cs="Times New Roman"/>
          <w:bCs/>
          <w:szCs w:val="24"/>
          <w:lang w:eastAsia="en-AU"/>
        </w:rPr>
        <w:t>-</w:t>
      </w:r>
      <w:r w:rsidR="00B31E06" w:rsidRPr="00A9092B">
        <w:rPr>
          <w:rFonts w:cs="Times New Roman"/>
          <w:bCs/>
          <w:szCs w:val="24"/>
          <w:lang w:eastAsia="en-AU"/>
        </w:rPr>
        <w:t>year</w:t>
      </w:r>
      <w:r w:rsidR="001A6141" w:rsidRPr="00A9092B">
        <w:rPr>
          <w:rFonts w:cs="Times New Roman"/>
          <w:bCs/>
          <w:szCs w:val="24"/>
          <w:lang w:eastAsia="en-AU"/>
        </w:rPr>
        <w:t xml:space="preserve"> </w:t>
      </w:r>
      <w:r>
        <w:rPr>
          <w:rFonts w:cs="Times New Roman"/>
          <w:bCs/>
          <w:szCs w:val="24"/>
          <w:lang w:eastAsia="en-AU"/>
        </w:rPr>
        <w:t>schedule for facilities and a five-year schedule for sources</w:t>
      </w:r>
      <w:r w:rsidR="00F347B9">
        <w:rPr>
          <w:rFonts w:cs="Times New Roman"/>
          <w:bCs/>
          <w:szCs w:val="24"/>
          <w:lang w:eastAsia="en-AU"/>
        </w:rPr>
        <w:t xml:space="preserve">. </w:t>
      </w:r>
      <w:r w:rsidR="00A01E3F">
        <w:rPr>
          <w:rFonts w:cs="Times New Roman"/>
          <w:bCs/>
          <w:szCs w:val="24"/>
          <w:lang w:eastAsia="en-AU"/>
        </w:rPr>
        <w:t xml:space="preserve">The schedule </w:t>
      </w:r>
      <w:r w:rsidR="00423723">
        <w:rPr>
          <w:rFonts w:cs="Times New Roman"/>
          <w:bCs/>
          <w:szCs w:val="24"/>
          <w:lang w:eastAsia="en-AU"/>
        </w:rPr>
        <w:t>identif</w:t>
      </w:r>
      <w:r w:rsidR="00A72FE1">
        <w:rPr>
          <w:rFonts w:cs="Times New Roman"/>
          <w:bCs/>
          <w:szCs w:val="24"/>
          <w:lang w:eastAsia="en-AU"/>
        </w:rPr>
        <w:t>ies</w:t>
      </w:r>
      <w:r w:rsidR="00423723">
        <w:rPr>
          <w:rFonts w:cs="Times New Roman"/>
          <w:bCs/>
          <w:szCs w:val="24"/>
          <w:lang w:eastAsia="en-AU"/>
        </w:rPr>
        <w:t xml:space="preserve"> t</w:t>
      </w:r>
      <w:r w:rsidR="00A01E3F">
        <w:rPr>
          <w:rFonts w:cs="Times New Roman"/>
          <w:bCs/>
          <w:szCs w:val="24"/>
          <w:lang w:eastAsia="en-AU"/>
        </w:rPr>
        <w:t xml:space="preserve">he scope of </w:t>
      </w:r>
      <w:r w:rsidR="008D04BF">
        <w:rPr>
          <w:rFonts w:cs="Times New Roman"/>
          <w:bCs/>
          <w:szCs w:val="24"/>
          <w:lang w:eastAsia="en-AU"/>
        </w:rPr>
        <w:t xml:space="preserve">each </w:t>
      </w:r>
      <w:r w:rsidR="00445B89">
        <w:rPr>
          <w:rFonts w:cs="Times New Roman"/>
          <w:bCs/>
          <w:szCs w:val="24"/>
          <w:lang w:eastAsia="en-AU"/>
        </w:rPr>
        <w:t xml:space="preserve">inspection </w:t>
      </w:r>
      <w:r w:rsidR="00A72FE1">
        <w:rPr>
          <w:rFonts w:cs="Times New Roman"/>
          <w:bCs/>
          <w:szCs w:val="24"/>
          <w:lang w:eastAsia="en-AU"/>
        </w:rPr>
        <w:t xml:space="preserve">in terms of </w:t>
      </w:r>
      <w:hyperlink r:id="rId10" w:history="1">
        <w:r w:rsidR="00E55ADF" w:rsidRPr="001540FC">
          <w:rPr>
            <w:rStyle w:val="Hyperlink"/>
            <w:rFonts w:cs="Times New Roman"/>
            <w:bCs/>
            <w:szCs w:val="24"/>
            <w:lang w:eastAsia="en-AU"/>
          </w:rPr>
          <w:t>Performance Objectives and Criteria</w:t>
        </w:r>
      </w:hyperlink>
      <w:r w:rsidR="00A01E3F">
        <w:rPr>
          <w:rFonts w:cs="Times New Roman"/>
          <w:bCs/>
          <w:szCs w:val="24"/>
          <w:lang w:eastAsia="en-AU"/>
        </w:rPr>
        <w:t xml:space="preserve"> </w:t>
      </w:r>
      <w:r w:rsidR="002C634E">
        <w:rPr>
          <w:rFonts w:cs="Times New Roman"/>
          <w:bCs/>
          <w:szCs w:val="24"/>
          <w:lang w:eastAsia="en-AU"/>
        </w:rPr>
        <w:t xml:space="preserve">made </w:t>
      </w:r>
      <w:r w:rsidR="001434DF">
        <w:rPr>
          <w:rFonts w:cs="Times New Roman"/>
          <w:bCs/>
          <w:szCs w:val="24"/>
          <w:lang w:eastAsia="en-AU"/>
        </w:rPr>
        <w:t xml:space="preserve">available to licence holders </w:t>
      </w:r>
      <w:r w:rsidR="0055456B">
        <w:rPr>
          <w:rFonts w:cs="Times New Roman"/>
          <w:bCs/>
          <w:szCs w:val="24"/>
          <w:lang w:eastAsia="en-AU"/>
        </w:rPr>
        <w:t>via</w:t>
      </w:r>
      <w:r w:rsidR="008D04BF">
        <w:rPr>
          <w:rFonts w:cs="Times New Roman"/>
          <w:bCs/>
          <w:szCs w:val="24"/>
          <w:lang w:eastAsia="en-AU"/>
        </w:rPr>
        <w:t xml:space="preserve"> the </w:t>
      </w:r>
      <w:r w:rsidR="00A561CE">
        <w:rPr>
          <w:rFonts w:cs="Times New Roman"/>
          <w:bCs/>
          <w:szCs w:val="24"/>
          <w:lang w:eastAsia="en-AU"/>
        </w:rPr>
        <w:t>ARPANSA website</w:t>
      </w:r>
      <w:r w:rsidR="00BC4ADB">
        <w:rPr>
          <w:rFonts w:cs="Times New Roman"/>
          <w:bCs/>
          <w:szCs w:val="24"/>
          <w:lang w:eastAsia="en-AU"/>
        </w:rPr>
        <w:t xml:space="preserve">. </w:t>
      </w:r>
      <w:r w:rsidR="00E11372">
        <w:rPr>
          <w:rFonts w:cs="Times New Roman"/>
          <w:bCs/>
          <w:szCs w:val="24"/>
          <w:lang w:eastAsia="en-AU"/>
        </w:rPr>
        <w:t xml:space="preserve">These </w:t>
      </w:r>
      <w:proofErr w:type="gramStart"/>
      <w:r w:rsidR="00E11372">
        <w:rPr>
          <w:rFonts w:cs="Times New Roman"/>
          <w:bCs/>
          <w:szCs w:val="24"/>
          <w:lang w:eastAsia="en-AU"/>
        </w:rPr>
        <w:t>were developed</w:t>
      </w:r>
      <w:proofErr w:type="gramEnd"/>
      <w:r w:rsidR="001434DF">
        <w:rPr>
          <w:rFonts w:cs="Times New Roman"/>
          <w:bCs/>
          <w:szCs w:val="24"/>
          <w:lang w:eastAsia="en-AU"/>
        </w:rPr>
        <w:t xml:space="preserve"> </w:t>
      </w:r>
      <w:r w:rsidR="00E11372">
        <w:rPr>
          <w:rFonts w:cs="Times New Roman"/>
          <w:bCs/>
          <w:szCs w:val="24"/>
          <w:lang w:eastAsia="en-AU"/>
        </w:rPr>
        <w:t xml:space="preserve">based on international </w:t>
      </w:r>
      <w:r w:rsidR="00A72FE1">
        <w:rPr>
          <w:rFonts w:cs="Times New Roman"/>
          <w:bCs/>
          <w:szCs w:val="24"/>
          <w:lang w:eastAsia="en-AU"/>
        </w:rPr>
        <w:t xml:space="preserve">best </w:t>
      </w:r>
      <w:r w:rsidR="00E11372">
        <w:rPr>
          <w:rFonts w:cs="Times New Roman"/>
          <w:bCs/>
          <w:szCs w:val="24"/>
          <w:lang w:eastAsia="en-AU"/>
        </w:rPr>
        <w:t>practice</w:t>
      </w:r>
      <w:r w:rsidR="00777233">
        <w:rPr>
          <w:rFonts w:cs="Times New Roman"/>
          <w:bCs/>
          <w:szCs w:val="24"/>
          <w:lang w:eastAsia="en-AU"/>
        </w:rPr>
        <w:t xml:space="preserve"> to</w:t>
      </w:r>
      <w:r w:rsidR="00E11372">
        <w:rPr>
          <w:rFonts w:cs="Times New Roman"/>
          <w:bCs/>
          <w:szCs w:val="24"/>
          <w:lang w:eastAsia="en-AU"/>
        </w:rPr>
        <w:t xml:space="preserve"> inform </w:t>
      </w:r>
      <w:r w:rsidR="001F7A0E">
        <w:rPr>
          <w:rFonts w:cs="Times New Roman"/>
          <w:bCs/>
          <w:szCs w:val="24"/>
          <w:lang w:eastAsia="en-AU"/>
        </w:rPr>
        <w:t>licence holder</w:t>
      </w:r>
      <w:r w:rsidR="00E11372">
        <w:rPr>
          <w:rFonts w:cs="Times New Roman"/>
          <w:bCs/>
          <w:szCs w:val="24"/>
          <w:lang w:eastAsia="en-AU"/>
        </w:rPr>
        <w:t xml:space="preserve">s and the public of ARPANSA’s safety and security </w:t>
      </w:r>
      <w:r w:rsidR="00407B31">
        <w:rPr>
          <w:rFonts w:cs="Times New Roman"/>
          <w:bCs/>
          <w:szCs w:val="24"/>
          <w:lang w:eastAsia="en-AU"/>
        </w:rPr>
        <w:t>expectations</w:t>
      </w:r>
      <w:r w:rsidR="00407B31" w:rsidRPr="00E561F8">
        <w:rPr>
          <w:rFonts w:cs="Times New Roman"/>
          <w:bCs/>
          <w:szCs w:val="24"/>
          <w:lang w:eastAsia="en-AU"/>
        </w:rPr>
        <w:t xml:space="preserve">. </w:t>
      </w:r>
      <w:r w:rsidR="00E561F8" w:rsidRPr="00E561F8">
        <w:rPr>
          <w:rFonts w:cs="Times New Roman"/>
          <w:bCs/>
          <w:szCs w:val="24"/>
          <w:lang w:eastAsia="en-AU"/>
        </w:rPr>
        <w:t xml:space="preserve">They </w:t>
      </w:r>
      <w:r w:rsidR="00E561F8" w:rsidRPr="00E561F8">
        <w:rPr>
          <w:rFonts w:eastAsia="Times New Roman" w:cs="Times New Roman"/>
          <w:color w:val="000000"/>
          <w:szCs w:val="24"/>
          <w:shd w:val="clear" w:color="auto" w:fill="FFFFFF"/>
        </w:rPr>
        <w:t>provide a comprehensive list of features, controls and behaviours that contribute to safety</w:t>
      </w:r>
      <w:r w:rsidR="00623D74">
        <w:rPr>
          <w:rFonts w:eastAsia="Times New Roman" w:cs="Times New Roman"/>
          <w:color w:val="000000"/>
          <w:szCs w:val="24"/>
          <w:shd w:val="clear" w:color="auto" w:fill="FFFFFF"/>
        </w:rPr>
        <w:t>,</w:t>
      </w:r>
      <w:r w:rsidR="00E561F8" w:rsidRPr="00926A7B">
        <w:rPr>
          <w:rFonts w:cs="Times New Roman"/>
          <w:bCs/>
          <w:szCs w:val="24"/>
          <w:lang w:eastAsia="en-AU"/>
        </w:rPr>
        <w:t xml:space="preserve"> arranged into eight baseline modules and three cross cutting modules</w:t>
      </w:r>
      <w:r w:rsidR="00E561F8" w:rsidRPr="00E561F8">
        <w:rPr>
          <w:rFonts w:cs="Times New Roman"/>
          <w:bCs/>
          <w:szCs w:val="24"/>
          <w:lang w:eastAsia="en-AU"/>
        </w:rPr>
        <w:t>.</w:t>
      </w:r>
    </w:p>
    <w:p w14:paraId="49C6E86E" w14:textId="0C713B57" w:rsidR="00DD6FBF" w:rsidRPr="00A9092B" w:rsidRDefault="00A72FE1" w:rsidP="00972601">
      <w:pPr>
        <w:autoSpaceDE w:val="0"/>
        <w:autoSpaceDN w:val="0"/>
        <w:adjustRightInd w:val="0"/>
        <w:spacing w:after="120"/>
        <w:rPr>
          <w:rFonts w:cs="Times New Roman"/>
          <w:bCs/>
          <w:szCs w:val="24"/>
          <w:lang w:eastAsia="en-AU"/>
        </w:rPr>
      </w:pPr>
      <w:r>
        <w:rPr>
          <w:rFonts w:cs="Times New Roman"/>
          <w:bCs/>
          <w:szCs w:val="24"/>
          <w:lang w:eastAsia="en-AU"/>
        </w:rPr>
        <w:t>Publishing the performance objectives and criteria increases</w:t>
      </w:r>
      <w:r w:rsidR="00423723">
        <w:rPr>
          <w:rFonts w:cs="Times New Roman"/>
          <w:bCs/>
          <w:szCs w:val="24"/>
          <w:lang w:eastAsia="en-AU"/>
        </w:rPr>
        <w:t xml:space="preserve"> ARPANSA’s transparency and</w:t>
      </w:r>
      <w:r w:rsidR="007358A0">
        <w:rPr>
          <w:rFonts w:cs="Times New Roman"/>
          <w:bCs/>
          <w:szCs w:val="24"/>
          <w:lang w:eastAsia="en-AU"/>
        </w:rPr>
        <w:t>, together with the schedule,</w:t>
      </w:r>
      <w:r w:rsidR="00407B31">
        <w:rPr>
          <w:rFonts w:cs="Times New Roman"/>
          <w:bCs/>
          <w:szCs w:val="24"/>
          <w:lang w:eastAsia="en-AU"/>
        </w:rPr>
        <w:t xml:space="preserve"> allow</w:t>
      </w:r>
      <w:r w:rsidR="00423723">
        <w:rPr>
          <w:rFonts w:cs="Times New Roman"/>
          <w:bCs/>
          <w:szCs w:val="24"/>
          <w:lang w:eastAsia="en-AU"/>
        </w:rPr>
        <w:t>s</w:t>
      </w:r>
      <w:r w:rsidR="00407B31">
        <w:rPr>
          <w:rFonts w:cs="Times New Roman"/>
          <w:bCs/>
          <w:szCs w:val="24"/>
          <w:lang w:eastAsia="en-AU"/>
        </w:rPr>
        <w:t xml:space="preserve"> </w:t>
      </w:r>
      <w:r w:rsidR="00215D03">
        <w:rPr>
          <w:rFonts w:cs="Times New Roman"/>
          <w:bCs/>
          <w:szCs w:val="24"/>
          <w:lang w:eastAsia="en-AU"/>
        </w:rPr>
        <w:t xml:space="preserve">the </w:t>
      </w:r>
      <w:r>
        <w:rPr>
          <w:rFonts w:cs="Times New Roman"/>
          <w:bCs/>
          <w:szCs w:val="24"/>
          <w:lang w:eastAsia="en-AU"/>
        </w:rPr>
        <w:t>l</w:t>
      </w:r>
      <w:r w:rsidR="001F7A0E">
        <w:rPr>
          <w:rFonts w:cs="Times New Roman"/>
          <w:bCs/>
          <w:szCs w:val="24"/>
          <w:lang w:eastAsia="en-AU"/>
        </w:rPr>
        <w:t>icence holder</w:t>
      </w:r>
      <w:r w:rsidR="00407B31">
        <w:rPr>
          <w:rFonts w:cs="Times New Roman"/>
          <w:bCs/>
          <w:szCs w:val="24"/>
          <w:lang w:eastAsia="en-AU"/>
        </w:rPr>
        <w:t xml:space="preserve"> to prepare for an inspection</w:t>
      </w:r>
      <w:r w:rsidR="00E11372">
        <w:rPr>
          <w:rFonts w:cs="Times New Roman"/>
          <w:bCs/>
          <w:szCs w:val="24"/>
          <w:lang w:eastAsia="en-AU"/>
        </w:rPr>
        <w:t>.</w:t>
      </w:r>
      <w:r w:rsidR="00407B31">
        <w:rPr>
          <w:rFonts w:cs="Times New Roman"/>
          <w:bCs/>
          <w:szCs w:val="24"/>
          <w:lang w:eastAsia="en-AU"/>
        </w:rPr>
        <w:t xml:space="preserve"> </w:t>
      </w:r>
      <w:r w:rsidR="00151F6C">
        <w:rPr>
          <w:rFonts w:cs="Times New Roman"/>
          <w:bCs/>
          <w:szCs w:val="24"/>
          <w:lang w:eastAsia="en-AU"/>
        </w:rPr>
        <w:t>The s</w:t>
      </w:r>
      <w:r w:rsidR="001A6141" w:rsidRPr="00A9092B">
        <w:rPr>
          <w:rFonts w:cs="Times New Roman"/>
          <w:bCs/>
          <w:szCs w:val="24"/>
          <w:lang w:eastAsia="en-AU"/>
        </w:rPr>
        <w:t>pecific date for inspection</w:t>
      </w:r>
      <w:r w:rsidR="002C634E">
        <w:rPr>
          <w:rFonts w:cs="Times New Roman"/>
          <w:bCs/>
          <w:szCs w:val="24"/>
          <w:lang w:eastAsia="en-AU"/>
        </w:rPr>
        <w:t>s</w:t>
      </w:r>
      <w:r w:rsidR="001A6141" w:rsidRPr="00A9092B">
        <w:rPr>
          <w:rFonts w:cs="Times New Roman"/>
          <w:bCs/>
          <w:szCs w:val="24"/>
          <w:lang w:eastAsia="en-AU"/>
        </w:rPr>
        <w:t xml:space="preserve"> </w:t>
      </w:r>
      <w:proofErr w:type="gramStart"/>
      <w:r w:rsidR="00151F6C">
        <w:rPr>
          <w:rFonts w:cs="Times New Roman"/>
          <w:bCs/>
          <w:szCs w:val="24"/>
          <w:lang w:eastAsia="en-AU"/>
        </w:rPr>
        <w:t>is</w:t>
      </w:r>
      <w:r w:rsidR="001A6141" w:rsidRPr="00A9092B">
        <w:rPr>
          <w:rFonts w:cs="Times New Roman"/>
          <w:bCs/>
          <w:szCs w:val="24"/>
          <w:lang w:eastAsia="en-AU"/>
        </w:rPr>
        <w:t xml:space="preserve"> agreed</w:t>
      </w:r>
      <w:proofErr w:type="gramEnd"/>
      <w:r w:rsidR="001A6141" w:rsidRPr="00A9092B">
        <w:rPr>
          <w:rFonts w:cs="Times New Roman"/>
          <w:bCs/>
          <w:szCs w:val="24"/>
          <w:lang w:eastAsia="en-AU"/>
        </w:rPr>
        <w:t xml:space="preserve"> with </w:t>
      </w:r>
      <w:r w:rsidR="00215D03">
        <w:rPr>
          <w:rFonts w:cs="Times New Roman"/>
          <w:bCs/>
          <w:szCs w:val="24"/>
          <w:lang w:eastAsia="en-AU"/>
        </w:rPr>
        <w:t xml:space="preserve">the </w:t>
      </w:r>
      <w:r>
        <w:rPr>
          <w:rFonts w:cs="Times New Roman"/>
          <w:bCs/>
          <w:szCs w:val="24"/>
          <w:lang w:eastAsia="en-AU"/>
        </w:rPr>
        <w:t>l</w:t>
      </w:r>
      <w:r w:rsidR="001F7A0E">
        <w:rPr>
          <w:rFonts w:cs="Times New Roman"/>
          <w:bCs/>
          <w:szCs w:val="24"/>
          <w:lang w:eastAsia="en-AU"/>
        </w:rPr>
        <w:t>icence holder</w:t>
      </w:r>
      <w:r w:rsidR="001A6141" w:rsidRPr="00A9092B">
        <w:rPr>
          <w:rFonts w:cs="Times New Roman"/>
          <w:bCs/>
          <w:szCs w:val="24"/>
          <w:lang w:eastAsia="en-AU"/>
        </w:rPr>
        <w:t xml:space="preserve"> </w:t>
      </w:r>
      <w:r w:rsidR="00780CBD" w:rsidRPr="00A9092B">
        <w:rPr>
          <w:rFonts w:cs="Times New Roman"/>
          <w:bCs/>
          <w:szCs w:val="24"/>
          <w:lang w:eastAsia="en-AU"/>
        </w:rPr>
        <w:t>well in advance</w:t>
      </w:r>
      <w:r w:rsidR="001434DF">
        <w:rPr>
          <w:rFonts w:cs="Times New Roman"/>
          <w:bCs/>
          <w:szCs w:val="24"/>
          <w:lang w:eastAsia="en-AU"/>
        </w:rPr>
        <w:t xml:space="preserve"> of the</w:t>
      </w:r>
      <w:r w:rsidR="001A6141" w:rsidRPr="00A9092B">
        <w:rPr>
          <w:rFonts w:cs="Times New Roman"/>
          <w:bCs/>
          <w:szCs w:val="24"/>
          <w:lang w:eastAsia="en-AU"/>
        </w:rPr>
        <w:t xml:space="preserve"> </w:t>
      </w:r>
      <w:r w:rsidR="00133CE8">
        <w:rPr>
          <w:rFonts w:cs="Times New Roman"/>
          <w:bCs/>
          <w:szCs w:val="24"/>
          <w:lang w:eastAsia="en-AU"/>
        </w:rPr>
        <w:br/>
      </w:r>
      <w:r w:rsidR="0029743D" w:rsidRPr="00A9092B">
        <w:rPr>
          <w:rFonts w:cs="Times New Roman"/>
          <w:bCs/>
          <w:szCs w:val="24"/>
          <w:lang w:eastAsia="en-AU"/>
        </w:rPr>
        <w:t>two</w:t>
      </w:r>
      <w:r w:rsidR="00423723">
        <w:rPr>
          <w:rFonts w:cs="Times New Roman"/>
          <w:bCs/>
          <w:szCs w:val="24"/>
          <w:lang w:eastAsia="en-AU"/>
        </w:rPr>
        <w:t>-</w:t>
      </w:r>
      <w:r w:rsidR="0029743D" w:rsidRPr="00A9092B">
        <w:rPr>
          <w:rFonts w:cs="Times New Roman"/>
          <w:bCs/>
          <w:szCs w:val="24"/>
          <w:lang w:eastAsia="en-AU"/>
        </w:rPr>
        <w:t xml:space="preserve">week </w:t>
      </w:r>
      <w:r w:rsidR="001A6141" w:rsidRPr="00A9092B">
        <w:rPr>
          <w:rFonts w:cs="Times New Roman"/>
          <w:bCs/>
          <w:szCs w:val="24"/>
          <w:lang w:eastAsia="en-AU"/>
        </w:rPr>
        <w:t xml:space="preserve">formal </w:t>
      </w:r>
      <w:r w:rsidR="0029743D" w:rsidRPr="00A9092B">
        <w:rPr>
          <w:rFonts w:cs="Times New Roman"/>
          <w:bCs/>
          <w:szCs w:val="24"/>
          <w:lang w:eastAsia="en-AU"/>
        </w:rPr>
        <w:t>noti</w:t>
      </w:r>
      <w:r w:rsidR="001434DF">
        <w:rPr>
          <w:rFonts w:cs="Times New Roman"/>
          <w:bCs/>
          <w:szCs w:val="24"/>
          <w:lang w:eastAsia="en-AU"/>
        </w:rPr>
        <w:t>fication</w:t>
      </w:r>
      <w:r w:rsidR="002C634E">
        <w:rPr>
          <w:rFonts w:cs="Times New Roman"/>
          <w:bCs/>
          <w:szCs w:val="24"/>
          <w:lang w:eastAsia="en-AU"/>
        </w:rPr>
        <w:t xml:space="preserve"> </w:t>
      </w:r>
      <w:r w:rsidR="00780CBD" w:rsidRPr="00A9092B">
        <w:rPr>
          <w:rFonts w:cs="Times New Roman"/>
          <w:bCs/>
          <w:szCs w:val="24"/>
          <w:lang w:eastAsia="en-AU"/>
        </w:rPr>
        <w:t>period</w:t>
      </w:r>
      <w:r w:rsidR="001A6141" w:rsidRPr="00A9092B">
        <w:rPr>
          <w:rFonts w:cs="Times New Roman"/>
          <w:bCs/>
          <w:szCs w:val="24"/>
          <w:lang w:eastAsia="en-AU"/>
        </w:rPr>
        <w:t xml:space="preserve">. Conformance to the inspection schedule </w:t>
      </w:r>
      <w:proofErr w:type="gramStart"/>
      <w:r w:rsidR="001A6141" w:rsidRPr="00A9092B">
        <w:rPr>
          <w:rFonts w:cs="Times New Roman"/>
          <w:bCs/>
          <w:szCs w:val="24"/>
          <w:lang w:eastAsia="en-AU"/>
        </w:rPr>
        <w:t>is monitored</w:t>
      </w:r>
      <w:proofErr w:type="gramEnd"/>
      <w:r w:rsidR="001A6141" w:rsidRPr="00A9092B">
        <w:rPr>
          <w:rFonts w:cs="Times New Roman"/>
          <w:bCs/>
          <w:szCs w:val="24"/>
          <w:lang w:eastAsia="en-AU"/>
        </w:rPr>
        <w:t>.</w:t>
      </w:r>
      <w:r w:rsidR="00453452" w:rsidRPr="00A9092B">
        <w:rPr>
          <w:rFonts w:cs="Times New Roman"/>
          <w:bCs/>
          <w:szCs w:val="24"/>
          <w:lang w:eastAsia="en-AU"/>
        </w:rPr>
        <w:t xml:space="preserve"> </w:t>
      </w:r>
    </w:p>
    <w:p w14:paraId="7C6B0A93" w14:textId="60C9E3A6" w:rsidR="00F508BA" w:rsidRDefault="001434DF" w:rsidP="00972601">
      <w:pPr>
        <w:spacing w:after="120"/>
      </w:pPr>
      <w:r>
        <w:rPr>
          <w:rFonts w:cs="Times New Roman"/>
          <w:bCs/>
          <w:szCs w:val="24"/>
          <w:lang w:eastAsia="en-AU"/>
        </w:rPr>
        <w:t>F</w:t>
      </w:r>
      <w:r w:rsidR="004727CA" w:rsidRPr="00A9092B">
        <w:rPr>
          <w:rFonts w:cs="Times New Roman"/>
          <w:bCs/>
          <w:szCs w:val="24"/>
          <w:lang w:eastAsia="en-AU"/>
        </w:rPr>
        <w:t xml:space="preserve">ees </w:t>
      </w:r>
      <w:r>
        <w:rPr>
          <w:rFonts w:cs="Times New Roman"/>
          <w:bCs/>
          <w:szCs w:val="24"/>
          <w:lang w:eastAsia="en-AU"/>
        </w:rPr>
        <w:t xml:space="preserve">and charges </w:t>
      </w:r>
      <w:r w:rsidR="004727CA" w:rsidRPr="00A9092B">
        <w:rPr>
          <w:rFonts w:cs="Times New Roman"/>
          <w:bCs/>
          <w:szCs w:val="24"/>
          <w:lang w:eastAsia="en-AU"/>
        </w:rPr>
        <w:t xml:space="preserve">are set </w:t>
      </w:r>
      <w:r w:rsidR="00B572F5">
        <w:rPr>
          <w:rFonts w:cs="Times New Roman"/>
          <w:bCs/>
          <w:szCs w:val="24"/>
          <w:lang w:eastAsia="en-AU"/>
        </w:rPr>
        <w:t>in</w:t>
      </w:r>
      <w:r w:rsidR="004727CA" w:rsidRPr="00A9092B">
        <w:rPr>
          <w:rFonts w:cs="Times New Roman"/>
          <w:bCs/>
          <w:szCs w:val="24"/>
          <w:lang w:eastAsia="en-AU"/>
        </w:rPr>
        <w:t xml:space="preserve"> </w:t>
      </w:r>
      <w:r w:rsidR="00B572F5">
        <w:rPr>
          <w:rFonts w:cs="Times New Roman"/>
          <w:bCs/>
          <w:szCs w:val="24"/>
          <w:lang w:eastAsia="en-AU"/>
        </w:rPr>
        <w:t>legislation</w:t>
      </w:r>
      <w:r w:rsidR="004727CA" w:rsidRPr="00A9092B">
        <w:rPr>
          <w:rFonts w:cs="Times New Roman"/>
          <w:bCs/>
          <w:szCs w:val="24"/>
          <w:lang w:eastAsia="en-AU"/>
        </w:rPr>
        <w:t xml:space="preserve">. </w:t>
      </w:r>
      <w:r w:rsidR="00780CBD" w:rsidRPr="00A9092B">
        <w:rPr>
          <w:rFonts w:cs="Times New Roman"/>
          <w:bCs/>
          <w:szCs w:val="24"/>
          <w:lang w:eastAsia="en-AU"/>
        </w:rPr>
        <w:t xml:space="preserve">To </w:t>
      </w:r>
      <w:r w:rsidR="003A1722">
        <w:rPr>
          <w:rFonts w:cs="Times New Roman"/>
          <w:bCs/>
          <w:szCs w:val="24"/>
          <w:lang w:eastAsia="en-AU"/>
        </w:rPr>
        <w:t>ensure that</w:t>
      </w:r>
      <w:r w:rsidR="00780CBD" w:rsidRPr="00A9092B">
        <w:rPr>
          <w:rFonts w:cs="Times New Roman"/>
          <w:bCs/>
          <w:szCs w:val="24"/>
          <w:lang w:eastAsia="en-AU"/>
        </w:rPr>
        <w:t xml:space="preserve"> financial impact</w:t>
      </w:r>
      <w:r w:rsidR="003A1722">
        <w:rPr>
          <w:rFonts w:cs="Times New Roman"/>
          <w:bCs/>
          <w:szCs w:val="24"/>
          <w:lang w:eastAsia="en-AU"/>
        </w:rPr>
        <w:t>s</w:t>
      </w:r>
      <w:r w:rsidR="004727CA" w:rsidRPr="00A9092B">
        <w:rPr>
          <w:rFonts w:cs="Times New Roman"/>
          <w:bCs/>
          <w:szCs w:val="24"/>
          <w:lang w:eastAsia="en-AU"/>
        </w:rPr>
        <w:t xml:space="preserve"> to </w:t>
      </w:r>
      <w:r w:rsidR="00215D03">
        <w:rPr>
          <w:rFonts w:cs="Times New Roman"/>
          <w:bCs/>
          <w:szCs w:val="24"/>
          <w:lang w:eastAsia="en-AU"/>
        </w:rPr>
        <w:t xml:space="preserve">a </w:t>
      </w:r>
      <w:r w:rsidR="00B572F5">
        <w:rPr>
          <w:rFonts w:cs="Times New Roman"/>
          <w:bCs/>
          <w:szCs w:val="24"/>
          <w:lang w:eastAsia="en-AU"/>
        </w:rPr>
        <w:t>l</w:t>
      </w:r>
      <w:r w:rsidR="001F7A0E">
        <w:rPr>
          <w:rFonts w:cs="Times New Roman"/>
          <w:bCs/>
          <w:szCs w:val="24"/>
          <w:lang w:eastAsia="en-AU"/>
        </w:rPr>
        <w:t>icence holder</w:t>
      </w:r>
      <w:r w:rsidR="00AD0D97">
        <w:rPr>
          <w:rFonts w:cs="Times New Roman"/>
          <w:bCs/>
          <w:szCs w:val="24"/>
          <w:lang w:eastAsia="en-AU"/>
        </w:rPr>
        <w:t xml:space="preserve"> </w:t>
      </w:r>
      <w:r w:rsidR="00215D03">
        <w:rPr>
          <w:rFonts w:cs="Times New Roman"/>
          <w:bCs/>
          <w:szCs w:val="24"/>
          <w:lang w:eastAsia="en-AU"/>
        </w:rPr>
        <w:t xml:space="preserve">is </w:t>
      </w:r>
      <w:r w:rsidR="00DC16A5">
        <w:rPr>
          <w:rFonts w:cs="Times New Roman"/>
          <w:bCs/>
          <w:szCs w:val="24"/>
          <w:lang w:eastAsia="en-AU"/>
        </w:rPr>
        <w:t>fair and appropriate</w:t>
      </w:r>
      <w:r w:rsidR="004727CA" w:rsidRPr="00A9092B">
        <w:rPr>
          <w:rFonts w:cs="Times New Roman"/>
          <w:bCs/>
          <w:szCs w:val="24"/>
          <w:lang w:eastAsia="en-AU"/>
        </w:rPr>
        <w:t>,</w:t>
      </w:r>
      <w:r w:rsidR="00780CBD" w:rsidRPr="00A9092B">
        <w:rPr>
          <w:rFonts w:cs="Times New Roman"/>
          <w:bCs/>
          <w:szCs w:val="24"/>
          <w:lang w:eastAsia="en-AU"/>
        </w:rPr>
        <w:t xml:space="preserve"> </w:t>
      </w:r>
      <w:r w:rsidR="00F508BA" w:rsidRPr="00A9092B">
        <w:t xml:space="preserve">ARPANSA </w:t>
      </w:r>
      <w:r w:rsidR="00F508BA">
        <w:t xml:space="preserve">has </w:t>
      </w:r>
      <w:r w:rsidR="002C634E">
        <w:t>undertaken</w:t>
      </w:r>
      <w:r w:rsidR="00F508BA">
        <w:t xml:space="preserve"> a cost recovery project</w:t>
      </w:r>
      <w:r w:rsidR="00F508BA" w:rsidRPr="00A9092B">
        <w:t xml:space="preserve"> to </w:t>
      </w:r>
      <w:r w:rsidR="00F508BA">
        <w:t>ensure that</w:t>
      </w:r>
      <w:r w:rsidR="00F508BA" w:rsidRPr="00A9092B">
        <w:t xml:space="preserve"> financial burden on </w:t>
      </w:r>
      <w:r w:rsidR="00F508BA">
        <w:t>licence holder</w:t>
      </w:r>
      <w:r w:rsidR="00F508BA" w:rsidRPr="00A9092B">
        <w:t>s</w:t>
      </w:r>
      <w:r w:rsidR="00F508BA">
        <w:t xml:space="preserve"> is </w:t>
      </w:r>
      <w:r w:rsidR="00F508BA" w:rsidRPr="00A9092B">
        <w:rPr>
          <w:rFonts w:cs="Times New Roman"/>
          <w:bCs/>
          <w:szCs w:val="24"/>
          <w:lang w:eastAsia="en-AU"/>
        </w:rPr>
        <w:t>proportionate to the cost of regulati</w:t>
      </w:r>
      <w:r w:rsidR="00F508BA">
        <w:rPr>
          <w:rFonts w:cs="Times New Roman"/>
          <w:bCs/>
          <w:szCs w:val="24"/>
          <w:lang w:eastAsia="en-AU"/>
        </w:rPr>
        <w:t>on</w:t>
      </w:r>
      <w:r w:rsidR="00F508BA">
        <w:t>.</w:t>
      </w:r>
      <w:r w:rsidR="00F508BA" w:rsidRPr="00A9092B">
        <w:t xml:space="preserve"> The project aims to improve </w:t>
      </w:r>
      <w:r w:rsidR="003B05C3">
        <w:t xml:space="preserve">implementation of </w:t>
      </w:r>
      <w:r w:rsidR="00F508BA" w:rsidRPr="00A9092B">
        <w:t>the Australian Government Cost Recovery Guidelines, which establish that those who create the need for regulation should incur the costs.</w:t>
      </w:r>
    </w:p>
    <w:p w14:paraId="638BFED5" w14:textId="10A82060" w:rsidR="000B42A5" w:rsidRDefault="00F508BA" w:rsidP="00972601">
      <w:pPr>
        <w:spacing w:after="120"/>
        <w:rPr>
          <w:rFonts w:cs="Times New Roman"/>
          <w:b/>
          <w:bCs/>
          <w:szCs w:val="24"/>
          <w:lang w:eastAsia="en-AU"/>
        </w:rPr>
      </w:pPr>
      <w:r w:rsidRPr="00A9092B">
        <w:t xml:space="preserve">Phase 1 has seen an effective Cost Recovery Tracker established </w:t>
      </w:r>
      <w:r w:rsidR="005630CE">
        <w:t>that</w:t>
      </w:r>
      <w:r w:rsidRPr="00A9092B">
        <w:t xml:space="preserve"> allow</w:t>
      </w:r>
      <w:r>
        <w:t>s</w:t>
      </w:r>
      <w:r w:rsidRPr="00A9092B">
        <w:t xml:space="preserve"> ARPANSA to account for direct regulatory activities</w:t>
      </w:r>
      <w:r w:rsidR="003B05C3">
        <w:t xml:space="preserve">. This led to </w:t>
      </w:r>
      <w:r w:rsidRPr="00A9092B">
        <w:t xml:space="preserve">the introduction of fixed annual licence charges for ARPANSA’s </w:t>
      </w:r>
      <w:r w:rsidR="003B05C3">
        <w:t xml:space="preserve">three </w:t>
      </w:r>
      <w:r w:rsidRPr="00A9092B">
        <w:t xml:space="preserve">largest </w:t>
      </w:r>
      <w:r>
        <w:t>licence holder</w:t>
      </w:r>
      <w:r w:rsidRPr="00A9092B">
        <w:t>s</w:t>
      </w:r>
      <w:r>
        <w:t>.</w:t>
      </w:r>
      <w:r w:rsidRPr="00A9092B">
        <w:t xml:space="preserve"> Phase 1 resulted in a total reduction of $</w:t>
      </w:r>
      <w:r w:rsidRPr="00515847">
        <w:t>384</w:t>
      </w:r>
      <w:r w:rsidRPr="00A9092B">
        <w:t>,000.</w:t>
      </w:r>
      <w:r>
        <w:t xml:space="preserve"> </w:t>
      </w:r>
      <w:r w:rsidRPr="00A9092B">
        <w:t>Having successfully implemented Phase 1, the ARPANSA Cost Recovery Team is moving into Phase 2 of the project</w:t>
      </w:r>
      <w:r>
        <w:t xml:space="preserve"> </w:t>
      </w:r>
      <w:r w:rsidR="0055456B">
        <w:t>that</w:t>
      </w:r>
      <w:r w:rsidRPr="00A9092B">
        <w:t xml:space="preserve"> strives to expand cost recovery to make ARPANSA </w:t>
      </w:r>
      <w:r w:rsidRPr="00A9092B">
        <w:lastRenderedPageBreak/>
        <w:t xml:space="preserve">more fiscally transparent and </w:t>
      </w:r>
      <w:r w:rsidR="00EC349E">
        <w:t xml:space="preserve">to </w:t>
      </w:r>
      <w:r w:rsidRPr="00A9092B">
        <w:t xml:space="preserve">make annual charges reliable and predicable for smaller </w:t>
      </w:r>
      <w:r>
        <w:t>licence holder</w:t>
      </w:r>
      <w:r w:rsidRPr="00A9092B">
        <w:t xml:space="preserve">s. </w:t>
      </w:r>
    </w:p>
    <w:p w14:paraId="188F92EB" w14:textId="3A4829F2" w:rsidR="00EB6171" w:rsidRDefault="00EB6171" w:rsidP="00972601">
      <w:pPr>
        <w:pStyle w:val="Heading3"/>
        <w:rPr>
          <w:lang w:eastAsia="en-AU"/>
        </w:rPr>
      </w:pPr>
      <w:bookmarkStart w:id="10" w:name="_Toc470173136"/>
      <w:r w:rsidRPr="00A9092B">
        <w:rPr>
          <w:lang w:eastAsia="en-AU"/>
        </w:rPr>
        <w:t>Measures</w:t>
      </w:r>
      <w:bookmarkEnd w:id="10"/>
    </w:p>
    <w:p w14:paraId="57041058" w14:textId="6EFE3033" w:rsidR="0061085B" w:rsidRPr="00133CE8" w:rsidRDefault="0061085B" w:rsidP="00972601">
      <w:pPr>
        <w:spacing w:after="120"/>
        <w:rPr>
          <w:rFonts w:cs="Times New Roman"/>
        </w:rPr>
      </w:pPr>
      <w:r w:rsidRPr="002568BC">
        <w:rPr>
          <w:rFonts w:cs="Times New Roman"/>
        </w:rPr>
        <w:t>Avoid unnecessary intervention in the operations of regulated entities</w:t>
      </w:r>
      <w:r w:rsidR="002568BC">
        <w:rPr>
          <w:rFonts w:cs="Times New Roman"/>
        </w:rPr>
        <w:t>.</w:t>
      </w:r>
    </w:p>
    <w:p w14:paraId="7ECB20FB" w14:textId="0C5E6BDC" w:rsidR="00C470C2" w:rsidRPr="00D629D3" w:rsidRDefault="00EB6171" w:rsidP="00972601">
      <w:pPr>
        <w:pStyle w:val="Heading3"/>
      </w:pPr>
      <w:bookmarkStart w:id="11" w:name="_Toc470173137"/>
      <w:r w:rsidRPr="00D629D3">
        <w:t>Approved evidence metrics for KPI 1</w:t>
      </w:r>
      <w:bookmarkEnd w:id="11"/>
    </w:p>
    <w:tbl>
      <w:tblPr>
        <w:tblStyle w:val="TableGrid"/>
        <w:tblW w:w="9464" w:type="dxa"/>
        <w:tblLook w:val="04A0" w:firstRow="1" w:lastRow="0" w:firstColumn="1" w:lastColumn="0" w:noHBand="0" w:noVBand="1"/>
        <w:tblDescription w:val="Chapter 2.1.2 table contains a list of evidence metrics against Key Performance Indicator (KPI) 1.  This table contains 3 heading columns 1. Indicators, 2. Evidence and 3. Comment. "/>
      </w:tblPr>
      <w:tblGrid>
        <w:gridCol w:w="2802"/>
        <w:gridCol w:w="2835"/>
        <w:gridCol w:w="3827"/>
      </w:tblGrid>
      <w:tr w:rsidR="00EB6171" w:rsidRPr="00486505" w14:paraId="183271E4" w14:textId="77777777" w:rsidTr="00486505">
        <w:trPr>
          <w:cantSplit/>
          <w:tblHeader/>
        </w:trPr>
        <w:tc>
          <w:tcPr>
            <w:tcW w:w="2802" w:type="dxa"/>
            <w:vAlign w:val="center"/>
          </w:tcPr>
          <w:p w14:paraId="659DBD0D" w14:textId="0A0FACC4" w:rsidR="00EB6171" w:rsidRPr="00486505" w:rsidRDefault="00EB6171" w:rsidP="000368EE">
            <w:pPr>
              <w:pStyle w:val="Tableheading"/>
              <w:rPr>
                <w:b w:val="0"/>
                <w:lang w:eastAsia="en-AU"/>
              </w:rPr>
            </w:pPr>
            <w:r w:rsidRPr="000368EE">
              <w:t>Indicator</w:t>
            </w:r>
          </w:p>
        </w:tc>
        <w:tc>
          <w:tcPr>
            <w:tcW w:w="2835" w:type="dxa"/>
            <w:vAlign w:val="center"/>
          </w:tcPr>
          <w:p w14:paraId="6F6A95DA" w14:textId="77777777" w:rsidR="00EB6171" w:rsidRPr="00486505" w:rsidRDefault="00EB6171" w:rsidP="00EA634A">
            <w:pPr>
              <w:pStyle w:val="Tableheading"/>
              <w:rPr>
                <w:b w:val="0"/>
                <w:lang w:eastAsia="en-AU"/>
              </w:rPr>
            </w:pPr>
            <w:r w:rsidRPr="00486505">
              <w:rPr>
                <w:lang w:eastAsia="en-AU"/>
              </w:rPr>
              <w:t>Evidence</w:t>
            </w:r>
          </w:p>
        </w:tc>
        <w:tc>
          <w:tcPr>
            <w:tcW w:w="3827" w:type="dxa"/>
            <w:vAlign w:val="center"/>
          </w:tcPr>
          <w:p w14:paraId="6703CF3E" w14:textId="77777777" w:rsidR="00EB6171" w:rsidRPr="00486505" w:rsidRDefault="00EB6171" w:rsidP="00EA634A">
            <w:pPr>
              <w:pStyle w:val="Tableheading"/>
              <w:rPr>
                <w:b w:val="0"/>
                <w:lang w:eastAsia="en-AU"/>
              </w:rPr>
            </w:pPr>
            <w:r w:rsidRPr="00486505">
              <w:rPr>
                <w:lang w:eastAsia="en-AU"/>
              </w:rPr>
              <w:t>Comment</w:t>
            </w:r>
          </w:p>
        </w:tc>
      </w:tr>
      <w:tr w:rsidR="00F12ED8" w:rsidRPr="00486505" w14:paraId="1F1DDD66" w14:textId="77777777" w:rsidTr="00486505">
        <w:trPr>
          <w:cantSplit/>
          <w:trHeight w:val="1459"/>
        </w:trPr>
        <w:tc>
          <w:tcPr>
            <w:tcW w:w="2802" w:type="dxa"/>
          </w:tcPr>
          <w:p w14:paraId="6247EEAD" w14:textId="4245F116" w:rsidR="00F12ED8" w:rsidRPr="00486505" w:rsidRDefault="00BD3AE6" w:rsidP="00EA634A">
            <w:pPr>
              <w:pStyle w:val="Tabletext"/>
              <w:rPr>
                <w:lang w:eastAsia="en-AU"/>
              </w:rPr>
            </w:pPr>
            <w:r w:rsidRPr="00486505">
              <w:rPr>
                <w:lang w:eastAsia="en-AU"/>
              </w:rPr>
              <w:t xml:space="preserve">PI 1.1 </w:t>
            </w:r>
            <w:r w:rsidR="00F12ED8" w:rsidRPr="00486505">
              <w:rPr>
                <w:lang w:eastAsia="en-AU"/>
              </w:rPr>
              <w:t>Percentage of inspections conducted in accordance with established inspectio</w:t>
            </w:r>
            <w:r w:rsidR="00753753" w:rsidRPr="00486505">
              <w:rPr>
                <w:lang w:eastAsia="en-AU"/>
              </w:rPr>
              <w:t>n schedule (schedule adherence)</w:t>
            </w:r>
            <w:r w:rsidR="00257B72">
              <w:rPr>
                <w:lang w:eastAsia="en-AU"/>
              </w:rPr>
              <w:t>.</w:t>
            </w:r>
          </w:p>
        </w:tc>
        <w:tc>
          <w:tcPr>
            <w:tcW w:w="2835" w:type="dxa"/>
          </w:tcPr>
          <w:p w14:paraId="7C9C3B2F" w14:textId="77777777" w:rsidR="00F12ED8" w:rsidRPr="00486505" w:rsidRDefault="00F00C45" w:rsidP="00EA634A">
            <w:pPr>
              <w:pStyle w:val="Tabletext"/>
              <w:rPr>
                <w:lang w:eastAsia="en-AU"/>
              </w:rPr>
            </w:pPr>
            <w:r w:rsidRPr="00486505">
              <w:rPr>
                <w:noProof/>
                <w:lang w:eastAsia="en-AU"/>
              </w:rPr>
              <mc:AlternateContent>
                <mc:Choice Requires="wps">
                  <w:drawing>
                    <wp:inline distT="0" distB="0" distL="0" distR="0" wp14:anchorId="77ED336B" wp14:editId="277677A5">
                      <wp:extent cx="101600" cy="118533"/>
                      <wp:effectExtent l="0" t="0" r="12700" b="15240"/>
                      <wp:docPr id="22" name="Oval 22"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2"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" fillcolor="#9bbb59 [3206]" strokecolor="#4e6128 [1606]" strokeweight="2pt">
                      <w10:anchorlock/>
                    </v:oval>
                  </w:pict>
                </mc:Fallback>
              </mc:AlternateContent>
            </w:r>
            <w:r w:rsidRPr="00486505">
              <w:rPr>
                <w:lang w:eastAsia="en-AU"/>
              </w:rPr>
              <w:t xml:space="preserve"> 90% of inspections in accordance with schedule – target (90%) met.</w:t>
            </w:r>
          </w:p>
        </w:tc>
        <w:tc>
          <w:tcPr>
            <w:tcW w:w="3827" w:type="dxa"/>
          </w:tcPr>
          <w:p w14:paraId="10978033" w14:textId="2CAA6DDF" w:rsidR="00D050C8" w:rsidRPr="00486505" w:rsidRDefault="00897E84" w:rsidP="00EA634A">
            <w:pPr>
              <w:pStyle w:val="Tabletext"/>
              <w:numPr>
                <w:ilvl w:val="0"/>
                <w:numId w:val="35"/>
              </w:numPr>
              <w:ind w:left="303"/>
              <w:rPr>
                <w:lang w:eastAsia="en-AU"/>
              </w:rPr>
            </w:pPr>
            <w:r w:rsidRPr="00486505">
              <w:rPr>
                <w:lang w:eastAsia="en-AU"/>
              </w:rPr>
              <w:t xml:space="preserve">All deviations from the schedule </w:t>
            </w:r>
            <w:proofErr w:type="gramStart"/>
            <w:r w:rsidRPr="00486505">
              <w:rPr>
                <w:lang w:eastAsia="en-AU"/>
              </w:rPr>
              <w:t>were explained</w:t>
            </w:r>
            <w:proofErr w:type="gramEnd"/>
            <w:r w:rsidR="00257B72">
              <w:rPr>
                <w:lang w:eastAsia="en-AU"/>
              </w:rPr>
              <w:t>.</w:t>
            </w:r>
          </w:p>
        </w:tc>
      </w:tr>
      <w:tr w:rsidR="00F00C45" w:rsidRPr="00486505" w14:paraId="1798FB9E" w14:textId="77777777" w:rsidTr="00486505">
        <w:trPr>
          <w:cantSplit/>
          <w:trHeight w:val="2623"/>
        </w:trPr>
        <w:tc>
          <w:tcPr>
            <w:tcW w:w="2802" w:type="dxa"/>
          </w:tcPr>
          <w:p w14:paraId="57C366B9" w14:textId="103E9F21" w:rsidR="00F00C45" w:rsidRPr="00486505" w:rsidRDefault="00BD3AE6" w:rsidP="00EA634A">
            <w:pPr>
              <w:pStyle w:val="Tabletext"/>
              <w:rPr>
                <w:lang w:eastAsia="en-AU"/>
              </w:rPr>
            </w:pPr>
            <w:r w:rsidRPr="00486505">
              <w:rPr>
                <w:lang w:eastAsia="en-AU"/>
              </w:rPr>
              <w:t xml:space="preserve">PI 1.2 </w:t>
            </w:r>
            <w:r w:rsidR="00670633" w:rsidRPr="00486505">
              <w:rPr>
                <w:lang w:eastAsia="en-AU"/>
              </w:rPr>
              <w:t xml:space="preserve">Percentage of applications assessed within agreed </w:t>
            </w:r>
            <w:r w:rsidR="00500F4F" w:rsidRPr="00486505">
              <w:rPr>
                <w:lang w:eastAsia="en-AU"/>
              </w:rPr>
              <w:t>l</w:t>
            </w:r>
            <w:r w:rsidR="001F7A0E" w:rsidRPr="00486505">
              <w:rPr>
                <w:lang w:eastAsia="en-AU"/>
              </w:rPr>
              <w:t>icence holder</w:t>
            </w:r>
            <w:r w:rsidR="00670633" w:rsidRPr="00486505">
              <w:rPr>
                <w:lang w:eastAsia="en-AU"/>
              </w:rPr>
              <w:t xml:space="preserve"> expectations</w:t>
            </w:r>
            <w:r w:rsidR="00257B72">
              <w:rPr>
                <w:lang w:eastAsia="en-AU"/>
              </w:rPr>
              <w:t>.</w:t>
            </w:r>
          </w:p>
        </w:tc>
        <w:tc>
          <w:tcPr>
            <w:tcW w:w="2835" w:type="dxa"/>
          </w:tcPr>
          <w:p w14:paraId="7E48AAC9" w14:textId="7D795CD4" w:rsidR="00F00C45" w:rsidRPr="00486505" w:rsidRDefault="00F00C45" w:rsidP="00EA634A">
            <w:pPr>
              <w:pStyle w:val="Tabletext"/>
              <w:rPr>
                <w:lang w:eastAsia="en-AU"/>
              </w:rPr>
            </w:pPr>
            <w:r w:rsidRPr="00486505">
              <w:rPr>
                <w:noProof/>
                <w:lang w:eastAsia="en-AU"/>
              </w:rPr>
              <mc:AlternateContent>
                <mc:Choice Requires="wps">
                  <w:drawing>
                    <wp:inline distT="0" distB="0" distL="0" distR="0" wp14:anchorId="17186E9F" wp14:editId="06D8B289">
                      <wp:extent cx="101600" cy="118533"/>
                      <wp:effectExtent l="0" t="0" r="12700" b="15240"/>
                      <wp:docPr id="24" name="Oval 24"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4"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" fillcolor="#f79646 [3209]" strokecolor="#974706 [1609]" strokeweight="2pt">
                      <w10:anchorlock/>
                    </v:oval>
                  </w:pict>
                </mc:Fallback>
              </mc:AlternateContent>
            </w:r>
            <w:r w:rsidRPr="00486505">
              <w:rPr>
                <w:lang w:eastAsia="en-AU"/>
              </w:rPr>
              <w:t xml:space="preserve"> </w:t>
            </w:r>
            <w:r w:rsidR="00DC16A5" w:rsidRPr="00486505">
              <w:rPr>
                <w:lang w:eastAsia="en-AU"/>
              </w:rPr>
              <w:t>81</w:t>
            </w:r>
            <w:r w:rsidRPr="00486505">
              <w:rPr>
                <w:lang w:eastAsia="en-AU"/>
              </w:rPr>
              <w:t xml:space="preserve">% of assessments within agreed timeframes – </w:t>
            </w:r>
            <w:r w:rsidR="009A4F6C" w:rsidRPr="00486505">
              <w:rPr>
                <w:lang w:eastAsia="en-AU"/>
              </w:rPr>
              <w:t xml:space="preserve">significant progress towards </w:t>
            </w:r>
            <w:r w:rsidRPr="00486505">
              <w:rPr>
                <w:lang w:eastAsia="en-AU"/>
              </w:rPr>
              <w:t>target (</w:t>
            </w:r>
            <w:r w:rsidR="00DC16A5" w:rsidRPr="00486505">
              <w:rPr>
                <w:lang w:eastAsia="en-AU"/>
              </w:rPr>
              <w:t>90</w:t>
            </w:r>
            <w:r w:rsidRPr="00486505">
              <w:rPr>
                <w:lang w:eastAsia="en-AU"/>
              </w:rPr>
              <w:t>%).</w:t>
            </w:r>
          </w:p>
        </w:tc>
        <w:tc>
          <w:tcPr>
            <w:tcW w:w="3827" w:type="dxa"/>
          </w:tcPr>
          <w:p w14:paraId="44CCCA38" w14:textId="5A88BFB8" w:rsidR="005A3CBB" w:rsidRPr="00486505" w:rsidRDefault="00753753" w:rsidP="00EA634A">
            <w:pPr>
              <w:pStyle w:val="Tabletext"/>
              <w:numPr>
                <w:ilvl w:val="0"/>
                <w:numId w:val="35"/>
              </w:numPr>
              <w:ind w:left="303"/>
              <w:rPr>
                <w:lang w:eastAsia="en-AU"/>
              </w:rPr>
            </w:pPr>
            <w:r w:rsidRPr="00486505">
              <w:rPr>
                <w:lang w:eastAsia="en-AU"/>
              </w:rPr>
              <w:t xml:space="preserve">Agreed timeframes </w:t>
            </w:r>
            <w:proofErr w:type="gramStart"/>
            <w:r w:rsidRPr="00486505">
              <w:rPr>
                <w:lang w:eastAsia="en-AU"/>
              </w:rPr>
              <w:t>were considered</w:t>
            </w:r>
            <w:proofErr w:type="gramEnd"/>
            <w:r w:rsidRPr="00486505">
              <w:rPr>
                <w:lang w:eastAsia="en-AU"/>
              </w:rPr>
              <w:t xml:space="preserve"> </w:t>
            </w:r>
            <w:r w:rsidR="00D26F8A" w:rsidRPr="00486505">
              <w:rPr>
                <w:lang w:eastAsia="en-AU"/>
              </w:rPr>
              <w:t>important</w:t>
            </w:r>
            <w:r w:rsidR="001F4A8D" w:rsidRPr="00486505">
              <w:rPr>
                <w:lang w:eastAsia="en-AU"/>
              </w:rPr>
              <w:t>, as they provide</w:t>
            </w:r>
            <w:r w:rsidRPr="00486505">
              <w:rPr>
                <w:lang w:eastAsia="en-AU"/>
              </w:rPr>
              <w:t xml:space="preserve"> certainty to </w:t>
            </w:r>
            <w:r w:rsidR="00DC642D" w:rsidRPr="00486505">
              <w:rPr>
                <w:lang w:eastAsia="en-AU"/>
              </w:rPr>
              <w:t>l</w:t>
            </w:r>
            <w:r w:rsidR="001F7A0E" w:rsidRPr="00486505">
              <w:rPr>
                <w:lang w:eastAsia="en-AU"/>
              </w:rPr>
              <w:t>icence holder</w:t>
            </w:r>
            <w:r w:rsidRPr="00486505">
              <w:rPr>
                <w:lang w:eastAsia="en-AU"/>
              </w:rPr>
              <w:t xml:space="preserve">s. </w:t>
            </w:r>
            <w:r w:rsidR="00DC642D" w:rsidRPr="00486505">
              <w:rPr>
                <w:lang w:eastAsia="en-AU"/>
              </w:rPr>
              <w:t>I</w:t>
            </w:r>
            <w:r w:rsidR="00135984" w:rsidRPr="00486505">
              <w:rPr>
                <w:lang w:eastAsia="en-AU"/>
              </w:rPr>
              <w:t xml:space="preserve">nformation for </w:t>
            </w:r>
            <w:r w:rsidR="00385519" w:rsidRPr="00486505">
              <w:rPr>
                <w:lang w:eastAsia="en-AU"/>
              </w:rPr>
              <w:t xml:space="preserve">some </w:t>
            </w:r>
            <w:r w:rsidR="005A3CBB" w:rsidRPr="00486505">
              <w:rPr>
                <w:lang w:eastAsia="en-AU"/>
              </w:rPr>
              <w:t xml:space="preserve">applications </w:t>
            </w:r>
            <w:proofErr w:type="gramStart"/>
            <w:r w:rsidR="00135984" w:rsidRPr="00486505">
              <w:rPr>
                <w:lang w:eastAsia="en-AU"/>
              </w:rPr>
              <w:t xml:space="preserve">was not </w:t>
            </w:r>
            <w:r w:rsidR="005A3CBB" w:rsidRPr="00486505">
              <w:rPr>
                <w:lang w:eastAsia="en-AU"/>
              </w:rPr>
              <w:t>recorded</w:t>
            </w:r>
            <w:proofErr w:type="gramEnd"/>
            <w:r w:rsidR="00135984" w:rsidRPr="00486505">
              <w:rPr>
                <w:lang w:eastAsia="en-AU"/>
              </w:rPr>
              <w:t xml:space="preserve"> as required</w:t>
            </w:r>
            <w:r w:rsidR="001B380C" w:rsidRPr="00486505">
              <w:rPr>
                <w:lang w:eastAsia="en-AU"/>
              </w:rPr>
              <w:t xml:space="preserve"> and i</w:t>
            </w:r>
            <w:r w:rsidR="00DC642D" w:rsidRPr="00486505">
              <w:rPr>
                <w:lang w:eastAsia="en-AU"/>
              </w:rPr>
              <w:t>mprovement is</w:t>
            </w:r>
            <w:r w:rsidR="00D14121" w:rsidRPr="00486505">
              <w:rPr>
                <w:lang w:eastAsia="en-AU"/>
              </w:rPr>
              <w:t xml:space="preserve"> needed</w:t>
            </w:r>
            <w:r w:rsidR="00DC642D" w:rsidRPr="00486505">
              <w:rPr>
                <w:lang w:eastAsia="en-AU"/>
              </w:rPr>
              <w:t>.</w:t>
            </w:r>
          </w:p>
          <w:p w14:paraId="7F76A114" w14:textId="673B13B1" w:rsidR="00222B73" w:rsidRPr="00486505" w:rsidRDefault="00753753" w:rsidP="00EA634A">
            <w:pPr>
              <w:pStyle w:val="Tabletext"/>
              <w:numPr>
                <w:ilvl w:val="0"/>
                <w:numId w:val="35"/>
              </w:numPr>
              <w:ind w:left="303"/>
              <w:rPr>
                <w:lang w:eastAsia="en-AU"/>
              </w:rPr>
            </w:pPr>
            <w:r w:rsidRPr="00486505">
              <w:rPr>
                <w:lang w:eastAsia="en-AU"/>
              </w:rPr>
              <w:t xml:space="preserve">Some </w:t>
            </w:r>
            <w:r w:rsidR="00215D03" w:rsidRPr="00486505">
              <w:rPr>
                <w:lang w:eastAsia="en-AU"/>
              </w:rPr>
              <w:t>Licence holder representatives</w:t>
            </w:r>
            <w:r w:rsidRPr="00486505">
              <w:rPr>
                <w:lang w:eastAsia="en-AU"/>
              </w:rPr>
              <w:t xml:space="preserve"> reported delays between the receipt of an application an</w:t>
            </w:r>
            <w:r w:rsidR="00F409D8" w:rsidRPr="00486505">
              <w:rPr>
                <w:lang w:eastAsia="en-AU"/>
              </w:rPr>
              <w:t xml:space="preserve">d setting a date for </w:t>
            </w:r>
            <w:proofErr w:type="gramStart"/>
            <w:r w:rsidR="00F409D8" w:rsidRPr="00486505">
              <w:rPr>
                <w:lang w:eastAsia="en-AU"/>
              </w:rPr>
              <w:t>completion which</w:t>
            </w:r>
            <w:proofErr w:type="gramEnd"/>
            <w:r w:rsidR="00F409D8" w:rsidRPr="00486505">
              <w:rPr>
                <w:lang w:eastAsia="en-AU"/>
              </w:rPr>
              <w:t xml:space="preserve"> is not captured by this PI.</w:t>
            </w:r>
            <w:r w:rsidRPr="00486505">
              <w:rPr>
                <w:lang w:eastAsia="en-AU"/>
              </w:rPr>
              <w:t xml:space="preserve"> </w:t>
            </w:r>
          </w:p>
          <w:p w14:paraId="050E7B33" w14:textId="741FA022" w:rsidR="00DC16A5" w:rsidRPr="00486505" w:rsidRDefault="00DC642D" w:rsidP="00EA634A">
            <w:pPr>
              <w:pStyle w:val="Tabletext"/>
              <w:numPr>
                <w:ilvl w:val="0"/>
                <w:numId w:val="35"/>
              </w:numPr>
              <w:ind w:left="303"/>
              <w:rPr>
                <w:lang w:eastAsia="en-AU"/>
              </w:rPr>
            </w:pPr>
            <w:r w:rsidRPr="00486505">
              <w:rPr>
                <w:lang w:eastAsia="en-AU"/>
              </w:rPr>
              <w:t>T</w:t>
            </w:r>
            <w:r w:rsidR="009A4F6C" w:rsidRPr="00486505">
              <w:rPr>
                <w:lang w:eastAsia="en-AU"/>
              </w:rPr>
              <w:t xml:space="preserve">he 90% target was too demanding due to uncertainties in the </w:t>
            </w:r>
            <w:r w:rsidR="00BC3E9E" w:rsidRPr="00486505">
              <w:rPr>
                <w:lang w:eastAsia="en-AU"/>
              </w:rPr>
              <w:t xml:space="preserve">quality of </w:t>
            </w:r>
            <w:r w:rsidR="009A4F6C" w:rsidRPr="00486505">
              <w:rPr>
                <w:lang w:eastAsia="en-AU"/>
              </w:rPr>
              <w:t xml:space="preserve">application and assessment process. A </w:t>
            </w:r>
            <w:r w:rsidR="007D530F" w:rsidRPr="00486505">
              <w:rPr>
                <w:lang w:eastAsia="en-AU"/>
              </w:rPr>
              <w:t>target</w:t>
            </w:r>
            <w:r w:rsidR="009A4F6C" w:rsidRPr="00486505">
              <w:rPr>
                <w:lang w:eastAsia="en-AU"/>
              </w:rPr>
              <w:t xml:space="preserve"> of 75% </w:t>
            </w:r>
            <w:proofErr w:type="gramStart"/>
            <w:r w:rsidR="009A4F6C" w:rsidRPr="00486505">
              <w:rPr>
                <w:lang w:eastAsia="en-AU"/>
              </w:rPr>
              <w:t>will be applied</w:t>
            </w:r>
            <w:proofErr w:type="gramEnd"/>
            <w:r w:rsidR="009A4F6C" w:rsidRPr="00486505">
              <w:rPr>
                <w:lang w:eastAsia="en-AU"/>
              </w:rPr>
              <w:t xml:space="preserve"> in the future.</w:t>
            </w:r>
          </w:p>
        </w:tc>
      </w:tr>
    </w:tbl>
    <w:p w14:paraId="1C16EA48" w14:textId="280D7B87" w:rsidR="00AE6AD2" w:rsidRPr="00B70C67" w:rsidRDefault="00EB6171" w:rsidP="00972601">
      <w:pPr>
        <w:pStyle w:val="Heading3"/>
        <w:spacing w:before="200"/>
        <w:rPr>
          <w:lang w:eastAsia="en-AU"/>
        </w:rPr>
      </w:pPr>
      <w:bookmarkStart w:id="12" w:name="_Toc470173138"/>
      <w:r w:rsidRPr="00A9092B">
        <w:rPr>
          <w:lang w:eastAsia="en-AU"/>
        </w:rPr>
        <w:t>Other evidence to indicate compliance with KPI 1</w:t>
      </w:r>
      <w:bookmarkEnd w:id="12"/>
    </w:p>
    <w:p w14:paraId="48B9FCEA" w14:textId="2841D21A" w:rsidR="0053700C" w:rsidRDefault="00385519" w:rsidP="00972601">
      <w:pPr>
        <w:spacing w:after="120"/>
      </w:pPr>
      <w:r>
        <w:t>ARPANSA</w:t>
      </w:r>
      <w:r w:rsidR="00AE6AD2" w:rsidRPr="00A9092B">
        <w:t>, th</w:t>
      </w:r>
      <w:r w:rsidR="001F4A8D">
        <w:t>r</w:t>
      </w:r>
      <w:r w:rsidR="00AE6AD2" w:rsidRPr="00A9092B">
        <w:t>ough</w:t>
      </w:r>
      <w:r w:rsidR="00D04D6E">
        <w:t xml:space="preserve"> alignment with</w:t>
      </w:r>
      <w:r w:rsidR="00AE6AD2" w:rsidRPr="00A9092B">
        <w:t xml:space="preserve"> international standards</w:t>
      </w:r>
      <w:r w:rsidR="00EF12C4">
        <w:t>,</w:t>
      </w:r>
      <w:r w:rsidR="00AE6AD2" w:rsidRPr="00A9092B">
        <w:t xml:space="preserve"> ensures that best practice regulation informs decision</w:t>
      </w:r>
      <w:r w:rsidR="00BC1D9E">
        <w:t>-</w:t>
      </w:r>
      <w:r w:rsidR="00AE6AD2" w:rsidRPr="00A9092B">
        <w:t>making</w:t>
      </w:r>
      <w:r w:rsidR="00246FCB">
        <w:t xml:space="preserve"> and promotes regulatory certainty</w:t>
      </w:r>
      <w:r w:rsidR="00B9142E">
        <w:t xml:space="preserve">. </w:t>
      </w:r>
      <w:r w:rsidR="00700A53">
        <w:t>The use</w:t>
      </w:r>
      <w:r w:rsidR="00AE6AD2" w:rsidRPr="00A9092B">
        <w:t xml:space="preserve"> of international standards </w:t>
      </w:r>
      <w:r w:rsidR="002715D1">
        <w:t xml:space="preserve">is important in </w:t>
      </w:r>
      <w:r w:rsidR="00CF5DF6">
        <w:t>meeting</w:t>
      </w:r>
      <w:r w:rsidR="002715D1">
        <w:t xml:space="preserve"> community expectations for </w:t>
      </w:r>
      <w:r w:rsidR="00CF5DF6">
        <w:t xml:space="preserve">nuclear and radiation </w:t>
      </w:r>
      <w:r w:rsidR="002715D1">
        <w:t xml:space="preserve">safety and </w:t>
      </w:r>
      <w:r w:rsidR="00B9142E">
        <w:t xml:space="preserve">provides confidence in </w:t>
      </w:r>
      <w:r w:rsidR="00460126">
        <w:t>ARPANSA</w:t>
      </w:r>
      <w:r w:rsidR="00A56BF3">
        <w:t>’</w:t>
      </w:r>
      <w:r w:rsidR="00460126">
        <w:t xml:space="preserve">s </w:t>
      </w:r>
      <w:r w:rsidR="00B9142E">
        <w:t>regulatory processes and outcomes. It</w:t>
      </w:r>
      <w:r w:rsidR="00B9142E" w:rsidRPr="00A9092B">
        <w:t xml:space="preserve"> </w:t>
      </w:r>
      <w:r w:rsidR="00AE6AD2" w:rsidRPr="00A9092B">
        <w:t xml:space="preserve">allows </w:t>
      </w:r>
      <w:r w:rsidR="00215D03">
        <w:t xml:space="preserve">a </w:t>
      </w:r>
      <w:r w:rsidR="00A56BF3">
        <w:t>l</w:t>
      </w:r>
      <w:r w:rsidR="001F7A0E">
        <w:t>icence holder</w:t>
      </w:r>
      <w:r w:rsidR="00807709" w:rsidRPr="00A9092B">
        <w:t xml:space="preserve"> </w:t>
      </w:r>
      <w:r w:rsidR="00AE6AD2" w:rsidRPr="00A9092B">
        <w:t xml:space="preserve">to adopt emerging technologies and facilitates the movement of </w:t>
      </w:r>
      <w:r w:rsidR="00B9142E">
        <w:t xml:space="preserve">knowledge and </w:t>
      </w:r>
      <w:r w:rsidR="00AE6AD2" w:rsidRPr="00A9092B">
        <w:t>expertise internationally.</w:t>
      </w:r>
      <w:r w:rsidR="0047516F" w:rsidRPr="0047516F">
        <w:t xml:space="preserve"> </w:t>
      </w:r>
      <w:r w:rsidR="0047516F">
        <w:t>To achieve this</w:t>
      </w:r>
      <w:r w:rsidR="00E55ADF">
        <w:t xml:space="preserve"> al</w:t>
      </w:r>
      <w:r w:rsidR="007358A0">
        <w:t>ignment</w:t>
      </w:r>
      <w:r w:rsidR="00471979">
        <w:t>,</w:t>
      </w:r>
      <w:r w:rsidR="0047516F">
        <w:t xml:space="preserve"> </w:t>
      </w:r>
      <w:r w:rsidR="0047516F" w:rsidRPr="00A9092B">
        <w:t>ARPANSA works closely with international organisations such as the International Atomic Energy Agency</w:t>
      </w:r>
      <w:r w:rsidR="00DD5946">
        <w:t xml:space="preserve"> </w:t>
      </w:r>
      <w:r w:rsidR="001E480C">
        <w:t xml:space="preserve">(IAEA) </w:t>
      </w:r>
      <w:r w:rsidR="00DD5946">
        <w:t>and regulatory agencies in comparable OECD countries.</w:t>
      </w:r>
      <w:r w:rsidR="0040240B">
        <w:t xml:space="preserve"> </w:t>
      </w:r>
      <w:r w:rsidR="00DF4014">
        <w:t xml:space="preserve">ARPANSA </w:t>
      </w:r>
      <w:proofErr w:type="gramStart"/>
      <w:r w:rsidR="00DF4014">
        <w:t>staff are</w:t>
      </w:r>
      <w:proofErr w:type="gramEnd"/>
      <w:r w:rsidR="00DF4014">
        <w:t xml:space="preserve"> actively involved in the development of international safety standards</w:t>
      </w:r>
      <w:r w:rsidR="006A296C">
        <w:t xml:space="preserve">. </w:t>
      </w:r>
    </w:p>
    <w:p w14:paraId="09B933D3" w14:textId="6F60987E" w:rsidR="008A33A6" w:rsidRDefault="003F18B1" w:rsidP="00972601">
      <w:pPr>
        <w:spacing w:after="120"/>
      </w:pPr>
      <w:r>
        <w:t>Using this approach</w:t>
      </w:r>
      <w:r w:rsidR="0053700C">
        <w:t xml:space="preserve">, </w:t>
      </w:r>
      <w:r w:rsidR="0053700C" w:rsidRPr="006A296C">
        <w:t>ARPANSA has recently developed guid</w:t>
      </w:r>
      <w:r w:rsidR="00D14121">
        <w:t>ance</w:t>
      </w:r>
      <w:r w:rsidR="0053700C" w:rsidRPr="006A296C">
        <w:t xml:space="preserve"> such as</w:t>
      </w:r>
      <w:r w:rsidR="00D14121">
        <w:t xml:space="preserve"> a regulatory guide </w:t>
      </w:r>
      <w:r w:rsidR="008A33A6">
        <w:t xml:space="preserve">on </w:t>
      </w:r>
      <w:r w:rsidR="0053700C" w:rsidRPr="006A296C">
        <w:t>licen</w:t>
      </w:r>
      <w:r w:rsidR="008A33A6">
        <w:t>sing a facility for the</w:t>
      </w:r>
      <w:r w:rsidR="0053700C" w:rsidRPr="006A296C">
        <w:t xml:space="preserve"> dispos</w:t>
      </w:r>
      <w:r w:rsidR="008A33A6">
        <w:t>al</w:t>
      </w:r>
      <w:r w:rsidR="0053700C" w:rsidRPr="006A296C">
        <w:t xml:space="preserve"> or stor</w:t>
      </w:r>
      <w:r w:rsidR="008A33A6">
        <w:t>age of</w:t>
      </w:r>
      <w:r w:rsidR="0053700C" w:rsidRPr="006A296C">
        <w:t xml:space="preserve"> radioactive waste</w:t>
      </w:r>
      <w:r w:rsidR="008A33A6">
        <w:t>,</w:t>
      </w:r>
      <w:r w:rsidR="0053700C" w:rsidRPr="006A296C">
        <w:t xml:space="preserve"> </w:t>
      </w:r>
      <w:r w:rsidR="00D14121">
        <w:t xml:space="preserve">an </w:t>
      </w:r>
      <w:r w:rsidR="0038568F">
        <w:t>accompanying stakeholder information</w:t>
      </w:r>
      <w:r w:rsidR="00D14121">
        <w:t xml:space="preserve"> guide</w:t>
      </w:r>
      <w:r w:rsidR="0086694D">
        <w:t>,</w:t>
      </w:r>
      <w:r w:rsidR="0038568F">
        <w:t xml:space="preserve"> </w:t>
      </w:r>
      <w:r w:rsidR="0053700C" w:rsidRPr="007D2CC6">
        <w:t xml:space="preserve">and interpretation of </w:t>
      </w:r>
      <w:r w:rsidR="001D6E7D" w:rsidRPr="007D2CC6">
        <w:t xml:space="preserve">the </w:t>
      </w:r>
      <w:r w:rsidR="0053700C" w:rsidRPr="007D2CC6">
        <w:t xml:space="preserve">legislative term </w:t>
      </w:r>
      <w:r w:rsidR="001E480C">
        <w:t>‘</w:t>
      </w:r>
      <w:r w:rsidR="0053700C" w:rsidRPr="007D2CC6">
        <w:t>significant implications for safety</w:t>
      </w:r>
      <w:r w:rsidR="001E480C">
        <w:t>’</w:t>
      </w:r>
      <w:r w:rsidR="00FA6E50">
        <w:t xml:space="preserve">. </w:t>
      </w:r>
    </w:p>
    <w:p w14:paraId="2FF6A930" w14:textId="7F078C5B" w:rsidR="0053700C" w:rsidRDefault="00FA6E50" w:rsidP="00972601">
      <w:pPr>
        <w:spacing w:after="120"/>
      </w:pPr>
      <w:r>
        <w:t xml:space="preserve">ARPANSA has </w:t>
      </w:r>
      <w:r w:rsidR="00640C5B">
        <w:t xml:space="preserve">a </w:t>
      </w:r>
      <w:r>
        <w:t>consultative approach to the dev</w:t>
      </w:r>
      <w:r w:rsidR="00257B72">
        <w:t xml:space="preserve">elopment of regulatory guides. </w:t>
      </w:r>
      <w:r>
        <w:t>This is subject to PI 5.2 (</w:t>
      </w:r>
      <w:hyperlink w:anchor="_KPI_5_–" w:history="1">
        <w:r w:rsidRPr="00EA634A">
          <w:rPr>
            <w:rStyle w:val="Hyperlink"/>
          </w:rPr>
          <w:t>See section 2.</w:t>
        </w:r>
        <w:r w:rsidR="00926A7B" w:rsidRPr="00EA634A">
          <w:rPr>
            <w:rStyle w:val="Hyperlink"/>
          </w:rPr>
          <w:t>5</w:t>
        </w:r>
      </w:hyperlink>
      <w:r>
        <w:t xml:space="preserve">). ARPANSA </w:t>
      </w:r>
      <w:r w:rsidR="008A33A6">
        <w:t xml:space="preserve">has </w:t>
      </w:r>
      <w:r>
        <w:t xml:space="preserve">published a wide range of regulatory guidance on its </w:t>
      </w:r>
      <w:hyperlink r:id="rId11" w:history="1">
        <w:r w:rsidRPr="0008308C">
          <w:rPr>
            <w:rStyle w:val="Hyperlink"/>
          </w:rPr>
          <w:t>Regulation and Licensing</w:t>
        </w:r>
      </w:hyperlink>
      <w:r>
        <w:t xml:space="preserve"> webpages</w:t>
      </w:r>
      <w:r w:rsidR="0008308C">
        <w:t>.</w:t>
      </w:r>
      <w:r>
        <w:t xml:space="preserve"> </w:t>
      </w:r>
    </w:p>
    <w:p w14:paraId="7F348D6C" w14:textId="5700B572" w:rsidR="00DD5946" w:rsidRDefault="0038568F" w:rsidP="00972601">
      <w:pPr>
        <w:spacing w:after="120"/>
      </w:pPr>
      <w:r>
        <w:t>Through the IAEA Inte</w:t>
      </w:r>
      <w:r w:rsidR="008A33A6">
        <w:t>grated</w:t>
      </w:r>
      <w:r>
        <w:t xml:space="preserve"> Regulatory Review Service (IRRS), ARPANSA’s </w:t>
      </w:r>
      <w:r w:rsidR="0053700C">
        <w:t>regulatory processes have</w:t>
      </w:r>
      <w:r w:rsidR="006A296C">
        <w:t xml:space="preserve"> been subject </w:t>
      </w:r>
      <w:r w:rsidR="00471979">
        <w:t xml:space="preserve">to </w:t>
      </w:r>
      <w:r w:rsidR="0053700C">
        <w:t xml:space="preserve">international peer </w:t>
      </w:r>
      <w:r>
        <w:t>review.</w:t>
      </w:r>
      <w:r w:rsidR="0053700C">
        <w:t xml:space="preserve"> A </w:t>
      </w:r>
      <w:r w:rsidR="002A566D">
        <w:t xml:space="preserve">second </w:t>
      </w:r>
      <w:r w:rsidR="006A296C">
        <w:t xml:space="preserve">review </w:t>
      </w:r>
      <w:proofErr w:type="gramStart"/>
      <w:r w:rsidR="006A296C">
        <w:t xml:space="preserve">is </w:t>
      </w:r>
      <w:r w:rsidR="00BA1582">
        <w:t>scheduled</w:t>
      </w:r>
      <w:proofErr w:type="gramEnd"/>
      <w:r w:rsidR="00BA1582">
        <w:t xml:space="preserve"> </w:t>
      </w:r>
      <w:r w:rsidR="006A296C">
        <w:t xml:space="preserve">for 2018. ARPANSA </w:t>
      </w:r>
      <w:r w:rsidR="00B62B3D">
        <w:t>staff also participates</w:t>
      </w:r>
      <w:r w:rsidR="006A296C">
        <w:t xml:space="preserve"> in the IRRS review of other nuclear</w:t>
      </w:r>
      <w:r w:rsidR="0053700C">
        <w:t xml:space="preserve"> and radiation </w:t>
      </w:r>
      <w:r w:rsidR="006A296C">
        <w:lastRenderedPageBreak/>
        <w:t>regulatory bodies</w:t>
      </w:r>
      <w:r w:rsidR="00A31556">
        <w:t xml:space="preserve">. </w:t>
      </w:r>
      <w:r w:rsidR="00A31556" w:rsidRPr="00A14222">
        <w:t xml:space="preserve">This international cooperation helps </w:t>
      </w:r>
      <w:r w:rsidR="0053700C" w:rsidRPr="00A14222">
        <w:t>to</w:t>
      </w:r>
      <w:r w:rsidR="00A31556" w:rsidRPr="00A14222">
        <w:t xml:space="preserve"> </w:t>
      </w:r>
      <w:r w:rsidR="002A566D">
        <w:t>inform a</w:t>
      </w:r>
      <w:r w:rsidR="00766FD5">
        <w:t>nd</w:t>
      </w:r>
      <w:r w:rsidR="002A566D">
        <w:t xml:space="preserve"> streamline </w:t>
      </w:r>
      <w:r w:rsidR="0040240B" w:rsidRPr="00A14222">
        <w:t xml:space="preserve">ARPANSA’s </w:t>
      </w:r>
      <w:r w:rsidR="00766FD5">
        <w:t xml:space="preserve">approach to </w:t>
      </w:r>
      <w:r w:rsidR="0040240B" w:rsidRPr="00A14222">
        <w:t>regulat</w:t>
      </w:r>
      <w:r w:rsidR="008A33A6">
        <w:t>ion</w:t>
      </w:r>
      <w:r w:rsidRPr="00A14222">
        <w:t xml:space="preserve"> and embed good regulatory practices</w:t>
      </w:r>
      <w:r w:rsidR="0040240B" w:rsidRPr="00A14222">
        <w:t>.</w:t>
      </w:r>
    </w:p>
    <w:p w14:paraId="2AA87004" w14:textId="337333CE" w:rsidR="00AE6AD2" w:rsidRPr="00A9092B" w:rsidRDefault="00FE7E1F" w:rsidP="00972601">
      <w:pPr>
        <w:spacing w:after="120"/>
      </w:pPr>
      <w:r>
        <w:t xml:space="preserve">ARPANSA undertakes </w:t>
      </w:r>
      <w:r w:rsidR="003F054B">
        <w:t>r</w:t>
      </w:r>
      <w:r>
        <w:t xml:space="preserve">egular meetings, </w:t>
      </w:r>
      <w:r w:rsidR="006D670A">
        <w:t>for</w:t>
      </w:r>
      <w:r w:rsidR="00246FCB">
        <w:t>ums</w:t>
      </w:r>
      <w:r>
        <w:t xml:space="preserve"> and site visits </w:t>
      </w:r>
      <w:r w:rsidR="0040240B" w:rsidRPr="006A296C">
        <w:t xml:space="preserve">to explain </w:t>
      </w:r>
      <w:r>
        <w:t>regulatory requirements</w:t>
      </w:r>
      <w:r w:rsidR="0040240B" w:rsidRPr="006A296C">
        <w:t xml:space="preserve"> to </w:t>
      </w:r>
      <w:r w:rsidR="00B44337">
        <w:t>l</w:t>
      </w:r>
      <w:r w:rsidR="001F7A0E">
        <w:t>icence holder</w:t>
      </w:r>
      <w:r w:rsidR="00215D03">
        <w:t xml:space="preserve"> representatives</w:t>
      </w:r>
      <w:r w:rsidR="0040240B" w:rsidRPr="006A296C">
        <w:t xml:space="preserve"> and to gain understanding of operation</w:t>
      </w:r>
      <w:r>
        <w:t xml:space="preserve">al needs. This informs </w:t>
      </w:r>
      <w:r w:rsidR="00215D03">
        <w:t xml:space="preserve">the </w:t>
      </w:r>
      <w:r w:rsidR="003F054B">
        <w:t xml:space="preserve">licence holder </w:t>
      </w:r>
      <w:r>
        <w:t>how ARPANSA conducts its regulatory business</w:t>
      </w:r>
      <w:r w:rsidR="006D670A">
        <w:t xml:space="preserve">. </w:t>
      </w:r>
      <w:r w:rsidR="008D0983">
        <w:t>During</w:t>
      </w:r>
      <w:r w:rsidR="006D670A">
        <w:t xml:space="preserve"> the reporting period</w:t>
      </w:r>
      <w:r w:rsidR="008D2313">
        <w:t>,</w:t>
      </w:r>
      <w:r w:rsidR="006D670A">
        <w:t xml:space="preserve"> 25 information</w:t>
      </w:r>
      <w:r w:rsidR="008D2313">
        <w:t>-</w:t>
      </w:r>
      <w:r w:rsidR="006D670A">
        <w:t xml:space="preserve">sharing meetings and </w:t>
      </w:r>
      <w:r w:rsidR="008D0983">
        <w:t>83 site visits</w:t>
      </w:r>
      <w:r w:rsidR="008D2313">
        <w:t xml:space="preserve"> were undertaken. </w:t>
      </w:r>
      <w:r>
        <w:t xml:space="preserve"> </w:t>
      </w:r>
    </w:p>
    <w:p w14:paraId="7AC66989" w14:textId="7A6ACC12" w:rsidR="00EB6171" w:rsidRDefault="00B70C67" w:rsidP="00972601">
      <w:pPr>
        <w:pStyle w:val="Heading3"/>
        <w:rPr>
          <w:lang w:eastAsia="en-AU"/>
        </w:rPr>
      </w:pPr>
      <w:bookmarkStart w:id="13" w:name="_Toc470173139"/>
      <w:r>
        <w:rPr>
          <w:lang w:eastAsia="en-AU"/>
        </w:rPr>
        <w:t>Analysis of evidence presented</w:t>
      </w:r>
      <w:bookmarkEnd w:id="13"/>
    </w:p>
    <w:p w14:paraId="27F9D68D" w14:textId="77777777" w:rsidR="005630CE" w:rsidRDefault="005630CE" w:rsidP="00972601">
      <w:pPr>
        <w:spacing w:after="120"/>
      </w:pPr>
      <w:r>
        <w:t>These two PIs only partially capture the potential impact of regulation on the efficient operation of regulated entities.</w:t>
      </w:r>
    </w:p>
    <w:p w14:paraId="142870C5" w14:textId="6597266C" w:rsidR="00FF62A5" w:rsidRPr="00A9092B" w:rsidRDefault="00403488" w:rsidP="00972601">
      <w:pPr>
        <w:spacing w:after="120"/>
        <w:rPr>
          <w:rFonts w:cs="Arial"/>
          <w:szCs w:val="24"/>
        </w:rPr>
      </w:pPr>
      <w:r w:rsidRPr="00710B07">
        <w:rPr>
          <w:b/>
        </w:rPr>
        <w:t xml:space="preserve">PI </w:t>
      </w:r>
      <w:r w:rsidR="00D12795" w:rsidRPr="00710B07">
        <w:rPr>
          <w:b/>
        </w:rPr>
        <w:t>1.1</w:t>
      </w:r>
      <w:r w:rsidR="00D12795" w:rsidRPr="00A9092B">
        <w:t xml:space="preserve"> </w:t>
      </w:r>
      <w:r w:rsidRPr="00A9092B">
        <w:rPr>
          <w:rFonts w:cs="Arial"/>
          <w:szCs w:val="24"/>
        </w:rPr>
        <w:t>measure</w:t>
      </w:r>
      <w:r w:rsidR="001D083C">
        <w:rPr>
          <w:rFonts w:cs="Arial"/>
          <w:szCs w:val="24"/>
        </w:rPr>
        <w:t>s adherence to inspection schedules.</w:t>
      </w:r>
      <w:r w:rsidRPr="00A9092B">
        <w:rPr>
          <w:rFonts w:cs="Arial"/>
          <w:szCs w:val="24"/>
        </w:rPr>
        <w:t xml:space="preserve"> </w:t>
      </w:r>
      <w:r w:rsidR="004F4DC2">
        <w:rPr>
          <w:rFonts w:cs="Arial"/>
          <w:szCs w:val="24"/>
        </w:rPr>
        <w:t>A</w:t>
      </w:r>
      <w:r w:rsidRPr="00A9092B">
        <w:rPr>
          <w:rFonts w:cs="Arial"/>
          <w:szCs w:val="24"/>
        </w:rPr>
        <w:t xml:space="preserve"> 90% </w:t>
      </w:r>
      <w:r w:rsidR="004F4DC2">
        <w:rPr>
          <w:rFonts w:cs="Arial"/>
          <w:szCs w:val="24"/>
        </w:rPr>
        <w:t xml:space="preserve">result </w:t>
      </w:r>
      <w:r w:rsidRPr="00A9092B">
        <w:rPr>
          <w:rFonts w:cs="Arial"/>
          <w:szCs w:val="24"/>
        </w:rPr>
        <w:t>reflects well on ARPANSA</w:t>
      </w:r>
      <w:r w:rsidR="004F4DC2">
        <w:rPr>
          <w:rFonts w:cs="Arial"/>
          <w:szCs w:val="24"/>
        </w:rPr>
        <w:t>’s</w:t>
      </w:r>
      <w:r w:rsidRPr="00A9092B">
        <w:rPr>
          <w:rFonts w:cs="Arial"/>
          <w:szCs w:val="24"/>
        </w:rPr>
        <w:t xml:space="preserve"> performance in this area. </w:t>
      </w:r>
      <w:r w:rsidR="004F4DC2">
        <w:rPr>
          <w:rFonts w:cs="Arial"/>
          <w:szCs w:val="24"/>
        </w:rPr>
        <w:t>D</w:t>
      </w:r>
      <w:r w:rsidRPr="00A9092B">
        <w:rPr>
          <w:rFonts w:cs="Arial"/>
          <w:szCs w:val="24"/>
        </w:rPr>
        <w:t>eviation</w:t>
      </w:r>
      <w:r w:rsidR="004F4DC2">
        <w:rPr>
          <w:rFonts w:cs="Arial"/>
          <w:szCs w:val="24"/>
        </w:rPr>
        <w:t>s</w:t>
      </w:r>
      <w:r w:rsidRPr="00A9092B">
        <w:rPr>
          <w:rFonts w:cs="Arial"/>
          <w:szCs w:val="24"/>
        </w:rPr>
        <w:t xml:space="preserve"> </w:t>
      </w:r>
      <w:r w:rsidR="003B2D38" w:rsidRPr="00A9092B">
        <w:rPr>
          <w:rFonts w:cs="Arial"/>
          <w:szCs w:val="24"/>
        </w:rPr>
        <w:t xml:space="preserve">from the schedule </w:t>
      </w:r>
      <w:proofErr w:type="gramStart"/>
      <w:r w:rsidR="004F4DC2">
        <w:rPr>
          <w:rFonts w:cs="Arial"/>
          <w:szCs w:val="24"/>
        </w:rPr>
        <w:t>were</w:t>
      </w:r>
      <w:r w:rsidR="003B2D38" w:rsidRPr="00A9092B">
        <w:rPr>
          <w:rFonts w:cs="Arial"/>
          <w:szCs w:val="24"/>
        </w:rPr>
        <w:t xml:space="preserve"> </w:t>
      </w:r>
      <w:r w:rsidRPr="00A9092B">
        <w:rPr>
          <w:rFonts w:cs="Arial"/>
          <w:szCs w:val="24"/>
        </w:rPr>
        <w:t>communicated</w:t>
      </w:r>
      <w:proofErr w:type="gramEnd"/>
      <w:r w:rsidRPr="00A9092B">
        <w:rPr>
          <w:rFonts w:cs="Arial"/>
          <w:szCs w:val="24"/>
        </w:rPr>
        <w:t xml:space="preserve"> to </w:t>
      </w:r>
      <w:r w:rsidR="004F4DC2">
        <w:rPr>
          <w:rFonts w:cs="Arial"/>
          <w:szCs w:val="24"/>
        </w:rPr>
        <w:t>the l</w:t>
      </w:r>
      <w:r w:rsidR="001F7A0E">
        <w:rPr>
          <w:rFonts w:cs="Arial"/>
          <w:szCs w:val="24"/>
        </w:rPr>
        <w:t>icence holder</w:t>
      </w:r>
      <w:r w:rsidRPr="00A9092B">
        <w:rPr>
          <w:rFonts w:cs="Arial"/>
          <w:szCs w:val="24"/>
        </w:rPr>
        <w:t xml:space="preserve"> in advance with explanation. </w:t>
      </w:r>
      <w:r w:rsidR="0092380E">
        <w:rPr>
          <w:rFonts w:cs="Arial"/>
          <w:szCs w:val="24"/>
        </w:rPr>
        <w:t xml:space="preserve">This </w:t>
      </w:r>
      <w:r w:rsidR="004F4DC2">
        <w:rPr>
          <w:rFonts w:cs="Arial"/>
          <w:szCs w:val="24"/>
        </w:rPr>
        <w:t xml:space="preserve">is </w:t>
      </w:r>
      <w:r w:rsidRPr="00A9092B">
        <w:rPr>
          <w:rFonts w:cs="Arial"/>
          <w:szCs w:val="24"/>
        </w:rPr>
        <w:t xml:space="preserve">good </w:t>
      </w:r>
      <w:r w:rsidR="0092380E" w:rsidRPr="00A9092B">
        <w:rPr>
          <w:rFonts w:cs="Arial"/>
          <w:szCs w:val="24"/>
        </w:rPr>
        <w:t>practice</w:t>
      </w:r>
      <w:r w:rsidR="0092380E">
        <w:rPr>
          <w:rFonts w:cs="Arial"/>
          <w:szCs w:val="24"/>
        </w:rPr>
        <w:t xml:space="preserve"> and </w:t>
      </w:r>
      <w:r w:rsidR="004F4DC2">
        <w:rPr>
          <w:rFonts w:cs="Arial"/>
          <w:szCs w:val="24"/>
        </w:rPr>
        <w:t xml:space="preserve">demonstrates </w:t>
      </w:r>
      <w:r w:rsidR="0092380E">
        <w:rPr>
          <w:rFonts w:cs="Arial"/>
          <w:szCs w:val="24"/>
        </w:rPr>
        <w:t xml:space="preserve">a commitment to </w:t>
      </w:r>
      <w:r w:rsidR="0092380E" w:rsidRPr="00A9092B">
        <w:rPr>
          <w:rFonts w:cs="Arial"/>
          <w:szCs w:val="24"/>
        </w:rPr>
        <w:t>the intent</w:t>
      </w:r>
      <w:r w:rsidR="0092380E">
        <w:rPr>
          <w:rFonts w:cs="Arial"/>
          <w:szCs w:val="24"/>
        </w:rPr>
        <w:t xml:space="preserve"> of the</w:t>
      </w:r>
      <w:r w:rsidR="0092380E" w:rsidRPr="00A9092B">
        <w:rPr>
          <w:rFonts w:cs="Arial"/>
          <w:szCs w:val="24"/>
        </w:rPr>
        <w:t xml:space="preserve"> </w:t>
      </w:r>
      <w:r w:rsidR="00AC244D">
        <w:rPr>
          <w:rFonts w:cs="Arial"/>
          <w:szCs w:val="24"/>
        </w:rPr>
        <w:t>RPF</w:t>
      </w:r>
      <w:r w:rsidR="0092380E">
        <w:rPr>
          <w:rFonts w:cs="Arial"/>
          <w:szCs w:val="24"/>
        </w:rPr>
        <w:t xml:space="preserve">, </w:t>
      </w:r>
      <w:r w:rsidR="00382CE7">
        <w:rPr>
          <w:rFonts w:cs="Arial"/>
          <w:szCs w:val="24"/>
        </w:rPr>
        <w:t>in terms of</w:t>
      </w:r>
      <w:r w:rsidR="0092380E">
        <w:rPr>
          <w:rFonts w:cs="Arial"/>
          <w:szCs w:val="24"/>
        </w:rPr>
        <w:t xml:space="preserve"> predictability and transparency of regulatory services</w:t>
      </w:r>
      <w:r w:rsidR="003B2D38" w:rsidRPr="00A9092B">
        <w:rPr>
          <w:rFonts w:cs="Arial"/>
          <w:szCs w:val="24"/>
        </w:rPr>
        <w:t>.</w:t>
      </w:r>
    </w:p>
    <w:p w14:paraId="1072C8AE" w14:textId="5051D7EF" w:rsidR="003B2D38" w:rsidRPr="00A9092B" w:rsidRDefault="003B2D38" w:rsidP="00972601">
      <w:pPr>
        <w:spacing w:after="120"/>
        <w:rPr>
          <w:rFonts w:cs="Arial"/>
          <w:szCs w:val="24"/>
        </w:rPr>
      </w:pPr>
      <w:r w:rsidRPr="00A9092B">
        <w:rPr>
          <w:rFonts w:cs="Arial"/>
          <w:szCs w:val="24"/>
        </w:rPr>
        <w:t xml:space="preserve">The </w:t>
      </w:r>
      <w:r w:rsidR="00351A7E">
        <w:rPr>
          <w:rFonts w:cs="Arial"/>
          <w:szCs w:val="24"/>
        </w:rPr>
        <w:t xml:space="preserve">intent of the </w:t>
      </w:r>
      <w:r w:rsidRPr="00A9092B">
        <w:rPr>
          <w:rFonts w:cs="Arial"/>
          <w:szCs w:val="24"/>
        </w:rPr>
        <w:t xml:space="preserve">original PI </w:t>
      </w:r>
      <w:r w:rsidR="00351A7E">
        <w:rPr>
          <w:rFonts w:cs="Arial"/>
          <w:szCs w:val="24"/>
        </w:rPr>
        <w:t xml:space="preserve">covered facility inspections only. In practice, ARPANSA </w:t>
      </w:r>
      <w:r w:rsidR="00382CE7">
        <w:rPr>
          <w:rFonts w:cs="Arial"/>
          <w:szCs w:val="24"/>
        </w:rPr>
        <w:t xml:space="preserve">also </w:t>
      </w:r>
      <w:r w:rsidR="00C74661">
        <w:rPr>
          <w:rFonts w:cs="Arial"/>
          <w:szCs w:val="24"/>
        </w:rPr>
        <w:t xml:space="preserve">includes </w:t>
      </w:r>
      <w:r w:rsidR="004928AD">
        <w:rPr>
          <w:rFonts w:cs="Arial"/>
          <w:szCs w:val="24"/>
        </w:rPr>
        <w:t xml:space="preserve">this measure for </w:t>
      </w:r>
      <w:r w:rsidR="00351A7E">
        <w:rPr>
          <w:rFonts w:cs="Arial"/>
          <w:szCs w:val="24"/>
        </w:rPr>
        <w:t>source inspections</w:t>
      </w:r>
      <w:r w:rsidR="005F5F1B">
        <w:rPr>
          <w:rFonts w:cs="Arial"/>
          <w:szCs w:val="24"/>
        </w:rPr>
        <w:t xml:space="preserve">. The </w:t>
      </w:r>
      <w:r w:rsidR="004928AD">
        <w:rPr>
          <w:rFonts w:cs="Arial"/>
          <w:szCs w:val="24"/>
        </w:rPr>
        <w:t xml:space="preserve">assessment </w:t>
      </w:r>
      <w:r w:rsidR="005F5F1B">
        <w:rPr>
          <w:rFonts w:cs="Arial"/>
          <w:szCs w:val="24"/>
        </w:rPr>
        <w:t xml:space="preserve">team considered </w:t>
      </w:r>
      <w:r w:rsidR="006F4447">
        <w:rPr>
          <w:rFonts w:cs="Arial"/>
          <w:szCs w:val="24"/>
        </w:rPr>
        <w:t>th</w:t>
      </w:r>
      <w:r w:rsidR="00382CE7">
        <w:rPr>
          <w:rFonts w:cs="Arial"/>
          <w:szCs w:val="24"/>
        </w:rPr>
        <w:t>is</w:t>
      </w:r>
      <w:r w:rsidR="006F4447">
        <w:rPr>
          <w:rFonts w:cs="Arial"/>
          <w:szCs w:val="24"/>
        </w:rPr>
        <w:t xml:space="preserve"> extended coverage to be appropriate</w:t>
      </w:r>
      <w:r w:rsidR="00351A7E">
        <w:rPr>
          <w:rFonts w:cs="Arial"/>
          <w:szCs w:val="24"/>
        </w:rPr>
        <w:t>.</w:t>
      </w:r>
      <w:r w:rsidR="005F5F1B">
        <w:rPr>
          <w:rFonts w:cs="Arial"/>
          <w:szCs w:val="24"/>
        </w:rPr>
        <w:t xml:space="preserve"> The PI</w:t>
      </w:r>
      <w:r w:rsidR="00351A7E">
        <w:rPr>
          <w:rFonts w:cs="Arial"/>
          <w:szCs w:val="24"/>
        </w:rPr>
        <w:t xml:space="preserve"> </w:t>
      </w:r>
      <w:r w:rsidRPr="00A9092B">
        <w:rPr>
          <w:rFonts w:cs="Arial"/>
          <w:szCs w:val="24"/>
        </w:rPr>
        <w:t>stipulate</w:t>
      </w:r>
      <w:r w:rsidR="00755B0F">
        <w:rPr>
          <w:rFonts w:cs="Arial"/>
          <w:szCs w:val="24"/>
        </w:rPr>
        <w:t>s</w:t>
      </w:r>
      <w:r w:rsidRPr="00A9092B">
        <w:rPr>
          <w:rFonts w:cs="Arial"/>
          <w:szCs w:val="24"/>
        </w:rPr>
        <w:t xml:space="preserve"> a three</w:t>
      </w:r>
      <w:r w:rsidR="004928AD">
        <w:rPr>
          <w:rFonts w:cs="Arial"/>
          <w:szCs w:val="24"/>
        </w:rPr>
        <w:t>-</w:t>
      </w:r>
      <w:r w:rsidRPr="00A9092B">
        <w:rPr>
          <w:rFonts w:cs="Arial"/>
          <w:szCs w:val="24"/>
        </w:rPr>
        <w:t xml:space="preserve">year inspection </w:t>
      </w:r>
      <w:proofErr w:type="gramStart"/>
      <w:r w:rsidRPr="00A9092B">
        <w:rPr>
          <w:rFonts w:cs="Arial"/>
          <w:szCs w:val="24"/>
        </w:rPr>
        <w:t>program which</w:t>
      </w:r>
      <w:proofErr w:type="gramEnd"/>
      <w:r w:rsidRPr="00A9092B">
        <w:rPr>
          <w:rFonts w:cs="Arial"/>
          <w:szCs w:val="24"/>
        </w:rPr>
        <w:t xml:space="preserve"> is in place for facilit</w:t>
      </w:r>
      <w:r w:rsidR="004928AD">
        <w:rPr>
          <w:rFonts w:cs="Arial"/>
          <w:szCs w:val="24"/>
        </w:rPr>
        <w:t>ies</w:t>
      </w:r>
      <w:r w:rsidR="00C74FE4">
        <w:rPr>
          <w:rFonts w:cs="Arial"/>
          <w:szCs w:val="24"/>
        </w:rPr>
        <w:t xml:space="preserve">. </w:t>
      </w:r>
      <w:r w:rsidRPr="00A9092B">
        <w:rPr>
          <w:rFonts w:cs="Arial"/>
          <w:szCs w:val="24"/>
        </w:rPr>
        <w:t xml:space="preserve">The approach to </w:t>
      </w:r>
      <w:r w:rsidR="004928AD">
        <w:rPr>
          <w:rFonts w:cs="Arial"/>
          <w:szCs w:val="24"/>
        </w:rPr>
        <w:t xml:space="preserve">the </w:t>
      </w:r>
      <w:r w:rsidRPr="00A9092B">
        <w:rPr>
          <w:rFonts w:cs="Arial"/>
          <w:szCs w:val="24"/>
        </w:rPr>
        <w:t xml:space="preserve">source inspection </w:t>
      </w:r>
      <w:r w:rsidR="006F4447">
        <w:rPr>
          <w:rFonts w:cs="Arial"/>
          <w:szCs w:val="24"/>
        </w:rPr>
        <w:t xml:space="preserve">schedule </w:t>
      </w:r>
      <w:proofErr w:type="gramStart"/>
      <w:r w:rsidRPr="00A9092B">
        <w:rPr>
          <w:rFonts w:cs="Arial"/>
          <w:szCs w:val="24"/>
        </w:rPr>
        <w:t>was adjusted</w:t>
      </w:r>
      <w:proofErr w:type="gramEnd"/>
      <w:r w:rsidRPr="00A9092B">
        <w:rPr>
          <w:rFonts w:cs="Arial"/>
          <w:szCs w:val="24"/>
        </w:rPr>
        <w:t xml:space="preserve"> during the year</w:t>
      </w:r>
      <w:r w:rsidR="00090EC3">
        <w:rPr>
          <w:rFonts w:cs="Arial"/>
          <w:szCs w:val="24"/>
        </w:rPr>
        <w:t xml:space="preserve"> </w:t>
      </w:r>
      <w:r w:rsidR="00685F56">
        <w:rPr>
          <w:rFonts w:cs="Arial"/>
          <w:szCs w:val="24"/>
        </w:rPr>
        <w:t xml:space="preserve">to take a more graded approach </w:t>
      </w:r>
      <w:r w:rsidR="00755B0F">
        <w:rPr>
          <w:rFonts w:cs="Arial"/>
          <w:szCs w:val="24"/>
        </w:rPr>
        <w:t xml:space="preserve">and </w:t>
      </w:r>
      <w:r w:rsidRPr="00A9092B">
        <w:rPr>
          <w:rFonts w:cs="Arial"/>
          <w:szCs w:val="24"/>
        </w:rPr>
        <w:t xml:space="preserve">align with the </w:t>
      </w:r>
      <w:r w:rsidR="004928AD">
        <w:rPr>
          <w:rFonts w:cs="Arial"/>
          <w:szCs w:val="24"/>
        </w:rPr>
        <w:t xml:space="preserve">hazard </w:t>
      </w:r>
      <w:r w:rsidR="00B932AB">
        <w:rPr>
          <w:rFonts w:cs="Arial"/>
          <w:szCs w:val="24"/>
        </w:rPr>
        <w:t xml:space="preserve">of </w:t>
      </w:r>
      <w:r w:rsidR="004928AD">
        <w:rPr>
          <w:rFonts w:cs="Arial"/>
          <w:szCs w:val="24"/>
        </w:rPr>
        <w:t xml:space="preserve">the </w:t>
      </w:r>
      <w:r w:rsidR="00556F7E" w:rsidRPr="00A9092B">
        <w:rPr>
          <w:rFonts w:cs="Arial"/>
          <w:szCs w:val="24"/>
        </w:rPr>
        <w:t xml:space="preserve">source. </w:t>
      </w:r>
      <w:r w:rsidR="004928AD">
        <w:rPr>
          <w:rFonts w:cs="Arial"/>
          <w:szCs w:val="24"/>
        </w:rPr>
        <w:t>Inspection f</w:t>
      </w:r>
      <w:r w:rsidR="00D4262F">
        <w:rPr>
          <w:rFonts w:cs="Arial"/>
          <w:szCs w:val="24"/>
        </w:rPr>
        <w:t xml:space="preserve">requencies </w:t>
      </w:r>
      <w:r w:rsidR="00B932AB">
        <w:rPr>
          <w:rFonts w:cs="Arial"/>
          <w:szCs w:val="24"/>
        </w:rPr>
        <w:t xml:space="preserve">typically </w:t>
      </w:r>
      <w:r w:rsidR="00556F7E" w:rsidRPr="00A9092B">
        <w:rPr>
          <w:rFonts w:cs="Arial"/>
          <w:szCs w:val="24"/>
        </w:rPr>
        <w:t xml:space="preserve">range </w:t>
      </w:r>
      <w:r w:rsidR="00B932AB">
        <w:rPr>
          <w:rFonts w:cs="Arial"/>
          <w:szCs w:val="24"/>
        </w:rPr>
        <w:t xml:space="preserve">from </w:t>
      </w:r>
      <w:r w:rsidR="00685F56">
        <w:rPr>
          <w:rFonts w:cs="Arial"/>
          <w:szCs w:val="24"/>
        </w:rPr>
        <w:t>once a year</w:t>
      </w:r>
      <w:r w:rsidR="004928AD">
        <w:rPr>
          <w:rFonts w:cs="Arial"/>
          <w:szCs w:val="24"/>
        </w:rPr>
        <w:t xml:space="preserve"> </w:t>
      </w:r>
      <w:r w:rsidR="00BC3E9E">
        <w:rPr>
          <w:rFonts w:cs="Arial"/>
          <w:szCs w:val="24"/>
        </w:rPr>
        <w:t xml:space="preserve">for the more hazardous facilities </w:t>
      </w:r>
      <w:r w:rsidR="00B932AB">
        <w:rPr>
          <w:rFonts w:cs="Arial"/>
          <w:szCs w:val="24"/>
        </w:rPr>
        <w:t xml:space="preserve">to </w:t>
      </w:r>
      <w:r w:rsidR="00090EC3">
        <w:rPr>
          <w:rFonts w:cs="Arial"/>
          <w:szCs w:val="24"/>
        </w:rPr>
        <w:t>on</w:t>
      </w:r>
      <w:r w:rsidR="004928AD">
        <w:rPr>
          <w:rFonts w:cs="Arial"/>
          <w:szCs w:val="24"/>
        </w:rPr>
        <w:t>c</w:t>
      </w:r>
      <w:r w:rsidR="00090EC3">
        <w:rPr>
          <w:rFonts w:cs="Arial"/>
          <w:szCs w:val="24"/>
        </w:rPr>
        <w:t xml:space="preserve">e every </w:t>
      </w:r>
      <w:r w:rsidR="005630CE">
        <w:rPr>
          <w:rFonts w:cs="Arial"/>
          <w:szCs w:val="24"/>
        </w:rPr>
        <w:t>five</w:t>
      </w:r>
      <w:r w:rsidR="00D4262F">
        <w:rPr>
          <w:rFonts w:cs="Arial"/>
          <w:szCs w:val="24"/>
        </w:rPr>
        <w:t xml:space="preserve"> </w:t>
      </w:r>
      <w:r w:rsidRPr="00A9092B">
        <w:rPr>
          <w:rFonts w:cs="Arial"/>
          <w:szCs w:val="24"/>
        </w:rPr>
        <w:t>year</w:t>
      </w:r>
      <w:r w:rsidR="00D4262F">
        <w:rPr>
          <w:rFonts w:cs="Arial"/>
          <w:szCs w:val="24"/>
        </w:rPr>
        <w:t>s</w:t>
      </w:r>
      <w:r w:rsidRPr="00A9092B">
        <w:rPr>
          <w:rFonts w:cs="Arial"/>
          <w:szCs w:val="24"/>
        </w:rPr>
        <w:t xml:space="preserve"> for very low hazard sources</w:t>
      </w:r>
      <w:r w:rsidR="00A35EF4">
        <w:rPr>
          <w:rFonts w:cs="Arial"/>
          <w:szCs w:val="24"/>
        </w:rPr>
        <w:t>.</w:t>
      </w:r>
      <w:r w:rsidR="00B932AB">
        <w:rPr>
          <w:rFonts w:cs="Arial"/>
          <w:szCs w:val="24"/>
        </w:rPr>
        <w:t xml:space="preserve"> </w:t>
      </w:r>
      <w:r w:rsidR="00AC244D">
        <w:rPr>
          <w:rFonts w:cs="Arial"/>
          <w:szCs w:val="24"/>
        </w:rPr>
        <w:t>While this</w:t>
      </w:r>
      <w:r w:rsidR="00A35EF4">
        <w:rPr>
          <w:rFonts w:cs="Arial"/>
          <w:szCs w:val="24"/>
        </w:rPr>
        <w:t xml:space="preserve"> </w:t>
      </w:r>
      <w:proofErr w:type="gramStart"/>
      <w:r w:rsidR="00A35EF4">
        <w:rPr>
          <w:rFonts w:cs="Arial"/>
          <w:szCs w:val="24"/>
        </w:rPr>
        <w:t>was considered</w:t>
      </w:r>
      <w:proofErr w:type="gramEnd"/>
      <w:r w:rsidR="00A35EF4">
        <w:rPr>
          <w:rFonts w:cs="Arial"/>
          <w:szCs w:val="24"/>
        </w:rPr>
        <w:t xml:space="preserve"> in the analysis, </w:t>
      </w:r>
      <w:r w:rsidR="00AC244D">
        <w:rPr>
          <w:rFonts w:cs="Arial"/>
          <w:szCs w:val="24"/>
        </w:rPr>
        <w:t>it</w:t>
      </w:r>
      <w:r w:rsidR="00B932AB">
        <w:rPr>
          <w:rFonts w:cs="Arial"/>
          <w:szCs w:val="24"/>
        </w:rPr>
        <w:t xml:space="preserve"> was not originally captured by the </w:t>
      </w:r>
      <w:r w:rsidR="00D12795" w:rsidRPr="00A9092B">
        <w:rPr>
          <w:rFonts w:cs="Arial"/>
          <w:szCs w:val="24"/>
        </w:rPr>
        <w:t>requirement of the PI</w:t>
      </w:r>
      <w:r w:rsidR="00B932AB">
        <w:rPr>
          <w:rFonts w:cs="Arial"/>
          <w:szCs w:val="24"/>
        </w:rPr>
        <w:t>.</w:t>
      </w:r>
    </w:p>
    <w:p w14:paraId="1E8976DB" w14:textId="51E634F7" w:rsidR="00D12795" w:rsidRPr="00B62B3D" w:rsidRDefault="00215D03" w:rsidP="00972601">
      <w:pPr>
        <w:spacing w:after="120"/>
        <w:rPr>
          <w:rFonts w:cs="Arial"/>
          <w:szCs w:val="24"/>
        </w:rPr>
      </w:pPr>
      <w:r>
        <w:rPr>
          <w:rFonts w:cs="Arial"/>
          <w:szCs w:val="24"/>
        </w:rPr>
        <w:t>Licence holder representatives</w:t>
      </w:r>
      <w:r w:rsidR="00D12795" w:rsidRPr="00A9092B">
        <w:rPr>
          <w:rFonts w:cs="Arial"/>
          <w:szCs w:val="24"/>
        </w:rPr>
        <w:t xml:space="preserve"> </w:t>
      </w:r>
      <w:r w:rsidR="00C46BCE">
        <w:rPr>
          <w:rFonts w:cs="Arial"/>
          <w:szCs w:val="24"/>
        </w:rPr>
        <w:t xml:space="preserve">reported </w:t>
      </w:r>
      <w:r w:rsidR="00D12795" w:rsidRPr="00A9092B">
        <w:rPr>
          <w:rFonts w:cs="Arial"/>
          <w:szCs w:val="24"/>
        </w:rPr>
        <w:t xml:space="preserve">that there have been no changes to </w:t>
      </w:r>
      <w:r w:rsidR="00382CE7">
        <w:rPr>
          <w:rFonts w:cs="Arial"/>
          <w:szCs w:val="24"/>
        </w:rPr>
        <w:t>the</w:t>
      </w:r>
      <w:r w:rsidR="00D12795" w:rsidRPr="00A9092B">
        <w:rPr>
          <w:rFonts w:cs="Arial"/>
          <w:szCs w:val="24"/>
        </w:rPr>
        <w:t xml:space="preserve"> </w:t>
      </w:r>
      <w:r w:rsidR="00C46BCE">
        <w:rPr>
          <w:rFonts w:cs="Arial"/>
          <w:szCs w:val="24"/>
        </w:rPr>
        <w:t>i</w:t>
      </w:r>
      <w:r w:rsidR="00D12795" w:rsidRPr="00A9092B">
        <w:rPr>
          <w:rFonts w:cs="Arial"/>
          <w:szCs w:val="24"/>
        </w:rPr>
        <w:t xml:space="preserve">nspection </w:t>
      </w:r>
      <w:r w:rsidR="00C46BCE">
        <w:rPr>
          <w:rFonts w:cs="Arial"/>
          <w:szCs w:val="24"/>
        </w:rPr>
        <w:t>s</w:t>
      </w:r>
      <w:r w:rsidR="00D12795" w:rsidRPr="00A9092B">
        <w:rPr>
          <w:rFonts w:cs="Arial"/>
          <w:szCs w:val="24"/>
        </w:rPr>
        <w:t>chedule</w:t>
      </w:r>
      <w:r w:rsidR="00C46BCE" w:rsidRPr="00C46BCE">
        <w:rPr>
          <w:rFonts w:cs="Arial"/>
          <w:szCs w:val="24"/>
        </w:rPr>
        <w:t xml:space="preserve"> </w:t>
      </w:r>
      <w:r w:rsidR="00C46BCE">
        <w:rPr>
          <w:rFonts w:cs="Arial"/>
          <w:szCs w:val="24"/>
        </w:rPr>
        <w:t xml:space="preserve">in </w:t>
      </w:r>
      <w:r w:rsidR="00C46BCE" w:rsidRPr="00A9092B">
        <w:rPr>
          <w:rFonts w:cs="Arial"/>
          <w:szCs w:val="24"/>
        </w:rPr>
        <w:t>the 18 months</w:t>
      </w:r>
      <w:r w:rsidR="00D12795" w:rsidRPr="00A9092B">
        <w:rPr>
          <w:rFonts w:cs="Arial"/>
          <w:szCs w:val="24"/>
        </w:rPr>
        <w:t xml:space="preserve"> </w:t>
      </w:r>
      <w:r w:rsidR="00C46BCE">
        <w:rPr>
          <w:rFonts w:cs="Arial"/>
          <w:szCs w:val="24"/>
        </w:rPr>
        <w:t xml:space="preserve">following </w:t>
      </w:r>
      <w:r w:rsidR="0070049F" w:rsidRPr="00A9092B">
        <w:rPr>
          <w:rFonts w:cs="Arial"/>
          <w:szCs w:val="24"/>
        </w:rPr>
        <w:t xml:space="preserve">implementation of the current </w:t>
      </w:r>
      <w:hyperlink r:id="rId12" w:history="1">
        <w:r w:rsidR="0070049F" w:rsidRPr="00147C0A">
          <w:rPr>
            <w:rStyle w:val="Hyperlink"/>
            <w:rFonts w:cs="Arial"/>
            <w:szCs w:val="24"/>
          </w:rPr>
          <w:t>Regulatory Delivery M</w:t>
        </w:r>
        <w:r w:rsidR="00D12795" w:rsidRPr="00147C0A">
          <w:rPr>
            <w:rStyle w:val="Hyperlink"/>
            <w:rFonts w:cs="Arial"/>
            <w:szCs w:val="24"/>
          </w:rPr>
          <w:t>odel</w:t>
        </w:r>
      </w:hyperlink>
      <w:r w:rsidR="00D12795" w:rsidRPr="00A9092B">
        <w:rPr>
          <w:rFonts w:cs="Arial"/>
          <w:szCs w:val="24"/>
        </w:rPr>
        <w:t xml:space="preserve">. </w:t>
      </w:r>
      <w:r w:rsidR="00B932AB">
        <w:rPr>
          <w:rFonts w:cs="Arial"/>
          <w:szCs w:val="24"/>
        </w:rPr>
        <w:t xml:space="preserve">This </w:t>
      </w:r>
      <w:proofErr w:type="gramStart"/>
      <w:r w:rsidR="00B932AB">
        <w:rPr>
          <w:rFonts w:cs="Arial"/>
          <w:szCs w:val="24"/>
        </w:rPr>
        <w:t>may be</w:t>
      </w:r>
      <w:r w:rsidR="00710B07">
        <w:rPr>
          <w:rFonts w:cs="Arial"/>
          <w:szCs w:val="24"/>
        </w:rPr>
        <w:t xml:space="preserve"> </w:t>
      </w:r>
      <w:r w:rsidR="00B932AB">
        <w:rPr>
          <w:rFonts w:cs="Arial"/>
          <w:szCs w:val="24"/>
        </w:rPr>
        <w:t>considered</w:t>
      </w:r>
      <w:proofErr w:type="gramEnd"/>
      <w:r w:rsidR="00B932AB">
        <w:rPr>
          <w:rFonts w:cs="Arial"/>
          <w:szCs w:val="24"/>
        </w:rPr>
        <w:t xml:space="preserve"> a good outcome </w:t>
      </w:r>
      <w:r w:rsidR="00C46BCE">
        <w:rPr>
          <w:rFonts w:cs="Arial"/>
          <w:szCs w:val="24"/>
        </w:rPr>
        <w:t xml:space="preserve">as it provides </w:t>
      </w:r>
      <w:r w:rsidR="00B932AB">
        <w:rPr>
          <w:rFonts w:cs="Arial"/>
          <w:szCs w:val="24"/>
        </w:rPr>
        <w:t xml:space="preserve">consistency </w:t>
      </w:r>
      <w:r w:rsidR="00DA4564">
        <w:rPr>
          <w:rFonts w:cs="Arial"/>
          <w:szCs w:val="24"/>
        </w:rPr>
        <w:t>for</w:t>
      </w:r>
      <w:r w:rsidR="00B932AB">
        <w:rPr>
          <w:rFonts w:cs="Arial"/>
          <w:szCs w:val="24"/>
        </w:rPr>
        <w:t xml:space="preserve"> </w:t>
      </w:r>
      <w:r w:rsidR="00C46BCE">
        <w:rPr>
          <w:rFonts w:cs="Arial"/>
          <w:szCs w:val="24"/>
        </w:rPr>
        <w:t>l</w:t>
      </w:r>
      <w:r w:rsidR="001F7A0E">
        <w:rPr>
          <w:rFonts w:cs="Arial"/>
          <w:szCs w:val="24"/>
        </w:rPr>
        <w:t>icence holder</w:t>
      </w:r>
      <w:r w:rsidR="00AC244D">
        <w:rPr>
          <w:rFonts w:cs="Arial"/>
          <w:szCs w:val="24"/>
        </w:rPr>
        <w:t>s</w:t>
      </w:r>
      <w:r w:rsidR="00BD6540">
        <w:rPr>
          <w:rFonts w:cs="Arial"/>
          <w:szCs w:val="24"/>
        </w:rPr>
        <w:t xml:space="preserve">. However, </w:t>
      </w:r>
      <w:r w:rsidR="006A0403">
        <w:rPr>
          <w:rFonts w:cs="Arial"/>
          <w:szCs w:val="24"/>
        </w:rPr>
        <w:t xml:space="preserve">because </w:t>
      </w:r>
      <w:r w:rsidR="00F60C22">
        <w:rPr>
          <w:rFonts w:cs="Arial"/>
          <w:szCs w:val="24"/>
        </w:rPr>
        <w:t xml:space="preserve">facility </w:t>
      </w:r>
      <w:r w:rsidR="00BD6540">
        <w:rPr>
          <w:rFonts w:cs="Arial"/>
          <w:szCs w:val="24"/>
        </w:rPr>
        <w:t xml:space="preserve">risks </w:t>
      </w:r>
      <w:proofErr w:type="gramStart"/>
      <w:r w:rsidR="00BD6540">
        <w:rPr>
          <w:rFonts w:cs="Arial"/>
          <w:szCs w:val="24"/>
        </w:rPr>
        <w:t xml:space="preserve">are </w:t>
      </w:r>
      <w:r w:rsidR="00987859">
        <w:rPr>
          <w:rFonts w:cs="Arial"/>
          <w:szCs w:val="24"/>
        </w:rPr>
        <w:t>regularly reviewed</w:t>
      </w:r>
      <w:proofErr w:type="gramEnd"/>
      <w:r w:rsidR="006A0403">
        <w:rPr>
          <w:rFonts w:cs="Arial"/>
          <w:szCs w:val="24"/>
        </w:rPr>
        <w:t>,</w:t>
      </w:r>
      <w:r w:rsidR="00987859">
        <w:rPr>
          <w:rFonts w:cs="Arial"/>
          <w:szCs w:val="24"/>
        </w:rPr>
        <w:t xml:space="preserve"> </w:t>
      </w:r>
      <w:r w:rsidR="00F60C22">
        <w:rPr>
          <w:rFonts w:cs="Arial"/>
          <w:szCs w:val="24"/>
        </w:rPr>
        <w:t xml:space="preserve">the assessment team </w:t>
      </w:r>
      <w:r w:rsidR="00BD6540">
        <w:rPr>
          <w:rFonts w:cs="Arial"/>
          <w:szCs w:val="24"/>
        </w:rPr>
        <w:t xml:space="preserve">expected </w:t>
      </w:r>
      <w:r w:rsidR="006A0403">
        <w:rPr>
          <w:rFonts w:cs="Arial"/>
          <w:szCs w:val="24"/>
        </w:rPr>
        <w:t xml:space="preserve">to find </w:t>
      </w:r>
      <w:r w:rsidR="00BD6540">
        <w:rPr>
          <w:rFonts w:cs="Arial"/>
          <w:szCs w:val="24"/>
        </w:rPr>
        <w:t xml:space="preserve">that </w:t>
      </w:r>
      <w:r w:rsidR="006A0403">
        <w:rPr>
          <w:rFonts w:cs="Arial"/>
          <w:szCs w:val="24"/>
        </w:rPr>
        <w:t xml:space="preserve">inspection frequencies for some licence holders had </w:t>
      </w:r>
      <w:r w:rsidR="008E2213">
        <w:rPr>
          <w:rFonts w:cs="Arial"/>
          <w:szCs w:val="24"/>
        </w:rPr>
        <w:t xml:space="preserve">been </w:t>
      </w:r>
      <w:r w:rsidR="006A0403">
        <w:rPr>
          <w:rFonts w:cs="Arial"/>
          <w:szCs w:val="24"/>
        </w:rPr>
        <w:t>revised</w:t>
      </w:r>
      <w:r w:rsidR="00D12795" w:rsidRPr="00A9092B">
        <w:rPr>
          <w:rFonts w:cs="Arial"/>
          <w:szCs w:val="24"/>
        </w:rPr>
        <w:t xml:space="preserve"> to reflect compliance maturity and reward </w:t>
      </w:r>
      <w:r w:rsidR="006A0403">
        <w:rPr>
          <w:rFonts w:cs="Arial"/>
          <w:szCs w:val="24"/>
        </w:rPr>
        <w:t xml:space="preserve">good </w:t>
      </w:r>
      <w:r w:rsidR="00556F7E" w:rsidRPr="00A9092B">
        <w:rPr>
          <w:rFonts w:cs="Arial"/>
          <w:szCs w:val="24"/>
        </w:rPr>
        <w:t>performance</w:t>
      </w:r>
      <w:r w:rsidR="00A65661">
        <w:rPr>
          <w:rFonts w:cs="Arial"/>
          <w:szCs w:val="24"/>
        </w:rPr>
        <w:t xml:space="preserve"> with reduced regulatory oversight</w:t>
      </w:r>
      <w:r w:rsidR="00D12795" w:rsidRPr="00A9092B">
        <w:rPr>
          <w:rFonts w:cs="Arial"/>
          <w:szCs w:val="24"/>
        </w:rPr>
        <w:t>.</w:t>
      </w:r>
      <w:r w:rsidR="00BD6540">
        <w:rPr>
          <w:rFonts w:cs="Arial"/>
          <w:szCs w:val="24"/>
        </w:rPr>
        <w:t xml:space="preserve"> </w:t>
      </w:r>
      <w:r w:rsidR="006A0403">
        <w:rPr>
          <w:rFonts w:cs="Arial"/>
          <w:szCs w:val="24"/>
        </w:rPr>
        <w:t xml:space="preserve">From </w:t>
      </w:r>
      <w:r w:rsidR="00B62B3D">
        <w:rPr>
          <w:rFonts w:cs="Arial"/>
          <w:szCs w:val="24"/>
        </w:rPr>
        <w:t xml:space="preserve">the current reporting </w:t>
      </w:r>
      <w:proofErr w:type="gramStart"/>
      <w:r w:rsidR="00B62B3D">
        <w:rPr>
          <w:rFonts w:cs="Arial"/>
          <w:szCs w:val="24"/>
        </w:rPr>
        <w:t>data</w:t>
      </w:r>
      <w:proofErr w:type="gramEnd"/>
      <w:r w:rsidR="00B62B3D">
        <w:rPr>
          <w:rFonts w:cs="Arial"/>
          <w:szCs w:val="24"/>
        </w:rPr>
        <w:t xml:space="preserve"> i</w:t>
      </w:r>
      <w:r w:rsidR="00BD6540">
        <w:rPr>
          <w:rFonts w:cs="Arial"/>
          <w:szCs w:val="24"/>
        </w:rPr>
        <w:t xml:space="preserve">t was not clear </w:t>
      </w:r>
      <w:r w:rsidR="00DA4564">
        <w:rPr>
          <w:rFonts w:cs="Arial"/>
          <w:szCs w:val="24"/>
        </w:rPr>
        <w:t>the extent to which</w:t>
      </w:r>
      <w:r w:rsidR="00BD6540" w:rsidRPr="00B62B3D">
        <w:rPr>
          <w:rFonts w:cs="Arial"/>
          <w:szCs w:val="24"/>
        </w:rPr>
        <w:t xml:space="preserve"> </w:t>
      </w:r>
      <w:r w:rsidR="00D4262F" w:rsidRPr="00B62B3D">
        <w:rPr>
          <w:rFonts w:cs="Arial"/>
          <w:szCs w:val="24"/>
        </w:rPr>
        <w:t xml:space="preserve">such adjustment of inspection </w:t>
      </w:r>
      <w:r w:rsidR="006209A7" w:rsidRPr="00B62B3D">
        <w:rPr>
          <w:rFonts w:cs="Arial"/>
          <w:szCs w:val="24"/>
        </w:rPr>
        <w:t>schedule</w:t>
      </w:r>
      <w:r w:rsidR="00D4262F" w:rsidRPr="00B62B3D">
        <w:rPr>
          <w:rFonts w:cs="Arial"/>
          <w:szCs w:val="24"/>
        </w:rPr>
        <w:t>s ha</w:t>
      </w:r>
      <w:r w:rsidR="006A0403">
        <w:rPr>
          <w:rFonts w:cs="Arial"/>
          <w:szCs w:val="24"/>
        </w:rPr>
        <w:t>d</w:t>
      </w:r>
      <w:r w:rsidR="00BD6540" w:rsidRPr="00B62B3D">
        <w:rPr>
          <w:rFonts w:cs="Arial"/>
          <w:szCs w:val="24"/>
        </w:rPr>
        <w:t xml:space="preserve"> </w:t>
      </w:r>
      <w:r w:rsidR="00B143D5" w:rsidRPr="00B62B3D">
        <w:rPr>
          <w:rFonts w:cs="Arial"/>
          <w:szCs w:val="24"/>
        </w:rPr>
        <w:t>occur</w:t>
      </w:r>
      <w:r w:rsidR="00D4262F" w:rsidRPr="00B62B3D">
        <w:rPr>
          <w:rFonts w:cs="Arial"/>
          <w:szCs w:val="24"/>
        </w:rPr>
        <w:t>r</w:t>
      </w:r>
      <w:r w:rsidR="00B143D5" w:rsidRPr="00B62B3D">
        <w:rPr>
          <w:rFonts w:cs="Arial"/>
          <w:szCs w:val="24"/>
        </w:rPr>
        <w:t>ed</w:t>
      </w:r>
      <w:r w:rsidR="00BD6540" w:rsidRPr="00B62B3D">
        <w:rPr>
          <w:rFonts w:cs="Arial"/>
          <w:szCs w:val="24"/>
        </w:rPr>
        <w:t>.</w:t>
      </w:r>
    </w:p>
    <w:p w14:paraId="184F18EF" w14:textId="2E9A0DCF" w:rsidR="00FF62A5" w:rsidRPr="00B62B3D" w:rsidRDefault="00FF62A5" w:rsidP="00972601">
      <w:pPr>
        <w:spacing w:after="120"/>
        <w:rPr>
          <w:rFonts w:cs="Arial"/>
          <w:szCs w:val="24"/>
        </w:rPr>
      </w:pPr>
      <w:r w:rsidRPr="00B62B3D">
        <w:rPr>
          <w:rFonts w:cs="Times New Roman"/>
          <w:bCs/>
          <w:szCs w:val="24"/>
          <w:lang w:eastAsia="en-AU"/>
        </w:rPr>
        <w:t>Feedback from post-inspection surveys show</w:t>
      </w:r>
      <w:r w:rsidR="00CB01CE">
        <w:rPr>
          <w:rFonts w:cs="Times New Roman"/>
          <w:bCs/>
          <w:szCs w:val="24"/>
          <w:lang w:eastAsia="en-AU"/>
        </w:rPr>
        <w:t>ed</w:t>
      </w:r>
      <w:r w:rsidRPr="00B62B3D">
        <w:rPr>
          <w:rFonts w:cs="Times New Roman"/>
          <w:bCs/>
          <w:szCs w:val="24"/>
          <w:lang w:eastAsia="en-AU"/>
        </w:rPr>
        <w:t xml:space="preserve"> that </w:t>
      </w:r>
      <w:r w:rsidR="00710B07">
        <w:rPr>
          <w:rFonts w:cs="Times New Roman"/>
          <w:bCs/>
          <w:szCs w:val="24"/>
          <w:lang w:eastAsia="en-AU"/>
        </w:rPr>
        <w:t>licence holders</w:t>
      </w:r>
      <w:r w:rsidRPr="00B62B3D">
        <w:rPr>
          <w:rFonts w:cs="Times New Roman"/>
          <w:bCs/>
          <w:szCs w:val="24"/>
          <w:lang w:eastAsia="en-AU"/>
        </w:rPr>
        <w:t xml:space="preserve"> greatly value </w:t>
      </w:r>
      <w:proofErr w:type="gramStart"/>
      <w:r w:rsidRPr="00B62B3D">
        <w:rPr>
          <w:rFonts w:cs="Times New Roman"/>
          <w:bCs/>
          <w:szCs w:val="24"/>
          <w:lang w:eastAsia="en-AU"/>
        </w:rPr>
        <w:t xml:space="preserve">being </w:t>
      </w:r>
      <w:r w:rsidR="00CB01CE">
        <w:rPr>
          <w:rFonts w:cs="Times New Roman"/>
          <w:bCs/>
          <w:szCs w:val="24"/>
          <w:lang w:eastAsia="en-AU"/>
        </w:rPr>
        <w:t>advised</w:t>
      </w:r>
      <w:proofErr w:type="gramEnd"/>
      <w:r w:rsidR="00CB01CE">
        <w:rPr>
          <w:rFonts w:cs="Times New Roman"/>
          <w:bCs/>
          <w:szCs w:val="24"/>
          <w:lang w:eastAsia="en-AU"/>
        </w:rPr>
        <w:t xml:space="preserve"> </w:t>
      </w:r>
      <w:r w:rsidRPr="00B62B3D">
        <w:rPr>
          <w:rFonts w:cs="Times New Roman"/>
          <w:bCs/>
          <w:szCs w:val="24"/>
          <w:lang w:eastAsia="en-AU"/>
        </w:rPr>
        <w:t xml:space="preserve">of </w:t>
      </w:r>
      <w:r w:rsidR="00CB01CE">
        <w:rPr>
          <w:rFonts w:cs="Times New Roman"/>
          <w:bCs/>
          <w:szCs w:val="24"/>
          <w:lang w:eastAsia="en-AU"/>
        </w:rPr>
        <w:t xml:space="preserve">the </w:t>
      </w:r>
      <w:r w:rsidRPr="00B62B3D">
        <w:rPr>
          <w:rFonts w:cs="Times New Roman"/>
          <w:bCs/>
          <w:szCs w:val="24"/>
          <w:lang w:eastAsia="en-AU"/>
        </w:rPr>
        <w:t>inspection schedule</w:t>
      </w:r>
      <w:r w:rsidR="006A0403">
        <w:rPr>
          <w:rFonts w:cs="Times New Roman"/>
          <w:bCs/>
          <w:szCs w:val="24"/>
          <w:lang w:eastAsia="en-AU"/>
        </w:rPr>
        <w:t xml:space="preserve"> and </w:t>
      </w:r>
      <w:r w:rsidRPr="00B62B3D">
        <w:rPr>
          <w:rFonts w:cs="Times New Roman"/>
          <w:bCs/>
          <w:szCs w:val="24"/>
          <w:lang w:eastAsia="en-AU"/>
        </w:rPr>
        <w:t>associated performance objectives and criteria in advance. This allows them to plan for availability of staff and documentation and inspector access to premises in order to minimise disruptions to operations.</w:t>
      </w:r>
    </w:p>
    <w:p w14:paraId="1AA17984" w14:textId="04B90C42" w:rsidR="00556F7E" w:rsidRDefault="00556F7E" w:rsidP="00972601">
      <w:pPr>
        <w:spacing w:after="120"/>
        <w:rPr>
          <w:rFonts w:cs="Arial"/>
          <w:szCs w:val="24"/>
        </w:rPr>
      </w:pPr>
      <w:r w:rsidRPr="00B62B3D">
        <w:rPr>
          <w:rFonts w:cs="Arial"/>
          <w:b/>
          <w:szCs w:val="24"/>
        </w:rPr>
        <w:t>PI 1.2</w:t>
      </w:r>
      <w:r w:rsidRPr="00B62B3D">
        <w:rPr>
          <w:rFonts w:cs="Arial"/>
          <w:szCs w:val="24"/>
        </w:rPr>
        <w:t xml:space="preserve"> </w:t>
      </w:r>
      <w:r w:rsidR="00033CFB" w:rsidRPr="00B62B3D">
        <w:rPr>
          <w:rFonts w:cs="Arial"/>
          <w:szCs w:val="24"/>
        </w:rPr>
        <w:t>seeks to</w:t>
      </w:r>
      <w:r w:rsidR="00033CFB" w:rsidRPr="00A9092B">
        <w:rPr>
          <w:rFonts w:cs="Arial"/>
          <w:szCs w:val="24"/>
        </w:rPr>
        <w:t xml:space="preserve"> avoid unnecessary impact </w:t>
      </w:r>
      <w:r w:rsidR="00755193">
        <w:rPr>
          <w:rFonts w:cs="Arial"/>
          <w:szCs w:val="24"/>
        </w:rPr>
        <w:t xml:space="preserve">on </w:t>
      </w:r>
      <w:r w:rsidR="00033CFB" w:rsidRPr="00A9092B">
        <w:rPr>
          <w:rFonts w:cs="Arial"/>
          <w:szCs w:val="24"/>
        </w:rPr>
        <w:t>the efficient operation of licen</w:t>
      </w:r>
      <w:r w:rsidR="00755193">
        <w:rPr>
          <w:rFonts w:cs="Arial"/>
          <w:szCs w:val="24"/>
        </w:rPr>
        <w:t>s</w:t>
      </w:r>
      <w:r w:rsidR="00033CFB" w:rsidRPr="00A9092B">
        <w:rPr>
          <w:rFonts w:cs="Arial"/>
          <w:szCs w:val="24"/>
        </w:rPr>
        <w:t>ed entities by providing timely decisions</w:t>
      </w:r>
      <w:r w:rsidR="00824B76">
        <w:rPr>
          <w:rFonts w:cs="Arial"/>
          <w:szCs w:val="24"/>
        </w:rPr>
        <w:t xml:space="preserve">, be they positive or negative. </w:t>
      </w:r>
      <w:r w:rsidR="00033CFB" w:rsidRPr="00A9092B">
        <w:rPr>
          <w:rFonts w:cs="Arial"/>
          <w:szCs w:val="24"/>
        </w:rPr>
        <w:t>The current process is for inspectors to discuss</w:t>
      </w:r>
      <w:r w:rsidR="00DA4564">
        <w:rPr>
          <w:rFonts w:cs="Arial"/>
          <w:szCs w:val="24"/>
        </w:rPr>
        <w:t xml:space="preserve"> </w:t>
      </w:r>
      <w:r w:rsidR="00033CFB" w:rsidRPr="00A9092B">
        <w:rPr>
          <w:rFonts w:cs="Arial"/>
          <w:szCs w:val="24"/>
        </w:rPr>
        <w:t xml:space="preserve">the urgency of </w:t>
      </w:r>
      <w:r w:rsidR="00D4262F">
        <w:rPr>
          <w:rFonts w:cs="Arial"/>
          <w:szCs w:val="24"/>
        </w:rPr>
        <w:t>an</w:t>
      </w:r>
      <w:r w:rsidR="00033CFB" w:rsidRPr="00A9092B">
        <w:rPr>
          <w:rFonts w:cs="Arial"/>
          <w:szCs w:val="24"/>
        </w:rPr>
        <w:t xml:space="preserve"> application </w:t>
      </w:r>
      <w:r w:rsidR="00755193">
        <w:rPr>
          <w:rFonts w:cs="Arial"/>
          <w:szCs w:val="24"/>
        </w:rPr>
        <w:t>with the applicant</w:t>
      </w:r>
      <w:r w:rsidR="00755193" w:rsidRPr="00A9092B">
        <w:rPr>
          <w:rFonts w:cs="Arial"/>
          <w:szCs w:val="24"/>
        </w:rPr>
        <w:t xml:space="preserve"> </w:t>
      </w:r>
      <w:r w:rsidR="00033CFB" w:rsidRPr="00A9092B">
        <w:rPr>
          <w:rFonts w:cs="Arial"/>
          <w:szCs w:val="24"/>
        </w:rPr>
        <w:t xml:space="preserve">and </w:t>
      </w:r>
      <w:r w:rsidR="000F5F87">
        <w:rPr>
          <w:rFonts w:cs="Arial"/>
          <w:szCs w:val="24"/>
        </w:rPr>
        <w:t>tak</w:t>
      </w:r>
      <w:r w:rsidR="00623D0B">
        <w:rPr>
          <w:rFonts w:cs="Arial"/>
          <w:szCs w:val="24"/>
        </w:rPr>
        <w:t>e</w:t>
      </w:r>
      <w:r w:rsidR="000F5F87">
        <w:rPr>
          <w:rFonts w:cs="Arial"/>
          <w:szCs w:val="24"/>
        </w:rPr>
        <w:t xml:space="preserve"> into account </w:t>
      </w:r>
      <w:r w:rsidR="00BD6540">
        <w:rPr>
          <w:rFonts w:cs="Arial"/>
          <w:szCs w:val="24"/>
        </w:rPr>
        <w:t>ARPANSA</w:t>
      </w:r>
      <w:r w:rsidR="00033CFB" w:rsidRPr="00A9092B">
        <w:rPr>
          <w:rFonts w:cs="Arial"/>
          <w:szCs w:val="24"/>
        </w:rPr>
        <w:t xml:space="preserve"> workloads</w:t>
      </w:r>
      <w:r w:rsidR="00623D0B">
        <w:rPr>
          <w:rFonts w:cs="Arial"/>
          <w:szCs w:val="24"/>
        </w:rPr>
        <w:t xml:space="preserve"> to</w:t>
      </w:r>
      <w:r w:rsidR="00033CFB" w:rsidRPr="00A9092B">
        <w:rPr>
          <w:rFonts w:cs="Arial"/>
          <w:szCs w:val="24"/>
        </w:rPr>
        <w:t xml:space="preserve"> agree </w:t>
      </w:r>
      <w:r w:rsidR="00BD6540">
        <w:rPr>
          <w:rFonts w:cs="Arial"/>
          <w:szCs w:val="24"/>
        </w:rPr>
        <w:t xml:space="preserve">on </w:t>
      </w:r>
      <w:r w:rsidR="00033CFB" w:rsidRPr="00A9092B">
        <w:rPr>
          <w:rFonts w:cs="Arial"/>
          <w:szCs w:val="24"/>
        </w:rPr>
        <w:t>a decision date</w:t>
      </w:r>
      <w:r w:rsidR="00C74FE4">
        <w:rPr>
          <w:rFonts w:cs="Arial"/>
          <w:szCs w:val="24"/>
        </w:rPr>
        <w:t xml:space="preserve">. </w:t>
      </w:r>
      <w:r w:rsidR="00902442">
        <w:rPr>
          <w:rFonts w:cs="Arial"/>
          <w:szCs w:val="24"/>
        </w:rPr>
        <w:t xml:space="preserve">This </w:t>
      </w:r>
      <w:r w:rsidR="00902442" w:rsidRPr="00720B25">
        <w:rPr>
          <w:rFonts w:cs="Arial"/>
          <w:szCs w:val="24"/>
        </w:rPr>
        <w:t>process of consultation</w:t>
      </w:r>
      <w:r w:rsidR="00902442">
        <w:rPr>
          <w:rFonts w:cs="Arial"/>
          <w:szCs w:val="24"/>
        </w:rPr>
        <w:t xml:space="preserve"> is important to set realistic expectations and ensure sufficient time for a thorough analysis of the application. </w:t>
      </w:r>
      <w:r w:rsidR="00033CFB" w:rsidRPr="00A9092B">
        <w:rPr>
          <w:rFonts w:cs="Arial"/>
          <w:szCs w:val="24"/>
        </w:rPr>
        <w:t xml:space="preserve">The PI measures </w:t>
      </w:r>
      <w:r w:rsidR="00DA4564">
        <w:rPr>
          <w:rFonts w:cs="Arial"/>
          <w:szCs w:val="24"/>
        </w:rPr>
        <w:t>whether</w:t>
      </w:r>
      <w:r w:rsidR="00033CFB" w:rsidRPr="00A9092B">
        <w:rPr>
          <w:rFonts w:cs="Arial"/>
          <w:szCs w:val="24"/>
        </w:rPr>
        <w:t xml:space="preserve"> the agreed date </w:t>
      </w:r>
      <w:proofErr w:type="gramStart"/>
      <w:r w:rsidR="00487480">
        <w:rPr>
          <w:rFonts w:cs="Arial"/>
          <w:szCs w:val="24"/>
        </w:rPr>
        <w:t xml:space="preserve">was </w:t>
      </w:r>
      <w:r w:rsidR="00033CFB" w:rsidRPr="00A9092B">
        <w:rPr>
          <w:rFonts w:cs="Arial"/>
          <w:szCs w:val="24"/>
        </w:rPr>
        <w:t>met</w:t>
      </w:r>
      <w:proofErr w:type="gramEnd"/>
      <w:r w:rsidR="00033CFB" w:rsidRPr="00A9092B">
        <w:rPr>
          <w:rFonts w:cs="Arial"/>
          <w:szCs w:val="24"/>
        </w:rPr>
        <w:t xml:space="preserve">. </w:t>
      </w:r>
      <w:r w:rsidR="009924CB">
        <w:rPr>
          <w:rFonts w:cs="Arial"/>
          <w:szCs w:val="24"/>
        </w:rPr>
        <w:t>While not fully meeting the target, r</w:t>
      </w:r>
      <w:r w:rsidR="00487480">
        <w:rPr>
          <w:rFonts w:cs="Arial"/>
          <w:szCs w:val="24"/>
        </w:rPr>
        <w:t>esults have</w:t>
      </w:r>
      <w:r w:rsidR="00033CFB" w:rsidRPr="00A9092B">
        <w:rPr>
          <w:rFonts w:cs="Arial"/>
          <w:szCs w:val="24"/>
        </w:rPr>
        <w:t xml:space="preserve"> </w:t>
      </w:r>
      <w:r w:rsidR="00763459">
        <w:rPr>
          <w:rFonts w:cs="Arial"/>
          <w:szCs w:val="24"/>
        </w:rPr>
        <w:t>been consistently high,</w:t>
      </w:r>
      <w:r w:rsidR="00033CFB" w:rsidRPr="00A9092B">
        <w:rPr>
          <w:rFonts w:cs="Arial"/>
          <w:szCs w:val="24"/>
        </w:rPr>
        <w:t xml:space="preserve"> which suggests that ARPANSA </w:t>
      </w:r>
      <w:r w:rsidR="00A35EF4">
        <w:rPr>
          <w:rFonts w:cs="Arial"/>
          <w:szCs w:val="24"/>
        </w:rPr>
        <w:t>performs</w:t>
      </w:r>
      <w:r w:rsidR="00033CFB" w:rsidRPr="00A9092B">
        <w:rPr>
          <w:rFonts w:cs="Arial"/>
          <w:szCs w:val="24"/>
        </w:rPr>
        <w:t xml:space="preserve"> well in this area</w:t>
      </w:r>
      <w:r w:rsidR="007E21CF" w:rsidRPr="00A9092B">
        <w:rPr>
          <w:rFonts w:cs="Arial"/>
          <w:szCs w:val="24"/>
        </w:rPr>
        <w:t>.</w:t>
      </w:r>
      <w:r w:rsidR="00350A3F">
        <w:rPr>
          <w:rFonts w:cs="Arial"/>
          <w:szCs w:val="24"/>
        </w:rPr>
        <w:t xml:space="preserve"> </w:t>
      </w:r>
    </w:p>
    <w:p w14:paraId="3FBF7B25" w14:textId="30CED3FE" w:rsidR="007E21CF" w:rsidRPr="00A9092B" w:rsidRDefault="0080000E" w:rsidP="00972601">
      <w:pPr>
        <w:spacing w:after="120"/>
        <w:rPr>
          <w:rFonts w:cs="Arial"/>
          <w:szCs w:val="24"/>
        </w:rPr>
      </w:pPr>
      <w:r>
        <w:rPr>
          <w:rFonts w:cs="Arial"/>
          <w:szCs w:val="24"/>
        </w:rPr>
        <w:lastRenderedPageBreak/>
        <w:t xml:space="preserve">However, the </w:t>
      </w:r>
      <w:r w:rsidR="007E21CF" w:rsidRPr="00A9092B">
        <w:rPr>
          <w:rFonts w:cs="Arial"/>
          <w:szCs w:val="24"/>
        </w:rPr>
        <w:t xml:space="preserve">metric </w:t>
      </w:r>
      <w:proofErr w:type="gramStart"/>
      <w:r w:rsidR="001431F5" w:rsidRPr="00A9092B">
        <w:rPr>
          <w:rFonts w:cs="Arial"/>
          <w:szCs w:val="24"/>
        </w:rPr>
        <w:t xml:space="preserve">was </w:t>
      </w:r>
      <w:r w:rsidR="007E21CF" w:rsidRPr="00A9092B">
        <w:rPr>
          <w:rFonts w:cs="Arial"/>
          <w:szCs w:val="24"/>
        </w:rPr>
        <w:t>initially applied</w:t>
      </w:r>
      <w:proofErr w:type="gramEnd"/>
      <w:r w:rsidR="006209A7">
        <w:rPr>
          <w:rFonts w:cs="Arial"/>
          <w:szCs w:val="24"/>
        </w:rPr>
        <w:t xml:space="preserve"> </w:t>
      </w:r>
      <w:r w:rsidR="007E21CF" w:rsidRPr="00A9092B">
        <w:rPr>
          <w:rFonts w:cs="Arial"/>
          <w:szCs w:val="24"/>
        </w:rPr>
        <w:t xml:space="preserve">only </w:t>
      </w:r>
      <w:r w:rsidR="00CB01CE">
        <w:rPr>
          <w:rFonts w:cs="Arial"/>
          <w:szCs w:val="24"/>
        </w:rPr>
        <w:t>to</w:t>
      </w:r>
      <w:r w:rsidR="00CB01CE" w:rsidRPr="00A9092B">
        <w:rPr>
          <w:rFonts w:cs="Arial"/>
          <w:szCs w:val="24"/>
        </w:rPr>
        <w:t xml:space="preserve"> </w:t>
      </w:r>
      <w:r w:rsidR="007E21CF" w:rsidRPr="00A9092B">
        <w:rPr>
          <w:rFonts w:cs="Arial"/>
          <w:szCs w:val="24"/>
        </w:rPr>
        <w:t>new licence applications</w:t>
      </w:r>
      <w:r w:rsidR="00A35EF4">
        <w:rPr>
          <w:rFonts w:cs="Arial"/>
          <w:szCs w:val="24"/>
        </w:rPr>
        <w:t>,</w:t>
      </w:r>
      <w:r w:rsidR="007E21CF" w:rsidRPr="00A9092B">
        <w:rPr>
          <w:rFonts w:cs="Arial"/>
          <w:szCs w:val="24"/>
        </w:rPr>
        <w:t xml:space="preserve"> which </w:t>
      </w:r>
      <w:r w:rsidR="00350A3F">
        <w:rPr>
          <w:rFonts w:cs="Arial"/>
          <w:szCs w:val="24"/>
        </w:rPr>
        <w:t>i</w:t>
      </w:r>
      <w:r w:rsidR="007E21CF" w:rsidRPr="00A9092B">
        <w:rPr>
          <w:rFonts w:cs="Arial"/>
          <w:szCs w:val="24"/>
        </w:rPr>
        <w:t xml:space="preserve">s not consistent with the </w:t>
      </w:r>
      <w:r>
        <w:rPr>
          <w:rFonts w:cs="Arial"/>
          <w:szCs w:val="24"/>
        </w:rPr>
        <w:t xml:space="preserve">stated </w:t>
      </w:r>
      <w:r w:rsidR="007E21CF" w:rsidRPr="00A9092B">
        <w:rPr>
          <w:rFonts w:cs="Arial"/>
          <w:szCs w:val="24"/>
        </w:rPr>
        <w:t xml:space="preserve">intent of the PI. This was </w:t>
      </w:r>
      <w:r w:rsidR="00F3022E">
        <w:rPr>
          <w:rFonts w:cs="Arial"/>
          <w:szCs w:val="24"/>
        </w:rPr>
        <w:t xml:space="preserve">rectified </w:t>
      </w:r>
      <w:r w:rsidR="007E21CF" w:rsidRPr="00A9092B">
        <w:rPr>
          <w:rFonts w:cs="Arial"/>
          <w:szCs w:val="24"/>
        </w:rPr>
        <w:t xml:space="preserve">part way through </w:t>
      </w:r>
      <w:r w:rsidR="00F3022E">
        <w:rPr>
          <w:rFonts w:cs="Arial"/>
          <w:szCs w:val="24"/>
        </w:rPr>
        <w:t xml:space="preserve">the year </w:t>
      </w:r>
      <w:r w:rsidR="007E21CF" w:rsidRPr="00A9092B">
        <w:rPr>
          <w:rFonts w:cs="Arial"/>
          <w:szCs w:val="24"/>
        </w:rPr>
        <w:t xml:space="preserve">to include </w:t>
      </w:r>
      <w:r w:rsidR="002A4BBC">
        <w:rPr>
          <w:rFonts w:cs="Arial"/>
          <w:szCs w:val="24"/>
        </w:rPr>
        <w:t>a</w:t>
      </w:r>
      <w:r w:rsidR="00D4262F">
        <w:rPr>
          <w:rFonts w:cs="Arial"/>
          <w:szCs w:val="24"/>
        </w:rPr>
        <w:t>pplications for change</w:t>
      </w:r>
      <w:r>
        <w:rPr>
          <w:rFonts w:cs="Arial"/>
          <w:szCs w:val="24"/>
        </w:rPr>
        <w:t>s</w:t>
      </w:r>
      <w:r w:rsidR="002A4BBC">
        <w:rPr>
          <w:rFonts w:cs="Arial"/>
          <w:szCs w:val="24"/>
        </w:rPr>
        <w:t xml:space="preserve"> to existing licences.</w:t>
      </w:r>
      <w:r w:rsidR="00763459">
        <w:rPr>
          <w:rFonts w:cs="Arial"/>
          <w:szCs w:val="24"/>
        </w:rPr>
        <w:t xml:space="preserve"> </w:t>
      </w:r>
      <w:r w:rsidR="00350A3F">
        <w:rPr>
          <w:rFonts w:cs="Arial"/>
          <w:szCs w:val="24"/>
        </w:rPr>
        <w:t>C</w:t>
      </w:r>
      <w:r w:rsidR="00350A3F" w:rsidRPr="00A9092B">
        <w:rPr>
          <w:rFonts w:cs="Arial"/>
          <w:szCs w:val="24"/>
        </w:rPr>
        <w:t>onsequen</w:t>
      </w:r>
      <w:r w:rsidR="00350A3F">
        <w:rPr>
          <w:rFonts w:cs="Arial"/>
          <w:szCs w:val="24"/>
        </w:rPr>
        <w:t>tly,</w:t>
      </w:r>
      <w:r w:rsidR="00350A3F" w:rsidRPr="00A9092B">
        <w:rPr>
          <w:rFonts w:cs="Arial"/>
          <w:szCs w:val="24"/>
        </w:rPr>
        <w:t xml:space="preserve"> the measure </w:t>
      </w:r>
      <w:r w:rsidR="00350A3F">
        <w:rPr>
          <w:rFonts w:cs="Arial"/>
          <w:szCs w:val="24"/>
        </w:rPr>
        <w:t xml:space="preserve">did not include all applications to ARPANSA during the reporting period. </w:t>
      </w:r>
    </w:p>
    <w:p w14:paraId="2FD34285" w14:textId="32D35853" w:rsidR="00B9142E" w:rsidRDefault="00215D03" w:rsidP="00972601">
      <w:pPr>
        <w:spacing w:after="120"/>
        <w:rPr>
          <w:rFonts w:cs="Arial"/>
          <w:szCs w:val="24"/>
        </w:rPr>
      </w:pPr>
      <w:r>
        <w:rPr>
          <w:rFonts w:cs="Arial"/>
          <w:szCs w:val="24"/>
        </w:rPr>
        <w:t>Licence holder representatives</w:t>
      </w:r>
      <w:r w:rsidR="00763459">
        <w:rPr>
          <w:rFonts w:cs="Arial"/>
          <w:szCs w:val="24"/>
        </w:rPr>
        <w:t xml:space="preserve"> reported that</w:t>
      </w:r>
      <w:r w:rsidR="002A4BBC">
        <w:rPr>
          <w:rFonts w:cs="Arial"/>
          <w:szCs w:val="24"/>
        </w:rPr>
        <w:t>,</w:t>
      </w:r>
      <w:r w:rsidR="00763459">
        <w:rPr>
          <w:rFonts w:cs="Arial"/>
          <w:szCs w:val="24"/>
        </w:rPr>
        <w:t xml:space="preserve"> </w:t>
      </w:r>
      <w:r w:rsidR="006209A7">
        <w:rPr>
          <w:rFonts w:cs="Arial"/>
          <w:szCs w:val="24"/>
        </w:rPr>
        <w:t>on occasions</w:t>
      </w:r>
      <w:r w:rsidR="002A4BBC">
        <w:rPr>
          <w:rFonts w:cs="Arial"/>
          <w:szCs w:val="24"/>
        </w:rPr>
        <w:t>,</w:t>
      </w:r>
      <w:r w:rsidR="006209A7">
        <w:rPr>
          <w:rFonts w:cs="Arial"/>
          <w:szCs w:val="24"/>
        </w:rPr>
        <w:t xml:space="preserve"> there was</w:t>
      </w:r>
      <w:r w:rsidR="007E21CF" w:rsidRPr="00A9092B">
        <w:rPr>
          <w:rFonts w:cs="Arial"/>
          <w:szCs w:val="24"/>
        </w:rPr>
        <w:t xml:space="preserve"> a significant delay between </w:t>
      </w:r>
      <w:r w:rsidR="0060576F">
        <w:rPr>
          <w:rFonts w:cs="Arial"/>
          <w:szCs w:val="24"/>
        </w:rPr>
        <w:t xml:space="preserve">ARPANSA </w:t>
      </w:r>
      <w:r w:rsidR="007E21CF" w:rsidRPr="00A9092B">
        <w:rPr>
          <w:rFonts w:cs="Arial"/>
          <w:szCs w:val="24"/>
        </w:rPr>
        <w:t xml:space="preserve">receiving an application and agreeing </w:t>
      </w:r>
      <w:r w:rsidR="00BC505F">
        <w:rPr>
          <w:rFonts w:cs="Arial"/>
          <w:szCs w:val="24"/>
        </w:rPr>
        <w:t>on</w:t>
      </w:r>
      <w:r w:rsidR="007E21CF" w:rsidRPr="00A9092B">
        <w:rPr>
          <w:rFonts w:cs="Arial"/>
          <w:szCs w:val="24"/>
        </w:rPr>
        <w:t xml:space="preserve"> a target date</w:t>
      </w:r>
      <w:r w:rsidR="00763459">
        <w:rPr>
          <w:rFonts w:cs="Arial"/>
          <w:szCs w:val="24"/>
        </w:rPr>
        <w:t>.</w:t>
      </w:r>
      <w:r w:rsidR="007E21CF" w:rsidRPr="00A9092B">
        <w:rPr>
          <w:rFonts w:cs="Arial"/>
          <w:szCs w:val="24"/>
        </w:rPr>
        <w:t xml:space="preserve"> </w:t>
      </w:r>
      <w:r w:rsidR="00BC505F">
        <w:rPr>
          <w:rFonts w:cs="Arial"/>
          <w:szCs w:val="24"/>
        </w:rPr>
        <w:t>I</w:t>
      </w:r>
      <w:r w:rsidR="007E21CF" w:rsidRPr="00A9092B">
        <w:rPr>
          <w:rFonts w:cs="Arial"/>
          <w:szCs w:val="24"/>
        </w:rPr>
        <w:t xml:space="preserve">n some </w:t>
      </w:r>
      <w:proofErr w:type="gramStart"/>
      <w:r w:rsidR="007E21CF" w:rsidRPr="00A9092B">
        <w:rPr>
          <w:rFonts w:cs="Arial"/>
          <w:szCs w:val="24"/>
        </w:rPr>
        <w:t>cases</w:t>
      </w:r>
      <w:proofErr w:type="gramEnd"/>
      <w:r w:rsidR="00BB26CE">
        <w:rPr>
          <w:rFonts w:cs="Arial"/>
          <w:szCs w:val="24"/>
        </w:rPr>
        <w:t xml:space="preserve"> it was reported that</w:t>
      </w:r>
      <w:r w:rsidR="007E21CF" w:rsidRPr="00A9092B">
        <w:rPr>
          <w:rFonts w:cs="Arial"/>
          <w:szCs w:val="24"/>
        </w:rPr>
        <w:t xml:space="preserve"> a completion date </w:t>
      </w:r>
      <w:r w:rsidR="00BC505F">
        <w:rPr>
          <w:rFonts w:cs="Arial"/>
          <w:szCs w:val="24"/>
        </w:rPr>
        <w:t xml:space="preserve">was not </w:t>
      </w:r>
      <w:r w:rsidR="007E21CF" w:rsidRPr="00A9092B">
        <w:rPr>
          <w:rFonts w:cs="Arial"/>
          <w:szCs w:val="24"/>
        </w:rPr>
        <w:t>agreed</w:t>
      </w:r>
      <w:r w:rsidR="00763459">
        <w:rPr>
          <w:rFonts w:cs="Arial"/>
          <w:szCs w:val="24"/>
        </w:rPr>
        <w:t xml:space="preserve"> prior to completing the application, or a </w:t>
      </w:r>
      <w:r w:rsidR="00BB622C" w:rsidRPr="00A9092B">
        <w:rPr>
          <w:rFonts w:cs="Arial"/>
          <w:szCs w:val="24"/>
        </w:rPr>
        <w:t xml:space="preserve">target date </w:t>
      </w:r>
      <w:r w:rsidR="00763459">
        <w:rPr>
          <w:rFonts w:cs="Arial"/>
          <w:szCs w:val="24"/>
        </w:rPr>
        <w:t xml:space="preserve">was changed </w:t>
      </w:r>
      <w:r w:rsidR="00BB622C" w:rsidRPr="00A9092B">
        <w:rPr>
          <w:rFonts w:cs="Arial"/>
          <w:szCs w:val="24"/>
        </w:rPr>
        <w:t>with</w:t>
      </w:r>
      <w:r w:rsidR="00763459">
        <w:rPr>
          <w:rFonts w:cs="Arial"/>
          <w:szCs w:val="24"/>
        </w:rPr>
        <w:t>out a satisfactory</w:t>
      </w:r>
      <w:r w:rsidR="00BB622C" w:rsidRPr="00A9092B">
        <w:rPr>
          <w:rFonts w:cs="Arial"/>
          <w:szCs w:val="24"/>
        </w:rPr>
        <w:t xml:space="preserve"> explanation. </w:t>
      </w:r>
      <w:r w:rsidR="007E21CF" w:rsidRPr="00A9092B">
        <w:rPr>
          <w:rFonts w:cs="Arial"/>
          <w:szCs w:val="24"/>
        </w:rPr>
        <w:t xml:space="preserve">The </w:t>
      </w:r>
      <w:r w:rsidR="00BC505F">
        <w:rPr>
          <w:rFonts w:cs="Arial"/>
          <w:szCs w:val="24"/>
        </w:rPr>
        <w:t xml:space="preserve">assessment </w:t>
      </w:r>
      <w:r w:rsidR="008B2AEF">
        <w:rPr>
          <w:rFonts w:cs="Arial"/>
          <w:szCs w:val="24"/>
        </w:rPr>
        <w:t>team w</w:t>
      </w:r>
      <w:r w:rsidR="00605B4E">
        <w:rPr>
          <w:rFonts w:cs="Arial"/>
          <w:szCs w:val="24"/>
        </w:rPr>
        <w:t>as</w:t>
      </w:r>
      <w:r w:rsidR="008B2AEF">
        <w:rPr>
          <w:rFonts w:cs="Arial"/>
          <w:szCs w:val="24"/>
        </w:rPr>
        <w:t xml:space="preserve"> unable to verify the full </w:t>
      </w:r>
      <w:r w:rsidR="007E21CF" w:rsidRPr="00A9092B">
        <w:rPr>
          <w:rFonts w:cs="Arial"/>
          <w:szCs w:val="24"/>
        </w:rPr>
        <w:t xml:space="preserve">extent of this issue </w:t>
      </w:r>
      <w:r w:rsidR="00C849EF">
        <w:rPr>
          <w:rFonts w:cs="Arial"/>
          <w:szCs w:val="24"/>
        </w:rPr>
        <w:t xml:space="preserve">as the </w:t>
      </w:r>
      <w:r w:rsidR="00D64880">
        <w:rPr>
          <w:rFonts w:cs="Arial"/>
          <w:szCs w:val="24"/>
        </w:rPr>
        <w:t>agreed completion date</w:t>
      </w:r>
      <w:r w:rsidR="00605B4E">
        <w:rPr>
          <w:rFonts w:cs="Arial"/>
          <w:szCs w:val="24"/>
        </w:rPr>
        <w:t>,</w:t>
      </w:r>
      <w:r w:rsidR="00A35EF4">
        <w:rPr>
          <w:rFonts w:cs="Arial"/>
          <w:szCs w:val="24"/>
        </w:rPr>
        <w:t xml:space="preserve"> or when it</w:t>
      </w:r>
      <w:r w:rsidR="006209A7">
        <w:rPr>
          <w:rFonts w:cs="Arial"/>
          <w:szCs w:val="24"/>
        </w:rPr>
        <w:t xml:space="preserve"> was</w:t>
      </w:r>
      <w:r w:rsidR="00A35EF4">
        <w:rPr>
          <w:rFonts w:cs="Arial"/>
          <w:szCs w:val="24"/>
        </w:rPr>
        <w:t xml:space="preserve"> </w:t>
      </w:r>
      <w:r w:rsidR="00D64880">
        <w:rPr>
          <w:rFonts w:cs="Arial"/>
          <w:szCs w:val="24"/>
        </w:rPr>
        <w:t>changed</w:t>
      </w:r>
      <w:r w:rsidR="00605B4E">
        <w:rPr>
          <w:rFonts w:cs="Arial"/>
          <w:szCs w:val="24"/>
        </w:rPr>
        <w:t>,</w:t>
      </w:r>
      <w:r w:rsidR="00A35EF4">
        <w:rPr>
          <w:rFonts w:cs="Arial"/>
          <w:szCs w:val="24"/>
        </w:rPr>
        <w:t xml:space="preserve"> </w:t>
      </w:r>
      <w:proofErr w:type="gramStart"/>
      <w:r w:rsidR="00D64880">
        <w:rPr>
          <w:rFonts w:cs="Arial"/>
          <w:szCs w:val="24"/>
        </w:rPr>
        <w:t>w</w:t>
      </w:r>
      <w:r w:rsidR="0060576F">
        <w:rPr>
          <w:rFonts w:cs="Arial"/>
          <w:szCs w:val="24"/>
        </w:rPr>
        <w:t>ere</w:t>
      </w:r>
      <w:r w:rsidR="00A35EF4">
        <w:rPr>
          <w:rFonts w:cs="Arial"/>
          <w:szCs w:val="24"/>
        </w:rPr>
        <w:t xml:space="preserve"> not </w:t>
      </w:r>
      <w:r w:rsidR="00DA4564">
        <w:rPr>
          <w:rFonts w:cs="Arial"/>
          <w:szCs w:val="24"/>
        </w:rPr>
        <w:t xml:space="preserve">adequately </w:t>
      </w:r>
      <w:r w:rsidR="00BC505F">
        <w:rPr>
          <w:rFonts w:cs="Arial"/>
          <w:szCs w:val="24"/>
        </w:rPr>
        <w:t>recorded</w:t>
      </w:r>
      <w:proofErr w:type="gramEnd"/>
      <w:r w:rsidR="00A35EF4">
        <w:rPr>
          <w:rFonts w:cs="Arial"/>
          <w:szCs w:val="24"/>
        </w:rPr>
        <w:t xml:space="preserve"> </w:t>
      </w:r>
      <w:r w:rsidR="00BC505F">
        <w:rPr>
          <w:rFonts w:cs="Arial"/>
          <w:szCs w:val="24"/>
        </w:rPr>
        <w:t>in</w:t>
      </w:r>
      <w:r w:rsidR="00A35EF4">
        <w:rPr>
          <w:rFonts w:cs="Arial"/>
          <w:szCs w:val="24"/>
        </w:rPr>
        <w:t xml:space="preserve"> the </w:t>
      </w:r>
      <w:r w:rsidR="008B2AEF">
        <w:rPr>
          <w:rFonts w:cs="Arial"/>
          <w:szCs w:val="24"/>
        </w:rPr>
        <w:t>Licence Administration Database</w:t>
      </w:r>
      <w:r w:rsidR="007E21CF" w:rsidRPr="00A9092B">
        <w:rPr>
          <w:rFonts w:cs="Arial"/>
          <w:szCs w:val="24"/>
        </w:rPr>
        <w:t>.</w:t>
      </w:r>
      <w:r w:rsidR="00F76795">
        <w:rPr>
          <w:rFonts w:cs="Arial"/>
          <w:szCs w:val="24"/>
        </w:rPr>
        <w:t xml:space="preserve"> </w:t>
      </w:r>
      <w:r w:rsidR="00B82E2E">
        <w:rPr>
          <w:rFonts w:cs="Arial"/>
          <w:szCs w:val="24"/>
        </w:rPr>
        <w:t xml:space="preserve">Some </w:t>
      </w:r>
      <w:r>
        <w:rPr>
          <w:rFonts w:cs="Arial"/>
          <w:szCs w:val="24"/>
        </w:rPr>
        <w:t>licence holder representatives</w:t>
      </w:r>
      <w:r w:rsidR="00B82E2E">
        <w:rPr>
          <w:rFonts w:cs="Arial"/>
          <w:szCs w:val="24"/>
        </w:rPr>
        <w:t xml:space="preserve"> expressed the view that agreed timeframes </w:t>
      </w:r>
      <w:r w:rsidR="006209A7">
        <w:rPr>
          <w:rFonts w:cs="Arial"/>
          <w:szCs w:val="24"/>
        </w:rPr>
        <w:t>varied</w:t>
      </w:r>
      <w:r w:rsidR="00B82E2E">
        <w:rPr>
          <w:rFonts w:cs="Arial"/>
          <w:szCs w:val="24"/>
        </w:rPr>
        <w:t xml:space="preserve"> depending on the inspector</w:t>
      </w:r>
      <w:r w:rsidR="00605B4E">
        <w:rPr>
          <w:rFonts w:cs="Arial"/>
          <w:szCs w:val="24"/>
        </w:rPr>
        <w:t>. This could be due to</w:t>
      </w:r>
      <w:r w:rsidR="00B82E2E">
        <w:rPr>
          <w:rFonts w:cs="Arial"/>
          <w:szCs w:val="24"/>
        </w:rPr>
        <w:t xml:space="preserve"> </w:t>
      </w:r>
      <w:r w:rsidR="00A35EF4">
        <w:rPr>
          <w:rFonts w:cs="Arial"/>
          <w:szCs w:val="24"/>
        </w:rPr>
        <w:t>inspector</w:t>
      </w:r>
      <w:r w:rsidR="00B82E2E">
        <w:rPr>
          <w:rFonts w:cs="Arial"/>
          <w:szCs w:val="24"/>
        </w:rPr>
        <w:t xml:space="preserve"> workload</w:t>
      </w:r>
      <w:r w:rsidR="00605B4E">
        <w:rPr>
          <w:rFonts w:cs="Arial"/>
          <w:szCs w:val="24"/>
        </w:rPr>
        <w:t>s</w:t>
      </w:r>
      <w:r w:rsidR="00B82E2E">
        <w:rPr>
          <w:rFonts w:cs="Arial"/>
          <w:szCs w:val="24"/>
        </w:rPr>
        <w:t>.</w:t>
      </w:r>
      <w:r w:rsidR="00424559">
        <w:rPr>
          <w:rFonts w:cs="Arial"/>
          <w:szCs w:val="24"/>
        </w:rPr>
        <w:t xml:space="preserve"> </w:t>
      </w:r>
      <w:r w:rsidR="00605B4E">
        <w:rPr>
          <w:rFonts w:cs="Arial"/>
          <w:szCs w:val="24"/>
        </w:rPr>
        <w:t>T</w:t>
      </w:r>
      <w:r w:rsidR="00424559">
        <w:rPr>
          <w:rFonts w:cs="Arial"/>
          <w:szCs w:val="24"/>
        </w:rPr>
        <w:t>he reason for delay</w:t>
      </w:r>
      <w:r w:rsidR="00605B4E">
        <w:rPr>
          <w:rFonts w:cs="Arial"/>
          <w:szCs w:val="24"/>
        </w:rPr>
        <w:t>s could not be fully determined</w:t>
      </w:r>
      <w:r w:rsidR="00424559">
        <w:rPr>
          <w:rFonts w:cs="Arial"/>
          <w:szCs w:val="24"/>
        </w:rPr>
        <w:t xml:space="preserve"> but </w:t>
      </w:r>
      <w:r w:rsidR="00115A5E">
        <w:rPr>
          <w:rFonts w:cs="Arial"/>
          <w:szCs w:val="24"/>
        </w:rPr>
        <w:t xml:space="preserve">assessors acknowledge </w:t>
      </w:r>
      <w:r w:rsidR="00424559">
        <w:rPr>
          <w:rFonts w:cs="Arial"/>
          <w:szCs w:val="24"/>
        </w:rPr>
        <w:t xml:space="preserve">that delays </w:t>
      </w:r>
      <w:r w:rsidR="00115A5E">
        <w:rPr>
          <w:rFonts w:cs="Arial"/>
          <w:szCs w:val="24"/>
        </w:rPr>
        <w:t xml:space="preserve">in review of an application </w:t>
      </w:r>
      <w:r w:rsidR="00424559">
        <w:rPr>
          <w:rFonts w:cs="Arial"/>
          <w:szCs w:val="24"/>
        </w:rPr>
        <w:t xml:space="preserve">can </w:t>
      </w:r>
      <w:r w:rsidR="00DA4564">
        <w:rPr>
          <w:rFonts w:cs="Arial"/>
          <w:szCs w:val="24"/>
        </w:rPr>
        <w:t>occur</w:t>
      </w:r>
      <w:r w:rsidR="00424559">
        <w:rPr>
          <w:rFonts w:cs="Arial"/>
          <w:szCs w:val="24"/>
        </w:rPr>
        <w:t xml:space="preserve"> for a variety of reasons such as incomplete </w:t>
      </w:r>
      <w:r w:rsidR="00DA4564">
        <w:rPr>
          <w:rFonts w:cs="Arial"/>
          <w:szCs w:val="24"/>
        </w:rPr>
        <w:t>information</w:t>
      </w:r>
      <w:r w:rsidR="00424559">
        <w:rPr>
          <w:rFonts w:cs="Arial"/>
          <w:szCs w:val="24"/>
        </w:rPr>
        <w:t>, technical complexity</w:t>
      </w:r>
      <w:r w:rsidR="00F10C92">
        <w:rPr>
          <w:rFonts w:cs="Arial"/>
          <w:szCs w:val="24"/>
        </w:rPr>
        <w:t>, availability of specialist expertise,</w:t>
      </w:r>
      <w:r w:rsidR="00D4262F">
        <w:rPr>
          <w:rFonts w:cs="Arial"/>
          <w:szCs w:val="24"/>
        </w:rPr>
        <w:t xml:space="preserve"> </w:t>
      </w:r>
      <w:r w:rsidR="00424559">
        <w:rPr>
          <w:rFonts w:cs="Arial"/>
          <w:szCs w:val="24"/>
        </w:rPr>
        <w:t>or ARPANSA staff not following procedures.</w:t>
      </w:r>
    </w:p>
    <w:p w14:paraId="5A8C2F9B" w14:textId="0EE9D6D5" w:rsidR="002A4BBC" w:rsidRDefault="00115A5E" w:rsidP="00972601">
      <w:pPr>
        <w:spacing w:after="120"/>
        <w:rPr>
          <w:rFonts w:cs="Arial"/>
          <w:szCs w:val="24"/>
        </w:rPr>
      </w:pPr>
      <w:r>
        <w:rPr>
          <w:rFonts w:cs="Arial"/>
          <w:szCs w:val="24"/>
        </w:rPr>
        <w:t xml:space="preserve">The </w:t>
      </w:r>
      <w:r w:rsidR="00047F3F">
        <w:rPr>
          <w:rFonts w:cs="Arial"/>
          <w:szCs w:val="24"/>
        </w:rPr>
        <w:t xml:space="preserve">evidence presented above demonstrates that ARPANSA is </w:t>
      </w:r>
      <w:r w:rsidR="00262318">
        <w:rPr>
          <w:rFonts w:cs="Arial"/>
          <w:szCs w:val="24"/>
        </w:rPr>
        <w:t xml:space="preserve">striving </w:t>
      </w:r>
      <w:r w:rsidR="00FB40FE">
        <w:rPr>
          <w:rFonts w:cs="Arial"/>
          <w:szCs w:val="24"/>
        </w:rPr>
        <w:t xml:space="preserve">for </w:t>
      </w:r>
      <w:r w:rsidR="00262318">
        <w:rPr>
          <w:rFonts w:cs="Arial"/>
          <w:szCs w:val="24"/>
        </w:rPr>
        <w:t xml:space="preserve">best practice regulation </w:t>
      </w:r>
      <w:r w:rsidR="00047F3F">
        <w:rPr>
          <w:rFonts w:cs="Arial"/>
          <w:szCs w:val="24"/>
        </w:rPr>
        <w:t>whil</w:t>
      </w:r>
      <w:r w:rsidR="00262318">
        <w:rPr>
          <w:rFonts w:cs="Arial"/>
          <w:szCs w:val="24"/>
        </w:rPr>
        <w:t>e</w:t>
      </w:r>
      <w:r w:rsidR="00047F3F">
        <w:rPr>
          <w:rFonts w:cs="Arial"/>
          <w:szCs w:val="24"/>
        </w:rPr>
        <w:t xml:space="preserve"> being mindful of the impact that this has on licen</w:t>
      </w:r>
      <w:r w:rsidR="00262318">
        <w:rPr>
          <w:rFonts w:cs="Arial"/>
          <w:szCs w:val="24"/>
        </w:rPr>
        <w:t>s</w:t>
      </w:r>
      <w:r w:rsidR="00047F3F">
        <w:rPr>
          <w:rFonts w:cs="Arial"/>
          <w:szCs w:val="24"/>
        </w:rPr>
        <w:t>e</w:t>
      </w:r>
      <w:r w:rsidR="00262318">
        <w:rPr>
          <w:rFonts w:cs="Arial"/>
          <w:szCs w:val="24"/>
        </w:rPr>
        <w:t>d</w:t>
      </w:r>
      <w:r w:rsidR="00133CE8">
        <w:rPr>
          <w:rFonts w:cs="Arial"/>
          <w:szCs w:val="24"/>
        </w:rPr>
        <w:t xml:space="preserve"> entities. </w:t>
      </w:r>
      <w:r w:rsidR="00047F3F">
        <w:rPr>
          <w:rFonts w:cs="Arial"/>
          <w:szCs w:val="24"/>
        </w:rPr>
        <w:t>A good deal of effo</w:t>
      </w:r>
      <w:r w:rsidR="00966453">
        <w:rPr>
          <w:rFonts w:cs="Arial"/>
          <w:szCs w:val="24"/>
        </w:rPr>
        <w:t>r</w:t>
      </w:r>
      <w:r w:rsidR="00047F3F">
        <w:rPr>
          <w:rFonts w:cs="Arial"/>
          <w:szCs w:val="24"/>
        </w:rPr>
        <w:t xml:space="preserve">t </w:t>
      </w:r>
      <w:proofErr w:type="gramStart"/>
      <w:r w:rsidR="00FB40FE">
        <w:rPr>
          <w:rFonts w:cs="Arial"/>
          <w:szCs w:val="24"/>
        </w:rPr>
        <w:t>is being</w:t>
      </w:r>
      <w:r w:rsidR="00262318">
        <w:rPr>
          <w:rFonts w:cs="Arial"/>
          <w:szCs w:val="24"/>
        </w:rPr>
        <w:t xml:space="preserve"> invested</w:t>
      </w:r>
      <w:proofErr w:type="gramEnd"/>
      <w:r w:rsidR="00262318">
        <w:rPr>
          <w:rFonts w:cs="Arial"/>
          <w:szCs w:val="24"/>
        </w:rPr>
        <w:t xml:space="preserve"> in </w:t>
      </w:r>
      <w:r w:rsidR="00966453">
        <w:rPr>
          <w:rFonts w:cs="Arial"/>
          <w:szCs w:val="24"/>
        </w:rPr>
        <w:t xml:space="preserve">transparency </w:t>
      </w:r>
      <w:r w:rsidR="00262318">
        <w:rPr>
          <w:rFonts w:cs="Arial"/>
          <w:szCs w:val="24"/>
        </w:rPr>
        <w:t xml:space="preserve">of the regulatory approach </w:t>
      </w:r>
      <w:r w:rsidR="00966453">
        <w:rPr>
          <w:rFonts w:cs="Arial"/>
          <w:szCs w:val="24"/>
        </w:rPr>
        <w:t xml:space="preserve">and </w:t>
      </w:r>
      <w:r w:rsidR="007D34D1">
        <w:rPr>
          <w:rFonts w:cs="Arial"/>
          <w:szCs w:val="24"/>
        </w:rPr>
        <w:t xml:space="preserve">communication with </w:t>
      </w:r>
      <w:r w:rsidR="00CF3581">
        <w:rPr>
          <w:rFonts w:cs="Arial"/>
          <w:szCs w:val="24"/>
        </w:rPr>
        <w:t>licence holders</w:t>
      </w:r>
      <w:r w:rsidR="00133CE8">
        <w:rPr>
          <w:rFonts w:cs="Arial"/>
          <w:szCs w:val="24"/>
        </w:rPr>
        <w:t>.</w:t>
      </w:r>
      <w:r w:rsidR="00966453">
        <w:rPr>
          <w:rFonts w:cs="Arial"/>
          <w:szCs w:val="24"/>
        </w:rPr>
        <w:t xml:space="preserve"> This communication is two-way and appears to be building mutual respect. Without exception</w:t>
      </w:r>
      <w:r w:rsidR="00262318">
        <w:rPr>
          <w:rFonts w:cs="Arial"/>
          <w:szCs w:val="24"/>
        </w:rPr>
        <w:t>,</w:t>
      </w:r>
      <w:r w:rsidR="00966453">
        <w:rPr>
          <w:rFonts w:cs="Arial"/>
          <w:szCs w:val="24"/>
        </w:rPr>
        <w:t xml:space="preserve"> </w:t>
      </w:r>
      <w:r w:rsidR="00215D03">
        <w:rPr>
          <w:rFonts w:cs="Arial"/>
          <w:szCs w:val="24"/>
        </w:rPr>
        <w:t>Licence holder representatives</w:t>
      </w:r>
      <w:r w:rsidR="00B245B5">
        <w:rPr>
          <w:rFonts w:cs="Arial"/>
          <w:szCs w:val="24"/>
        </w:rPr>
        <w:t xml:space="preserve"> confirmed </w:t>
      </w:r>
      <w:r w:rsidR="00966453">
        <w:rPr>
          <w:rFonts w:cs="Arial"/>
          <w:szCs w:val="24"/>
        </w:rPr>
        <w:t>that ARPANSA</w:t>
      </w:r>
      <w:r w:rsidR="00262318">
        <w:rPr>
          <w:rFonts w:cs="Arial"/>
          <w:szCs w:val="24"/>
        </w:rPr>
        <w:t>’s</w:t>
      </w:r>
      <w:r w:rsidR="00966453">
        <w:rPr>
          <w:rFonts w:cs="Arial"/>
          <w:szCs w:val="24"/>
        </w:rPr>
        <w:t xml:space="preserve"> regulatory processes had improved.</w:t>
      </w:r>
    </w:p>
    <w:p w14:paraId="7A73A844" w14:textId="7EB4130E" w:rsidR="00AF3961" w:rsidRDefault="00AF3961" w:rsidP="00972601">
      <w:pPr>
        <w:pStyle w:val="Heading3"/>
      </w:pPr>
      <w:bookmarkStart w:id="14" w:name="_Toc470173140"/>
      <w:r w:rsidRPr="00424559">
        <w:t>Conclusion for KPI</w:t>
      </w:r>
      <w:r w:rsidR="00EC14CB">
        <w:t xml:space="preserve"> 1</w:t>
      </w:r>
      <w:bookmarkEnd w:id="14"/>
    </w:p>
    <w:p w14:paraId="420B3276" w14:textId="11EC1128" w:rsidR="00AF3961" w:rsidRPr="00424559" w:rsidRDefault="00D158F8" w:rsidP="00972601">
      <w:pPr>
        <w:spacing w:after="120"/>
        <w:rPr>
          <w:rFonts w:cs="Arial"/>
          <w:b/>
          <w:szCs w:val="24"/>
        </w:rPr>
      </w:pPr>
      <w:r>
        <w:rPr>
          <w:rFonts w:cs="Arial"/>
          <w:szCs w:val="24"/>
        </w:rPr>
        <w:t>Overall,</w:t>
      </w:r>
      <w:r w:rsidR="00AF3961">
        <w:rPr>
          <w:rFonts w:cs="Arial"/>
          <w:szCs w:val="24"/>
        </w:rPr>
        <w:t xml:space="preserve"> the performance against this KPI </w:t>
      </w:r>
      <w:proofErr w:type="gramStart"/>
      <w:r w:rsidR="00AF3961">
        <w:rPr>
          <w:rFonts w:cs="Arial"/>
          <w:szCs w:val="24"/>
        </w:rPr>
        <w:t xml:space="preserve">was </w:t>
      </w:r>
      <w:r w:rsidR="005C1525">
        <w:rPr>
          <w:rFonts w:cs="Arial"/>
          <w:szCs w:val="24"/>
        </w:rPr>
        <w:t>assessed</w:t>
      </w:r>
      <w:proofErr w:type="gramEnd"/>
      <w:r w:rsidR="005C1525">
        <w:rPr>
          <w:rFonts w:cs="Arial"/>
          <w:szCs w:val="24"/>
        </w:rPr>
        <w:t xml:space="preserve"> as </w:t>
      </w:r>
      <w:r w:rsidR="00AF3961">
        <w:rPr>
          <w:rFonts w:cs="Arial"/>
          <w:szCs w:val="24"/>
        </w:rPr>
        <w:t xml:space="preserve">good. </w:t>
      </w:r>
      <w:r w:rsidR="006267FC">
        <w:rPr>
          <w:rFonts w:cs="Arial"/>
          <w:szCs w:val="24"/>
        </w:rPr>
        <w:t>However</w:t>
      </w:r>
      <w:r w:rsidR="0060576F">
        <w:rPr>
          <w:rFonts w:cs="Arial"/>
          <w:szCs w:val="24"/>
        </w:rPr>
        <w:t>,</w:t>
      </w:r>
      <w:r w:rsidR="006267FC">
        <w:rPr>
          <w:rFonts w:cs="Arial"/>
          <w:szCs w:val="24"/>
        </w:rPr>
        <w:t xml:space="preserve"> t</w:t>
      </w:r>
      <w:r w:rsidR="00355F7F">
        <w:rPr>
          <w:rFonts w:cs="Arial"/>
          <w:szCs w:val="24"/>
        </w:rPr>
        <w:t xml:space="preserve">aking </w:t>
      </w:r>
      <w:r w:rsidR="006267FC">
        <w:rPr>
          <w:rFonts w:cs="Arial"/>
          <w:szCs w:val="24"/>
        </w:rPr>
        <w:t>the</w:t>
      </w:r>
      <w:r w:rsidR="005C1525">
        <w:rPr>
          <w:rFonts w:cs="Arial"/>
          <w:szCs w:val="24"/>
        </w:rPr>
        <w:t xml:space="preserve"> </w:t>
      </w:r>
      <w:r w:rsidR="006267FC">
        <w:rPr>
          <w:rFonts w:cs="Arial"/>
          <w:szCs w:val="24"/>
        </w:rPr>
        <w:t>additional evidence</w:t>
      </w:r>
      <w:r w:rsidR="004C5D93" w:rsidRPr="004C5D93">
        <w:rPr>
          <w:rFonts w:cs="Arial"/>
          <w:szCs w:val="24"/>
        </w:rPr>
        <w:t xml:space="preserve"> </w:t>
      </w:r>
      <w:r w:rsidR="004C5D93">
        <w:rPr>
          <w:rFonts w:cs="Arial"/>
          <w:szCs w:val="24"/>
        </w:rPr>
        <w:t>into account</w:t>
      </w:r>
      <w:r w:rsidR="006267FC">
        <w:rPr>
          <w:rFonts w:cs="Arial"/>
          <w:szCs w:val="24"/>
        </w:rPr>
        <w:t xml:space="preserve"> </w:t>
      </w:r>
      <w:r w:rsidR="004C5D93">
        <w:rPr>
          <w:rFonts w:cs="Arial"/>
          <w:szCs w:val="24"/>
        </w:rPr>
        <w:t>the</w:t>
      </w:r>
      <w:r w:rsidR="00355F7F">
        <w:rPr>
          <w:rFonts w:cs="Arial"/>
          <w:szCs w:val="24"/>
        </w:rPr>
        <w:t xml:space="preserve"> </w:t>
      </w:r>
      <w:r w:rsidR="006267FC">
        <w:rPr>
          <w:rFonts w:cs="Arial"/>
          <w:szCs w:val="24"/>
        </w:rPr>
        <w:t>‘</w:t>
      </w:r>
      <w:r w:rsidR="00C25405">
        <w:rPr>
          <w:rFonts w:cs="Arial"/>
          <w:szCs w:val="24"/>
        </w:rPr>
        <w:t>true</w:t>
      </w:r>
      <w:r w:rsidR="006267FC">
        <w:rPr>
          <w:rFonts w:cs="Arial"/>
          <w:szCs w:val="24"/>
        </w:rPr>
        <w:t>’</w:t>
      </w:r>
      <w:r w:rsidR="00355F7F">
        <w:rPr>
          <w:rFonts w:cs="Arial"/>
          <w:szCs w:val="24"/>
        </w:rPr>
        <w:t xml:space="preserve"> performance </w:t>
      </w:r>
      <w:r w:rsidR="005C1525">
        <w:rPr>
          <w:rFonts w:cs="Arial"/>
          <w:szCs w:val="24"/>
        </w:rPr>
        <w:t xml:space="preserve">meets </w:t>
      </w:r>
      <w:r w:rsidR="00355F7F">
        <w:rPr>
          <w:rFonts w:cs="Arial"/>
          <w:szCs w:val="24"/>
        </w:rPr>
        <w:t xml:space="preserve">the </w:t>
      </w:r>
      <w:r w:rsidR="006267FC">
        <w:rPr>
          <w:rFonts w:cs="Arial"/>
          <w:szCs w:val="24"/>
        </w:rPr>
        <w:t>‘</w:t>
      </w:r>
      <w:r w:rsidR="00355F7F">
        <w:rPr>
          <w:rFonts w:cs="Arial"/>
          <w:szCs w:val="24"/>
        </w:rPr>
        <w:t>very good</w:t>
      </w:r>
      <w:r w:rsidR="006267FC">
        <w:rPr>
          <w:rFonts w:cs="Arial"/>
          <w:szCs w:val="24"/>
        </w:rPr>
        <w:t>’</w:t>
      </w:r>
      <w:r w:rsidR="00355F7F">
        <w:rPr>
          <w:rFonts w:cs="Arial"/>
          <w:szCs w:val="24"/>
        </w:rPr>
        <w:t xml:space="preserve"> standard. </w:t>
      </w:r>
    </w:p>
    <w:p w14:paraId="429BB926" w14:textId="67542C2D" w:rsidR="00EB6171" w:rsidRDefault="00133CE8" w:rsidP="00972601">
      <w:pPr>
        <w:pStyle w:val="Heading3"/>
        <w:rPr>
          <w:lang w:eastAsia="en-AU"/>
        </w:rPr>
      </w:pPr>
      <w:bookmarkStart w:id="15" w:name="_Toc470173141"/>
      <w:r>
        <w:rPr>
          <w:lang w:eastAsia="en-AU"/>
        </w:rPr>
        <w:t>Self</w:t>
      </w:r>
      <w:r w:rsidR="006C4028">
        <w:rPr>
          <w:lang w:eastAsia="en-AU"/>
        </w:rPr>
        <w:t>-</w:t>
      </w:r>
      <w:r w:rsidR="00EB6171" w:rsidRPr="00A9092B">
        <w:rPr>
          <w:lang w:eastAsia="en-AU"/>
        </w:rPr>
        <w:t>assessed rating of perf</w:t>
      </w:r>
      <w:r w:rsidR="00B70C67">
        <w:rPr>
          <w:lang w:eastAsia="en-AU"/>
        </w:rPr>
        <w:t>ormance against KPI 1 – 2015-16</w:t>
      </w:r>
      <w:bookmarkEnd w:id="15"/>
    </w:p>
    <w:tbl>
      <w:tblPr>
        <w:tblStyle w:val="TableGrid"/>
        <w:tblW w:w="9747" w:type="dxa"/>
        <w:tblLook w:val="04A0" w:firstRow="1" w:lastRow="0" w:firstColumn="1" w:lastColumn="0" w:noHBand="0" w:noVBand="1"/>
        <w:tblDescription w:val="Chapter 2.1.6 table contains a list of performance ratings against Key Performance Indicator (KPI) 1 of the 2015-16 Regulator Performance Framework. &#10;"/>
      </w:tblPr>
      <w:tblGrid>
        <w:gridCol w:w="1526"/>
        <w:gridCol w:w="2835"/>
        <w:gridCol w:w="1984"/>
        <w:gridCol w:w="1701"/>
        <w:gridCol w:w="1701"/>
      </w:tblGrid>
      <w:tr w:rsidR="00486505" w:rsidRPr="00486505" w14:paraId="0BC2FFBA" w14:textId="77777777" w:rsidTr="001D1106">
        <w:trPr>
          <w:cantSplit/>
          <w:tblHeader/>
        </w:trPr>
        <w:tc>
          <w:tcPr>
            <w:tcW w:w="1526" w:type="dxa"/>
          </w:tcPr>
          <w:p w14:paraId="7EB61095" w14:textId="77777777" w:rsidR="00EB6171" w:rsidRPr="00EA634A" w:rsidRDefault="00EB6171" w:rsidP="00EA634A">
            <w:pPr>
              <w:pStyle w:val="Tabletext"/>
              <w:rPr>
                <w:rStyle w:val="Strong"/>
              </w:rPr>
            </w:pPr>
            <w:r w:rsidRPr="00EA634A">
              <w:rPr>
                <w:rStyle w:val="Strong"/>
              </w:rPr>
              <w:t>Excellent</w:t>
            </w:r>
          </w:p>
          <w:p w14:paraId="29A712A6" w14:textId="099D19D2" w:rsidR="00D03666" w:rsidRPr="00486505" w:rsidRDefault="00486505" w:rsidP="00EA634A">
            <w:pPr>
              <w:pStyle w:val="Tabletext"/>
              <w:rPr>
                <w:szCs w:val="20"/>
                <w:lang w:eastAsia="en-AU"/>
              </w:rPr>
            </w:pPr>
            <w:r w:rsidRPr="00486505">
              <w:rPr>
                <w:szCs w:val="20"/>
                <w:lang w:eastAsia="en-AU"/>
              </w:rPr>
              <w:t xml:space="preserve">Strong </w:t>
            </w:r>
            <w:r w:rsidR="00D03666" w:rsidRPr="00486505">
              <w:rPr>
                <w:szCs w:val="20"/>
                <w:lang w:eastAsia="en-AU"/>
              </w:rPr>
              <w:t xml:space="preserve">performance against all </w:t>
            </w:r>
            <w:r w:rsidR="00985DE5" w:rsidRPr="00486505">
              <w:rPr>
                <w:szCs w:val="20"/>
                <w:lang w:eastAsia="en-AU"/>
              </w:rPr>
              <w:t>the measures under the KPI</w:t>
            </w:r>
          </w:p>
        </w:tc>
        <w:tc>
          <w:tcPr>
            <w:tcW w:w="2835" w:type="dxa"/>
            <w:shd w:val="clear" w:color="auto" w:fill="auto"/>
          </w:tcPr>
          <w:p w14:paraId="09834126" w14:textId="77777777" w:rsidR="00EB6171" w:rsidRPr="00EA634A" w:rsidRDefault="00EB6171" w:rsidP="00EA634A">
            <w:pPr>
              <w:pStyle w:val="Tabletext"/>
              <w:rPr>
                <w:rStyle w:val="Strong"/>
              </w:rPr>
            </w:pPr>
            <w:r w:rsidRPr="00EA634A">
              <w:rPr>
                <w:rStyle w:val="Strong"/>
              </w:rPr>
              <w:t>Very Good</w:t>
            </w:r>
          </w:p>
          <w:p w14:paraId="0B67164A" w14:textId="0AC076E5" w:rsidR="00D03666" w:rsidRPr="00486505" w:rsidRDefault="00486505" w:rsidP="00EA634A">
            <w:pPr>
              <w:pStyle w:val="Tabletext"/>
              <w:rPr>
                <w:szCs w:val="20"/>
                <w:lang w:eastAsia="en-AU"/>
              </w:rPr>
            </w:pPr>
            <w:r w:rsidRPr="00486505">
              <w:rPr>
                <w:szCs w:val="20"/>
                <w:lang w:eastAsia="en-AU"/>
              </w:rPr>
              <w:t xml:space="preserve">Strong </w:t>
            </w:r>
            <w:r w:rsidR="00D03666" w:rsidRPr="00486505">
              <w:rPr>
                <w:szCs w:val="20"/>
                <w:lang w:eastAsia="en-AU"/>
              </w:rPr>
              <w:t xml:space="preserve">performance against majority of </w:t>
            </w:r>
            <w:r w:rsidR="00985DE5" w:rsidRPr="00486505">
              <w:rPr>
                <w:szCs w:val="20"/>
                <w:lang w:eastAsia="en-AU"/>
              </w:rPr>
              <w:t xml:space="preserve">the </w:t>
            </w:r>
            <w:r w:rsidR="00D03666" w:rsidRPr="00486505">
              <w:rPr>
                <w:szCs w:val="20"/>
                <w:lang w:eastAsia="en-AU"/>
              </w:rPr>
              <w:t xml:space="preserve">measures </w:t>
            </w:r>
            <w:r w:rsidR="00985DE5" w:rsidRPr="00486505">
              <w:rPr>
                <w:szCs w:val="20"/>
                <w:lang w:eastAsia="en-AU"/>
              </w:rPr>
              <w:t xml:space="preserve">under the KPI </w:t>
            </w:r>
            <w:r w:rsidR="00D03666" w:rsidRPr="00486505">
              <w:rPr>
                <w:szCs w:val="20"/>
                <w:lang w:eastAsia="en-AU"/>
              </w:rPr>
              <w:t>and no evidence of negative/</w:t>
            </w:r>
            <w:r w:rsidR="00AC362A" w:rsidRPr="00486505">
              <w:rPr>
                <w:szCs w:val="20"/>
                <w:lang w:eastAsia="en-AU"/>
              </w:rPr>
              <w:t>poor</w:t>
            </w:r>
            <w:r w:rsidR="00D03666" w:rsidRPr="00486505">
              <w:rPr>
                <w:szCs w:val="20"/>
                <w:lang w:eastAsia="en-AU"/>
              </w:rPr>
              <w:t xml:space="preserve"> performance against any measure</w:t>
            </w:r>
          </w:p>
        </w:tc>
        <w:tc>
          <w:tcPr>
            <w:tcW w:w="1984" w:type="dxa"/>
            <w:shd w:val="clear" w:color="auto" w:fill="EAF1DD" w:themeFill="accent3" w:themeFillTint="33"/>
          </w:tcPr>
          <w:p w14:paraId="0CCED34D" w14:textId="77777777" w:rsidR="00EB6171" w:rsidRPr="00EA634A" w:rsidRDefault="00EB6171" w:rsidP="00EA634A">
            <w:pPr>
              <w:pStyle w:val="Tabletext"/>
              <w:rPr>
                <w:rStyle w:val="Strong"/>
              </w:rPr>
            </w:pPr>
            <w:r w:rsidRPr="00EA634A">
              <w:rPr>
                <w:rStyle w:val="Strong"/>
              </w:rPr>
              <w:t>Good</w:t>
            </w:r>
          </w:p>
          <w:p w14:paraId="758CF036" w14:textId="61F9C1AD" w:rsidR="00D03666" w:rsidRPr="00486505" w:rsidRDefault="00486505" w:rsidP="00EA634A">
            <w:pPr>
              <w:pStyle w:val="Tabletext"/>
              <w:rPr>
                <w:szCs w:val="20"/>
                <w:lang w:eastAsia="en-AU"/>
              </w:rPr>
            </w:pPr>
            <w:r w:rsidRPr="00486505">
              <w:rPr>
                <w:szCs w:val="20"/>
                <w:lang w:eastAsia="en-AU"/>
              </w:rPr>
              <w:t xml:space="preserve">Average </w:t>
            </w:r>
            <w:r w:rsidR="00D03666" w:rsidRPr="00486505">
              <w:rPr>
                <w:szCs w:val="20"/>
                <w:lang w:eastAsia="en-AU"/>
              </w:rPr>
              <w:t>performance against the measures under the KPI</w:t>
            </w:r>
          </w:p>
        </w:tc>
        <w:tc>
          <w:tcPr>
            <w:tcW w:w="1701" w:type="dxa"/>
          </w:tcPr>
          <w:p w14:paraId="3AE82D25" w14:textId="77777777" w:rsidR="00EB6171" w:rsidRPr="00EA634A" w:rsidRDefault="00EB6171" w:rsidP="00EA634A">
            <w:pPr>
              <w:pStyle w:val="Tabletext"/>
              <w:rPr>
                <w:rStyle w:val="Strong"/>
              </w:rPr>
            </w:pPr>
            <w:r w:rsidRPr="00EA634A">
              <w:rPr>
                <w:rStyle w:val="Strong"/>
              </w:rPr>
              <w:t>Fair</w:t>
            </w:r>
          </w:p>
          <w:p w14:paraId="7818C313" w14:textId="77777777" w:rsidR="00D03666" w:rsidRPr="00486505" w:rsidRDefault="00D03666" w:rsidP="00EA634A">
            <w:pPr>
              <w:pStyle w:val="Tabletext"/>
              <w:rPr>
                <w:szCs w:val="20"/>
                <w:lang w:eastAsia="en-AU"/>
              </w:rPr>
            </w:pPr>
            <w:r w:rsidRPr="00486505">
              <w:rPr>
                <w:szCs w:val="20"/>
                <w:lang w:eastAsia="en-AU"/>
              </w:rPr>
              <w:t>Poor performance against some measures</w:t>
            </w:r>
            <w:r w:rsidR="00985DE5" w:rsidRPr="00486505">
              <w:rPr>
                <w:szCs w:val="20"/>
                <w:lang w:eastAsia="en-AU"/>
              </w:rPr>
              <w:t xml:space="preserve"> under the KPI</w:t>
            </w:r>
          </w:p>
        </w:tc>
        <w:tc>
          <w:tcPr>
            <w:tcW w:w="1701" w:type="dxa"/>
          </w:tcPr>
          <w:p w14:paraId="6900998D" w14:textId="77777777" w:rsidR="00EB6171" w:rsidRPr="00EA634A" w:rsidRDefault="00EB6171" w:rsidP="00EA634A">
            <w:pPr>
              <w:pStyle w:val="Tabletext"/>
              <w:rPr>
                <w:rStyle w:val="Strong"/>
              </w:rPr>
            </w:pPr>
            <w:r w:rsidRPr="00EA634A">
              <w:rPr>
                <w:rStyle w:val="Strong"/>
              </w:rPr>
              <w:t>Poor</w:t>
            </w:r>
          </w:p>
          <w:p w14:paraId="570F948E" w14:textId="77777777" w:rsidR="00D03666" w:rsidRPr="00486505" w:rsidRDefault="00985DE5" w:rsidP="00EA634A">
            <w:pPr>
              <w:pStyle w:val="Tabletext"/>
              <w:rPr>
                <w:szCs w:val="20"/>
                <w:lang w:eastAsia="en-AU"/>
              </w:rPr>
            </w:pPr>
            <w:r w:rsidRPr="00486505">
              <w:rPr>
                <w:szCs w:val="20"/>
                <w:lang w:eastAsia="en-AU"/>
              </w:rPr>
              <w:t>P</w:t>
            </w:r>
            <w:r w:rsidR="00D03666" w:rsidRPr="00486505">
              <w:rPr>
                <w:szCs w:val="20"/>
                <w:lang w:eastAsia="en-AU"/>
              </w:rPr>
              <w:t>oor performance against most of the measures under the KPI</w:t>
            </w:r>
          </w:p>
        </w:tc>
      </w:tr>
    </w:tbl>
    <w:p w14:paraId="751A5813" w14:textId="58338AE7" w:rsidR="00EB6171" w:rsidRPr="00A9092B" w:rsidRDefault="009918D0" w:rsidP="00972601">
      <w:pPr>
        <w:pStyle w:val="Heading3"/>
        <w:spacing w:before="200"/>
        <w:rPr>
          <w:lang w:eastAsia="en-AU"/>
        </w:rPr>
      </w:pPr>
      <w:bookmarkStart w:id="16" w:name="_Toc470173142"/>
      <w:r w:rsidRPr="00A9092B">
        <w:rPr>
          <w:lang w:eastAsia="en-AU"/>
        </w:rPr>
        <w:t xml:space="preserve">Actions for improving performance </w:t>
      </w:r>
      <w:r w:rsidR="00EB6171" w:rsidRPr="00A9092B">
        <w:rPr>
          <w:lang w:eastAsia="en-AU"/>
        </w:rPr>
        <w:t>against KPI 1</w:t>
      </w:r>
      <w:bookmarkEnd w:id="16"/>
    </w:p>
    <w:p w14:paraId="0EB1D5E7" w14:textId="0DB2430D" w:rsidR="001B0712" w:rsidRPr="00A9092B" w:rsidRDefault="00F76795" w:rsidP="00972601">
      <w:pPr>
        <w:autoSpaceDE w:val="0"/>
        <w:autoSpaceDN w:val="0"/>
        <w:adjustRightInd w:val="0"/>
        <w:spacing w:after="120"/>
        <w:rPr>
          <w:rFonts w:cs="Arial"/>
          <w:szCs w:val="24"/>
        </w:rPr>
      </w:pPr>
      <w:r>
        <w:rPr>
          <w:rFonts w:cs="Arial"/>
          <w:szCs w:val="24"/>
        </w:rPr>
        <w:t xml:space="preserve">The team identified the following </w:t>
      </w:r>
      <w:r w:rsidR="001B0712" w:rsidRPr="00A9092B">
        <w:rPr>
          <w:rFonts w:cs="Arial"/>
          <w:szCs w:val="24"/>
        </w:rPr>
        <w:t xml:space="preserve">AFI </w:t>
      </w:r>
      <w:r>
        <w:rPr>
          <w:rFonts w:cs="Arial"/>
          <w:szCs w:val="24"/>
        </w:rPr>
        <w:t>related to</w:t>
      </w:r>
      <w:r w:rsidR="001B0712" w:rsidRPr="00A9092B">
        <w:rPr>
          <w:rFonts w:cs="Arial"/>
          <w:szCs w:val="24"/>
        </w:rPr>
        <w:t xml:space="preserve"> PI 1.1:</w:t>
      </w:r>
    </w:p>
    <w:p w14:paraId="5767C247" w14:textId="23E3A25E" w:rsidR="001B0712" w:rsidRPr="00A9092B" w:rsidRDefault="00E832FE" w:rsidP="00972601">
      <w:pPr>
        <w:pStyle w:val="ListParagraph"/>
        <w:numPr>
          <w:ilvl w:val="0"/>
          <w:numId w:val="20"/>
        </w:numPr>
        <w:spacing w:after="120"/>
        <w:ind w:left="714" w:hanging="357"/>
        <w:rPr>
          <w:rFonts w:cs="Arial"/>
          <w:szCs w:val="24"/>
        </w:rPr>
      </w:pPr>
      <w:r>
        <w:rPr>
          <w:rFonts w:cs="Arial"/>
          <w:szCs w:val="24"/>
        </w:rPr>
        <w:t xml:space="preserve">Where changes </w:t>
      </w:r>
      <w:proofErr w:type="gramStart"/>
      <w:r>
        <w:rPr>
          <w:rFonts w:cs="Arial"/>
          <w:szCs w:val="24"/>
        </w:rPr>
        <w:t>are made</w:t>
      </w:r>
      <w:proofErr w:type="gramEnd"/>
      <w:r>
        <w:rPr>
          <w:rFonts w:cs="Arial"/>
          <w:szCs w:val="24"/>
        </w:rPr>
        <w:t xml:space="preserve"> to a risk ranking</w:t>
      </w:r>
      <w:r w:rsidR="00874681">
        <w:rPr>
          <w:rFonts w:cs="Arial"/>
          <w:szCs w:val="24"/>
        </w:rPr>
        <w:t>,</w:t>
      </w:r>
      <w:r>
        <w:rPr>
          <w:rFonts w:cs="Arial"/>
          <w:szCs w:val="24"/>
        </w:rPr>
        <w:t xml:space="preserve"> the schedule</w:t>
      </w:r>
      <w:r w:rsidR="00874681">
        <w:rPr>
          <w:rFonts w:cs="Arial"/>
          <w:szCs w:val="24"/>
        </w:rPr>
        <w:t xml:space="preserve"> of inspection</w:t>
      </w:r>
      <w:r w:rsidR="00634ADA">
        <w:rPr>
          <w:rFonts w:cs="Arial"/>
          <w:szCs w:val="24"/>
        </w:rPr>
        <w:t>s</w:t>
      </w:r>
      <w:r w:rsidR="00874681">
        <w:rPr>
          <w:rFonts w:cs="Arial"/>
          <w:szCs w:val="24"/>
        </w:rPr>
        <w:t xml:space="preserve"> </w:t>
      </w:r>
      <w:r w:rsidR="00A35EF4">
        <w:rPr>
          <w:rFonts w:cs="Arial"/>
          <w:szCs w:val="24"/>
        </w:rPr>
        <w:t>is required</w:t>
      </w:r>
      <w:r w:rsidR="00874681">
        <w:rPr>
          <w:rFonts w:cs="Arial"/>
          <w:szCs w:val="24"/>
        </w:rPr>
        <w:t xml:space="preserve"> to be updated. To ensure this occurs and </w:t>
      </w:r>
      <w:proofErr w:type="gramStart"/>
      <w:r w:rsidR="00874681">
        <w:rPr>
          <w:rFonts w:cs="Arial"/>
          <w:szCs w:val="24"/>
        </w:rPr>
        <w:t>is communicated</w:t>
      </w:r>
      <w:proofErr w:type="gramEnd"/>
      <w:r w:rsidR="00874681">
        <w:rPr>
          <w:rFonts w:cs="Arial"/>
          <w:szCs w:val="24"/>
        </w:rPr>
        <w:t xml:space="preserve"> to licence holders</w:t>
      </w:r>
      <w:r w:rsidR="00FA50A4">
        <w:rPr>
          <w:rFonts w:cs="Arial"/>
          <w:szCs w:val="24"/>
        </w:rPr>
        <w:t>, e</w:t>
      </w:r>
      <w:r w:rsidR="00874681">
        <w:rPr>
          <w:rFonts w:cs="Arial"/>
          <w:szCs w:val="24"/>
        </w:rPr>
        <w:t>xi</w:t>
      </w:r>
      <w:r w:rsidR="00FA50A4">
        <w:rPr>
          <w:rFonts w:cs="Arial"/>
          <w:szCs w:val="24"/>
        </w:rPr>
        <w:t>s</w:t>
      </w:r>
      <w:r w:rsidR="00874681">
        <w:rPr>
          <w:rFonts w:cs="Arial"/>
          <w:szCs w:val="24"/>
        </w:rPr>
        <w:t>ting procedures should be reviewed</w:t>
      </w:r>
      <w:r w:rsidR="00A35EF4">
        <w:rPr>
          <w:rFonts w:cs="Arial"/>
          <w:szCs w:val="24"/>
        </w:rPr>
        <w:t>.</w:t>
      </w:r>
    </w:p>
    <w:p w14:paraId="429502F2" w14:textId="77777777" w:rsidR="00F76795" w:rsidRPr="00A9092B" w:rsidRDefault="00F76795" w:rsidP="00972601">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w:t>
      </w:r>
      <w:r w:rsidRPr="00A9092B">
        <w:rPr>
          <w:rFonts w:cs="Arial"/>
          <w:szCs w:val="24"/>
        </w:rPr>
        <w:t xml:space="preserve"> PI 1.</w:t>
      </w:r>
      <w:r>
        <w:rPr>
          <w:rFonts w:cs="Arial"/>
          <w:szCs w:val="24"/>
        </w:rPr>
        <w:t>2</w:t>
      </w:r>
      <w:r w:rsidRPr="00A9092B">
        <w:rPr>
          <w:rFonts w:cs="Arial"/>
          <w:szCs w:val="24"/>
        </w:rPr>
        <w:t>:</w:t>
      </w:r>
    </w:p>
    <w:p w14:paraId="699EDFFE" w14:textId="480BD7CF" w:rsidR="00B82E2E" w:rsidRDefault="00F76795" w:rsidP="00972601">
      <w:pPr>
        <w:pStyle w:val="ListParagraph"/>
        <w:numPr>
          <w:ilvl w:val="0"/>
          <w:numId w:val="21"/>
        </w:numPr>
        <w:spacing w:after="120"/>
        <w:ind w:left="714" w:hanging="357"/>
        <w:rPr>
          <w:rFonts w:cs="Arial"/>
          <w:szCs w:val="24"/>
        </w:rPr>
      </w:pPr>
      <w:r>
        <w:rPr>
          <w:rFonts w:cs="Arial"/>
          <w:szCs w:val="24"/>
        </w:rPr>
        <w:t>The procedures and a</w:t>
      </w:r>
      <w:r w:rsidR="001B0712" w:rsidRPr="00A9092B">
        <w:rPr>
          <w:rFonts w:cs="Arial"/>
          <w:szCs w:val="24"/>
        </w:rPr>
        <w:t xml:space="preserve">rrangements </w:t>
      </w:r>
      <w:r>
        <w:rPr>
          <w:rFonts w:cs="Arial"/>
          <w:szCs w:val="24"/>
        </w:rPr>
        <w:t>for setting time</w:t>
      </w:r>
      <w:r w:rsidR="002B6A48">
        <w:rPr>
          <w:rFonts w:cs="Arial"/>
          <w:szCs w:val="24"/>
        </w:rPr>
        <w:t>frames</w:t>
      </w:r>
      <w:r>
        <w:rPr>
          <w:rFonts w:cs="Arial"/>
          <w:szCs w:val="24"/>
        </w:rPr>
        <w:t xml:space="preserve"> for </w:t>
      </w:r>
      <w:r w:rsidR="002B6A48">
        <w:rPr>
          <w:rFonts w:cs="Arial"/>
          <w:szCs w:val="24"/>
        </w:rPr>
        <w:t>licensing decisions</w:t>
      </w:r>
      <w:r w:rsidR="001B0712" w:rsidRPr="00A9092B">
        <w:rPr>
          <w:rFonts w:cs="Arial"/>
          <w:szCs w:val="24"/>
        </w:rPr>
        <w:t xml:space="preserve"> should be reviewed</w:t>
      </w:r>
      <w:r>
        <w:rPr>
          <w:rFonts w:cs="Arial"/>
          <w:szCs w:val="24"/>
        </w:rPr>
        <w:t xml:space="preserve"> with </w:t>
      </w:r>
      <w:r w:rsidR="006209A7">
        <w:rPr>
          <w:rFonts w:cs="Arial"/>
          <w:szCs w:val="24"/>
        </w:rPr>
        <w:t xml:space="preserve">a </w:t>
      </w:r>
      <w:r>
        <w:rPr>
          <w:rFonts w:cs="Arial"/>
          <w:szCs w:val="24"/>
        </w:rPr>
        <w:t xml:space="preserve">view </w:t>
      </w:r>
      <w:r w:rsidR="001B0712" w:rsidRPr="00A9092B">
        <w:rPr>
          <w:rFonts w:cs="Arial"/>
          <w:szCs w:val="24"/>
        </w:rPr>
        <w:t>to provide greater consistency of service</w:t>
      </w:r>
      <w:r>
        <w:rPr>
          <w:rFonts w:cs="Arial"/>
          <w:szCs w:val="24"/>
        </w:rPr>
        <w:t xml:space="preserve"> and better data collection</w:t>
      </w:r>
      <w:r w:rsidR="00486505">
        <w:rPr>
          <w:rFonts w:cs="Arial"/>
          <w:szCs w:val="24"/>
        </w:rPr>
        <w:t>.</w:t>
      </w:r>
    </w:p>
    <w:p w14:paraId="0F040A90" w14:textId="77777777" w:rsidR="001B0712" w:rsidRPr="00A9092B" w:rsidRDefault="00B82E2E" w:rsidP="00972601">
      <w:pPr>
        <w:pStyle w:val="ListParagraph"/>
        <w:numPr>
          <w:ilvl w:val="0"/>
          <w:numId w:val="21"/>
        </w:numPr>
        <w:spacing w:after="120"/>
        <w:ind w:left="714" w:hanging="357"/>
        <w:rPr>
          <w:rFonts w:cs="Arial"/>
          <w:szCs w:val="24"/>
        </w:rPr>
      </w:pPr>
      <w:r>
        <w:rPr>
          <w:rFonts w:cs="Arial"/>
          <w:szCs w:val="24"/>
        </w:rPr>
        <w:t>Training and reinforcement in the updated procedures may help to improve consistency</w:t>
      </w:r>
      <w:r w:rsidR="001B0712" w:rsidRPr="00A9092B">
        <w:rPr>
          <w:rFonts w:cs="Arial"/>
          <w:szCs w:val="24"/>
        </w:rPr>
        <w:t>.</w:t>
      </w:r>
    </w:p>
    <w:p w14:paraId="0F3F7E7B" w14:textId="0EC1EDBC" w:rsidR="00562BD1" w:rsidRPr="00562BD1" w:rsidRDefault="00586C96" w:rsidP="00972601">
      <w:pPr>
        <w:pStyle w:val="ListParagraph"/>
        <w:numPr>
          <w:ilvl w:val="0"/>
          <w:numId w:val="21"/>
        </w:numPr>
        <w:spacing w:after="120"/>
        <w:ind w:left="714" w:hanging="357"/>
        <w:rPr>
          <w:rFonts w:cs="Arial"/>
          <w:szCs w:val="24"/>
        </w:rPr>
      </w:pPr>
      <w:r w:rsidRPr="0042211A">
        <w:rPr>
          <w:rFonts w:cs="Arial"/>
          <w:szCs w:val="24"/>
        </w:rPr>
        <w:lastRenderedPageBreak/>
        <w:t>O</w:t>
      </w:r>
      <w:r w:rsidR="001B0712" w:rsidRPr="0042211A">
        <w:rPr>
          <w:rFonts w:cs="Arial"/>
          <w:szCs w:val="24"/>
        </w:rPr>
        <w:t>ther regulatory bodies have specific time</w:t>
      </w:r>
      <w:r w:rsidRPr="0042211A">
        <w:rPr>
          <w:rFonts w:cs="Arial"/>
          <w:szCs w:val="24"/>
        </w:rPr>
        <w:t>frames</w:t>
      </w:r>
      <w:r w:rsidR="001B0712" w:rsidRPr="0042211A">
        <w:rPr>
          <w:rFonts w:cs="Arial"/>
          <w:szCs w:val="24"/>
        </w:rPr>
        <w:t xml:space="preserve"> </w:t>
      </w:r>
      <w:r w:rsidRPr="0042211A">
        <w:rPr>
          <w:rFonts w:cs="Arial"/>
          <w:szCs w:val="24"/>
        </w:rPr>
        <w:t>for</w:t>
      </w:r>
      <w:r w:rsidR="001B0712" w:rsidRPr="0042211A">
        <w:rPr>
          <w:rFonts w:cs="Arial"/>
          <w:szCs w:val="24"/>
        </w:rPr>
        <w:t xml:space="preserve"> </w:t>
      </w:r>
      <w:r w:rsidR="00BC3E9E" w:rsidRPr="0042211A">
        <w:rPr>
          <w:rFonts w:cs="Arial"/>
          <w:szCs w:val="24"/>
        </w:rPr>
        <w:t>assessment</w:t>
      </w:r>
      <w:r w:rsidRPr="0042211A">
        <w:rPr>
          <w:rFonts w:cs="Arial"/>
          <w:szCs w:val="24"/>
        </w:rPr>
        <w:t xml:space="preserve"> of applications, often </w:t>
      </w:r>
      <w:r w:rsidR="001B0712" w:rsidRPr="0042211A">
        <w:rPr>
          <w:rFonts w:cs="Arial"/>
          <w:szCs w:val="24"/>
        </w:rPr>
        <w:t>based on the complexity of an application</w:t>
      </w:r>
      <w:r w:rsidR="00A35EF4" w:rsidRPr="0042211A">
        <w:rPr>
          <w:rFonts w:cs="Arial"/>
          <w:szCs w:val="24"/>
        </w:rPr>
        <w:t xml:space="preserve"> (e.g. an expected processing time of 90 days for a complex application)</w:t>
      </w:r>
      <w:r w:rsidR="00C74FE4" w:rsidRPr="0042211A">
        <w:rPr>
          <w:rFonts w:cs="Arial"/>
          <w:szCs w:val="24"/>
        </w:rPr>
        <w:t xml:space="preserve">. </w:t>
      </w:r>
      <w:r w:rsidRPr="0042211A">
        <w:rPr>
          <w:rFonts w:cs="Arial"/>
          <w:szCs w:val="24"/>
        </w:rPr>
        <w:t xml:space="preserve">A similar assessment method </w:t>
      </w:r>
      <w:proofErr w:type="gramStart"/>
      <w:r w:rsidRPr="0042211A">
        <w:rPr>
          <w:rFonts w:cs="Arial"/>
          <w:szCs w:val="24"/>
        </w:rPr>
        <w:t>could be used</w:t>
      </w:r>
      <w:proofErr w:type="gramEnd"/>
      <w:r w:rsidRPr="0042211A">
        <w:rPr>
          <w:rFonts w:cs="Arial"/>
          <w:szCs w:val="24"/>
        </w:rPr>
        <w:t xml:space="preserve"> to establish expectations for applications to ARPANSA. </w:t>
      </w:r>
      <w:r w:rsidR="001B0712" w:rsidRPr="0042211A">
        <w:rPr>
          <w:rFonts w:cs="Arial"/>
          <w:szCs w:val="24"/>
        </w:rPr>
        <w:t xml:space="preserve">This </w:t>
      </w:r>
      <w:r w:rsidRPr="0042211A">
        <w:rPr>
          <w:rFonts w:cs="Arial"/>
          <w:szCs w:val="24"/>
        </w:rPr>
        <w:t xml:space="preserve">would </w:t>
      </w:r>
      <w:r w:rsidR="001B0712" w:rsidRPr="0042211A">
        <w:rPr>
          <w:rFonts w:cs="Arial"/>
          <w:szCs w:val="24"/>
        </w:rPr>
        <w:t>requir</w:t>
      </w:r>
      <w:r w:rsidRPr="0042211A">
        <w:rPr>
          <w:rFonts w:cs="Arial"/>
          <w:szCs w:val="24"/>
        </w:rPr>
        <w:t>e</w:t>
      </w:r>
      <w:r w:rsidR="001B0712" w:rsidRPr="0042211A">
        <w:rPr>
          <w:rFonts w:cs="Arial"/>
          <w:szCs w:val="24"/>
        </w:rPr>
        <w:t xml:space="preserve"> a system to be in place </w:t>
      </w:r>
      <w:r w:rsidRPr="0042211A">
        <w:rPr>
          <w:rFonts w:cs="Arial"/>
          <w:szCs w:val="24"/>
        </w:rPr>
        <w:t xml:space="preserve">for </w:t>
      </w:r>
      <w:r w:rsidR="001B0712" w:rsidRPr="0042211A">
        <w:rPr>
          <w:rFonts w:cs="Arial"/>
          <w:szCs w:val="24"/>
        </w:rPr>
        <w:t xml:space="preserve">a </w:t>
      </w:r>
      <w:r w:rsidR="000E5F6D" w:rsidRPr="0042211A">
        <w:rPr>
          <w:rFonts w:cs="Arial"/>
          <w:szCs w:val="24"/>
        </w:rPr>
        <w:t xml:space="preserve">RSB </w:t>
      </w:r>
      <w:r w:rsidR="001B0712" w:rsidRPr="0042211A">
        <w:rPr>
          <w:rFonts w:cs="Arial"/>
          <w:szCs w:val="24"/>
        </w:rPr>
        <w:t xml:space="preserve">manager </w:t>
      </w:r>
      <w:r w:rsidRPr="0042211A">
        <w:rPr>
          <w:rFonts w:cs="Arial"/>
          <w:szCs w:val="24"/>
        </w:rPr>
        <w:t xml:space="preserve">to </w:t>
      </w:r>
      <w:r w:rsidR="001B0712" w:rsidRPr="0042211A">
        <w:rPr>
          <w:rFonts w:cs="Arial"/>
          <w:szCs w:val="24"/>
        </w:rPr>
        <w:t xml:space="preserve">assess the completeness and complexity of </w:t>
      </w:r>
      <w:r w:rsidRPr="0042211A">
        <w:rPr>
          <w:rFonts w:cs="Arial"/>
          <w:szCs w:val="24"/>
        </w:rPr>
        <w:t>an</w:t>
      </w:r>
      <w:r w:rsidR="00562BD1">
        <w:rPr>
          <w:rFonts w:cs="Arial"/>
          <w:szCs w:val="24"/>
        </w:rPr>
        <w:t xml:space="preserve"> application.</w:t>
      </w:r>
    </w:p>
    <w:p w14:paraId="0D8DA4DB" w14:textId="6046FD25" w:rsidR="000E45B8" w:rsidRPr="00A9092B" w:rsidRDefault="000E45B8" w:rsidP="00C91FB5">
      <w:pPr>
        <w:pStyle w:val="Heading2"/>
        <w:spacing w:before="480"/>
        <w:jc w:val="left"/>
        <w:rPr>
          <w:lang w:eastAsia="en-AU"/>
        </w:rPr>
      </w:pPr>
      <w:bookmarkStart w:id="17" w:name="_Toc470173143"/>
      <w:r w:rsidRPr="00A9092B">
        <w:rPr>
          <w:lang w:eastAsia="en-AU"/>
        </w:rPr>
        <w:t xml:space="preserve">KPI 2 </w:t>
      </w:r>
      <w:r w:rsidR="00B126D2">
        <w:rPr>
          <w:lang w:eastAsia="en-AU"/>
        </w:rPr>
        <w:t>–</w:t>
      </w:r>
      <w:r w:rsidRPr="00A9092B">
        <w:rPr>
          <w:lang w:eastAsia="en-AU"/>
        </w:rPr>
        <w:t xml:space="preserve"> Communication with regulated entities is clear, targeted and effective</w:t>
      </w:r>
      <w:bookmarkEnd w:id="17"/>
    </w:p>
    <w:p w14:paraId="0DFA2E64" w14:textId="00C357E0" w:rsidR="000707D5" w:rsidRDefault="00215D03" w:rsidP="00C91FB5">
      <w:pPr>
        <w:widowControl w:val="0"/>
        <w:autoSpaceDE w:val="0"/>
        <w:autoSpaceDN w:val="0"/>
        <w:adjustRightInd w:val="0"/>
        <w:spacing w:after="120"/>
        <w:rPr>
          <w:rFonts w:cs="Times New Roman"/>
          <w:bCs/>
          <w:szCs w:val="24"/>
          <w:lang w:eastAsia="en-AU"/>
        </w:rPr>
      </w:pPr>
      <w:r>
        <w:rPr>
          <w:rFonts w:cs="Times New Roman"/>
          <w:bCs/>
          <w:szCs w:val="24"/>
          <w:lang w:eastAsia="en-AU"/>
        </w:rPr>
        <w:t>A l</w:t>
      </w:r>
      <w:r w:rsidR="00D53ECA">
        <w:rPr>
          <w:rFonts w:cs="Times New Roman"/>
          <w:bCs/>
          <w:szCs w:val="24"/>
          <w:lang w:eastAsia="en-AU"/>
        </w:rPr>
        <w:t>icence holder</w:t>
      </w:r>
      <w:r>
        <w:rPr>
          <w:rFonts w:cs="Times New Roman"/>
          <w:bCs/>
          <w:szCs w:val="24"/>
          <w:lang w:eastAsia="en-AU"/>
        </w:rPr>
        <w:t xml:space="preserve"> ha</w:t>
      </w:r>
      <w:r w:rsidR="00D53ECA">
        <w:rPr>
          <w:rFonts w:cs="Times New Roman"/>
          <w:bCs/>
          <w:szCs w:val="24"/>
          <w:lang w:eastAsia="en-AU"/>
        </w:rPr>
        <w:t>s primary responsibility for safety</w:t>
      </w:r>
      <w:r w:rsidR="0013109E">
        <w:rPr>
          <w:rFonts w:cs="Times New Roman"/>
          <w:bCs/>
          <w:szCs w:val="24"/>
          <w:lang w:eastAsia="en-AU"/>
        </w:rPr>
        <w:t xml:space="preserve"> of </w:t>
      </w:r>
      <w:r>
        <w:rPr>
          <w:rFonts w:cs="Times New Roman"/>
          <w:bCs/>
          <w:szCs w:val="24"/>
          <w:lang w:eastAsia="en-AU"/>
        </w:rPr>
        <w:t xml:space="preserve">its </w:t>
      </w:r>
      <w:r w:rsidR="0013109E">
        <w:rPr>
          <w:rFonts w:cs="Times New Roman"/>
          <w:bCs/>
          <w:szCs w:val="24"/>
          <w:lang w:eastAsia="en-AU"/>
        </w:rPr>
        <w:t>activities</w:t>
      </w:r>
      <w:r w:rsidR="005630CE">
        <w:rPr>
          <w:rFonts w:cs="Times New Roman"/>
          <w:bCs/>
          <w:szCs w:val="24"/>
          <w:lang w:eastAsia="en-AU"/>
        </w:rPr>
        <w:t xml:space="preserve">. </w:t>
      </w:r>
      <w:r w:rsidR="0013109E">
        <w:rPr>
          <w:rFonts w:cs="Times New Roman"/>
          <w:bCs/>
          <w:szCs w:val="24"/>
          <w:lang w:eastAsia="en-AU"/>
        </w:rPr>
        <w:t>Good c</w:t>
      </w:r>
      <w:r w:rsidR="00D53ECA">
        <w:rPr>
          <w:rFonts w:cs="Times New Roman"/>
          <w:bCs/>
          <w:szCs w:val="24"/>
          <w:lang w:eastAsia="en-AU"/>
        </w:rPr>
        <w:t xml:space="preserve">ommunication </w:t>
      </w:r>
      <w:r w:rsidR="00A3226A">
        <w:rPr>
          <w:rFonts w:cs="Times New Roman"/>
          <w:bCs/>
          <w:szCs w:val="24"/>
          <w:lang w:eastAsia="en-AU"/>
        </w:rPr>
        <w:t xml:space="preserve">is </w:t>
      </w:r>
      <w:r w:rsidR="00D53ECA">
        <w:rPr>
          <w:rFonts w:cs="Times New Roman"/>
          <w:bCs/>
          <w:szCs w:val="24"/>
          <w:lang w:eastAsia="en-AU"/>
        </w:rPr>
        <w:t xml:space="preserve">essential </w:t>
      </w:r>
      <w:r w:rsidR="00A3226A">
        <w:rPr>
          <w:rFonts w:cs="Times New Roman"/>
          <w:bCs/>
          <w:szCs w:val="24"/>
          <w:lang w:eastAsia="en-AU"/>
        </w:rPr>
        <w:t xml:space="preserve">to </w:t>
      </w:r>
      <w:r w:rsidR="00D53ECA">
        <w:rPr>
          <w:rFonts w:cs="Times New Roman"/>
          <w:bCs/>
          <w:szCs w:val="24"/>
          <w:lang w:eastAsia="en-AU"/>
        </w:rPr>
        <w:t xml:space="preserve">inform regulated entities how to meet their responsibilities under the Act and </w:t>
      </w:r>
      <w:r w:rsidR="00CB1CD6">
        <w:rPr>
          <w:rFonts w:cs="Times New Roman"/>
          <w:bCs/>
          <w:szCs w:val="24"/>
          <w:lang w:eastAsia="en-AU"/>
        </w:rPr>
        <w:t>R</w:t>
      </w:r>
      <w:r w:rsidR="00D53ECA">
        <w:rPr>
          <w:rFonts w:cs="Times New Roman"/>
          <w:bCs/>
          <w:szCs w:val="24"/>
          <w:lang w:eastAsia="en-AU"/>
        </w:rPr>
        <w:t>egulations.</w:t>
      </w:r>
      <w:r w:rsidR="00246DDB">
        <w:rPr>
          <w:rFonts w:cs="Times New Roman"/>
          <w:bCs/>
          <w:szCs w:val="24"/>
          <w:lang w:eastAsia="en-AU"/>
        </w:rPr>
        <w:t xml:space="preserve"> </w:t>
      </w:r>
      <w:r w:rsidR="0022355D">
        <w:rPr>
          <w:rFonts w:cs="Times New Roman"/>
          <w:bCs/>
          <w:szCs w:val="24"/>
          <w:lang w:eastAsia="en-AU"/>
        </w:rPr>
        <w:t xml:space="preserve">It is </w:t>
      </w:r>
      <w:r w:rsidR="000707D5">
        <w:rPr>
          <w:rFonts w:cs="Times New Roman"/>
          <w:bCs/>
          <w:szCs w:val="24"/>
          <w:lang w:eastAsia="en-AU"/>
        </w:rPr>
        <w:t xml:space="preserve">also </w:t>
      </w:r>
      <w:r w:rsidR="0022355D">
        <w:rPr>
          <w:rFonts w:cs="Times New Roman"/>
          <w:bCs/>
          <w:szCs w:val="24"/>
          <w:lang w:eastAsia="en-AU"/>
        </w:rPr>
        <w:t xml:space="preserve">important to </w:t>
      </w:r>
      <w:r w:rsidR="000707D5">
        <w:rPr>
          <w:rFonts w:cs="Times New Roman"/>
          <w:bCs/>
          <w:szCs w:val="24"/>
          <w:lang w:eastAsia="en-AU"/>
        </w:rPr>
        <w:t>educate regulatory staff of the operating environment</w:t>
      </w:r>
      <w:r w:rsidR="0013109E">
        <w:rPr>
          <w:rFonts w:cs="Times New Roman"/>
          <w:bCs/>
          <w:szCs w:val="24"/>
          <w:lang w:eastAsia="en-AU"/>
        </w:rPr>
        <w:t>, priorities</w:t>
      </w:r>
      <w:r w:rsidR="000707D5">
        <w:rPr>
          <w:rFonts w:cs="Times New Roman"/>
          <w:bCs/>
          <w:szCs w:val="24"/>
          <w:lang w:eastAsia="en-AU"/>
        </w:rPr>
        <w:t xml:space="preserve"> and needs of regulated entities. </w:t>
      </w:r>
    </w:p>
    <w:p w14:paraId="51D27B15" w14:textId="214420E0" w:rsidR="00E0634B" w:rsidRDefault="00CB1CD6" w:rsidP="00C91FB5">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ARPANSA’s </w:t>
      </w:r>
      <w:r w:rsidR="0013109E">
        <w:rPr>
          <w:rFonts w:cs="Times New Roman"/>
          <w:bCs/>
          <w:szCs w:val="24"/>
          <w:lang w:eastAsia="en-AU"/>
        </w:rPr>
        <w:t>m</w:t>
      </w:r>
      <w:r w:rsidR="00246DDB">
        <w:rPr>
          <w:rFonts w:cs="Times New Roman"/>
          <w:bCs/>
          <w:szCs w:val="24"/>
          <w:lang w:eastAsia="en-AU"/>
        </w:rPr>
        <w:t xml:space="preserve">ethods of communication include written communication, </w:t>
      </w:r>
      <w:r w:rsidR="00917D3D">
        <w:rPr>
          <w:rFonts w:cs="Times New Roman"/>
          <w:bCs/>
          <w:szCs w:val="24"/>
          <w:lang w:eastAsia="en-AU"/>
        </w:rPr>
        <w:t>meetings, site visits and inspections, workshops</w:t>
      </w:r>
      <w:r w:rsidR="00795387">
        <w:rPr>
          <w:rFonts w:cs="Times New Roman"/>
          <w:bCs/>
          <w:szCs w:val="24"/>
          <w:lang w:eastAsia="en-AU"/>
        </w:rPr>
        <w:t xml:space="preserve"> and licence</w:t>
      </w:r>
      <w:r w:rsidR="00917D3D">
        <w:rPr>
          <w:rFonts w:cs="Times New Roman"/>
          <w:bCs/>
          <w:szCs w:val="24"/>
          <w:lang w:eastAsia="en-AU"/>
        </w:rPr>
        <w:t xml:space="preserve"> holder forums</w:t>
      </w:r>
      <w:r w:rsidR="00486505">
        <w:rPr>
          <w:rFonts w:cs="Times New Roman"/>
          <w:bCs/>
          <w:szCs w:val="24"/>
          <w:lang w:eastAsia="en-AU"/>
        </w:rPr>
        <w:t>.</w:t>
      </w:r>
      <w:r w:rsidR="00917D3D">
        <w:rPr>
          <w:rFonts w:cs="Times New Roman"/>
          <w:bCs/>
          <w:szCs w:val="24"/>
          <w:lang w:eastAsia="en-AU"/>
        </w:rPr>
        <w:t xml:space="preserve"> </w:t>
      </w:r>
      <w:r w:rsidR="00795387">
        <w:rPr>
          <w:rFonts w:cs="Times New Roman"/>
          <w:bCs/>
          <w:szCs w:val="24"/>
          <w:lang w:eastAsia="en-AU"/>
        </w:rPr>
        <w:t xml:space="preserve">In addition, </w:t>
      </w:r>
      <w:r w:rsidR="00215D03">
        <w:rPr>
          <w:rFonts w:cs="Times New Roman"/>
          <w:bCs/>
          <w:szCs w:val="24"/>
          <w:lang w:eastAsia="en-AU"/>
        </w:rPr>
        <w:t xml:space="preserve">a </w:t>
      </w:r>
      <w:r w:rsidR="00795387">
        <w:rPr>
          <w:rFonts w:cs="Times New Roman"/>
          <w:bCs/>
          <w:szCs w:val="24"/>
          <w:lang w:eastAsia="en-AU"/>
        </w:rPr>
        <w:t>licence holder may approach ARPANSA at any management level</w:t>
      </w:r>
      <w:r w:rsidR="0013109E">
        <w:rPr>
          <w:rFonts w:cs="Times New Roman"/>
          <w:bCs/>
          <w:szCs w:val="24"/>
          <w:lang w:eastAsia="en-AU"/>
        </w:rPr>
        <w:t>, at any time,</w:t>
      </w:r>
      <w:r w:rsidR="00795387">
        <w:rPr>
          <w:rFonts w:cs="Times New Roman"/>
          <w:bCs/>
          <w:szCs w:val="24"/>
          <w:lang w:eastAsia="en-AU"/>
        </w:rPr>
        <w:t xml:space="preserve"> to seek clarification and </w:t>
      </w:r>
      <w:r w:rsidR="0013109E">
        <w:rPr>
          <w:rFonts w:cs="Times New Roman"/>
          <w:bCs/>
          <w:szCs w:val="24"/>
          <w:lang w:eastAsia="en-AU"/>
        </w:rPr>
        <w:t xml:space="preserve">to </w:t>
      </w:r>
      <w:r w:rsidR="00795387">
        <w:rPr>
          <w:rFonts w:cs="Times New Roman"/>
          <w:bCs/>
          <w:szCs w:val="24"/>
          <w:lang w:eastAsia="en-AU"/>
        </w:rPr>
        <w:t>provide feedback.</w:t>
      </w:r>
      <w:r w:rsidR="00AD73A5">
        <w:rPr>
          <w:rFonts w:cs="Times New Roman"/>
          <w:bCs/>
          <w:szCs w:val="24"/>
          <w:lang w:eastAsia="en-AU"/>
        </w:rPr>
        <w:t xml:space="preserve"> </w:t>
      </w:r>
      <w:r w:rsidR="00917D3D">
        <w:rPr>
          <w:rFonts w:cs="Times New Roman"/>
          <w:bCs/>
          <w:szCs w:val="24"/>
          <w:lang w:eastAsia="en-AU"/>
        </w:rPr>
        <w:t xml:space="preserve">Surveys </w:t>
      </w:r>
      <w:proofErr w:type="gramStart"/>
      <w:r w:rsidR="00917D3D">
        <w:rPr>
          <w:rFonts w:cs="Times New Roman"/>
          <w:bCs/>
          <w:szCs w:val="24"/>
          <w:lang w:eastAsia="en-AU"/>
        </w:rPr>
        <w:t>are used</w:t>
      </w:r>
      <w:proofErr w:type="gramEnd"/>
      <w:r w:rsidR="00917D3D">
        <w:rPr>
          <w:rFonts w:cs="Times New Roman"/>
          <w:bCs/>
          <w:szCs w:val="24"/>
          <w:lang w:eastAsia="en-AU"/>
        </w:rPr>
        <w:t xml:space="preserve"> to obtain feedback on </w:t>
      </w:r>
      <w:r w:rsidR="005630CE">
        <w:rPr>
          <w:rFonts w:cs="Times New Roman"/>
          <w:bCs/>
          <w:szCs w:val="24"/>
          <w:lang w:eastAsia="en-AU"/>
        </w:rPr>
        <w:t xml:space="preserve">specific </w:t>
      </w:r>
      <w:r w:rsidR="00917D3D">
        <w:rPr>
          <w:rFonts w:cs="Times New Roman"/>
          <w:bCs/>
          <w:szCs w:val="24"/>
          <w:lang w:eastAsia="en-AU"/>
        </w:rPr>
        <w:t>regulatory services.</w:t>
      </w:r>
    </w:p>
    <w:p w14:paraId="12C8BCC8" w14:textId="04FC777A" w:rsidR="00246DDB" w:rsidRDefault="00246DDB" w:rsidP="00C91FB5">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ARPANSA prepares </w:t>
      </w:r>
      <w:hyperlink r:id="rId13" w:history="1">
        <w:r w:rsidRPr="0019705A">
          <w:rPr>
            <w:rStyle w:val="Hyperlink"/>
            <w:rFonts w:cs="Times New Roman"/>
            <w:bCs/>
            <w:szCs w:val="24"/>
            <w:lang w:eastAsia="en-AU"/>
          </w:rPr>
          <w:t>regulatory guidance</w:t>
        </w:r>
      </w:hyperlink>
      <w:r>
        <w:rPr>
          <w:rFonts w:cs="Times New Roman"/>
          <w:bCs/>
          <w:szCs w:val="24"/>
          <w:lang w:eastAsia="en-AU"/>
        </w:rPr>
        <w:t xml:space="preserve"> t</w:t>
      </w:r>
      <w:r w:rsidR="000C3CBE">
        <w:rPr>
          <w:rFonts w:cs="Times New Roman"/>
          <w:bCs/>
          <w:szCs w:val="24"/>
          <w:lang w:eastAsia="en-AU"/>
        </w:rPr>
        <w:t>hat</w:t>
      </w:r>
      <w:r>
        <w:rPr>
          <w:rFonts w:cs="Times New Roman"/>
          <w:bCs/>
          <w:szCs w:val="24"/>
          <w:lang w:eastAsia="en-AU"/>
        </w:rPr>
        <w:t xml:space="preserve"> </w:t>
      </w:r>
      <w:r w:rsidR="00CC1C51">
        <w:rPr>
          <w:rFonts w:cs="Times New Roman"/>
          <w:bCs/>
          <w:szCs w:val="24"/>
          <w:lang w:eastAsia="en-AU"/>
        </w:rPr>
        <w:t>describes how ARPANSA goes about its regulatory business and wh</w:t>
      </w:r>
      <w:r w:rsidR="001E7CAD">
        <w:rPr>
          <w:rFonts w:cs="Times New Roman"/>
          <w:bCs/>
          <w:szCs w:val="24"/>
          <w:lang w:eastAsia="en-AU"/>
        </w:rPr>
        <w:t xml:space="preserve">at it expects from </w:t>
      </w:r>
      <w:r w:rsidR="00215D03">
        <w:rPr>
          <w:rFonts w:cs="Times New Roman"/>
          <w:bCs/>
          <w:szCs w:val="24"/>
          <w:lang w:eastAsia="en-AU"/>
        </w:rPr>
        <w:t xml:space="preserve">a </w:t>
      </w:r>
      <w:r w:rsidR="001F7A0E">
        <w:rPr>
          <w:rFonts w:cs="Times New Roman"/>
          <w:bCs/>
          <w:szCs w:val="24"/>
          <w:lang w:eastAsia="en-AU"/>
        </w:rPr>
        <w:t>licence holder</w:t>
      </w:r>
      <w:r w:rsidR="001E7CAD">
        <w:rPr>
          <w:rFonts w:cs="Times New Roman"/>
          <w:bCs/>
          <w:szCs w:val="24"/>
          <w:lang w:eastAsia="en-AU"/>
        </w:rPr>
        <w:t>.</w:t>
      </w:r>
      <w:r w:rsidR="00486505">
        <w:rPr>
          <w:rFonts w:cs="Times New Roman"/>
          <w:bCs/>
          <w:szCs w:val="24"/>
          <w:lang w:eastAsia="en-AU"/>
        </w:rPr>
        <w:t xml:space="preserve"> </w:t>
      </w:r>
      <w:r w:rsidR="00917D3D">
        <w:rPr>
          <w:rFonts w:cs="Times New Roman"/>
          <w:bCs/>
          <w:szCs w:val="24"/>
          <w:lang w:eastAsia="en-AU"/>
        </w:rPr>
        <w:t xml:space="preserve">Development of these guides </w:t>
      </w:r>
      <w:r w:rsidR="00924049">
        <w:rPr>
          <w:rFonts w:cs="Times New Roman"/>
          <w:bCs/>
          <w:szCs w:val="24"/>
          <w:lang w:eastAsia="en-AU"/>
        </w:rPr>
        <w:t>includes</w:t>
      </w:r>
      <w:r w:rsidR="00917D3D">
        <w:rPr>
          <w:rFonts w:cs="Times New Roman"/>
          <w:bCs/>
          <w:szCs w:val="24"/>
          <w:lang w:eastAsia="en-AU"/>
        </w:rPr>
        <w:t xml:space="preserve"> consultation with stakeholders</w:t>
      </w:r>
      <w:r w:rsidR="007D2CC6">
        <w:rPr>
          <w:rFonts w:cs="Times New Roman"/>
          <w:bCs/>
          <w:szCs w:val="24"/>
          <w:lang w:eastAsia="en-AU"/>
        </w:rPr>
        <w:t xml:space="preserve"> (See section 2.</w:t>
      </w:r>
      <w:r w:rsidR="00D158F8">
        <w:rPr>
          <w:rFonts w:cs="Times New Roman"/>
          <w:bCs/>
          <w:szCs w:val="24"/>
          <w:lang w:eastAsia="en-AU"/>
        </w:rPr>
        <w:t>5</w:t>
      </w:r>
      <w:r w:rsidR="007D2CC6">
        <w:rPr>
          <w:rFonts w:cs="Times New Roman"/>
          <w:bCs/>
          <w:szCs w:val="24"/>
          <w:lang w:eastAsia="en-AU"/>
        </w:rPr>
        <w:t>)</w:t>
      </w:r>
      <w:r w:rsidR="00917D3D">
        <w:rPr>
          <w:rFonts w:cs="Times New Roman"/>
          <w:bCs/>
          <w:szCs w:val="24"/>
          <w:lang w:eastAsia="en-AU"/>
        </w:rPr>
        <w:t xml:space="preserve">. This reduces the risk of </w:t>
      </w:r>
      <w:r w:rsidR="00215D03">
        <w:rPr>
          <w:rFonts w:cs="Times New Roman"/>
          <w:bCs/>
          <w:szCs w:val="24"/>
          <w:lang w:eastAsia="en-AU"/>
        </w:rPr>
        <w:t xml:space="preserve">a </w:t>
      </w:r>
      <w:r w:rsidR="00917D3D">
        <w:rPr>
          <w:rFonts w:cs="Times New Roman"/>
          <w:bCs/>
          <w:szCs w:val="24"/>
          <w:lang w:eastAsia="en-AU"/>
        </w:rPr>
        <w:t xml:space="preserve">licence holder </w:t>
      </w:r>
      <w:r w:rsidR="00917D3D" w:rsidRPr="00B62B3D">
        <w:rPr>
          <w:rFonts w:cs="Times New Roman"/>
          <w:bCs/>
          <w:szCs w:val="24"/>
          <w:lang w:eastAsia="en-AU"/>
        </w:rPr>
        <w:t xml:space="preserve">undertaking </w:t>
      </w:r>
      <w:r w:rsidR="00730EA1" w:rsidRPr="00B62B3D">
        <w:rPr>
          <w:rFonts w:cs="Times New Roman"/>
          <w:bCs/>
          <w:szCs w:val="24"/>
          <w:lang w:eastAsia="en-AU"/>
        </w:rPr>
        <w:t xml:space="preserve">unfocussed or </w:t>
      </w:r>
      <w:r w:rsidR="00917D3D" w:rsidRPr="00B62B3D">
        <w:rPr>
          <w:rFonts w:cs="Times New Roman"/>
          <w:bCs/>
          <w:szCs w:val="24"/>
          <w:lang w:eastAsia="en-AU"/>
        </w:rPr>
        <w:t>unnecessary</w:t>
      </w:r>
      <w:r w:rsidR="00917D3D">
        <w:rPr>
          <w:rFonts w:cs="Times New Roman"/>
          <w:bCs/>
          <w:szCs w:val="24"/>
          <w:lang w:eastAsia="en-AU"/>
        </w:rPr>
        <w:t xml:space="preserve"> </w:t>
      </w:r>
      <w:r w:rsidR="00730EA1">
        <w:rPr>
          <w:rFonts w:cs="Times New Roman"/>
          <w:bCs/>
          <w:szCs w:val="24"/>
          <w:lang w:eastAsia="en-AU"/>
        </w:rPr>
        <w:t>work in order to address regulatory requirements</w:t>
      </w:r>
      <w:r w:rsidR="00D13604">
        <w:rPr>
          <w:rFonts w:cs="Times New Roman"/>
          <w:bCs/>
          <w:szCs w:val="24"/>
          <w:lang w:eastAsia="en-AU"/>
        </w:rPr>
        <w:t>.</w:t>
      </w:r>
      <w:r w:rsidR="00E921FE" w:rsidRPr="00E921FE">
        <w:t xml:space="preserve"> </w:t>
      </w:r>
      <w:r w:rsidR="00E921FE">
        <w:rPr>
          <w:rFonts w:cs="Times New Roman"/>
          <w:bCs/>
          <w:szCs w:val="24"/>
          <w:lang w:eastAsia="en-AU"/>
        </w:rPr>
        <w:t>R</w:t>
      </w:r>
      <w:r w:rsidR="00E921FE" w:rsidRPr="00E921FE">
        <w:rPr>
          <w:rFonts w:cs="Times New Roman"/>
          <w:bCs/>
          <w:szCs w:val="24"/>
          <w:lang w:eastAsia="en-AU"/>
        </w:rPr>
        <w:t>egulatory guidance</w:t>
      </w:r>
      <w:r w:rsidR="00E921FE">
        <w:rPr>
          <w:rFonts w:cs="Times New Roman"/>
          <w:bCs/>
          <w:szCs w:val="24"/>
          <w:lang w:eastAsia="en-AU"/>
        </w:rPr>
        <w:t xml:space="preserve"> </w:t>
      </w:r>
      <w:proofErr w:type="gramStart"/>
      <w:r w:rsidR="00E921FE">
        <w:rPr>
          <w:rFonts w:cs="Times New Roman"/>
          <w:bCs/>
          <w:szCs w:val="24"/>
          <w:lang w:eastAsia="en-AU"/>
        </w:rPr>
        <w:t>is published</w:t>
      </w:r>
      <w:proofErr w:type="gramEnd"/>
      <w:r w:rsidR="00E921FE">
        <w:rPr>
          <w:rFonts w:cs="Times New Roman"/>
          <w:bCs/>
          <w:szCs w:val="24"/>
          <w:lang w:eastAsia="en-AU"/>
        </w:rPr>
        <w:t xml:space="preserve"> on the ARPANSA</w:t>
      </w:r>
      <w:r w:rsidR="00E921FE" w:rsidRPr="00E921FE">
        <w:rPr>
          <w:rFonts w:cs="Times New Roman"/>
          <w:bCs/>
          <w:szCs w:val="24"/>
          <w:lang w:eastAsia="en-AU"/>
        </w:rPr>
        <w:t xml:space="preserve"> website</w:t>
      </w:r>
      <w:r w:rsidR="00E921FE">
        <w:rPr>
          <w:rFonts w:cs="Times New Roman"/>
          <w:bCs/>
          <w:szCs w:val="24"/>
          <w:lang w:eastAsia="en-AU"/>
        </w:rPr>
        <w:t xml:space="preserve"> and </w:t>
      </w:r>
      <w:r w:rsidR="00E921FE" w:rsidRPr="00E921FE">
        <w:rPr>
          <w:rFonts w:cs="Times New Roman"/>
          <w:bCs/>
          <w:szCs w:val="24"/>
          <w:lang w:eastAsia="en-AU"/>
        </w:rPr>
        <w:t>is kept up-to-date and relevant.</w:t>
      </w:r>
    </w:p>
    <w:p w14:paraId="27864D7B" w14:textId="77777777" w:rsidR="00EA634A" w:rsidRDefault="00213B83" w:rsidP="00C91FB5">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As </w:t>
      </w:r>
      <w:r w:rsidR="000C3CBE">
        <w:rPr>
          <w:rFonts w:cs="Times New Roman"/>
          <w:bCs/>
          <w:szCs w:val="24"/>
          <w:lang w:eastAsia="en-AU"/>
        </w:rPr>
        <w:t xml:space="preserve">previously </w:t>
      </w:r>
      <w:r>
        <w:rPr>
          <w:rFonts w:cs="Times New Roman"/>
          <w:bCs/>
          <w:szCs w:val="24"/>
          <w:lang w:eastAsia="en-AU"/>
        </w:rPr>
        <w:t>discussed</w:t>
      </w:r>
      <w:r w:rsidR="008008D4">
        <w:rPr>
          <w:rFonts w:cs="Times New Roman"/>
          <w:bCs/>
          <w:szCs w:val="24"/>
          <w:lang w:eastAsia="en-AU"/>
        </w:rPr>
        <w:t>,</w:t>
      </w:r>
      <w:r>
        <w:rPr>
          <w:rFonts w:cs="Times New Roman"/>
          <w:bCs/>
          <w:szCs w:val="24"/>
          <w:lang w:eastAsia="en-AU"/>
        </w:rPr>
        <w:t xml:space="preserve"> </w:t>
      </w:r>
      <w:r w:rsidR="00924049">
        <w:rPr>
          <w:rFonts w:cs="Times New Roman"/>
          <w:bCs/>
          <w:szCs w:val="24"/>
          <w:lang w:eastAsia="en-AU"/>
        </w:rPr>
        <w:t xml:space="preserve">a schedule </w:t>
      </w:r>
      <w:r w:rsidR="00215D03">
        <w:rPr>
          <w:rFonts w:cs="Times New Roman"/>
          <w:bCs/>
          <w:szCs w:val="24"/>
          <w:lang w:eastAsia="en-AU"/>
        </w:rPr>
        <w:t xml:space="preserve">is </w:t>
      </w:r>
      <w:r w:rsidR="00924049">
        <w:rPr>
          <w:rFonts w:cs="Times New Roman"/>
          <w:bCs/>
          <w:szCs w:val="24"/>
          <w:lang w:eastAsia="en-AU"/>
        </w:rPr>
        <w:t xml:space="preserve">provided to </w:t>
      </w:r>
      <w:r w:rsidR="00215D03">
        <w:rPr>
          <w:rFonts w:cs="Times New Roman"/>
          <w:bCs/>
          <w:szCs w:val="24"/>
          <w:lang w:eastAsia="en-AU"/>
        </w:rPr>
        <w:t xml:space="preserve">a </w:t>
      </w:r>
      <w:r w:rsidR="000C3CBE">
        <w:rPr>
          <w:rFonts w:cs="Times New Roman"/>
          <w:bCs/>
          <w:szCs w:val="24"/>
          <w:lang w:eastAsia="en-AU"/>
        </w:rPr>
        <w:t>l</w:t>
      </w:r>
      <w:r w:rsidR="001F7A0E">
        <w:rPr>
          <w:rFonts w:cs="Times New Roman"/>
          <w:bCs/>
          <w:szCs w:val="24"/>
          <w:lang w:eastAsia="en-AU"/>
        </w:rPr>
        <w:t>icence holder</w:t>
      </w:r>
      <w:r w:rsidR="00924049">
        <w:rPr>
          <w:rFonts w:cs="Times New Roman"/>
          <w:bCs/>
          <w:szCs w:val="24"/>
          <w:lang w:eastAsia="en-AU"/>
        </w:rPr>
        <w:t xml:space="preserve"> </w:t>
      </w:r>
      <w:r w:rsidR="008008D4">
        <w:rPr>
          <w:rFonts w:cs="Times New Roman"/>
          <w:bCs/>
          <w:szCs w:val="24"/>
          <w:lang w:eastAsia="en-AU"/>
        </w:rPr>
        <w:t>well in advance of an inspection</w:t>
      </w:r>
      <w:r w:rsidR="00924049">
        <w:rPr>
          <w:rFonts w:cs="Times New Roman"/>
          <w:bCs/>
          <w:szCs w:val="24"/>
          <w:lang w:eastAsia="en-AU"/>
        </w:rPr>
        <w:t xml:space="preserve"> </w:t>
      </w:r>
      <w:r w:rsidR="000C3CBE">
        <w:rPr>
          <w:rFonts w:cs="Times New Roman"/>
          <w:bCs/>
          <w:szCs w:val="24"/>
          <w:lang w:eastAsia="en-AU"/>
        </w:rPr>
        <w:t xml:space="preserve">advises </w:t>
      </w:r>
      <w:r w:rsidR="00FA0760">
        <w:rPr>
          <w:rFonts w:cs="Times New Roman"/>
          <w:bCs/>
          <w:szCs w:val="24"/>
          <w:lang w:eastAsia="en-AU"/>
        </w:rPr>
        <w:t xml:space="preserve">when </w:t>
      </w:r>
      <w:r w:rsidR="005012E9">
        <w:rPr>
          <w:rFonts w:cs="Times New Roman"/>
          <w:bCs/>
          <w:szCs w:val="24"/>
          <w:lang w:eastAsia="en-AU"/>
        </w:rPr>
        <w:t xml:space="preserve">an inspection </w:t>
      </w:r>
      <w:r w:rsidR="00FA0760">
        <w:rPr>
          <w:rFonts w:cs="Times New Roman"/>
          <w:bCs/>
          <w:szCs w:val="24"/>
          <w:lang w:eastAsia="en-AU"/>
        </w:rPr>
        <w:t xml:space="preserve">will take place and which performance objectives and criteria </w:t>
      </w:r>
      <w:r w:rsidR="00D17AF3">
        <w:rPr>
          <w:rFonts w:cs="Times New Roman"/>
          <w:bCs/>
          <w:szCs w:val="24"/>
          <w:lang w:eastAsia="en-AU"/>
        </w:rPr>
        <w:t>are to</w:t>
      </w:r>
      <w:r w:rsidR="00FA0760">
        <w:rPr>
          <w:rFonts w:cs="Times New Roman"/>
          <w:bCs/>
          <w:szCs w:val="24"/>
          <w:lang w:eastAsia="en-AU"/>
        </w:rPr>
        <w:t xml:space="preserve"> </w:t>
      </w:r>
      <w:proofErr w:type="gramStart"/>
      <w:r w:rsidR="00FA0760">
        <w:rPr>
          <w:rFonts w:cs="Times New Roman"/>
          <w:bCs/>
          <w:szCs w:val="24"/>
          <w:lang w:eastAsia="en-AU"/>
        </w:rPr>
        <w:t>be used</w:t>
      </w:r>
      <w:proofErr w:type="gramEnd"/>
      <w:r w:rsidR="00EF2DA1">
        <w:rPr>
          <w:rFonts w:cs="Times New Roman"/>
          <w:bCs/>
          <w:szCs w:val="24"/>
          <w:lang w:eastAsia="en-AU"/>
        </w:rPr>
        <w:t>.</w:t>
      </w:r>
      <w:r>
        <w:rPr>
          <w:rFonts w:cs="Times New Roman"/>
          <w:bCs/>
          <w:szCs w:val="24"/>
          <w:lang w:eastAsia="en-AU"/>
        </w:rPr>
        <w:t xml:space="preserve"> </w:t>
      </w:r>
      <w:r w:rsidR="008008D4">
        <w:rPr>
          <w:rFonts w:cs="Times New Roman"/>
          <w:bCs/>
          <w:szCs w:val="24"/>
          <w:lang w:eastAsia="en-AU"/>
        </w:rPr>
        <w:t xml:space="preserve">This is the basis for a mutually agreed timetable that details when </w:t>
      </w:r>
      <w:r w:rsidR="00FA0760">
        <w:rPr>
          <w:rFonts w:cs="Times New Roman"/>
          <w:bCs/>
          <w:szCs w:val="24"/>
          <w:lang w:eastAsia="en-AU"/>
        </w:rPr>
        <w:t xml:space="preserve">specific </w:t>
      </w:r>
      <w:r w:rsidR="008008D4">
        <w:rPr>
          <w:rFonts w:cs="Times New Roman"/>
          <w:bCs/>
          <w:szCs w:val="24"/>
          <w:lang w:eastAsia="en-AU"/>
        </w:rPr>
        <w:t xml:space="preserve">inspection activities </w:t>
      </w:r>
      <w:r w:rsidR="005012E9">
        <w:rPr>
          <w:rFonts w:cs="Times New Roman"/>
          <w:bCs/>
          <w:szCs w:val="24"/>
          <w:lang w:eastAsia="en-AU"/>
        </w:rPr>
        <w:t xml:space="preserve">will </w:t>
      </w:r>
      <w:r w:rsidR="008008D4">
        <w:rPr>
          <w:rFonts w:cs="Times New Roman"/>
          <w:bCs/>
          <w:szCs w:val="24"/>
          <w:lang w:eastAsia="en-AU"/>
        </w:rPr>
        <w:t>take place</w:t>
      </w:r>
      <w:r w:rsidR="0013109E">
        <w:rPr>
          <w:rFonts w:cs="Times New Roman"/>
          <w:bCs/>
          <w:szCs w:val="24"/>
          <w:lang w:eastAsia="en-AU"/>
        </w:rPr>
        <w:t>,</w:t>
      </w:r>
      <w:r w:rsidR="008008D4">
        <w:rPr>
          <w:rFonts w:cs="Times New Roman"/>
          <w:bCs/>
          <w:szCs w:val="24"/>
          <w:lang w:eastAsia="en-AU"/>
        </w:rPr>
        <w:t xml:space="preserve"> who is involved</w:t>
      </w:r>
      <w:r w:rsidR="001E0A5A">
        <w:rPr>
          <w:rFonts w:cs="Times New Roman"/>
          <w:bCs/>
          <w:szCs w:val="24"/>
          <w:lang w:eastAsia="en-AU"/>
        </w:rPr>
        <w:t>,</w:t>
      </w:r>
      <w:r w:rsidR="0013109E">
        <w:rPr>
          <w:rFonts w:cs="Times New Roman"/>
          <w:bCs/>
          <w:szCs w:val="24"/>
          <w:lang w:eastAsia="en-AU"/>
        </w:rPr>
        <w:t xml:space="preserve"> what documentation and evidence </w:t>
      </w:r>
      <w:proofErr w:type="gramStart"/>
      <w:r w:rsidR="0013109E">
        <w:rPr>
          <w:rFonts w:cs="Times New Roman"/>
          <w:bCs/>
          <w:szCs w:val="24"/>
          <w:lang w:eastAsia="en-AU"/>
        </w:rPr>
        <w:t>is needed</w:t>
      </w:r>
      <w:proofErr w:type="gramEnd"/>
      <w:r w:rsidR="001E0A5A">
        <w:rPr>
          <w:rFonts w:cs="Times New Roman"/>
          <w:bCs/>
          <w:szCs w:val="24"/>
          <w:lang w:eastAsia="en-AU"/>
        </w:rPr>
        <w:t>, and the premises to be visited</w:t>
      </w:r>
      <w:r w:rsidR="008008D4">
        <w:rPr>
          <w:rFonts w:cs="Times New Roman"/>
          <w:bCs/>
          <w:szCs w:val="24"/>
          <w:lang w:eastAsia="en-AU"/>
        </w:rPr>
        <w:t xml:space="preserve">. </w:t>
      </w:r>
      <w:r w:rsidR="000C3CBE">
        <w:rPr>
          <w:rFonts w:cs="Times New Roman"/>
          <w:bCs/>
          <w:szCs w:val="24"/>
          <w:lang w:eastAsia="en-AU"/>
        </w:rPr>
        <w:t>A</w:t>
      </w:r>
      <w:r>
        <w:rPr>
          <w:rFonts w:cs="Times New Roman"/>
          <w:bCs/>
          <w:szCs w:val="24"/>
          <w:lang w:eastAsia="en-AU"/>
        </w:rPr>
        <w:t xml:space="preserve"> formal entr</w:t>
      </w:r>
      <w:r w:rsidR="000C3CBE">
        <w:rPr>
          <w:rFonts w:cs="Times New Roman"/>
          <w:bCs/>
          <w:szCs w:val="24"/>
          <w:lang w:eastAsia="en-AU"/>
        </w:rPr>
        <w:t>ance</w:t>
      </w:r>
      <w:r>
        <w:rPr>
          <w:rFonts w:cs="Times New Roman"/>
          <w:bCs/>
          <w:szCs w:val="24"/>
          <w:lang w:eastAsia="en-AU"/>
        </w:rPr>
        <w:t xml:space="preserve"> </w:t>
      </w:r>
      <w:r w:rsidR="00D13604">
        <w:rPr>
          <w:rFonts w:cs="Times New Roman"/>
          <w:bCs/>
          <w:szCs w:val="24"/>
          <w:lang w:eastAsia="en-AU"/>
        </w:rPr>
        <w:t xml:space="preserve">meeting </w:t>
      </w:r>
      <w:proofErr w:type="gramStart"/>
      <w:r>
        <w:rPr>
          <w:rFonts w:cs="Times New Roman"/>
          <w:bCs/>
          <w:szCs w:val="24"/>
          <w:lang w:eastAsia="en-AU"/>
        </w:rPr>
        <w:t>is held</w:t>
      </w:r>
      <w:proofErr w:type="gramEnd"/>
      <w:r>
        <w:rPr>
          <w:rFonts w:cs="Times New Roman"/>
          <w:bCs/>
          <w:szCs w:val="24"/>
          <w:lang w:eastAsia="en-AU"/>
        </w:rPr>
        <w:t xml:space="preserve"> to </w:t>
      </w:r>
      <w:r w:rsidR="00177B18">
        <w:rPr>
          <w:rFonts w:cs="Times New Roman"/>
          <w:bCs/>
          <w:szCs w:val="24"/>
          <w:lang w:eastAsia="en-AU"/>
        </w:rPr>
        <w:t xml:space="preserve">ensure that the licence holder understands </w:t>
      </w:r>
      <w:r>
        <w:rPr>
          <w:rFonts w:cs="Times New Roman"/>
          <w:bCs/>
          <w:szCs w:val="24"/>
          <w:lang w:eastAsia="en-AU"/>
        </w:rPr>
        <w:t>the purpose</w:t>
      </w:r>
      <w:r w:rsidR="00177B18">
        <w:rPr>
          <w:rFonts w:cs="Times New Roman"/>
          <w:bCs/>
          <w:szCs w:val="24"/>
          <w:lang w:eastAsia="en-AU"/>
        </w:rPr>
        <w:t>,</w:t>
      </w:r>
      <w:r>
        <w:rPr>
          <w:rFonts w:cs="Times New Roman"/>
          <w:bCs/>
          <w:szCs w:val="24"/>
          <w:lang w:eastAsia="en-AU"/>
        </w:rPr>
        <w:t xml:space="preserve"> scope </w:t>
      </w:r>
      <w:r w:rsidR="00177B18">
        <w:rPr>
          <w:rFonts w:cs="Times New Roman"/>
          <w:bCs/>
          <w:szCs w:val="24"/>
          <w:lang w:eastAsia="en-AU"/>
        </w:rPr>
        <w:t xml:space="preserve">and method </w:t>
      </w:r>
      <w:r>
        <w:rPr>
          <w:rFonts w:cs="Times New Roman"/>
          <w:bCs/>
          <w:szCs w:val="24"/>
          <w:lang w:eastAsia="en-AU"/>
        </w:rPr>
        <w:t xml:space="preserve">of </w:t>
      </w:r>
      <w:r w:rsidR="0013109E">
        <w:rPr>
          <w:rFonts w:cs="Times New Roman"/>
          <w:bCs/>
          <w:szCs w:val="24"/>
          <w:lang w:eastAsia="en-AU"/>
        </w:rPr>
        <w:t>the</w:t>
      </w:r>
      <w:r>
        <w:rPr>
          <w:rFonts w:cs="Times New Roman"/>
          <w:bCs/>
          <w:szCs w:val="24"/>
          <w:lang w:eastAsia="en-AU"/>
        </w:rPr>
        <w:t xml:space="preserve"> inspection. </w:t>
      </w:r>
    </w:p>
    <w:p w14:paraId="39FF0A91" w14:textId="66571FE1" w:rsidR="00974632" w:rsidRDefault="00D17AF3" w:rsidP="00C91FB5">
      <w:pPr>
        <w:widowControl w:val="0"/>
        <w:autoSpaceDE w:val="0"/>
        <w:autoSpaceDN w:val="0"/>
        <w:adjustRightInd w:val="0"/>
        <w:spacing w:after="120"/>
        <w:rPr>
          <w:rFonts w:cs="Times New Roman"/>
          <w:bCs/>
          <w:szCs w:val="24"/>
          <w:lang w:eastAsia="en-AU"/>
        </w:rPr>
      </w:pPr>
      <w:r>
        <w:rPr>
          <w:rFonts w:cs="Times New Roman"/>
          <w:bCs/>
          <w:szCs w:val="24"/>
          <w:lang w:eastAsia="en-AU"/>
        </w:rPr>
        <w:t>A</w:t>
      </w:r>
      <w:r w:rsidR="00213B83">
        <w:rPr>
          <w:rFonts w:cs="Times New Roman"/>
          <w:bCs/>
          <w:szCs w:val="24"/>
          <w:lang w:eastAsia="en-AU"/>
        </w:rPr>
        <w:t xml:space="preserve"> meeting </w:t>
      </w:r>
      <w:proofErr w:type="gramStart"/>
      <w:r w:rsidR="00213B83">
        <w:rPr>
          <w:rFonts w:cs="Times New Roman"/>
          <w:bCs/>
          <w:szCs w:val="24"/>
          <w:lang w:eastAsia="en-AU"/>
        </w:rPr>
        <w:t>is held</w:t>
      </w:r>
      <w:proofErr w:type="gramEnd"/>
      <w:r w:rsidR="00213B83">
        <w:rPr>
          <w:rFonts w:cs="Times New Roman"/>
          <w:bCs/>
          <w:szCs w:val="24"/>
          <w:lang w:eastAsia="en-AU"/>
        </w:rPr>
        <w:t xml:space="preserve"> at the end of each day and a final exit meeting is held to agree the facts </w:t>
      </w:r>
      <w:r w:rsidR="00177B18">
        <w:rPr>
          <w:rFonts w:cs="Times New Roman"/>
          <w:bCs/>
          <w:szCs w:val="24"/>
          <w:lang w:eastAsia="en-AU"/>
        </w:rPr>
        <w:t>on</w:t>
      </w:r>
      <w:r w:rsidR="00213B83">
        <w:rPr>
          <w:rFonts w:cs="Times New Roman"/>
          <w:bCs/>
          <w:szCs w:val="24"/>
          <w:lang w:eastAsia="en-AU"/>
        </w:rPr>
        <w:t xml:space="preserve"> which the findings of the inspection will be based. The exit meeting </w:t>
      </w:r>
      <w:r w:rsidR="000C3CBE">
        <w:rPr>
          <w:rFonts w:cs="Times New Roman"/>
          <w:bCs/>
          <w:szCs w:val="24"/>
          <w:lang w:eastAsia="en-AU"/>
        </w:rPr>
        <w:t xml:space="preserve">provides an opportunity </w:t>
      </w:r>
      <w:r w:rsidR="004B3727">
        <w:rPr>
          <w:rFonts w:cs="Times New Roman"/>
          <w:bCs/>
          <w:szCs w:val="24"/>
          <w:lang w:eastAsia="en-AU"/>
        </w:rPr>
        <w:t>for</w:t>
      </w:r>
      <w:r w:rsidR="00213B83">
        <w:rPr>
          <w:rFonts w:cs="Times New Roman"/>
          <w:bCs/>
          <w:szCs w:val="24"/>
          <w:lang w:eastAsia="en-AU"/>
        </w:rPr>
        <w:t xml:space="preserve"> feedback on how the inspection </w:t>
      </w:r>
      <w:proofErr w:type="gramStart"/>
      <w:r w:rsidR="00213B83">
        <w:rPr>
          <w:rFonts w:cs="Times New Roman"/>
          <w:bCs/>
          <w:szCs w:val="24"/>
          <w:lang w:eastAsia="en-AU"/>
        </w:rPr>
        <w:t>has been received</w:t>
      </w:r>
      <w:proofErr w:type="gramEnd"/>
      <w:r w:rsidR="00213B83">
        <w:rPr>
          <w:rFonts w:cs="Times New Roman"/>
          <w:bCs/>
          <w:szCs w:val="24"/>
          <w:lang w:eastAsia="en-AU"/>
        </w:rPr>
        <w:t xml:space="preserve"> by the </w:t>
      </w:r>
      <w:r w:rsidR="001F7A0E">
        <w:rPr>
          <w:rFonts w:cs="Times New Roman"/>
          <w:bCs/>
          <w:szCs w:val="24"/>
          <w:lang w:eastAsia="en-AU"/>
        </w:rPr>
        <w:t>licence holder</w:t>
      </w:r>
      <w:r w:rsidR="00213B83">
        <w:rPr>
          <w:rFonts w:cs="Times New Roman"/>
          <w:bCs/>
          <w:szCs w:val="24"/>
          <w:lang w:eastAsia="en-AU"/>
        </w:rPr>
        <w:t xml:space="preserve">. </w:t>
      </w:r>
    </w:p>
    <w:p w14:paraId="08452237" w14:textId="03B8F259" w:rsidR="000066C0" w:rsidRPr="00A9092B" w:rsidRDefault="00040F2C" w:rsidP="00C91FB5">
      <w:pPr>
        <w:widowControl w:val="0"/>
        <w:autoSpaceDE w:val="0"/>
        <w:autoSpaceDN w:val="0"/>
        <w:adjustRightInd w:val="0"/>
        <w:spacing w:after="120"/>
        <w:rPr>
          <w:rFonts w:cs="Times New Roman"/>
          <w:bCs/>
          <w:szCs w:val="24"/>
          <w:lang w:eastAsia="en-AU"/>
        </w:rPr>
      </w:pPr>
      <w:r w:rsidRPr="00A9092B">
        <w:rPr>
          <w:rFonts w:cs="Times New Roman"/>
          <w:bCs/>
          <w:szCs w:val="24"/>
          <w:lang w:eastAsia="en-AU"/>
        </w:rPr>
        <w:t xml:space="preserve">After </w:t>
      </w:r>
      <w:r w:rsidR="004B3727">
        <w:rPr>
          <w:rFonts w:cs="Times New Roman"/>
          <w:bCs/>
          <w:szCs w:val="24"/>
          <w:lang w:eastAsia="en-AU"/>
        </w:rPr>
        <w:t>the</w:t>
      </w:r>
      <w:r w:rsidRPr="00A9092B">
        <w:rPr>
          <w:rFonts w:cs="Times New Roman"/>
          <w:bCs/>
          <w:szCs w:val="24"/>
          <w:lang w:eastAsia="en-AU"/>
        </w:rPr>
        <w:t xml:space="preserve"> </w:t>
      </w:r>
      <w:proofErr w:type="gramStart"/>
      <w:r w:rsidRPr="00A9092B">
        <w:rPr>
          <w:rFonts w:cs="Times New Roman"/>
          <w:bCs/>
          <w:szCs w:val="24"/>
          <w:lang w:eastAsia="en-AU"/>
        </w:rPr>
        <w:t>inspection</w:t>
      </w:r>
      <w:proofErr w:type="gramEnd"/>
      <w:r w:rsidRPr="00A9092B">
        <w:rPr>
          <w:rFonts w:cs="Times New Roman"/>
          <w:bCs/>
          <w:szCs w:val="24"/>
          <w:lang w:eastAsia="en-AU"/>
        </w:rPr>
        <w:t xml:space="preserve"> report </w:t>
      </w:r>
      <w:r w:rsidR="006A49BA">
        <w:rPr>
          <w:rFonts w:cs="Times New Roman"/>
          <w:bCs/>
          <w:szCs w:val="24"/>
          <w:lang w:eastAsia="en-AU"/>
        </w:rPr>
        <w:t>i</w:t>
      </w:r>
      <w:r w:rsidR="006A49BA" w:rsidRPr="00A9092B">
        <w:rPr>
          <w:rFonts w:cs="Times New Roman"/>
          <w:bCs/>
          <w:szCs w:val="24"/>
          <w:lang w:eastAsia="en-AU"/>
        </w:rPr>
        <w:t xml:space="preserve">s </w:t>
      </w:r>
      <w:r w:rsidRPr="00A9092B">
        <w:rPr>
          <w:rFonts w:cs="Times New Roman"/>
          <w:bCs/>
          <w:szCs w:val="24"/>
          <w:lang w:eastAsia="en-AU"/>
        </w:rPr>
        <w:t>issued</w:t>
      </w:r>
      <w:r w:rsidR="000066C0" w:rsidRPr="00A9092B">
        <w:rPr>
          <w:rFonts w:cs="Times New Roman"/>
          <w:bCs/>
          <w:szCs w:val="24"/>
          <w:lang w:eastAsia="en-AU"/>
        </w:rPr>
        <w:t xml:space="preserve"> the Office of the CEO </w:t>
      </w:r>
      <w:r w:rsidR="006209A7">
        <w:rPr>
          <w:rFonts w:cs="Times New Roman"/>
          <w:bCs/>
          <w:szCs w:val="24"/>
          <w:lang w:eastAsia="en-AU"/>
        </w:rPr>
        <w:t>sends</w:t>
      </w:r>
      <w:r w:rsidR="000066C0" w:rsidRPr="00A9092B">
        <w:rPr>
          <w:rFonts w:cs="Times New Roman"/>
          <w:bCs/>
          <w:szCs w:val="24"/>
          <w:lang w:eastAsia="en-AU"/>
        </w:rPr>
        <w:t xml:space="preserve"> a survey</w:t>
      </w:r>
      <w:r w:rsidR="00D13604">
        <w:rPr>
          <w:rFonts w:cs="Times New Roman"/>
          <w:bCs/>
          <w:szCs w:val="24"/>
          <w:lang w:eastAsia="en-AU"/>
        </w:rPr>
        <w:t xml:space="preserve"> to the </w:t>
      </w:r>
      <w:r w:rsidR="004B3727">
        <w:rPr>
          <w:rFonts w:cs="Times New Roman"/>
          <w:bCs/>
          <w:szCs w:val="24"/>
          <w:lang w:eastAsia="en-AU"/>
        </w:rPr>
        <w:t>l</w:t>
      </w:r>
      <w:r w:rsidR="001F7A0E">
        <w:rPr>
          <w:rFonts w:cs="Times New Roman"/>
          <w:bCs/>
          <w:szCs w:val="24"/>
          <w:lang w:eastAsia="en-AU"/>
        </w:rPr>
        <w:t>icence holder</w:t>
      </w:r>
      <w:r w:rsidR="004B3727">
        <w:rPr>
          <w:rFonts w:cs="Times New Roman"/>
          <w:bCs/>
          <w:szCs w:val="24"/>
          <w:lang w:eastAsia="en-AU"/>
        </w:rPr>
        <w:t xml:space="preserve"> seeking</w:t>
      </w:r>
      <w:r w:rsidR="000066C0" w:rsidRPr="00A9092B">
        <w:rPr>
          <w:rFonts w:cs="Times New Roman"/>
          <w:bCs/>
          <w:szCs w:val="24"/>
          <w:lang w:eastAsia="en-AU"/>
        </w:rPr>
        <w:t xml:space="preserve"> feedback on </w:t>
      </w:r>
      <w:r w:rsidR="001F6756">
        <w:rPr>
          <w:rFonts w:cs="Times New Roman"/>
          <w:bCs/>
          <w:szCs w:val="24"/>
          <w:lang w:eastAsia="en-AU"/>
        </w:rPr>
        <w:t xml:space="preserve">how </w:t>
      </w:r>
      <w:r w:rsidR="00D13604">
        <w:rPr>
          <w:rFonts w:cs="Times New Roman"/>
          <w:bCs/>
          <w:szCs w:val="24"/>
          <w:lang w:eastAsia="en-AU"/>
        </w:rPr>
        <w:t xml:space="preserve">effectively and efficiently </w:t>
      </w:r>
      <w:r w:rsidR="000066C0" w:rsidRPr="00A9092B">
        <w:rPr>
          <w:rFonts w:cs="Times New Roman"/>
          <w:bCs/>
          <w:szCs w:val="24"/>
          <w:lang w:eastAsia="en-AU"/>
        </w:rPr>
        <w:t>the inspection</w:t>
      </w:r>
      <w:r w:rsidR="001F6756">
        <w:rPr>
          <w:rFonts w:cs="Times New Roman"/>
          <w:bCs/>
          <w:szCs w:val="24"/>
          <w:lang w:eastAsia="en-AU"/>
        </w:rPr>
        <w:t xml:space="preserve"> </w:t>
      </w:r>
      <w:r w:rsidR="004C412C">
        <w:rPr>
          <w:rFonts w:cs="Times New Roman"/>
          <w:bCs/>
          <w:szCs w:val="24"/>
          <w:lang w:eastAsia="en-AU"/>
        </w:rPr>
        <w:t xml:space="preserve">was </w:t>
      </w:r>
      <w:r w:rsidR="001F6756">
        <w:rPr>
          <w:rFonts w:cs="Times New Roman"/>
          <w:bCs/>
          <w:szCs w:val="24"/>
          <w:lang w:eastAsia="en-AU"/>
        </w:rPr>
        <w:t>planned and executed</w:t>
      </w:r>
      <w:r w:rsidR="004C412C">
        <w:rPr>
          <w:rFonts w:cs="Times New Roman"/>
          <w:bCs/>
          <w:szCs w:val="24"/>
          <w:lang w:eastAsia="en-AU"/>
        </w:rPr>
        <w:t xml:space="preserve"> and its impact on operations</w:t>
      </w:r>
      <w:r w:rsidR="000066C0" w:rsidRPr="00A9092B">
        <w:rPr>
          <w:rFonts w:cs="Times New Roman"/>
          <w:bCs/>
          <w:szCs w:val="24"/>
          <w:lang w:eastAsia="en-AU"/>
        </w:rPr>
        <w:t>.</w:t>
      </w:r>
      <w:r w:rsidR="006209A7">
        <w:rPr>
          <w:rFonts w:cs="Times New Roman"/>
          <w:bCs/>
          <w:szCs w:val="24"/>
          <w:lang w:eastAsia="en-AU"/>
        </w:rPr>
        <w:t xml:space="preserve"> </w:t>
      </w:r>
      <w:r w:rsidR="00046DCC">
        <w:rPr>
          <w:rFonts w:cs="Times New Roman"/>
          <w:bCs/>
          <w:szCs w:val="24"/>
          <w:lang w:eastAsia="en-AU"/>
        </w:rPr>
        <w:t xml:space="preserve">To provide </w:t>
      </w:r>
      <w:r w:rsidR="001F7A0E">
        <w:rPr>
          <w:rFonts w:cs="Times New Roman"/>
          <w:bCs/>
          <w:szCs w:val="24"/>
          <w:lang w:eastAsia="en-AU"/>
        </w:rPr>
        <w:t>licence holder</w:t>
      </w:r>
      <w:r w:rsidR="00046DCC">
        <w:rPr>
          <w:rFonts w:cs="Times New Roman"/>
          <w:bCs/>
          <w:szCs w:val="24"/>
          <w:lang w:eastAsia="en-AU"/>
        </w:rPr>
        <w:t xml:space="preserve"> anonymity, this process is </w:t>
      </w:r>
      <w:r w:rsidR="006209A7" w:rsidRPr="00A9092B">
        <w:rPr>
          <w:rFonts w:cs="Times New Roman"/>
          <w:bCs/>
          <w:szCs w:val="24"/>
          <w:lang w:eastAsia="en-AU"/>
        </w:rPr>
        <w:t xml:space="preserve">independent of </w:t>
      </w:r>
      <w:r w:rsidR="004B3727">
        <w:rPr>
          <w:rFonts w:cs="Times New Roman"/>
          <w:bCs/>
          <w:szCs w:val="24"/>
          <w:lang w:eastAsia="en-AU"/>
        </w:rPr>
        <w:t xml:space="preserve">RSB. </w:t>
      </w:r>
      <w:r w:rsidR="000066C0" w:rsidRPr="00A9092B">
        <w:rPr>
          <w:rFonts w:cs="Times New Roman"/>
          <w:bCs/>
          <w:szCs w:val="24"/>
          <w:lang w:eastAsia="en-AU"/>
        </w:rPr>
        <w:t xml:space="preserve">The </w:t>
      </w:r>
      <w:r w:rsidR="004B3727">
        <w:rPr>
          <w:rFonts w:cs="Times New Roman"/>
          <w:bCs/>
          <w:szCs w:val="24"/>
          <w:lang w:eastAsia="en-AU"/>
        </w:rPr>
        <w:t xml:space="preserve">response </w:t>
      </w:r>
      <w:r w:rsidR="000066C0" w:rsidRPr="00A9092B">
        <w:rPr>
          <w:rFonts w:cs="Times New Roman"/>
          <w:bCs/>
          <w:szCs w:val="24"/>
          <w:lang w:eastAsia="en-AU"/>
        </w:rPr>
        <w:t xml:space="preserve">options range from </w:t>
      </w:r>
      <w:r w:rsidR="004B3727">
        <w:rPr>
          <w:rFonts w:cs="Times New Roman"/>
          <w:bCs/>
          <w:szCs w:val="24"/>
          <w:lang w:eastAsia="en-AU"/>
        </w:rPr>
        <w:t>‘</w:t>
      </w:r>
      <w:r w:rsidR="000066C0" w:rsidRPr="00A9092B">
        <w:rPr>
          <w:rFonts w:cs="Times New Roman"/>
          <w:bCs/>
          <w:szCs w:val="24"/>
          <w:lang w:eastAsia="en-AU"/>
        </w:rPr>
        <w:t>strongly agree</w:t>
      </w:r>
      <w:r w:rsidR="004B3727">
        <w:rPr>
          <w:rFonts w:cs="Times New Roman"/>
          <w:bCs/>
          <w:szCs w:val="24"/>
          <w:lang w:eastAsia="en-AU"/>
        </w:rPr>
        <w:t xml:space="preserve">’ </w:t>
      </w:r>
      <w:r w:rsidR="000066C0" w:rsidRPr="00A9092B">
        <w:rPr>
          <w:rFonts w:cs="Times New Roman"/>
          <w:bCs/>
          <w:szCs w:val="24"/>
          <w:lang w:eastAsia="en-AU"/>
        </w:rPr>
        <w:t xml:space="preserve">to </w:t>
      </w:r>
      <w:r w:rsidR="004B3727">
        <w:rPr>
          <w:rFonts w:cs="Times New Roman"/>
          <w:bCs/>
          <w:szCs w:val="24"/>
          <w:lang w:eastAsia="en-AU"/>
        </w:rPr>
        <w:t>‘</w:t>
      </w:r>
      <w:r w:rsidR="000066C0" w:rsidRPr="00A9092B">
        <w:rPr>
          <w:rFonts w:cs="Times New Roman"/>
          <w:bCs/>
          <w:szCs w:val="24"/>
          <w:lang w:eastAsia="en-AU"/>
        </w:rPr>
        <w:t>strongly disagree</w:t>
      </w:r>
      <w:r w:rsidR="004B3727">
        <w:rPr>
          <w:rFonts w:cs="Times New Roman"/>
          <w:bCs/>
          <w:szCs w:val="24"/>
          <w:lang w:eastAsia="en-AU"/>
        </w:rPr>
        <w:t>’</w:t>
      </w:r>
      <w:r w:rsidR="000066C0" w:rsidRPr="00A9092B">
        <w:rPr>
          <w:rFonts w:cs="Times New Roman"/>
          <w:bCs/>
          <w:szCs w:val="24"/>
          <w:lang w:eastAsia="en-AU"/>
        </w:rPr>
        <w:t xml:space="preserve">. Negative feedback </w:t>
      </w:r>
      <w:proofErr w:type="gramStart"/>
      <w:r w:rsidR="000066C0" w:rsidRPr="00A9092B">
        <w:rPr>
          <w:rFonts w:cs="Times New Roman"/>
          <w:bCs/>
          <w:szCs w:val="24"/>
          <w:lang w:eastAsia="en-AU"/>
        </w:rPr>
        <w:t>is</w:t>
      </w:r>
      <w:r w:rsidR="004B3727">
        <w:rPr>
          <w:rFonts w:cs="Times New Roman"/>
          <w:bCs/>
          <w:szCs w:val="24"/>
          <w:lang w:eastAsia="en-AU"/>
        </w:rPr>
        <w:t xml:space="preserve"> </w:t>
      </w:r>
      <w:r w:rsidR="002160CC" w:rsidRPr="00A9092B">
        <w:rPr>
          <w:rFonts w:cs="Times New Roman"/>
          <w:bCs/>
          <w:szCs w:val="24"/>
          <w:lang w:eastAsia="en-AU"/>
        </w:rPr>
        <w:t>seen</w:t>
      </w:r>
      <w:proofErr w:type="gramEnd"/>
      <w:r w:rsidR="002160CC" w:rsidRPr="00A9092B">
        <w:rPr>
          <w:rFonts w:cs="Times New Roman"/>
          <w:bCs/>
          <w:szCs w:val="24"/>
          <w:lang w:eastAsia="en-AU"/>
        </w:rPr>
        <w:t xml:space="preserve"> as </w:t>
      </w:r>
      <w:r w:rsidR="000066C0" w:rsidRPr="00A9092B">
        <w:rPr>
          <w:rFonts w:cs="Times New Roman"/>
          <w:bCs/>
          <w:szCs w:val="24"/>
          <w:lang w:eastAsia="en-AU"/>
        </w:rPr>
        <w:t xml:space="preserve">an opportunity </w:t>
      </w:r>
      <w:r w:rsidR="004B3727">
        <w:rPr>
          <w:rFonts w:cs="Times New Roman"/>
          <w:bCs/>
          <w:szCs w:val="24"/>
          <w:lang w:eastAsia="en-AU"/>
        </w:rPr>
        <w:t xml:space="preserve">for </w:t>
      </w:r>
      <w:r w:rsidR="000066C0" w:rsidRPr="00A9092B">
        <w:rPr>
          <w:rFonts w:cs="Times New Roman"/>
          <w:bCs/>
          <w:szCs w:val="24"/>
          <w:lang w:eastAsia="en-AU"/>
        </w:rPr>
        <w:t>improve</w:t>
      </w:r>
      <w:r w:rsidR="004B3727">
        <w:rPr>
          <w:rFonts w:cs="Times New Roman"/>
          <w:bCs/>
          <w:szCs w:val="24"/>
          <w:lang w:eastAsia="en-AU"/>
        </w:rPr>
        <w:t>ment</w:t>
      </w:r>
      <w:r w:rsidR="000066C0" w:rsidRPr="00A9092B">
        <w:rPr>
          <w:rFonts w:cs="Times New Roman"/>
          <w:bCs/>
          <w:szCs w:val="24"/>
          <w:lang w:eastAsia="en-AU"/>
        </w:rPr>
        <w:t xml:space="preserve">. If the average response is neutral or better, then the feedback </w:t>
      </w:r>
      <w:proofErr w:type="gramStart"/>
      <w:r w:rsidR="0061105A" w:rsidRPr="00A9092B">
        <w:rPr>
          <w:rFonts w:cs="Times New Roman"/>
          <w:bCs/>
          <w:szCs w:val="24"/>
          <w:lang w:eastAsia="en-AU"/>
        </w:rPr>
        <w:t>is</w:t>
      </w:r>
      <w:r w:rsidR="000066C0" w:rsidRPr="00A9092B">
        <w:rPr>
          <w:rFonts w:cs="Times New Roman"/>
          <w:bCs/>
          <w:szCs w:val="24"/>
          <w:lang w:eastAsia="en-AU"/>
        </w:rPr>
        <w:t xml:space="preserve"> taken</w:t>
      </w:r>
      <w:proofErr w:type="gramEnd"/>
      <w:r w:rsidR="000066C0" w:rsidRPr="00A9092B">
        <w:rPr>
          <w:rFonts w:cs="Times New Roman"/>
          <w:bCs/>
          <w:szCs w:val="24"/>
          <w:lang w:eastAsia="en-AU"/>
        </w:rPr>
        <w:t xml:space="preserve"> to be favourable. This serve</w:t>
      </w:r>
      <w:r w:rsidR="0061105A" w:rsidRPr="00A9092B">
        <w:rPr>
          <w:rFonts w:cs="Times New Roman"/>
          <w:bCs/>
          <w:szCs w:val="24"/>
          <w:lang w:eastAsia="en-AU"/>
        </w:rPr>
        <w:t>s</w:t>
      </w:r>
      <w:r w:rsidR="000066C0" w:rsidRPr="00A9092B">
        <w:rPr>
          <w:rFonts w:cs="Times New Roman"/>
          <w:bCs/>
          <w:szCs w:val="24"/>
          <w:lang w:eastAsia="en-AU"/>
        </w:rPr>
        <w:t xml:space="preserve"> as an indicator of how effective </w:t>
      </w:r>
      <w:r w:rsidR="006A49BA">
        <w:rPr>
          <w:rFonts w:cs="Times New Roman"/>
          <w:bCs/>
          <w:szCs w:val="24"/>
          <w:lang w:eastAsia="en-AU"/>
        </w:rPr>
        <w:t>inspectors</w:t>
      </w:r>
      <w:r w:rsidR="000066C0" w:rsidRPr="00A9092B">
        <w:rPr>
          <w:rFonts w:cs="Times New Roman"/>
          <w:bCs/>
          <w:szCs w:val="24"/>
          <w:lang w:eastAsia="en-AU"/>
        </w:rPr>
        <w:t xml:space="preserve"> </w:t>
      </w:r>
      <w:r w:rsidR="00601C4E">
        <w:rPr>
          <w:rFonts w:cs="Times New Roman"/>
          <w:bCs/>
          <w:szCs w:val="24"/>
          <w:lang w:eastAsia="en-AU"/>
        </w:rPr>
        <w:t>are</w:t>
      </w:r>
      <w:r w:rsidR="000066C0" w:rsidRPr="00A9092B">
        <w:rPr>
          <w:rFonts w:cs="Times New Roman"/>
          <w:bCs/>
          <w:szCs w:val="24"/>
          <w:lang w:eastAsia="en-AU"/>
        </w:rPr>
        <w:t xml:space="preserve"> </w:t>
      </w:r>
      <w:r w:rsidR="00601C4E">
        <w:rPr>
          <w:rFonts w:cs="Times New Roman"/>
          <w:bCs/>
          <w:szCs w:val="24"/>
          <w:lang w:eastAsia="en-AU"/>
        </w:rPr>
        <w:t>at</w:t>
      </w:r>
      <w:r w:rsidR="000066C0" w:rsidRPr="00A9092B">
        <w:rPr>
          <w:rFonts w:cs="Times New Roman"/>
          <w:bCs/>
          <w:szCs w:val="24"/>
          <w:lang w:eastAsia="en-AU"/>
        </w:rPr>
        <w:t xml:space="preserve"> </w:t>
      </w:r>
      <w:r w:rsidR="006A49BA">
        <w:rPr>
          <w:rFonts w:cs="Times New Roman"/>
          <w:bCs/>
          <w:szCs w:val="24"/>
          <w:lang w:eastAsia="en-AU"/>
        </w:rPr>
        <w:t xml:space="preserve">implementing </w:t>
      </w:r>
      <w:r w:rsidR="000066C0" w:rsidRPr="00A9092B">
        <w:rPr>
          <w:rFonts w:cs="Times New Roman"/>
          <w:bCs/>
          <w:szCs w:val="24"/>
          <w:lang w:eastAsia="en-AU"/>
        </w:rPr>
        <w:t xml:space="preserve">the six KPIs </w:t>
      </w:r>
      <w:r w:rsidR="00601C4E">
        <w:rPr>
          <w:rFonts w:cs="Times New Roman"/>
          <w:bCs/>
          <w:szCs w:val="24"/>
          <w:lang w:eastAsia="en-AU"/>
        </w:rPr>
        <w:t xml:space="preserve">while maintaining positive </w:t>
      </w:r>
      <w:r w:rsidR="00716944">
        <w:rPr>
          <w:rFonts w:cs="Times New Roman"/>
          <w:bCs/>
          <w:szCs w:val="24"/>
          <w:lang w:eastAsia="en-AU"/>
        </w:rPr>
        <w:t xml:space="preserve">stakeholder </w:t>
      </w:r>
      <w:r w:rsidR="00601C4E">
        <w:rPr>
          <w:rFonts w:cs="Times New Roman"/>
          <w:bCs/>
          <w:szCs w:val="24"/>
          <w:lang w:eastAsia="en-AU"/>
        </w:rPr>
        <w:t>relations</w:t>
      </w:r>
      <w:r w:rsidR="000066C0" w:rsidRPr="00A9092B">
        <w:rPr>
          <w:rFonts w:cs="Times New Roman"/>
          <w:bCs/>
          <w:szCs w:val="24"/>
          <w:lang w:eastAsia="en-AU"/>
        </w:rPr>
        <w:t>.</w:t>
      </w:r>
    </w:p>
    <w:p w14:paraId="5F3E3AAC" w14:textId="6E140497" w:rsidR="0040744F" w:rsidRPr="00A9092B" w:rsidRDefault="00011212" w:rsidP="00C91FB5">
      <w:pPr>
        <w:widowControl w:val="0"/>
        <w:autoSpaceDE w:val="0"/>
        <w:autoSpaceDN w:val="0"/>
        <w:adjustRightInd w:val="0"/>
        <w:spacing w:after="120"/>
        <w:rPr>
          <w:rFonts w:cs="Times New Roman"/>
          <w:bCs/>
          <w:szCs w:val="24"/>
          <w:lang w:eastAsia="en-AU"/>
        </w:rPr>
      </w:pPr>
      <w:r>
        <w:rPr>
          <w:rFonts w:cs="Times New Roman"/>
          <w:bCs/>
          <w:lang w:eastAsia="en-AU"/>
        </w:rPr>
        <w:t xml:space="preserve">As discussed </w:t>
      </w:r>
      <w:r w:rsidR="00934F15">
        <w:rPr>
          <w:rFonts w:cs="Times New Roman"/>
          <w:bCs/>
          <w:lang w:eastAsia="en-AU"/>
        </w:rPr>
        <w:t xml:space="preserve">in section 2.1 </w:t>
      </w:r>
      <w:r>
        <w:rPr>
          <w:rFonts w:cs="Times New Roman"/>
          <w:bCs/>
          <w:lang w:eastAsia="en-AU"/>
        </w:rPr>
        <w:t>above, i</w:t>
      </w:r>
      <w:r w:rsidR="0040744F" w:rsidRPr="00A9092B">
        <w:rPr>
          <w:rFonts w:cs="Times New Roman"/>
          <w:bCs/>
          <w:lang w:eastAsia="en-AU"/>
        </w:rPr>
        <w:t>n addition to scheduled inspections</w:t>
      </w:r>
      <w:r w:rsidR="00046DCC">
        <w:rPr>
          <w:rFonts w:cs="Times New Roman"/>
          <w:bCs/>
          <w:lang w:eastAsia="en-AU"/>
        </w:rPr>
        <w:t>,</w:t>
      </w:r>
      <w:r w:rsidR="0040744F" w:rsidRPr="00A9092B">
        <w:rPr>
          <w:rFonts w:cs="Times New Roman"/>
          <w:bCs/>
          <w:lang w:eastAsia="en-AU"/>
        </w:rPr>
        <w:t xml:space="preserve"> </w:t>
      </w:r>
      <w:r w:rsidR="00526673">
        <w:rPr>
          <w:rFonts w:cs="Times New Roman"/>
          <w:bCs/>
          <w:lang w:eastAsia="en-AU"/>
        </w:rPr>
        <w:t xml:space="preserve">inspectors make </w:t>
      </w:r>
      <w:r w:rsidR="007A4A90" w:rsidRPr="00A9092B">
        <w:rPr>
          <w:rFonts w:cs="Times New Roman"/>
          <w:bCs/>
          <w:lang w:eastAsia="en-AU"/>
        </w:rPr>
        <w:t xml:space="preserve">regular </w:t>
      </w:r>
      <w:r w:rsidR="0040744F" w:rsidRPr="00A9092B">
        <w:rPr>
          <w:rFonts w:cs="Times New Roman"/>
          <w:bCs/>
          <w:lang w:eastAsia="en-AU"/>
        </w:rPr>
        <w:t>site visit</w:t>
      </w:r>
      <w:r w:rsidR="007A4A90" w:rsidRPr="00A9092B">
        <w:rPr>
          <w:rFonts w:cs="Times New Roman"/>
          <w:bCs/>
          <w:lang w:eastAsia="en-AU"/>
        </w:rPr>
        <w:t xml:space="preserve">s </w:t>
      </w:r>
      <w:r w:rsidR="005C4F6E">
        <w:rPr>
          <w:rFonts w:cs="Times New Roman"/>
          <w:bCs/>
          <w:lang w:eastAsia="en-AU"/>
        </w:rPr>
        <w:t xml:space="preserve">to facilitate </w:t>
      </w:r>
      <w:r w:rsidR="0036038A">
        <w:rPr>
          <w:rFonts w:cs="Times New Roman"/>
          <w:bCs/>
          <w:lang w:eastAsia="en-AU"/>
        </w:rPr>
        <w:t>two-way</w:t>
      </w:r>
      <w:r w:rsidR="005C4F6E">
        <w:rPr>
          <w:rFonts w:cs="Times New Roman"/>
          <w:bCs/>
          <w:lang w:eastAsia="en-AU"/>
        </w:rPr>
        <w:t xml:space="preserve"> communication o</w:t>
      </w:r>
      <w:r w:rsidR="007C2379">
        <w:rPr>
          <w:rFonts w:cs="Times New Roman"/>
          <w:bCs/>
          <w:lang w:eastAsia="en-AU"/>
        </w:rPr>
        <w:t>n</w:t>
      </w:r>
      <w:r w:rsidR="005C4F6E">
        <w:rPr>
          <w:rFonts w:cs="Times New Roman"/>
          <w:bCs/>
          <w:lang w:eastAsia="en-AU"/>
        </w:rPr>
        <w:t xml:space="preserve"> regulatory matters. These visits </w:t>
      </w:r>
      <w:r w:rsidR="005C4F6E">
        <w:rPr>
          <w:rFonts w:cs="Times New Roman"/>
          <w:bCs/>
          <w:lang w:eastAsia="en-AU"/>
        </w:rPr>
        <w:lastRenderedPageBreak/>
        <w:t xml:space="preserve">provide opportunities for </w:t>
      </w:r>
      <w:r w:rsidR="00526673">
        <w:rPr>
          <w:rFonts w:cs="Times New Roman"/>
          <w:bCs/>
          <w:lang w:eastAsia="en-AU"/>
        </w:rPr>
        <w:t>i</w:t>
      </w:r>
      <w:r w:rsidR="005C4F6E">
        <w:rPr>
          <w:rFonts w:cs="Times New Roman"/>
          <w:bCs/>
          <w:lang w:eastAsia="en-AU"/>
        </w:rPr>
        <w:t xml:space="preserve">nspectors to understand the ongoing operational environment and to share wider regulatory experience with the </w:t>
      </w:r>
      <w:r w:rsidR="001F7A0E">
        <w:rPr>
          <w:rFonts w:cs="Times New Roman"/>
          <w:bCs/>
          <w:lang w:eastAsia="en-AU"/>
        </w:rPr>
        <w:t>licence holder</w:t>
      </w:r>
      <w:r w:rsidR="005C4F6E">
        <w:rPr>
          <w:rFonts w:cs="Times New Roman"/>
          <w:bCs/>
          <w:lang w:eastAsia="en-AU"/>
        </w:rPr>
        <w:t>.</w:t>
      </w:r>
      <w:r w:rsidR="0040744F" w:rsidRPr="00A9092B">
        <w:rPr>
          <w:rFonts w:cs="Times New Roman"/>
          <w:bCs/>
          <w:lang w:eastAsia="en-AU"/>
        </w:rPr>
        <w:t xml:space="preserve"> Unlike an inspection, site visits </w:t>
      </w:r>
      <w:proofErr w:type="gramStart"/>
      <w:r w:rsidR="0040744F" w:rsidRPr="00A9092B">
        <w:rPr>
          <w:rFonts w:cs="Times New Roman"/>
          <w:bCs/>
          <w:lang w:eastAsia="en-AU"/>
        </w:rPr>
        <w:t>are not planned</w:t>
      </w:r>
      <w:proofErr w:type="gramEnd"/>
      <w:r w:rsidR="0040744F" w:rsidRPr="00A9092B">
        <w:rPr>
          <w:rFonts w:cs="Times New Roman"/>
          <w:bCs/>
          <w:lang w:eastAsia="en-AU"/>
        </w:rPr>
        <w:t xml:space="preserve"> weeks in advance and no </w:t>
      </w:r>
      <w:r w:rsidR="00C34B98">
        <w:rPr>
          <w:rFonts w:cs="Times New Roman"/>
          <w:bCs/>
          <w:lang w:eastAsia="en-AU"/>
        </w:rPr>
        <w:t xml:space="preserve">formal </w:t>
      </w:r>
      <w:r w:rsidR="0040744F" w:rsidRPr="00A9092B">
        <w:rPr>
          <w:rFonts w:cs="Times New Roman"/>
          <w:bCs/>
          <w:lang w:eastAsia="en-AU"/>
        </w:rPr>
        <w:t>report</w:t>
      </w:r>
      <w:r w:rsidR="00C34B98">
        <w:rPr>
          <w:rFonts w:cs="Times New Roman"/>
          <w:bCs/>
          <w:lang w:eastAsia="en-AU"/>
        </w:rPr>
        <w:t xml:space="preserve"> is issued to the </w:t>
      </w:r>
      <w:r w:rsidR="001F7A0E">
        <w:rPr>
          <w:rFonts w:cs="Times New Roman"/>
          <w:bCs/>
          <w:lang w:eastAsia="en-AU"/>
        </w:rPr>
        <w:t>licence holder</w:t>
      </w:r>
      <w:r w:rsidR="0040744F" w:rsidRPr="00A9092B">
        <w:rPr>
          <w:rFonts w:cs="Times New Roman"/>
          <w:bCs/>
          <w:lang w:eastAsia="en-AU"/>
        </w:rPr>
        <w:t xml:space="preserve">. </w:t>
      </w:r>
      <w:r w:rsidR="00C34B98">
        <w:rPr>
          <w:rFonts w:cs="Times New Roman"/>
          <w:bCs/>
          <w:lang w:eastAsia="en-AU"/>
        </w:rPr>
        <w:t>Instead, o</w:t>
      </w:r>
      <w:r w:rsidR="0040744F" w:rsidRPr="00A9092B">
        <w:rPr>
          <w:rFonts w:cs="Times New Roman"/>
          <w:bCs/>
          <w:lang w:eastAsia="en-AU"/>
        </w:rPr>
        <w:t xml:space="preserve">bservations </w:t>
      </w:r>
      <w:proofErr w:type="gramStart"/>
      <w:r w:rsidR="0040744F" w:rsidRPr="00A9092B">
        <w:rPr>
          <w:rFonts w:cs="Times New Roman"/>
          <w:bCs/>
          <w:lang w:eastAsia="en-AU"/>
        </w:rPr>
        <w:t xml:space="preserve">are </w:t>
      </w:r>
      <w:r w:rsidR="00526673">
        <w:rPr>
          <w:rFonts w:cs="Times New Roman"/>
          <w:bCs/>
          <w:lang w:eastAsia="en-AU"/>
        </w:rPr>
        <w:t>discussed</w:t>
      </w:r>
      <w:proofErr w:type="gramEnd"/>
      <w:r w:rsidR="00526673">
        <w:rPr>
          <w:rFonts w:cs="Times New Roman"/>
          <w:bCs/>
          <w:lang w:eastAsia="en-AU"/>
        </w:rPr>
        <w:t xml:space="preserve"> </w:t>
      </w:r>
      <w:r w:rsidR="0040744F" w:rsidRPr="00A9092B">
        <w:rPr>
          <w:rFonts w:cs="Times New Roman"/>
          <w:bCs/>
          <w:lang w:eastAsia="en-AU"/>
        </w:rPr>
        <w:t xml:space="preserve">with the </w:t>
      </w:r>
      <w:r w:rsidR="00526673">
        <w:rPr>
          <w:rFonts w:cs="Times New Roman"/>
          <w:bCs/>
          <w:lang w:eastAsia="en-AU"/>
        </w:rPr>
        <w:t>l</w:t>
      </w:r>
      <w:r w:rsidR="001F7A0E">
        <w:rPr>
          <w:rFonts w:cs="Times New Roman"/>
          <w:bCs/>
          <w:lang w:eastAsia="en-AU"/>
        </w:rPr>
        <w:t>icence holder</w:t>
      </w:r>
      <w:r w:rsidR="0040744F" w:rsidRPr="00A9092B">
        <w:rPr>
          <w:rFonts w:cs="Times New Roman"/>
          <w:bCs/>
          <w:lang w:eastAsia="en-AU"/>
        </w:rPr>
        <w:t xml:space="preserve"> before departure.</w:t>
      </w:r>
    </w:p>
    <w:p w14:paraId="512F67AE" w14:textId="6E4F21AD" w:rsidR="00FF570E" w:rsidRDefault="005012E9" w:rsidP="00C91FB5">
      <w:pPr>
        <w:widowControl w:val="0"/>
        <w:autoSpaceDE w:val="0"/>
        <w:autoSpaceDN w:val="0"/>
        <w:adjustRightInd w:val="0"/>
        <w:spacing w:after="120"/>
        <w:rPr>
          <w:rFonts w:cs="Times New Roman"/>
          <w:bCs/>
          <w:szCs w:val="24"/>
          <w:lang w:eastAsia="en-AU"/>
        </w:rPr>
      </w:pPr>
      <w:r>
        <w:rPr>
          <w:rFonts w:cs="Times New Roman"/>
          <w:bCs/>
          <w:szCs w:val="24"/>
          <w:lang w:eastAsia="en-AU"/>
        </w:rPr>
        <w:t>R</w:t>
      </w:r>
      <w:r w:rsidR="00FF570E">
        <w:rPr>
          <w:rFonts w:cs="Times New Roman"/>
          <w:bCs/>
          <w:szCs w:val="24"/>
          <w:lang w:eastAsia="en-AU"/>
        </w:rPr>
        <w:t xml:space="preserve">egular </w:t>
      </w:r>
      <w:r w:rsidR="00040F2C" w:rsidRPr="009B6339">
        <w:rPr>
          <w:rFonts w:cs="Times New Roman"/>
          <w:bCs/>
          <w:szCs w:val="24"/>
          <w:lang w:eastAsia="en-AU"/>
        </w:rPr>
        <w:t>m</w:t>
      </w:r>
      <w:r w:rsidR="000066C0" w:rsidRPr="009B6339">
        <w:rPr>
          <w:rFonts w:cs="Times New Roman"/>
          <w:bCs/>
          <w:szCs w:val="24"/>
          <w:lang w:eastAsia="en-AU"/>
        </w:rPr>
        <w:t xml:space="preserve">eetings </w:t>
      </w:r>
      <w:proofErr w:type="gramStart"/>
      <w:r w:rsidR="000066C0" w:rsidRPr="009B6339">
        <w:rPr>
          <w:rFonts w:cs="Times New Roman"/>
          <w:bCs/>
          <w:szCs w:val="24"/>
          <w:lang w:eastAsia="en-AU"/>
        </w:rPr>
        <w:t>are held</w:t>
      </w:r>
      <w:proofErr w:type="gramEnd"/>
      <w:r w:rsidR="000066C0" w:rsidRPr="009B6339">
        <w:rPr>
          <w:rFonts w:cs="Times New Roman"/>
          <w:bCs/>
          <w:szCs w:val="24"/>
          <w:lang w:eastAsia="en-AU"/>
        </w:rPr>
        <w:t xml:space="preserve"> with </w:t>
      </w:r>
      <w:r w:rsidR="00526673" w:rsidRPr="009B6339">
        <w:rPr>
          <w:rFonts w:cs="Times New Roman"/>
          <w:bCs/>
          <w:szCs w:val="24"/>
          <w:lang w:eastAsia="en-AU"/>
        </w:rPr>
        <w:t>l</w:t>
      </w:r>
      <w:r w:rsidR="001F7A0E" w:rsidRPr="009B6339">
        <w:rPr>
          <w:rFonts w:cs="Times New Roman"/>
          <w:bCs/>
          <w:szCs w:val="24"/>
          <w:lang w:eastAsia="en-AU"/>
        </w:rPr>
        <w:t>icence holder</w:t>
      </w:r>
      <w:r w:rsidR="000066C0" w:rsidRPr="009B6339">
        <w:rPr>
          <w:rFonts w:cs="Times New Roman"/>
          <w:bCs/>
          <w:szCs w:val="24"/>
          <w:lang w:eastAsia="en-AU"/>
        </w:rPr>
        <w:t xml:space="preserve">s to exchange information on regulatory matters such as upcoming legislative changes, licence applications or licensing and </w:t>
      </w:r>
      <w:r w:rsidR="00BB26CE">
        <w:rPr>
          <w:rFonts w:cs="Times New Roman"/>
          <w:bCs/>
          <w:szCs w:val="24"/>
          <w:lang w:eastAsia="en-AU"/>
        </w:rPr>
        <w:t xml:space="preserve">safety </w:t>
      </w:r>
      <w:r w:rsidR="000066C0" w:rsidRPr="009B6339">
        <w:rPr>
          <w:rFonts w:cs="Times New Roman"/>
          <w:bCs/>
          <w:szCs w:val="24"/>
          <w:lang w:eastAsia="en-AU"/>
        </w:rPr>
        <w:t>compliance issues. Examples of such established for</w:t>
      </w:r>
      <w:r w:rsidR="001E0A5A" w:rsidRPr="009B6339">
        <w:rPr>
          <w:rFonts w:cs="Times New Roman"/>
          <w:bCs/>
          <w:szCs w:val="24"/>
          <w:lang w:eastAsia="en-AU"/>
        </w:rPr>
        <w:t>ums</w:t>
      </w:r>
      <w:r w:rsidR="000066C0" w:rsidRPr="009B6339">
        <w:rPr>
          <w:rFonts w:cs="Times New Roman"/>
          <w:bCs/>
          <w:szCs w:val="24"/>
          <w:lang w:eastAsia="en-AU"/>
        </w:rPr>
        <w:t xml:space="preserve"> are the Defence-ARPANSA Liaison Forum (DALF) and </w:t>
      </w:r>
      <w:r w:rsidR="00FF570E">
        <w:rPr>
          <w:rFonts w:cs="Times New Roman"/>
          <w:bCs/>
          <w:szCs w:val="24"/>
          <w:lang w:eastAsia="en-AU"/>
        </w:rPr>
        <w:t xml:space="preserve">the </w:t>
      </w:r>
      <w:r w:rsidR="00526673" w:rsidRPr="00A70CB8">
        <w:rPr>
          <w:rFonts w:cs="Times New Roman"/>
          <w:bCs/>
          <w:szCs w:val="24"/>
          <w:lang w:eastAsia="en-AU"/>
        </w:rPr>
        <w:t xml:space="preserve">annual </w:t>
      </w:r>
      <w:r w:rsidR="00526673" w:rsidRPr="009B6339">
        <w:rPr>
          <w:rFonts w:cs="Times New Roman"/>
          <w:bCs/>
          <w:szCs w:val="24"/>
          <w:lang w:eastAsia="en-AU"/>
        </w:rPr>
        <w:t>l</w:t>
      </w:r>
      <w:r w:rsidR="001F7A0E" w:rsidRPr="009B6339">
        <w:rPr>
          <w:rFonts w:cs="Times New Roman"/>
          <w:bCs/>
          <w:szCs w:val="24"/>
          <w:lang w:eastAsia="en-AU"/>
        </w:rPr>
        <w:t>icence holder</w:t>
      </w:r>
      <w:r w:rsidR="000066C0" w:rsidRPr="009B6339">
        <w:rPr>
          <w:rFonts w:cs="Times New Roman"/>
          <w:bCs/>
          <w:szCs w:val="24"/>
          <w:lang w:eastAsia="en-AU"/>
        </w:rPr>
        <w:t xml:space="preserve"> </w:t>
      </w:r>
      <w:r w:rsidR="00526673" w:rsidRPr="009B6339">
        <w:rPr>
          <w:rFonts w:cs="Times New Roman"/>
          <w:bCs/>
          <w:szCs w:val="24"/>
          <w:lang w:eastAsia="en-AU"/>
        </w:rPr>
        <w:t>f</w:t>
      </w:r>
      <w:r w:rsidR="000066C0" w:rsidRPr="009B6339">
        <w:rPr>
          <w:rFonts w:cs="Times New Roman"/>
          <w:bCs/>
          <w:szCs w:val="24"/>
          <w:lang w:eastAsia="en-AU"/>
        </w:rPr>
        <w:t>orums</w:t>
      </w:r>
      <w:r w:rsidR="00C74FE4" w:rsidRPr="009B6339">
        <w:rPr>
          <w:rFonts w:cs="Times New Roman"/>
          <w:bCs/>
          <w:szCs w:val="24"/>
          <w:lang w:eastAsia="en-AU"/>
        </w:rPr>
        <w:t xml:space="preserve">. </w:t>
      </w:r>
    </w:p>
    <w:p w14:paraId="715DB624" w14:textId="4B3D38AE" w:rsidR="000066C0" w:rsidRPr="00A9092B" w:rsidRDefault="0036038A" w:rsidP="00C91FB5">
      <w:pPr>
        <w:widowControl w:val="0"/>
        <w:autoSpaceDE w:val="0"/>
        <w:autoSpaceDN w:val="0"/>
        <w:adjustRightInd w:val="0"/>
        <w:spacing w:after="120"/>
        <w:rPr>
          <w:rFonts w:cs="Times New Roman"/>
          <w:bCs/>
          <w:szCs w:val="24"/>
          <w:lang w:eastAsia="en-AU"/>
        </w:rPr>
      </w:pPr>
      <w:r w:rsidRPr="00A70CB8">
        <w:rPr>
          <w:rFonts w:cs="Times New Roman"/>
          <w:bCs/>
          <w:szCs w:val="24"/>
          <w:lang w:eastAsia="en-AU"/>
        </w:rPr>
        <w:t xml:space="preserve">Communication is a two-way process so these meetings are effective in helping ARPANSA understand </w:t>
      </w:r>
      <w:r w:rsidR="0091650B" w:rsidRPr="00A70CB8">
        <w:rPr>
          <w:rFonts w:cs="Times New Roman"/>
          <w:bCs/>
          <w:szCs w:val="24"/>
          <w:lang w:eastAsia="en-AU"/>
        </w:rPr>
        <w:t>regulatory impact</w:t>
      </w:r>
      <w:r w:rsidRPr="009B6339">
        <w:rPr>
          <w:rFonts w:cs="Times New Roman"/>
          <w:bCs/>
          <w:szCs w:val="24"/>
          <w:lang w:eastAsia="en-AU"/>
        </w:rPr>
        <w:t xml:space="preserve"> on a </w:t>
      </w:r>
      <w:r w:rsidR="001F7A0E" w:rsidRPr="009B6339">
        <w:rPr>
          <w:rFonts w:cs="Times New Roman"/>
          <w:bCs/>
          <w:szCs w:val="24"/>
          <w:lang w:eastAsia="en-AU"/>
        </w:rPr>
        <w:t>licence holder</w:t>
      </w:r>
      <w:r w:rsidRPr="009B6339">
        <w:rPr>
          <w:rFonts w:cs="Times New Roman"/>
          <w:bCs/>
          <w:szCs w:val="24"/>
          <w:lang w:eastAsia="en-AU"/>
        </w:rPr>
        <w:t xml:space="preserve"> and </w:t>
      </w:r>
      <w:r w:rsidR="0091650B" w:rsidRPr="009B6339">
        <w:rPr>
          <w:rFonts w:cs="Times New Roman"/>
          <w:bCs/>
          <w:szCs w:val="24"/>
          <w:lang w:eastAsia="en-AU"/>
        </w:rPr>
        <w:t xml:space="preserve">provides a forum for discussion of the benefits of regulatory action to the </w:t>
      </w:r>
      <w:r w:rsidR="001F7A0E" w:rsidRPr="009B6339">
        <w:rPr>
          <w:rFonts w:cs="Times New Roman"/>
          <w:bCs/>
          <w:szCs w:val="24"/>
          <w:lang w:eastAsia="en-AU"/>
        </w:rPr>
        <w:t>licence holder</w:t>
      </w:r>
      <w:r w:rsidR="0091650B" w:rsidRPr="009B6339">
        <w:rPr>
          <w:rFonts w:cs="Times New Roman"/>
          <w:bCs/>
          <w:szCs w:val="24"/>
          <w:lang w:eastAsia="en-AU"/>
        </w:rPr>
        <w:t xml:space="preserve"> </w:t>
      </w:r>
      <w:r w:rsidR="00215D03">
        <w:rPr>
          <w:rFonts w:cs="Times New Roman"/>
          <w:bCs/>
          <w:szCs w:val="24"/>
          <w:lang w:eastAsia="en-AU"/>
        </w:rPr>
        <w:t>itself</w:t>
      </w:r>
      <w:r w:rsidR="0091650B" w:rsidRPr="009B6339">
        <w:rPr>
          <w:rFonts w:cs="Times New Roman"/>
          <w:bCs/>
          <w:szCs w:val="24"/>
          <w:lang w:eastAsia="en-AU"/>
        </w:rPr>
        <w:t xml:space="preserve"> and to community safety more broadly.</w:t>
      </w:r>
      <w:r w:rsidRPr="009B6339">
        <w:rPr>
          <w:rFonts w:cs="Times New Roman"/>
          <w:bCs/>
          <w:szCs w:val="24"/>
          <w:lang w:eastAsia="en-AU"/>
        </w:rPr>
        <w:t xml:space="preserve"> </w:t>
      </w:r>
      <w:r w:rsidR="000066C0" w:rsidRPr="009B6339">
        <w:rPr>
          <w:rFonts w:cs="Times New Roman"/>
          <w:bCs/>
          <w:szCs w:val="24"/>
          <w:lang w:eastAsia="en-AU"/>
        </w:rPr>
        <w:t>The number and quality of meetings in a year and the feedback from these meetings will indicate if communication is effective.</w:t>
      </w:r>
    </w:p>
    <w:p w14:paraId="2800EF8B" w14:textId="2B312292" w:rsidR="00C61EAA" w:rsidRPr="00A9092B" w:rsidRDefault="00C61EAA" w:rsidP="00C91FB5">
      <w:pPr>
        <w:pStyle w:val="Heading3"/>
        <w:widowControl w:val="0"/>
        <w:rPr>
          <w:lang w:eastAsia="en-AU"/>
        </w:rPr>
      </w:pPr>
      <w:bookmarkStart w:id="18" w:name="_Toc470173144"/>
      <w:r w:rsidRPr="00A9092B">
        <w:rPr>
          <w:lang w:eastAsia="en-AU"/>
        </w:rPr>
        <w:t>Measures</w:t>
      </w:r>
      <w:bookmarkEnd w:id="18"/>
    </w:p>
    <w:p w14:paraId="5CC39B2B" w14:textId="3BE35EE1" w:rsidR="00B70C67" w:rsidRPr="00133CE8" w:rsidRDefault="00750674" w:rsidP="00C91FB5">
      <w:pPr>
        <w:pStyle w:val="Default"/>
        <w:widowControl w:val="0"/>
        <w:spacing w:after="120"/>
        <w:rPr>
          <w:rFonts w:ascii="Times New Roman" w:hAnsi="Times New Roman" w:cs="Times New Roman"/>
          <w:color w:val="auto"/>
          <w:szCs w:val="22"/>
        </w:rPr>
      </w:pPr>
      <w:r w:rsidRPr="00A9092B">
        <w:rPr>
          <w:rFonts w:ascii="Times New Roman" w:hAnsi="Times New Roman" w:cs="Times New Roman"/>
          <w:color w:val="auto"/>
          <w:szCs w:val="22"/>
        </w:rPr>
        <w:t>Communicate with regulated e</w:t>
      </w:r>
      <w:r w:rsidR="0047516F">
        <w:rPr>
          <w:rFonts w:ascii="Times New Roman" w:hAnsi="Times New Roman" w:cs="Times New Roman"/>
          <w:color w:val="auto"/>
          <w:szCs w:val="22"/>
        </w:rPr>
        <w:t>ntities clearly and effectively.</w:t>
      </w:r>
    </w:p>
    <w:p w14:paraId="5724A446" w14:textId="51F8E2B2" w:rsidR="00C61EAA" w:rsidRPr="00A9092B" w:rsidRDefault="00C61EAA" w:rsidP="00C91FB5">
      <w:pPr>
        <w:pStyle w:val="Heading3"/>
        <w:widowControl w:val="0"/>
        <w:rPr>
          <w:lang w:eastAsia="en-AU"/>
        </w:rPr>
      </w:pPr>
      <w:bookmarkStart w:id="19" w:name="_Toc470173145"/>
      <w:r w:rsidRPr="00A9092B">
        <w:rPr>
          <w:lang w:eastAsia="en-AU"/>
        </w:rPr>
        <w:t>Approved evidence metrics for KPI 2</w:t>
      </w:r>
      <w:bookmarkEnd w:id="19"/>
    </w:p>
    <w:tbl>
      <w:tblPr>
        <w:tblStyle w:val="TableGrid"/>
        <w:tblW w:w="9336" w:type="dxa"/>
        <w:tblLook w:val="04A0" w:firstRow="1" w:lastRow="0" w:firstColumn="1" w:lastColumn="0" w:noHBand="0" w:noVBand="1"/>
        <w:tblDescription w:val="Chapter 2.2.2 table contains a list of evidence metrics against Key Performance Indicator (KPI) 2.  This table contains 3 heading columns 1. Indicators, 2. Evidence and 3. Comment. "/>
      </w:tblPr>
      <w:tblGrid>
        <w:gridCol w:w="2601"/>
        <w:gridCol w:w="2618"/>
        <w:gridCol w:w="4117"/>
      </w:tblGrid>
      <w:tr w:rsidR="00C61EAA" w:rsidRPr="00173273" w14:paraId="6A35D8FD" w14:textId="77777777" w:rsidTr="00C15611">
        <w:trPr>
          <w:cantSplit/>
          <w:tblHeader/>
        </w:trPr>
        <w:tc>
          <w:tcPr>
            <w:tcW w:w="2601" w:type="dxa"/>
          </w:tcPr>
          <w:p w14:paraId="41AD2133" w14:textId="2B63C56B" w:rsidR="00C61EAA" w:rsidRPr="00173273" w:rsidRDefault="00C61EAA" w:rsidP="00EA634A">
            <w:pPr>
              <w:pStyle w:val="Tableheading"/>
              <w:rPr>
                <w:b w:val="0"/>
                <w:lang w:eastAsia="en-AU"/>
              </w:rPr>
            </w:pPr>
            <w:r w:rsidRPr="00173273">
              <w:rPr>
                <w:lang w:eastAsia="en-AU"/>
              </w:rPr>
              <w:t>Indicator</w:t>
            </w:r>
          </w:p>
        </w:tc>
        <w:tc>
          <w:tcPr>
            <w:tcW w:w="2618" w:type="dxa"/>
          </w:tcPr>
          <w:p w14:paraId="29DF7A78" w14:textId="77777777" w:rsidR="00C61EAA" w:rsidRPr="00173273" w:rsidRDefault="00C61EAA" w:rsidP="00EA634A">
            <w:pPr>
              <w:pStyle w:val="Tableheading"/>
              <w:rPr>
                <w:b w:val="0"/>
                <w:lang w:eastAsia="en-AU"/>
              </w:rPr>
            </w:pPr>
            <w:r w:rsidRPr="00173273">
              <w:rPr>
                <w:lang w:eastAsia="en-AU"/>
              </w:rPr>
              <w:t>Evidence</w:t>
            </w:r>
          </w:p>
        </w:tc>
        <w:tc>
          <w:tcPr>
            <w:tcW w:w="4117" w:type="dxa"/>
          </w:tcPr>
          <w:p w14:paraId="7D6A185E" w14:textId="77777777" w:rsidR="00C61EAA" w:rsidRPr="00173273" w:rsidRDefault="00C61EAA" w:rsidP="00EA634A">
            <w:pPr>
              <w:pStyle w:val="Tableheading"/>
              <w:rPr>
                <w:b w:val="0"/>
                <w:lang w:eastAsia="en-AU"/>
              </w:rPr>
            </w:pPr>
            <w:r w:rsidRPr="00173273">
              <w:rPr>
                <w:lang w:eastAsia="en-AU"/>
              </w:rPr>
              <w:t>Comment</w:t>
            </w:r>
          </w:p>
        </w:tc>
      </w:tr>
      <w:tr w:rsidR="00C61EAA" w:rsidRPr="00173273" w14:paraId="6187C835" w14:textId="77777777" w:rsidTr="00C15611">
        <w:trPr>
          <w:cantSplit/>
          <w:trHeight w:val="2623"/>
        </w:trPr>
        <w:tc>
          <w:tcPr>
            <w:tcW w:w="2601" w:type="dxa"/>
          </w:tcPr>
          <w:p w14:paraId="2ED25214" w14:textId="7BF9DF8D" w:rsidR="00C02C31" w:rsidRPr="00173273" w:rsidRDefault="0061105A" w:rsidP="00EA634A">
            <w:pPr>
              <w:pStyle w:val="Tabletext"/>
              <w:rPr>
                <w:lang w:eastAsia="en-AU"/>
              </w:rPr>
            </w:pPr>
            <w:proofErr w:type="gramStart"/>
            <w:r w:rsidRPr="00173273">
              <w:rPr>
                <w:lang w:eastAsia="en-AU"/>
              </w:rPr>
              <w:t xml:space="preserve">PI 2.1 </w:t>
            </w:r>
            <w:r w:rsidR="00173273">
              <w:rPr>
                <w:lang w:eastAsia="en-AU"/>
              </w:rPr>
              <w:t>–</w:t>
            </w:r>
            <w:r w:rsidRPr="00173273">
              <w:rPr>
                <w:lang w:eastAsia="en-AU"/>
              </w:rPr>
              <w:t xml:space="preserve"> </w:t>
            </w:r>
            <w:r w:rsidR="00C02C31" w:rsidRPr="00173273">
              <w:rPr>
                <w:lang w:eastAsia="en-AU"/>
              </w:rPr>
              <w:t>Percentage of stakeholder inspection feedback in which the positive outweighs the negative (customer satisfaction)</w:t>
            </w:r>
            <w:r w:rsidR="00257B72">
              <w:rPr>
                <w:lang w:eastAsia="en-AU"/>
              </w:rPr>
              <w:t>.</w:t>
            </w:r>
            <w:proofErr w:type="gramEnd"/>
          </w:p>
        </w:tc>
        <w:tc>
          <w:tcPr>
            <w:tcW w:w="2618" w:type="dxa"/>
          </w:tcPr>
          <w:p w14:paraId="01397A0C" w14:textId="542EC3E5" w:rsidR="00C02C31" w:rsidRPr="00173273" w:rsidRDefault="00EF3DA2" w:rsidP="00EA634A">
            <w:pPr>
              <w:pStyle w:val="Tabletext"/>
              <w:rPr>
                <w:lang w:eastAsia="en-AU"/>
              </w:rPr>
            </w:pPr>
            <w:r w:rsidRPr="00173273">
              <w:rPr>
                <w:noProof/>
                <w:lang w:eastAsia="en-AU"/>
              </w:rPr>
              <mc:AlternateContent>
                <mc:Choice Requires="wps">
                  <w:drawing>
                    <wp:inline distT="0" distB="0" distL="0" distR="0" wp14:anchorId="2475548B" wp14:editId="1B2876B7">
                      <wp:extent cx="101600" cy="118533"/>
                      <wp:effectExtent l="0" t="0" r="12700" b="15240"/>
                      <wp:docPr id="3" name="Oval 3"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" fillcolor="#9bbb59 [3206]" strokecolor="#4e6128 [1606]" strokeweight="2pt">
                      <w10:anchorlock/>
                    </v:oval>
                  </w:pict>
                </mc:Fallback>
              </mc:AlternateContent>
            </w:r>
            <w:r w:rsidR="00173273">
              <w:rPr>
                <w:lang w:eastAsia="en-AU"/>
              </w:rPr>
              <w:t xml:space="preserve"> </w:t>
            </w:r>
            <w:r w:rsidR="00C02C31" w:rsidRPr="00173273">
              <w:rPr>
                <w:lang w:eastAsia="en-AU"/>
              </w:rPr>
              <w:t>100% of surveys positive – exceeds target (75%).</w:t>
            </w:r>
          </w:p>
        </w:tc>
        <w:tc>
          <w:tcPr>
            <w:tcW w:w="4117" w:type="dxa"/>
          </w:tcPr>
          <w:p w14:paraId="150BC2C7" w14:textId="7D610F99" w:rsidR="001A2589" w:rsidRPr="00173273" w:rsidRDefault="003E598B" w:rsidP="00EA634A">
            <w:pPr>
              <w:pStyle w:val="Tabletext"/>
              <w:numPr>
                <w:ilvl w:val="0"/>
                <w:numId w:val="38"/>
              </w:numPr>
              <w:ind w:left="361"/>
              <w:rPr>
                <w:lang w:eastAsia="en-AU"/>
              </w:rPr>
            </w:pPr>
            <w:r w:rsidRPr="00173273">
              <w:rPr>
                <w:lang w:eastAsia="en-AU"/>
              </w:rPr>
              <w:t>A</w:t>
            </w:r>
            <w:r w:rsidR="007E003D" w:rsidRPr="00173273">
              <w:rPr>
                <w:lang w:eastAsia="en-AU"/>
              </w:rPr>
              <w:t xml:space="preserve"> PI </w:t>
            </w:r>
            <w:r w:rsidRPr="00173273">
              <w:rPr>
                <w:lang w:eastAsia="en-AU"/>
              </w:rPr>
              <w:t xml:space="preserve">based </w:t>
            </w:r>
            <w:r w:rsidR="007E003D" w:rsidRPr="00173273">
              <w:rPr>
                <w:lang w:eastAsia="en-AU"/>
              </w:rPr>
              <w:t xml:space="preserve">on a </w:t>
            </w:r>
            <w:r w:rsidRPr="00173273">
              <w:rPr>
                <w:lang w:eastAsia="en-AU"/>
              </w:rPr>
              <w:t>feedback</w:t>
            </w:r>
            <w:r w:rsidR="007E003D" w:rsidRPr="00173273">
              <w:rPr>
                <w:lang w:eastAsia="en-AU"/>
              </w:rPr>
              <w:t xml:space="preserve"> score</w:t>
            </w:r>
            <w:r w:rsidRPr="00173273">
              <w:rPr>
                <w:lang w:eastAsia="en-AU"/>
              </w:rPr>
              <w:t xml:space="preserve"> </w:t>
            </w:r>
            <w:r w:rsidR="007E003D" w:rsidRPr="00173273">
              <w:rPr>
                <w:lang w:eastAsia="en-AU"/>
              </w:rPr>
              <w:t>m</w:t>
            </w:r>
            <w:r w:rsidRPr="00173273">
              <w:rPr>
                <w:lang w:eastAsia="en-AU"/>
              </w:rPr>
              <w:t xml:space="preserve">ay be more </w:t>
            </w:r>
            <w:r w:rsidR="00F20A8F" w:rsidRPr="00173273">
              <w:rPr>
                <w:lang w:eastAsia="en-AU"/>
              </w:rPr>
              <w:t>representative, as negative feedback is unlikely to</w:t>
            </w:r>
            <w:r w:rsidR="001A2589" w:rsidRPr="00173273">
              <w:rPr>
                <w:lang w:eastAsia="en-AU"/>
              </w:rPr>
              <w:t xml:space="preserve"> outweigh positive</w:t>
            </w:r>
            <w:r w:rsidR="00F20A8F" w:rsidRPr="00173273">
              <w:rPr>
                <w:lang w:eastAsia="en-AU"/>
              </w:rPr>
              <w:t>.</w:t>
            </w:r>
          </w:p>
          <w:p w14:paraId="7F3C0A68" w14:textId="542B45FA" w:rsidR="001A2589" w:rsidRPr="00173273" w:rsidRDefault="006D1FE8" w:rsidP="00EA634A">
            <w:pPr>
              <w:pStyle w:val="Tabletext"/>
              <w:numPr>
                <w:ilvl w:val="0"/>
                <w:numId w:val="38"/>
              </w:numPr>
              <w:ind w:left="361"/>
              <w:rPr>
                <w:lang w:eastAsia="en-AU"/>
              </w:rPr>
            </w:pPr>
            <w:r w:rsidRPr="00173273">
              <w:rPr>
                <w:lang w:eastAsia="en-AU"/>
              </w:rPr>
              <w:t xml:space="preserve">There is no formal system for </w:t>
            </w:r>
            <w:r w:rsidR="00F20A8F" w:rsidRPr="00173273">
              <w:rPr>
                <w:lang w:eastAsia="en-AU"/>
              </w:rPr>
              <w:t xml:space="preserve">analysis leading </w:t>
            </w:r>
            <w:r w:rsidRPr="00173273">
              <w:rPr>
                <w:lang w:eastAsia="en-AU"/>
              </w:rPr>
              <w:t>to actions</w:t>
            </w:r>
            <w:r w:rsidR="00F20A8F" w:rsidRPr="00173273">
              <w:rPr>
                <w:lang w:eastAsia="en-AU"/>
              </w:rPr>
              <w:t xml:space="preserve"> </w:t>
            </w:r>
            <w:proofErr w:type="gramStart"/>
            <w:r w:rsidR="00F20A8F" w:rsidRPr="00173273">
              <w:rPr>
                <w:lang w:eastAsia="en-AU"/>
              </w:rPr>
              <w:t>being</w:t>
            </w:r>
            <w:r w:rsidR="001A2589" w:rsidRPr="00173273">
              <w:rPr>
                <w:lang w:eastAsia="en-AU"/>
              </w:rPr>
              <w:t xml:space="preserve"> taken</w:t>
            </w:r>
            <w:proofErr w:type="gramEnd"/>
            <w:r w:rsidR="001A2589" w:rsidRPr="00173273">
              <w:rPr>
                <w:lang w:eastAsia="en-AU"/>
              </w:rPr>
              <w:t xml:space="preserve"> on the feedback</w:t>
            </w:r>
            <w:r w:rsidR="00257B72">
              <w:rPr>
                <w:lang w:eastAsia="en-AU"/>
              </w:rPr>
              <w:t>.</w:t>
            </w:r>
          </w:p>
          <w:p w14:paraId="3D683360" w14:textId="3AA25FEE" w:rsidR="0030121B" w:rsidRPr="00173273" w:rsidRDefault="001A2589" w:rsidP="00EA634A">
            <w:pPr>
              <w:pStyle w:val="Tabletext"/>
              <w:numPr>
                <w:ilvl w:val="0"/>
                <w:numId w:val="38"/>
              </w:numPr>
              <w:ind w:left="361"/>
              <w:rPr>
                <w:lang w:eastAsia="en-AU"/>
              </w:rPr>
            </w:pPr>
            <w:r w:rsidRPr="00173273">
              <w:rPr>
                <w:lang w:eastAsia="en-AU"/>
              </w:rPr>
              <w:t>S</w:t>
            </w:r>
            <w:r w:rsidR="006D1FE8" w:rsidRPr="00173273">
              <w:rPr>
                <w:lang w:eastAsia="en-AU"/>
              </w:rPr>
              <w:t xml:space="preserve">ome negative feedback on the </w:t>
            </w:r>
            <w:r w:rsidR="00AB4AED" w:rsidRPr="00173273">
              <w:rPr>
                <w:lang w:eastAsia="en-AU"/>
              </w:rPr>
              <w:t>s</w:t>
            </w:r>
            <w:r w:rsidRPr="00173273">
              <w:rPr>
                <w:lang w:eastAsia="en-AU"/>
              </w:rPr>
              <w:t>urvey</w:t>
            </w:r>
            <w:r w:rsidR="006D1FE8" w:rsidRPr="00173273">
              <w:rPr>
                <w:lang w:eastAsia="en-AU"/>
              </w:rPr>
              <w:t xml:space="preserve"> system</w:t>
            </w:r>
            <w:r w:rsidRPr="00173273">
              <w:rPr>
                <w:lang w:eastAsia="en-AU"/>
              </w:rPr>
              <w:t xml:space="preserve"> </w:t>
            </w:r>
            <w:proofErr w:type="gramStart"/>
            <w:r w:rsidR="006D1FE8" w:rsidRPr="00173273">
              <w:rPr>
                <w:lang w:eastAsia="en-AU"/>
              </w:rPr>
              <w:t>was</w:t>
            </w:r>
            <w:r w:rsidRPr="00173273">
              <w:rPr>
                <w:lang w:eastAsia="en-AU"/>
              </w:rPr>
              <w:t xml:space="preserve"> reported</w:t>
            </w:r>
            <w:proofErr w:type="gramEnd"/>
            <w:r w:rsidR="006D1FE8" w:rsidRPr="00173273">
              <w:rPr>
                <w:lang w:eastAsia="en-AU"/>
              </w:rPr>
              <w:t>,</w:t>
            </w:r>
            <w:r w:rsidRPr="00173273">
              <w:rPr>
                <w:lang w:eastAsia="en-AU"/>
              </w:rPr>
              <w:t xml:space="preserve"> </w:t>
            </w:r>
            <w:r w:rsidR="006D1FE8" w:rsidRPr="00173273">
              <w:rPr>
                <w:lang w:eastAsia="en-AU"/>
              </w:rPr>
              <w:t>such as</w:t>
            </w:r>
            <w:r w:rsidRPr="00173273">
              <w:rPr>
                <w:lang w:eastAsia="en-AU"/>
              </w:rPr>
              <w:t xml:space="preserve"> repetitive</w:t>
            </w:r>
            <w:r w:rsidR="006D1FE8" w:rsidRPr="00173273">
              <w:rPr>
                <w:lang w:eastAsia="en-AU"/>
              </w:rPr>
              <w:t xml:space="preserve">, </w:t>
            </w:r>
            <w:r w:rsidRPr="00173273">
              <w:rPr>
                <w:lang w:eastAsia="en-AU"/>
              </w:rPr>
              <w:t>time</w:t>
            </w:r>
            <w:r w:rsidR="00AB4AED" w:rsidRPr="00173273">
              <w:rPr>
                <w:lang w:eastAsia="en-AU"/>
              </w:rPr>
              <w:t xml:space="preserve"> consuming and</w:t>
            </w:r>
            <w:r w:rsidR="006D1FE8" w:rsidRPr="00173273">
              <w:rPr>
                <w:lang w:eastAsia="en-AU"/>
              </w:rPr>
              <w:t xml:space="preserve"> a perceived</w:t>
            </w:r>
            <w:r w:rsidR="00AB4AED" w:rsidRPr="00173273">
              <w:rPr>
                <w:lang w:eastAsia="en-AU"/>
              </w:rPr>
              <w:t xml:space="preserve"> lack of</w:t>
            </w:r>
            <w:r w:rsidR="00F20A8F" w:rsidRPr="00173273">
              <w:rPr>
                <w:lang w:eastAsia="en-AU"/>
              </w:rPr>
              <w:t xml:space="preserve"> anonymity.</w:t>
            </w:r>
          </w:p>
        </w:tc>
      </w:tr>
      <w:tr w:rsidR="0030121B" w:rsidRPr="00173273" w14:paraId="67FC323D" w14:textId="77777777" w:rsidTr="00C15611">
        <w:trPr>
          <w:trHeight w:val="2016"/>
        </w:trPr>
        <w:tc>
          <w:tcPr>
            <w:tcW w:w="2601" w:type="dxa"/>
          </w:tcPr>
          <w:p w14:paraId="31188D65" w14:textId="3C020DA6" w:rsidR="0030121B" w:rsidRPr="00173273" w:rsidRDefault="0030121B" w:rsidP="00EA634A">
            <w:pPr>
              <w:pStyle w:val="Tabletext"/>
              <w:rPr>
                <w:lang w:eastAsia="en-AU"/>
              </w:rPr>
            </w:pPr>
            <w:proofErr w:type="gramStart"/>
            <w:r w:rsidRPr="00173273">
              <w:rPr>
                <w:lang w:eastAsia="en-AU"/>
              </w:rPr>
              <w:t xml:space="preserve">PI 2.2 </w:t>
            </w:r>
            <w:r w:rsidR="00173273">
              <w:rPr>
                <w:lang w:eastAsia="en-AU"/>
              </w:rPr>
              <w:t>–</w:t>
            </w:r>
            <w:r w:rsidRPr="00173273">
              <w:rPr>
                <w:lang w:eastAsia="en-AU"/>
              </w:rPr>
              <w:t xml:space="preserve"> Number of information sharing meetings with facility </w:t>
            </w:r>
            <w:r w:rsidR="001F7A0E" w:rsidRPr="00173273">
              <w:rPr>
                <w:lang w:eastAsia="en-AU"/>
              </w:rPr>
              <w:t>Licence holder</w:t>
            </w:r>
            <w:r w:rsidRPr="00173273">
              <w:rPr>
                <w:lang w:eastAsia="en-AU"/>
              </w:rPr>
              <w:t>s (effective communication)</w:t>
            </w:r>
            <w:r w:rsidR="00257B72">
              <w:rPr>
                <w:lang w:eastAsia="en-AU"/>
              </w:rPr>
              <w:t>.</w:t>
            </w:r>
            <w:proofErr w:type="gramEnd"/>
          </w:p>
        </w:tc>
        <w:tc>
          <w:tcPr>
            <w:tcW w:w="2618" w:type="dxa"/>
          </w:tcPr>
          <w:p w14:paraId="15F52400" w14:textId="35D262A9" w:rsidR="0030121B" w:rsidRPr="00173273" w:rsidRDefault="0030121B" w:rsidP="00EA634A">
            <w:pPr>
              <w:pStyle w:val="Tabletext"/>
              <w:rPr>
                <w:lang w:eastAsia="en-AU"/>
              </w:rPr>
            </w:pPr>
            <w:r w:rsidRPr="00173273">
              <w:rPr>
                <w:noProof/>
                <w:lang w:eastAsia="en-AU"/>
              </w:rPr>
              <mc:AlternateContent>
                <mc:Choice Requires="wps">
                  <w:drawing>
                    <wp:inline distT="0" distB="0" distL="0" distR="0" wp14:anchorId="6080C818" wp14:editId="7A5F1DB9">
                      <wp:extent cx="101600" cy="118533"/>
                      <wp:effectExtent l="0" t="0" r="12700" b="15240"/>
                      <wp:docPr id="28" name="Oval 28"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" fillcolor="#9bbb59 [3206]" strokecolor="#4e6128 [1606]" strokeweight="2pt">
                      <w10:anchorlock/>
                    </v:oval>
                  </w:pict>
                </mc:Fallback>
              </mc:AlternateContent>
            </w:r>
            <w:r w:rsidR="00173273">
              <w:rPr>
                <w:lang w:eastAsia="en-AU"/>
              </w:rPr>
              <w:t xml:space="preserve"> </w:t>
            </w:r>
            <w:r w:rsidRPr="00173273">
              <w:rPr>
                <w:lang w:eastAsia="en-AU"/>
              </w:rPr>
              <w:t xml:space="preserve">25 </w:t>
            </w:r>
            <w:proofErr w:type="gramStart"/>
            <w:r w:rsidRPr="00173273">
              <w:rPr>
                <w:lang w:eastAsia="en-AU"/>
              </w:rPr>
              <w:t>information sharing</w:t>
            </w:r>
            <w:proofErr w:type="gramEnd"/>
            <w:r w:rsidRPr="00173273">
              <w:rPr>
                <w:lang w:eastAsia="en-AU"/>
              </w:rPr>
              <w:t xml:space="preserve"> meetings held – exceeds target</w:t>
            </w:r>
            <w:r w:rsidR="00F45B25" w:rsidRPr="00173273">
              <w:rPr>
                <w:lang w:eastAsia="en-AU"/>
              </w:rPr>
              <w:t> </w:t>
            </w:r>
            <w:r w:rsidRPr="00173273">
              <w:rPr>
                <w:lang w:eastAsia="en-AU"/>
              </w:rPr>
              <w:t>(8)</w:t>
            </w:r>
            <w:r w:rsidR="00257B72">
              <w:rPr>
                <w:lang w:eastAsia="en-AU"/>
              </w:rPr>
              <w:t>.</w:t>
            </w:r>
          </w:p>
        </w:tc>
        <w:tc>
          <w:tcPr>
            <w:tcW w:w="4117" w:type="dxa"/>
          </w:tcPr>
          <w:p w14:paraId="759C3220" w14:textId="2740A4E0" w:rsidR="0030121B" w:rsidRPr="00173273" w:rsidRDefault="00E969FC" w:rsidP="00EA634A">
            <w:pPr>
              <w:pStyle w:val="Tabletext"/>
              <w:numPr>
                <w:ilvl w:val="0"/>
                <w:numId w:val="38"/>
              </w:numPr>
              <w:ind w:left="361"/>
              <w:rPr>
                <w:lang w:eastAsia="en-AU"/>
              </w:rPr>
            </w:pPr>
            <w:r w:rsidRPr="00173273">
              <w:rPr>
                <w:lang w:eastAsia="en-AU"/>
              </w:rPr>
              <w:t xml:space="preserve">Licence </w:t>
            </w:r>
            <w:r w:rsidR="001D2A42" w:rsidRPr="00173273">
              <w:rPr>
                <w:lang w:eastAsia="en-AU"/>
              </w:rPr>
              <w:t>h</w:t>
            </w:r>
            <w:r w:rsidRPr="00173273">
              <w:rPr>
                <w:lang w:eastAsia="en-AU"/>
              </w:rPr>
              <w:t>older</w:t>
            </w:r>
            <w:r w:rsidR="008542BF" w:rsidRPr="00173273">
              <w:rPr>
                <w:lang w:eastAsia="en-AU"/>
              </w:rPr>
              <w:t xml:space="preserve"> response indicates </w:t>
            </w:r>
            <w:r w:rsidR="00F24877" w:rsidRPr="00173273">
              <w:rPr>
                <w:lang w:eastAsia="en-AU"/>
              </w:rPr>
              <w:t xml:space="preserve">a growing satisfaction with the communication </w:t>
            </w:r>
            <w:r w:rsidR="007C2379" w:rsidRPr="00173273">
              <w:rPr>
                <w:lang w:eastAsia="en-AU"/>
              </w:rPr>
              <w:t>with</w:t>
            </w:r>
            <w:r w:rsidR="00F24877" w:rsidRPr="00173273">
              <w:rPr>
                <w:lang w:eastAsia="en-AU"/>
              </w:rPr>
              <w:t xml:space="preserve"> ARPANSA</w:t>
            </w:r>
            <w:r w:rsidR="008542BF" w:rsidRPr="00173273">
              <w:rPr>
                <w:lang w:eastAsia="en-AU"/>
              </w:rPr>
              <w:t>.</w:t>
            </w:r>
          </w:p>
          <w:p w14:paraId="7872D256" w14:textId="15348F24" w:rsidR="00011212" w:rsidRPr="00C15611" w:rsidRDefault="003C2B0E" w:rsidP="00EA634A">
            <w:pPr>
              <w:pStyle w:val="Tabletext"/>
              <w:numPr>
                <w:ilvl w:val="0"/>
                <w:numId w:val="38"/>
              </w:numPr>
              <w:ind w:left="361"/>
              <w:rPr>
                <w:lang w:eastAsia="en-AU"/>
              </w:rPr>
            </w:pPr>
            <w:proofErr w:type="gramStart"/>
            <w:r w:rsidRPr="00173273">
              <w:rPr>
                <w:lang w:eastAsia="en-AU"/>
              </w:rPr>
              <w:t>83</w:t>
            </w:r>
            <w:proofErr w:type="gramEnd"/>
            <w:r w:rsidRPr="00173273">
              <w:rPr>
                <w:lang w:eastAsia="en-AU"/>
              </w:rPr>
              <w:t xml:space="preserve"> </w:t>
            </w:r>
            <w:r w:rsidR="00011212" w:rsidRPr="00173273">
              <w:rPr>
                <w:lang w:eastAsia="en-AU"/>
              </w:rPr>
              <w:t xml:space="preserve">site visits </w:t>
            </w:r>
            <w:r w:rsidRPr="00173273">
              <w:rPr>
                <w:lang w:eastAsia="en-AU"/>
              </w:rPr>
              <w:t>we</w:t>
            </w:r>
            <w:r w:rsidR="00011212" w:rsidRPr="00173273">
              <w:rPr>
                <w:lang w:eastAsia="en-AU"/>
              </w:rPr>
              <w:t xml:space="preserve">re also an important tool for communication but are not included in this measure. </w:t>
            </w:r>
          </w:p>
        </w:tc>
      </w:tr>
    </w:tbl>
    <w:p w14:paraId="5C0CBE41" w14:textId="122FA1C0" w:rsidR="00C61EAA" w:rsidRPr="00A9092B" w:rsidRDefault="00C61EAA" w:rsidP="00C91FB5">
      <w:pPr>
        <w:pStyle w:val="Heading3"/>
        <w:widowControl w:val="0"/>
        <w:spacing w:before="200"/>
        <w:rPr>
          <w:lang w:eastAsia="en-AU"/>
        </w:rPr>
      </w:pPr>
      <w:bookmarkStart w:id="20" w:name="_Toc470173146"/>
      <w:r w:rsidRPr="00A9092B">
        <w:rPr>
          <w:lang w:eastAsia="en-AU"/>
        </w:rPr>
        <w:t>Other evidence to indicate compliance with KPI 2</w:t>
      </w:r>
      <w:bookmarkEnd w:id="20"/>
    </w:p>
    <w:p w14:paraId="0E9EDD11" w14:textId="4AECAADD" w:rsidR="00093408" w:rsidRDefault="00714989" w:rsidP="00C91FB5">
      <w:pPr>
        <w:widowControl w:val="0"/>
        <w:spacing w:after="120"/>
        <w:rPr>
          <w:rFonts w:cs="Times New Roman"/>
          <w:bCs/>
          <w:lang w:eastAsia="en-AU"/>
        </w:rPr>
      </w:pPr>
      <w:r w:rsidRPr="00A9092B">
        <w:rPr>
          <w:rFonts w:cs="Times New Roman"/>
          <w:bCs/>
          <w:lang w:eastAsia="en-AU"/>
        </w:rPr>
        <w:t xml:space="preserve">The </w:t>
      </w:r>
      <w:r w:rsidR="00FF570E">
        <w:rPr>
          <w:rFonts w:cs="Times New Roman"/>
          <w:bCs/>
          <w:lang w:eastAsia="en-AU"/>
        </w:rPr>
        <w:t>‘</w:t>
      </w:r>
      <w:r w:rsidR="00ED6CD4">
        <w:rPr>
          <w:rFonts w:cs="Times New Roman"/>
          <w:bCs/>
          <w:lang w:eastAsia="en-AU"/>
        </w:rPr>
        <w:t>n</w:t>
      </w:r>
      <w:r w:rsidRPr="00A9092B">
        <w:rPr>
          <w:rFonts w:cs="Times New Roman"/>
          <w:bCs/>
          <w:lang w:eastAsia="en-AU"/>
        </w:rPr>
        <w:t>o surprises</w:t>
      </w:r>
      <w:r w:rsidR="00FF570E">
        <w:rPr>
          <w:rFonts w:cs="Times New Roman"/>
          <w:bCs/>
          <w:lang w:eastAsia="en-AU"/>
        </w:rPr>
        <w:t>’</w:t>
      </w:r>
      <w:r w:rsidRPr="00A9092B">
        <w:rPr>
          <w:rFonts w:cs="Times New Roman"/>
          <w:bCs/>
          <w:lang w:eastAsia="en-AU"/>
        </w:rPr>
        <w:t xml:space="preserve"> policy, as defined in the </w:t>
      </w:r>
      <w:hyperlink r:id="rId14" w:history="1">
        <w:r w:rsidRPr="0036038A">
          <w:rPr>
            <w:rStyle w:val="Hyperlink"/>
            <w:rFonts w:cs="Times New Roman"/>
            <w:bCs/>
            <w:lang w:eastAsia="en-AU"/>
          </w:rPr>
          <w:t>Regulatory Delivery Model</w:t>
        </w:r>
      </w:hyperlink>
      <w:r w:rsidR="00093408">
        <w:rPr>
          <w:rFonts w:cs="Times New Roman"/>
          <w:bCs/>
          <w:lang w:eastAsia="en-AU"/>
        </w:rPr>
        <w:t xml:space="preserve"> (RDM)</w:t>
      </w:r>
      <w:r w:rsidRPr="00A9092B">
        <w:rPr>
          <w:rFonts w:cs="Times New Roman"/>
          <w:bCs/>
          <w:lang w:eastAsia="en-AU"/>
        </w:rPr>
        <w:t xml:space="preserve">, ensures that open and transparent communication takes place. </w:t>
      </w:r>
      <w:r w:rsidR="00215D03">
        <w:rPr>
          <w:rFonts w:cs="Times New Roman"/>
          <w:bCs/>
          <w:lang w:eastAsia="en-AU"/>
        </w:rPr>
        <w:t>Licence holder representatives</w:t>
      </w:r>
      <w:r w:rsidR="00093408">
        <w:rPr>
          <w:rFonts w:cs="Times New Roman"/>
          <w:bCs/>
          <w:lang w:eastAsia="en-AU"/>
        </w:rPr>
        <w:t xml:space="preserve"> </w:t>
      </w:r>
      <w:r w:rsidR="007544F8">
        <w:rPr>
          <w:rFonts w:cs="Times New Roman"/>
          <w:bCs/>
          <w:lang w:eastAsia="en-AU"/>
        </w:rPr>
        <w:t xml:space="preserve">reported </w:t>
      </w:r>
      <w:r w:rsidR="00093408">
        <w:rPr>
          <w:rFonts w:cs="Times New Roman"/>
          <w:bCs/>
          <w:lang w:eastAsia="en-AU"/>
        </w:rPr>
        <w:t xml:space="preserve">that since the </w:t>
      </w:r>
      <w:r w:rsidR="00747E56">
        <w:rPr>
          <w:rFonts w:cs="Times New Roman"/>
          <w:bCs/>
          <w:lang w:eastAsia="en-AU"/>
        </w:rPr>
        <w:t xml:space="preserve">delivery model </w:t>
      </w:r>
      <w:r w:rsidR="00093408">
        <w:rPr>
          <w:rFonts w:cs="Times New Roman"/>
          <w:bCs/>
          <w:lang w:eastAsia="en-AU"/>
        </w:rPr>
        <w:t xml:space="preserve">was introduced communication with ARPANSA had significantly improved. </w:t>
      </w:r>
    </w:p>
    <w:p w14:paraId="4E1EDFB5" w14:textId="2FDFBB32" w:rsidR="00945285" w:rsidRPr="00ED6CD4" w:rsidRDefault="000C2FF2" w:rsidP="00C91FB5">
      <w:pPr>
        <w:widowControl w:val="0"/>
        <w:spacing w:after="120"/>
        <w:rPr>
          <w:rFonts w:cs="Times New Roman"/>
          <w:bCs/>
          <w:lang w:eastAsia="en-AU"/>
        </w:rPr>
      </w:pPr>
      <w:r>
        <w:rPr>
          <w:rFonts w:cs="Times New Roman"/>
          <w:bCs/>
          <w:lang w:eastAsia="en-AU"/>
        </w:rPr>
        <w:t xml:space="preserve">ARPANSA updates </w:t>
      </w:r>
      <w:r w:rsidR="00945285">
        <w:rPr>
          <w:rFonts w:cs="Times New Roman"/>
          <w:bCs/>
          <w:lang w:eastAsia="en-AU"/>
        </w:rPr>
        <w:t xml:space="preserve">and publishes </w:t>
      </w:r>
      <w:r w:rsidR="0036038A">
        <w:rPr>
          <w:rFonts w:cs="Times New Roman"/>
          <w:bCs/>
          <w:lang w:eastAsia="en-AU"/>
        </w:rPr>
        <w:t>its</w:t>
      </w:r>
      <w:r>
        <w:rPr>
          <w:rFonts w:cs="Times New Roman"/>
          <w:bCs/>
          <w:lang w:eastAsia="en-AU"/>
        </w:rPr>
        <w:t xml:space="preserve"> inspection schedule</w:t>
      </w:r>
      <w:r w:rsidR="00A70CB8">
        <w:rPr>
          <w:rFonts w:cs="Times New Roman"/>
          <w:bCs/>
          <w:lang w:eastAsia="en-AU"/>
        </w:rPr>
        <w:t>s</w:t>
      </w:r>
      <w:r>
        <w:rPr>
          <w:rFonts w:cs="Times New Roman"/>
          <w:bCs/>
          <w:lang w:eastAsia="en-AU"/>
        </w:rPr>
        <w:t xml:space="preserve">. </w:t>
      </w:r>
      <w:r w:rsidR="00A70CB8">
        <w:rPr>
          <w:rFonts w:cs="Times New Roman"/>
          <w:bCs/>
          <w:szCs w:val="24"/>
          <w:lang w:eastAsia="en-AU"/>
        </w:rPr>
        <w:t>D</w:t>
      </w:r>
      <w:r w:rsidR="00945285" w:rsidRPr="00A9092B">
        <w:rPr>
          <w:rFonts w:cs="Times New Roman"/>
          <w:bCs/>
          <w:szCs w:val="24"/>
          <w:lang w:eastAsia="en-AU"/>
        </w:rPr>
        <w:t xml:space="preserve">ates for inspections </w:t>
      </w:r>
      <w:proofErr w:type="gramStart"/>
      <w:r w:rsidR="00945285" w:rsidRPr="00A9092B">
        <w:rPr>
          <w:rFonts w:cs="Times New Roman"/>
          <w:bCs/>
          <w:szCs w:val="24"/>
          <w:lang w:eastAsia="en-AU"/>
        </w:rPr>
        <w:t>are</w:t>
      </w:r>
      <w:r w:rsidR="00A70CB8">
        <w:rPr>
          <w:rFonts w:cs="Times New Roman"/>
          <w:bCs/>
          <w:szCs w:val="24"/>
          <w:lang w:eastAsia="en-AU"/>
        </w:rPr>
        <w:t xml:space="preserve"> </w:t>
      </w:r>
      <w:r w:rsidR="00945285" w:rsidRPr="00A9092B">
        <w:rPr>
          <w:rFonts w:cs="Times New Roman"/>
          <w:bCs/>
          <w:szCs w:val="24"/>
          <w:lang w:eastAsia="en-AU"/>
        </w:rPr>
        <w:t>agreed</w:t>
      </w:r>
      <w:proofErr w:type="gramEnd"/>
      <w:r w:rsidR="00945285" w:rsidRPr="00A9092B">
        <w:rPr>
          <w:rFonts w:cs="Times New Roman"/>
          <w:bCs/>
          <w:szCs w:val="24"/>
          <w:lang w:eastAsia="en-AU"/>
        </w:rPr>
        <w:t xml:space="preserve"> with </w:t>
      </w:r>
      <w:r w:rsidR="00215D03">
        <w:rPr>
          <w:rFonts w:cs="Times New Roman"/>
          <w:bCs/>
          <w:szCs w:val="24"/>
          <w:lang w:eastAsia="en-AU"/>
        </w:rPr>
        <w:t xml:space="preserve">a </w:t>
      </w:r>
      <w:r w:rsidR="00A70CB8">
        <w:rPr>
          <w:rFonts w:cs="Times New Roman"/>
          <w:bCs/>
          <w:szCs w:val="24"/>
          <w:lang w:eastAsia="en-AU"/>
        </w:rPr>
        <w:t>l</w:t>
      </w:r>
      <w:r w:rsidR="001F7A0E">
        <w:rPr>
          <w:rFonts w:cs="Times New Roman"/>
          <w:bCs/>
          <w:szCs w:val="24"/>
          <w:lang w:eastAsia="en-AU"/>
        </w:rPr>
        <w:t>icence holder</w:t>
      </w:r>
      <w:r w:rsidR="00945285" w:rsidRPr="00A9092B">
        <w:rPr>
          <w:rFonts w:cs="Times New Roman"/>
          <w:bCs/>
          <w:szCs w:val="24"/>
          <w:lang w:eastAsia="en-AU"/>
        </w:rPr>
        <w:t xml:space="preserve"> well in advance. </w:t>
      </w:r>
      <w:r>
        <w:rPr>
          <w:rFonts w:cs="Times New Roman"/>
          <w:bCs/>
          <w:lang w:eastAsia="en-AU"/>
        </w:rPr>
        <w:t xml:space="preserve">A formal </w:t>
      </w:r>
      <w:r w:rsidR="00714989" w:rsidRPr="00A9092B">
        <w:rPr>
          <w:rFonts w:cs="Times New Roman"/>
          <w:bCs/>
          <w:lang w:eastAsia="en-AU"/>
        </w:rPr>
        <w:t xml:space="preserve">notification </w:t>
      </w:r>
      <w:proofErr w:type="gramStart"/>
      <w:r>
        <w:rPr>
          <w:rFonts w:cs="Times New Roman"/>
          <w:bCs/>
          <w:lang w:eastAsia="en-AU"/>
        </w:rPr>
        <w:t>is sent</w:t>
      </w:r>
      <w:proofErr w:type="gramEnd"/>
      <w:r>
        <w:rPr>
          <w:rFonts w:cs="Times New Roman"/>
          <w:bCs/>
          <w:lang w:eastAsia="en-AU"/>
        </w:rPr>
        <w:t xml:space="preserve"> </w:t>
      </w:r>
      <w:r w:rsidR="00714989" w:rsidRPr="00A9092B">
        <w:rPr>
          <w:rFonts w:cs="Times New Roman"/>
          <w:bCs/>
          <w:lang w:eastAsia="en-AU"/>
        </w:rPr>
        <w:t xml:space="preserve">to the </w:t>
      </w:r>
      <w:r w:rsidR="00A70CB8">
        <w:rPr>
          <w:rFonts w:cs="Times New Roman"/>
          <w:bCs/>
          <w:lang w:eastAsia="en-AU"/>
        </w:rPr>
        <w:t>l</w:t>
      </w:r>
      <w:r w:rsidR="001F7A0E">
        <w:rPr>
          <w:rFonts w:cs="Times New Roman"/>
          <w:bCs/>
          <w:lang w:eastAsia="en-AU"/>
        </w:rPr>
        <w:t>icence holder</w:t>
      </w:r>
      <w:r w:rsidR="00714989" w:rsidRPr="00A9092B">
        <w:rPr>
          <w:rFonts w:cs="Times New Roman"/>
          <w:bCs/>
          <w:lang w:eastAsia="en-AU"/>
        </w:rPr>
        <w:t xml:space="preserve"> at least two weeks before the start of an inspection</w:t>
      </w:r>
      <w:r w:rsidR="00046DCC">
        <w:rPr>
          <w:rFonts w:cs="Times New Roman"/>
          <w:bCs/>
          <w:lang w:eastAsia="en-AU"/>
        </w:rPr>
        <w:t>. The notification includes</w:t>
      </w:r>
      <w:r w:rsidR="00714989" w:rsidRPr="00A9092B">
        <w:rPr>
          <w:rFonts w:cs="Times New Roman"/>
          <w:bCs/>
          <w:lang w:eastAsia="en-AU"/>
        </w:rPr>
        <w:t xml:space="preserve"> details such as when, who</w:t>
      </w:r>
      <w:r w:rsidR="007544F8">
        <w:rPr>
          <w:rFonts w:cs="Times New Roman"/>
          <w:bCs/>
          <w:lang w:eastAsia="en-AU"/>
        </w:rPr>
        <w:t>,</w:t>
      </w:r>
      <w:r w:rsidR="00B97AF7">
        <w:rPr>
          <w:rFonts w:cs="Times New Roman"/>
          <w:bCs/>
          <w:lang w:eastAsia="en-AU"/>
        </w:rPr>
        <w:t xml:space="preserve"> and</w:t>
      </w:r>
      <w:r w:rsidR="00714989" w:rsidRPr="00A9092B">
        <w:rPr>
          <w:rFonts w:cs="Times New Roman"/>
          <w:bCs/>
          <w:lang w:eastAsia="en-AU"/>
        </w:rPr>
        <w:t xml:space="preserve"> what </w:t>
      </w:r>
      <w:proofErr w:type="gramStart"/>
      <w:r w:rsidR="00714989" w:rsidRPr="00A9092B">
        <w:rPr>
          <w:rFonts w:cs="Times New Roman"/>
          <w:bCs/>
          <w:lang w:eastAsia="en-AU"/>
        </w:rPr>
        <w:t>will be inspected</w:t>
      </w:r>
      <w:proofErr w:type="gramEnd"/>
      <w:r w:rsidR="00A70CB8">
        <w:rPr>
          <w:rFonts w:cs="Times New Roman"/>
          <w:bCs/>
          <w:lang w:eastAsia="en-AU"/>
        </w:rPr>
        <w:t>,</w:t>
      </w:r>
      <w:r w:rsidR="00945285">
        <w:rPr>
          <w:rFonts w:cs="Times New Roman"/>
          <w:bCs/>
          <w:lang w:eastAsia="en-AU"/>
        </w:rPr>
        <w:t xml:space="preserve"> including the </w:t>
      </w:r>
      <w:hyperlink r:id="rId15" w:history="1">
        <w:r w:rsidR="003665E1" w:rsidRPr="001540FC">
          <w:rPr>
            <w:rStyle w:val="Hyperlink"/>
            <w:rFonts w:cs="Times New Roman"/>
            <w:bCs/>
            <w:szCs w:val="24"/>
            <w:lang w:eastAsia="en-AU"/>
          </w:rPr>
          <w:t>Performance Objectives and Criteria</w:t>
        </w:r>
      </w:hyperlink>
      <w:r w:rsidR="00E55ADF">
        <w:rPr>
          <w:rFonts w:cs="Times New Roman"/>
          <w:bCs/>
          <w:szCs w:val="24"/>
          <w:lang w:eastAsia="en-AU"/>
        </w:rPr>
        <w:t xml:space="preserve"> </w:t>
      </w:r>
      <w:r w:rsidR="00B97AF7">
        <w:rPr>
          <w:rFonts w:cs="Times New Roman"/>
          <w:bCs/>
          <w:lang w:eastAsia="en-AU"/>
        </w:rPr>
        <w:t>to be used</w:t>
      </w:r>
      <w:r w:rsidR="00714989" w:rsidRPr="00A9092B">
        <w:rPr>
          <w:rFonts w:cs="Times New Roman"/>
          <w:bCs/>
          <w:lang w:eastAsia="en-AU"/>
        </w:rPr>
        <w:t xml:space="preserve">. </w:t>
      </w:r>
    </w:p>
    <w:p w14:paraId="06A0B56C" w14:textId="6F810998" w:rsidR="00D67FD0" w:rsidRDefault="00857523" w:rsidP="00C91FB5">
      <w:pPr>
        <w:widowControl w:val="0"/>
        <w:spacing w:after="120"/>
        <w:rPr>
          <w:rFonts w:cs="Times New Roman"/>
          <w:bCs/>
          <w:lang w:eastAsia="en-AU"/>
        </w:rPr>
      </w:pPr>
      <w:r>
        <w:rPr>
          <w:rFonts w:cs="Times New Roman"/>
          <w:bCs/>
          <w:lang w:eastAsia="en-AU"/>
        </w:rPr>
        <w:lastRenderedPageBreak/>
        <w:t>Each</w:t>
      </w:r>
      <w:r w:rsidR="00714989" w:rsidRPr="00A9092B">
        <w:rPr>
          <w:rFonts w:cs="Times New Roman"/>
          <w:bCs/>
          <w:lang w:eastAsia="en-AU"/>
        </w:rPr>
        <w:t xml:space="preserve"> inspection includes an entrance and exit meeting involving appropriate staff from the licen</w:t>
      </w:r>
      <w:r w:rsidR="00747E56">
        <w:rPr>
          <w:rFonts w:cs="Times New Roman"/>
          <w:bCs/>
          <w:lang w:eastAsia="en-AU"/>
        </w:rPr>
        <w:t>s</w:t>
      </w:r>
      <w:r w:rsidR="00714989" w:rsidRPr="00A9092B">
        <w:rPr>
          <w:rFonts w:cs="Times New Roman"/>
          <w:bCs/>
          <w:lang w:eastAsia="en-AU"/>
        </w:rPr>
        <w:t>e</w:t>
      </w:r>
      <w:r w:rsidR="00747E56">
        <w:rPr>
          <w:rFonts w:cs="Times New Roman"/>
          <w:bCs/>
          <w:lang w:eastAsia="en-AU"/>
        </w:rPr>
        <w:t>d entity</w:t>
      </w:r>
      <w:r w:rsidR="00714989" w:rsidRPr="00A9092B">
        <w:rPr>
          <w:rFonts w:cs="Times New Roman"/>
          <w:bCs/>
          <w:lang w:eastAsia="en-AU"/>
        </w:rPr>
        <w:t>. The</w:t>
      </w:r>
      <w:r w:rsidR="00747E56">
        <w:rPr>
          <w:rFonts w:cs="Times New Roman"/>
          <w:bCs/>
          <w:lang w:eastAsia="en-AU"/>
        </w:rPr>
        <w:t>re should be no surprises at the</w:t>
      </w:r>
      <w:r w:rsidR="00714989" w:rsidRPr="00A9092B">
        <w:rPr>
          <w:rFonts w:cs="Times New Roman"/>
          <w:bCs/>
          <w:lang w:eastAsia="en-AU"/>
        </w:rPr>
        <w:t xml:space="preserve"> exit meeting because any </w:t>
      </w:r>
      <w:r w:rsidR="00747E56">
        <w:rPr>
          <w:rFonts w:cs="Times New Roman"/>
          <w:bCs/>
          <w:lang w:eastAsia="en-AU"/>
        </w:rPr>
        <w:t xml:space="preserve">significant </w:t>
      </w:r>
      <w:r w:rsidR="00714989" w:rsidRPr="00A9092B">
        <w:rPr>
          <w:rFonts w:cs="Times New Roman"/>
          <w:bCs/>
          <w:lang w:eastAsia="en-AU"/>
        </w:rPr>
        <w:t xml:space="preserve">findings </w:t>
      </w:r>
      <w:proofErr w:type="gramStart"/>
      <w:r w:rsidR="00747E56">
        <w:rPr>
          <w:rFonts w:cs="Times New Roman"/>
          <w:bCs/>
          <w:lang w:eastAsia="en-AU"/>
        </w:rPr>
        <w:t>sh</w:t>
      </w:r>
      <w:r w:rsidR="00714989" w:rsidRPr="00A9092B">
        <w:rPr>
          <w:rFonts w:cs="Times New Roman"/>
          <w:bCs/>
          <w:lang w:eastAsia="en-AU"/>
        </w:rPr>
        <w:t xml:space="preserve">ould </w:t>
      </w:r>
      <w:r w:rsidR="00747E56">
        <w:rPr>
          <w:rFonts w:cs="Times New Roman"/>
          <w:bCs/>
          <w:lang w:eastAsia="en-AU"/>
        </w:rPr>
        <w:t>be</w:t>
      </w:r>
      <w:r w:rsidR="00714989" w:rsidRPr="00A9092B">
        <w:rPr>
          <w:rFonts w:cs="Times New Roman"/>
          <w:bCs/>
          <w:lang w:eastAsia="en-AU"/>
        </w:rPr>
        <w:t xml:space="preserve"> discussed</w:t>
      </w:r>
      <w:proofErr w:type="gramEnd"/>
      <w:r w:rsidR="00714989" w:rsidRPr="00A9092B">
        <w:rPr>
          <w:rFonts w:cs="Times New Roman"/>
          <w:bCs/>
          <w:lang w:eastAsia="en-AU"/>
        </w:rPr>
        <w:t xml:space="preserve"> with staff </w:t>
      </w:r>
      <w:r w:rsidR="00504FF6">
        <w:rPr>
          <w:rFonts w:cs="Times New Roman"/>
          <w:bCs/>
          <w:lang w:eastAsia="en-AU"/>
        </w:rPr>
        <w:t>during the inspection</w:t>
      </w:r>
      <w:r w:rsidR="00714989" w:rsidRPr="00A9092B">
        <w:rPr>
          <w:rFonts w:cs="Times New Roman"/>
          <w:bCs/>
          <w:lang w:eastAsia="en-AU"/>
        </w:rPr>
        <w:t xml:space="preserve">. An effective exit meeting will result in agreement </w:t>
      </w:r>
      <w:r w:rsidR="00747E56">
        <w:rPr>
          <w:rFonts w:cs="Times New Roman"/>
          <w:bCs/>
          <w:lang w:eastAsia="en-AU"/>
        </w:rPr>
        <w:t xml:space="preserve">on </w:t>
      </w:r>
      <w:r w:rsidR="00714989" w:rsidRPr="00A9092B">
        <w:rPr>
          <w:rFonts w:cs="Times New Roman"/>
          <w:bCs/>
          <w:lang w:eastAsia="en-AU"/>
        </w:rPr>
        <w:t xml:space="preserve">the facts of </w:t>
      </w:r>
      <w:r w:rsidR="00747E56">
        <w:rPr>
          <w:rFonts w:cs="Times New Roman"/>
          <w:bCs/>
          <w:lang w:eastAsia="en-AU"/>
        </w:rPr>
        <w:t xml:space="preserve">any </w:t>
      </w:r>
      <w:r w:rsidR="00714989" w:rsidRPr="00A9092B">
        <w:rPr>
          <w:rFonts w:cs="Times New Roman"/>
          <w:bCs/>
          <w:lang w:eastAsia="en-AU"/>
        </w:rPr>
        <w:t>potential non-compliance and performance deficiencies</w:t>
      </w:r>
      <w:r w:rsidR="00747E56">
        <w:rPr>
          <w:rFonts w:cs="Times New Roman"/>
          <w:bCs/>
          <w:lang w:eastAsia="en-AU"/>
        </w:rPr>
        <w:t>,</w:t>
      </w:r>
      <w:r w:rsidR="00714989" w:rsidRPr="00A9092B">
        <w:rPr>
          <w:rFonts w:cs="Times New Roman"/>
          <w:bCs/>
          <w:lang w:eastAsia="en-AU"/>
        </w:rPr>
        <w:t xml:space="preserve"> </w:t>
      </w:r>
      <w:r w:rsidR="00ED6CD4">
        <w:rPr>
          <w:rFonts w:cs="Times New Roman"/>
          <w:bCs/>
          <w:lang w:eastAsia="en-AU"/>
        </w:rPr>
        <w:t>identif</w:t>
      </w:r>
      <w:r w:rsidR="00D67FD0">
        <w:rPr>
          <w:rFonts w:cs="Times New Roman"/>
          <w:bCs/>
          <w:lang w:eastAsia="en-AU"/>
        </w:rPr>
        <w:t>ication of</w:t>
      </w:r>
      <w:r w:rsidR="001F129C">
        <w:rPr>
          <w:rFonts w:cs="Times New Roman"/>
          <w:bCs/>
          <w:lang w:eastAsia="en-AU"/>
        </w:rPr>
        <w:t xml:space="preserve"> good practices</w:t>
      </w:r>
      <w:r w:rsidR="00747E56">
        <w:rPr>
          <w:rFonts w:cs="Times New Roman"/>
          <w:bCs/>
          <w:lang w:eastAsia="en-AU"/>
        </w:rPr>
        <w:t>,</w:t>
      </w:r>
      <w:r w:rsidR="001F129C">
        <w:rPr>
          <w:rFonts w:cs="Times New Roman"/>
          <w:bCs/>
          <w:lang w:eastAsia="en-AU"/>
        </w:rPr>
        <w:t xml:space="preserve"> </w:t>
      </w:r>
      <w:r w:rsidR="00714989" w:rsidRPr="00A9092B">
        <w:rPr>
          <w:rFonts w:cs="Times New Roman"/>
          <w:bCs/>
          <w:lang w:eastAsia="en-AU"/>
        </w:rPr>
        <w:t xml:space="preserve">and clear expectations for both the </w:t>
      </w:r>
      <w:r w:rsidR="00747E56">
        <w:rPr>
          <w:rFonts w:cs="Times New Roman"/>
          <w:bCs/>
          <w:lang w:eastAsia="en-AU"/>
        </w:rPr>
        <w:t>l</w:t>
      </w:r>
      <w:r w:rsidR="001F7A0E">
        <w:rPr>
          <w:rFonts w:cs="Times New Roman"/>
          <w:bCs/>
          <w:lang w:eastAsia="en-AU"/>
        </w:rPr>
        <w:t>icence holder</w:t>
      </w:r>
      <w:r w:rsidR="00714989" w:rsidRPr="00A9092B">
        <w:rPr>
          <w:rFonts w:cs="Times New Roman"/>
          <w:bCs/>
          <w:lang w:eastAsia="en-AU"/>
        </w:rPr>
        <w:t xml:space="preserve"> and the regulator.</w:t>
      </w:r>
      <w:r w:rsidR="005C3290">
        <w:rPr>
          <w:rFonts w:cs="Times New Roman"/>
          <w:bCs/>
          <w:lang w:eastAsia="en-AU"/>
        </w:rPr>
        <w:t xml:space="preserve"> </w:t>
      </w:r>
      <w:r w:rsidR="00E921FE">
        <w:rPr>
          <w:rFonts w:cs="Times New Roman"/>
          <w:bCs/>
          <w:lang w:eastAsia="en-AU"/>
        </w:rPr>
        <w:t>During the self-assessment, t</w:t>
      </w:r>
      <w:r w:rsidR="005C3290">
        <w:rPr>
          <w:rFonts w:cs="Times New Roman"/>
          <w:bCs/>
          <w:lang w:eastAsia="en-AU"/>
        </w:rPr>
        <w:t xml:space="preserve">he team observed two inspections and spoke with </w:t>
      </w:r>
      <w:r w:rsidR="00747E56">
        <w:rPr>
          <w:rFonts w:cs="Times New Roman"/>
          <w:bCs/>
          <w:lang w:eastAsia="en-AU"/>
        </w:rPr>
        <w:t>l</w:t>
      </w:r>
      <w:r w:rsidR="001F7A0E">
        <w:rPr>
          <w:rFonts w:cs="Times New Roman"/>
          <w:bCs/>
          <w:lang w:eastAsia="en-AU"/>
        </w:rPr>
        <w:t>icence holder</w:t>
      </w:r>
      <w:r w:rsidR="005C3290">
        <w:rPr>
          <w:rFonts w:cs="Times New Roman"/>
          <w:bCs/>
          <w:lang w:eastAsia="en-AU"/>
        </w:rPr>
        <w:t xml:space="preserve"> staff </w:t>
      </w:r>
      <w:proofErr w:type="gramStart"/>
      <w:r w:rsidR="00747E56">
        <w:rPr>
          <w:rFonts w:cs="Times New Roman"/>
          <w:bCs/>
          <w:lang w:eastAsia="en-AU"/>
        </w:rPr>
        <w:t>who</w:t>
      </w:r>
      <w:proofErr w:type="gramEnd"/>
      <w:r w:rsidR="005C3290">
        <w:rPr>
          <w:rFonts w:cs="Times New Roman"/>
          <w:bCs/>
          <w:lang w:eastAsia="en-AU"/>
        </w:rPr>
        <w:t xml:space="preserve"> confirmed that communication during and at the close of inspections was effective.</w:t>
      </w:r>
      <w:r w:rsidR="00ED6CD4">
        <w:rPr>
          <w:rFonts w:cs="Times New Roman"/>
          <w:bCs/>
          <w:lang w:eastAsia="en-AU"/>
        </w:rPr>
        <w:t xml:space="preserve"> </w:t>
      </w:r>
    </w:p>
    <w:p w14:paraId="48DF50ED" w14:textId="62EC2D2E" w:rsidR="004C2877" w:rsidRPr="00A9092B" w:rsidRDefault="005C3290" w:rsidP="00C91FB5">
      <w:pPr>
        <w:widowControl w:val="0"/>
        <w:spacing w:after="120"/>
        <w:rPr>
          <w:rFonts w:cs="Times New Roman"/>
          <w:bCs/>
          <w:lang w:eastAsia="en-AU"/>
        </w:rPr>
      </w:pPr>
      <w:r>
        <w:rPr>
          <w:rFonts w:cs="Times New Roman"/>
          <w:bCs/>
          <w:lang w:eastAsia="en-AU"/>
        </w:rPr>
        <w:t>In addition to the inspection environment, without</w:t>
      </w:r>
      <w:r w:rsidR="004C2877" w:rsidRPr="00A9092B">
        <w:rPr>
          <w:rFonts w:cs="Times New Roman"/>
          <w:bCs/>
          <w:lang w:eastAsia="en-AU"/>
        </w:rPr>
        <w:t xml:space="preserve"> exception, </w:t>
      </w:r>
      <w:r w:rsidR="00215D03">
        <w:rPr>
          <w:rFonts w:cs="Times New Roman"/>
          <w:bCs/>
          <w:lang w:eastAsia="en-AU"/>
        </w:rPr>
        <w:t>licence holder representatives</w:t>
      </w:r>
      <w:r w:rsidR="004C2877" w:rsidRPr="00A9092B">
        <w:rPr>
          <w:rFonts w:cs="Times New Roman"/>
          <w:bCs/>
          <w:lang w:eastAsia="en-AU"/>
        </w:rPr>
        <w:t xml:space="preserve"> reported communication and services from ARPANSA had improved since the introduction of the new delivery model in December 2014</w:t>
      </w:r>
      <w:r w:rsidR="0025300A" w:rsidRPr="00A9092B">
        <w:rPr>
          <w:rFonts w:cs="Times New Roman"/>
          <w:bCs/>
          <w:lang w:eastAsia="en-AU"/>
        </w:rPr>
        <w:t>.</w:t>
      </w:r>
      <w:r w:rsidR="00945285">
        <w:rPr>
          <w:rFonts w:cs="Times New Roman"/>
          <w:bCs/>
          <w:lang w:eastAsia="en-AU"/>
        </w:rPr>
        <w:t xml:space="preserve"> </w:t>
      </w:r>
      <w:r w:rsidR="00397E29">
        <w:rPr>
          <w:rFonts w:cs="Times New Roman"/>
          <w:bCs/>
          <w:lang w:eastAsia="en-AU"/>
        </w:rPr>
        <w:t xml:space="preserve">The results of inspection surveys and feedback provided to the ARPANSA self-assessment team indicated </w:t>
      </w:r>
      <w:r w:rsidR="00945285">
        <w:rPr>
          <w:rFonts w:cs="Times New Roman"/>
          <w:bCs/>
          <w:lang w:eastAsia="en-AU"/>
        </w:rPr>
        <w:t>general</w:t>
      </w:r>
      <w:r w:rsidR="00397E29">
        <w:rPr>
          <w:rFonts w:cs="Times New Roman"/>
          <w:bCs/>
          <w:lang w:eastAsia="en-AU"/>
        </w:rPr>
        <w:t xml:space="preserve"> satisfaction with the inspection process</w:t>
      </w:r>
      <w:r w:rsidR="00D67FD0">
        <w:rPr>
          <w:rFonts w:cs="Times New Roman"/>
          <w:bCs/>
          <w:lang w:eastAsia="en-AU"/>
        </w:rPr>
        <w:t>.</w:t>
      </w:r>
      <w:r w:rsidR="00407859">
        <w:rPr>
          <w:rFonts w:cs="Times New Roman"/>
          <w:bCs/>
          <w:lang w:eastAsia="en-AU"/>
        </w:rPr>
        <w:t xml:space="preserve"> </w:t>
      </w:r>
      <w:r w:rsidR="00215D03">
        <w:rPr>
          <w:rFonts w:cs="Times New Roman"/>
          <w:bCs/>
          <w:lang w:eastAsia="en-AU"/>
        </w:rPr>
        <w:t>Licence holder representatives</w:t>
      </w:r>
      <w:r w:rsidR="00D67FD0">
        <w:rPr>
          <w:rFonts w:cs="Times New Roman"/>
          <w:bCs/>
          <w:lang w:eastAsia="en-AU"/>
        </w:rPr>
        <w:t xml:space="preserve"> also welcomed the i</w:t>
      </w:r>
      <w:r w:rsidR="007B41C8">
        <w:rPr>
          <w:rFonts w:cs="Times New Roman"/>
          <w:bCs/>
          <w:lang w:eastAsia="en-AU"/>
        </w:rPr>
        <w:t>ntroduction of</w:t>
      </w:r>
      <w:r w:rsidR="00397E29">
        <w:rPr>
          <w:rFonts w:cs="Times New Roman"/>
          <w:bCs/>
          <w:lang w:eastAsia="en-AU"/>
        </w:rPr>
        <w:t xml:space="preserve"> </w:t>
      </w:r>
      <w:r w:rsidR="00ED6CD4">
        <w:rPr>
          <w:rFonts w:cs="Times New Roman"/>
          <w:bCs/>
          <w:lang w:eastAsia="en-AU"/>
        </w:rPr>
        <w:t xml:space="preserve">the </w:t>
      </w:r>
      <w:r w:rsidR="00223D17">
        <w:rPr>
          <w:rFonts w:cs="Times New Roman"/>
          <w:bCs/>
          <w:lang w:eastAsia="en-AU"/>
        </w:rPr>
        <w:t xml:space="preserve">performance objectives </w:t>
      </w:r>
      <w:r w:rsidR="00397E29">
        <w:rPr>
          <w:rFonts w:cs="Times New Roman"/>
          <w:bCs/>
          <w:lang w:eastAsia="en-AU"/>
        </w:rPr>
        <w:t xml:space="preserve">and criteria. </w:t>
      </w:r>
      <w:r w:rsidR="0056176A">
        <w:rPr>
          <w:rFonts w:cs="Times New Roman"/>
          <w:bCs/>
          <w:lang w:eastAsia="en-AU"/>
        </w:rPr>
        <w:t>Responses to a</w:t>
      </w:r>
      <w:r w:rsidR="003C2B0E">
        <w:rPr>
          <w:rFonts w:cs="Times New Roman"/>
          <w:bCs/>
          <w:lang w:eastAsia="en-AU"/>
        </w:rPr>
        <w:t xml:space="preserve"> </w:t>
      </w:r>
      <w:r w:rsidR="00172294">
        <w:rPr>
          <w:rFonts w:cs="Times New Roman"/>
          <w:bCs/>
          <w:lang w:eastAsia="en-AU"/>
        </w:rPr>
        <w:t xml:space="preserve">survey following a </w:t>
      </w:r>
      <w:r w:rsidR="001F7A0E">
        <w:rPr>
          <w:rFonts w:cs="Times New Roman"/>
          <w:bCs/>
          <w:lang w:eastAsia="en-AU"/>
        </w:rPr>
        <w:t>licence holder</w:t>
      </w:r>
      <w:r w:rsidR="003C2B0E">
        <w:rPr>
          <w:rFonts w:cs="Times New Roman"/>
          <w:bCs/>
          <w:lang w:eastAsia="en-AU"/>
        </w:rPr>
        <w:t xml:space="preserve"> forum </w:t>
      </w:r>
      <w:r w:rsidR="00172294">
        <w:rPr>
          <w:rFonts w:cs="Times New Roman"/>
          <w:bCs/>
          <w:lang w:eastAsia="en-AU"/>
        </w:rPr>
        <w:t xml:space="preserve">showed that </w:t>
      </w:r>
      <w:r w:rsidR="001F7A0E">
        <w:rPr>
          <w:rFonts w:cs="Times New Roman"/>
          <w:bCs/>
          <w:lang w:eastAsia="en-AU"/>
        </w:rPr>
        <w:t>licence holder</w:t>
      </w:r>
      <w:r w:rsidR="003C2B0E">
        <w:rPr>
          <w:rFonts w:cs="Times New Roman"/>
          <w:bCs/>
          <w:lang w:eastAsia="en-AU"/>
        </w:rPr>
        <w:t>s</w:t>
      </w:r>
      <w:r w:rsidR="00172294">
        <w:rPr>
          <w:rFonts w:cs="Times New Roman"/>
          <w:bCs/>
          <w:lang w:eastAsia="en-AU"/>
        </w:rPr>
        <w:t xml:space="preserve"> </w:t>
      </w:r>
      <w:r w:rsidR="000836EE">
        <w:rPr>
          <w:rFonts w:cs="Times New Roman"/>
          <w:bCs/>
          <w:lang w:eastAsia="en-AU"/>
        </w:rPr>
        <w:t>appreciated the communication opportunities this had provided</w:t>
      </w:r>
      <w:r w:rsidR="00ED6CD4">
        <w:rPr>
          <w:rFonts w:cs="Times New Roman"/>
          <w:bCs/>
          <w:lang w:eastAsia="en-AU"/>
        </w:rPr>
        <w:t>,</w:t>
      </w:r>
      <w:r w:rsidR="000836EE">
        <w:rPr>
          <w:rFonts w:cs="Times New Roman"/>
          <w:bCs/>
          <w:lang w:eastAsia="en-AU"/>
        </w:rPr>
        <w:t xml:space="preserve"> both with ARPANSA and between </w:t>
      </w:r>
      <w:r w:rsidR="001F7A0E">
        <w:rPr>
          <w:rFonts w:cs="Times New Roman"/>
          <w:bCs/>
          <w:lang w:eastAsia="en-AU"/>
        </w:rPr>
        <w:t>licence holder</w:t>
      </w:r>
      <w:r w:rsidR="000836EE">
        <w:rPr>
          <w:rFonts w:cs="Times New Roman"/>
          <w:bCs/>
          <w:lang w:eastAsia="en-AU"/>
        </w:rPr>
        <w:t>s</w:t>
      </w:r>
      <w:r w:rsidR="003C2B0E">
        <w:rPr>
          <w:rFonts w:cs="Times New Roman"/>
          <w:bCs/>
          <w:lang w:eastAsia="en-AU"/>
        </w:rPr>
        <w:t xml:space="preserve">. </w:t>
      </w:r>
    </w:p>
    <w:p w14:paraId="31B9087E" w14:textId="3F244807" w:rsidR="00E722FA" w:rsidRDefault="00B5094A" w:rsidP="00C91FB5">
      <w:pPr>
        <w:widowControl w:val="0"/>
        <w:spacing w:after="120"/>
        <w:rPr>
          <w:rFonts w:cs="Times New Roman"/>
          <w:bCs/>
          <w:lang w:eastAsia="en-AU"/>
        </w:rPr>
      </w:pPr>
      <w:r>
        <w:rPr>
          <w:rFonts w:cs="Times New Roman"/>
          <w:bCs/>
          <w:lang w:eastAsia="en-AU"/>
        </w:rPr>
        <w:t>A</w:t>
      </w:r>
      <w:r w:rsidR="00714989" w:rsidRPr="00A9092B">
        <w:rPr>
          <w:rFonts w:cs="Times New Roman"/>
          <w:bCs/>
          <w:lang w:eastAsia="en-AU"/>
        </w:rPr>
        <w:t>s demonstrated by PI</w:t>
      </w:r>
      <w:r w:rsidR="005630CE">
        <w:rPr>
          <w:rFonts w:cs="Times New Roman"/>
          <w:bCs/>
          <w:lang w:eastAsia="en-AU"/>
        </w:rPr>
        <w:t xml:space="preserve"> </w:t>
      </w:r>
      <w:r w:rsidR="00714989" w:rsidRPr="00A9092B">
        <w:rPr>
          <w:rFonts w:cs="Times New Roman"/>
          <w:bCs/>
          <w:lang w:eastAsia="en-AU"/>
        </w:rPr>
        <w:t>5.2</w:t>
      </w:r>
      <w:r w:rsidR="00E44363">
        <w:rPr>
          <w:rFonts w:cs="Times New Roman"/>
          <w:bCs/>
          <w:lang w:eastAsia="en-AU"/>
        </w:rPr>
        <w:t>,</w:t>
      </w:r>
      <w:r w:rsidR="00714989" w:rsidRPr="00A9092B">
        <w:rPr>
          <w:rFonts w:cs="Times New Roman"/>
          <w:bCs/>
          <w:lang w:eastAsia="en-AU"/>
        </w:rPr>
        <w:t xml:space="preserve"> 100% of codes and standards developed in this financial year included consultation with </w:t>
      </w:r>
      <w:r w:rsidR="00D67FD0">
        <w:rPr>
          <w:rFonts w:cs="Times New Roman"/>
          <w:bCs/>
          <w:lang w:eastAsia="en-AU"/>
        </w:rPr>
        <w:t>l</w:t>
      </w:r>
      <w:r w:rsidR="001F7A0E">
        <w:rPr>
          <w:rFonts w:cs="Times New Roman"/>
          <w:bCs/>
          <w:lang w:eastAsia="en-AU"/>
        </w:rPr>
        <w:t>icence holder</w:t>
      </w:r>
      <w:r w:rsidR="006373B8" w:rsidRPr="00A9092B">
        <w:rPr>
          <w:rFonts w:cs="Times New Roman"/>
          <w:bCs/>
          <w:lang w:eastAsia="en-AU"/>
        </w:rPr>
        <w:t>s.</w:t>
      </w:r>
    </w:p>
    <w:p w14:paraId="448EDE65" w14:textId="277E79A4" w:rsidR="00E722FA" w:rsidRDefault="00C61EAA" w:rsidP="00C91FB5">
      <w:pPr>
        <w:pStyle w:val="Heading3"/>
        <w:widowControl w:val="0"/>
        <w:rPr>
          <w:lang w:eastAsia="en-AU"/>
        </w:rPr>
      </w:pPr>
      <w:bookmarkStart w:id="21" w:name="_Toc470173147"/>
      <w:r w:rsidRPr="00A9092B">
        <w:rPr>
          <w:lang w:eastAsia="en-AU"/>
        </w:rPr>
        <w:t>Analysis of evidence presented</w:t>
      </w:r>
      <w:bookmarkEnd w:id="21"/>
    </w:p>
    <w:p w14:paraId="16E6A91B" w14:textId="76AB9B8E" w:rsidR="00E921C3" w:rsidRPr="00A9092B" w:rsidRDefault="00E921C3" w:rsidP="00C91FB5">
      <w:pPr>
        <w:widowControl w:val="0"/>
        <w:spacing w:after="120"/>
        <w:rPr>
          <w:rFonts w:cs="Times New Roman"/>
          <w:b/>
          <w:bCs/>
          <w:szCs w:val="24"/>
          <w:lang w:eastAsia="en-AU"/>
        </w:rPr>
      </w:pPr>
      <w:r w:rsidRPr="008077B9">
        <w:rPr>
          <w:szCs w:val="24"/>
        </w:rPr>
        <w:t>Overall</w:t>
      </w:r>
      <w:r w:rsidR="009B6339">
        <w:rPr>
          <w:szCs w:val="24"/>
        </w:rPr>
        <w:t>,</w:t>
      </w:r>
      <w:r w:rsidRPr="008077B9">
        <w:rPr>
          <w:szCs w:val="24"/>
        </w:rPr>
        <w:t xml:space="preserve"> </w:t>
      </w:r>
      <w:r>
        <w:rPr>
          <w:szCs w:val="24"/>
        </w:rPr>
        <w:t xml:space="preserve">performance </w:t>
      </w:r>
      <w:r w:rsidR="005C1525">
        <w:rPr>
          <w:szCs w:val="24"/>
        </w:rPr>
        <w:t xml:space="preserve">against this KPI </w:t>
      </w:r>
      <w:proofErr w:type="gramStart"/>
      <w:r>
        <w:rPr>
          <w:szCs w:val="24"/>
        </w:rPr>
        <w:t>was assessed</w:t>
      </w:r>
      <w:proofErr w:type="gramEnd"/>
      <w:r>
        <w:rPr>
          <w:szCs w:val="24"/>
        </w:rPr>
        <w:t xml:space="preserve"> as good. This </w:t>
      </w:r>
      <w:proofErr w:type="gramStart"/>
      <w:r>
        <w:rPr>
          <w:szCs w:val="24"/>
        </w:rPr>
        <w:t>is based</w:t>
      </w:r>
      <w:proofErr w:type="gramEnd"/>
      <w:r>
        <w:rPr>
          <w:szCs w:val="24"/>
        </w:rPr>
        <w:t xml:space="preserve"> on </w:t>
      </w:r>
      <w:r w:rsidR="009B6339">
        <w:rPr>
          <w:szCs w:val="24"/>
        </w:rPr>
        <w:t xml:space="preserve">both </w:t>
      </w:r>
      <w:r>
        <w:rPr>
          <w:szCs w:val="24"/>
        </w:rPr>
        <w:t>PIs exceed</w:t>
      </w:r>
      <w:r w:rsidR="009B6339">
        <w:rPr>
          <w:szCs w:val="24"/>
        </w:rPr>
        <w:t>ing</w:t>
      </w:r>
      <w:r>
        <w:rPr>
          <w:szCs w:val="24"/>
        </w:rPr>
        <w:t xml:space="preserve"> the targets</w:t>
      </w:r>
      <w:r w:rsidR="00945391">
        <w:rPr>
          <w:szCs w:val="24"/>
        </w:rPr>
        <w:t xml:space="preserve"> a</w:t>
      </w:r>
      <w:r w:rsidR="009B6339">
        <w:rPr>
          <w:szCs w:val="24"/>
        </w:rPr>
        <w:t xml:space="preserve">s well as licence holder </w:t>
      </w:r>
      <w:r>
        <w:rPr>
          <w:szCs w:val="24"/>
        </w:rPr>
        <w:t>feedback.</w:t>
      </w:r>
    </w:p>
    <w:p w14:paraId="29F23991" w14:textId="37A59A98" w:rsidR="009476A2" w:rsidRPr="00A9092B" w:rsidRDefault="009476A2" w:rsidP="00C91FB5">
      <w:pPr>
        <w:widowControl w:val="0"/>
        <w:spacing w:after="120"/>
        <w:rPr>
          <w:szCs w:val="24"/>
        </w:rPr>
      </w:pPr>
      <w:r w:rsidRPr="00A9092B">
        <w:rPr>
          <w:b/>
        </w:rPr>
        <w:t>PI 2.1</w:t>
      </w:r>
      <w:r w:rsidRPr="00A9092B">
        <w:t xml:space="preserve"> </w:t>
      </w:r>
      <w:r w:rsidRPr="00A9092B">
        <w:rPr>
          <w:szCs w:val="24"/>
        </w:rPr>
        <w:t xml:space="preserve">focuses on </w:t>
      </w:r>
      <w:r w:rsidR="009B6339">
        <w:rPr>
          <w:szCs w:val="24"/>
        </w:rPr>
        <w:t>l</w:t>
      </w:r>
      <w:r w:rsidR="001F7A0E">
        <w:rPr>
          <w:szCs w:val="24"/>
        </w:rPr>
        <w:t>icence holder</w:t>
      </w:r>
      <w:r w:rsidR="0056176A" w:rsidRPr="00A9092B">
        <w:rPr>
          <w:szCs w:val="24"/>
        </w:rPr>
        <w:t xml:space="preserve"> </w:t>
      </w:r>
      <w:r w:rsidRPr="00A9092B">
        <w:rPr>
          <w:szCs w:val="24"/>
        </w:rPr>
        <w:t>feedback received from post inspection surveys</w:t>
      </w:r>
      <w:r w:rsidR="0056176A">
        <w:rPr>
          <w:szCs w:val="24"/>
        </w:rPr>
        <w:t>,</w:t>
      </w:r>
      <w:r w:rsidRPr="00A9092B">
        <w:rPr>
          <w:szCs w:val="24"/>
        </w:rPr>
        <w:t xml:space="preserve"> with the indicator being that positive outweighs negative</w:t>
      </w:r>
      <w:r w:rsidR="005F609D">
        <w:rPr>
          <w:szCs w:val="24"/>
        </w:rPr>
        <w:t>.</w:t>
      </w:r>
      <w:r w:rsidRPr="00A9092B">
        <w:rPr>
          <w:szCs w:val="24"/>
        </w:rPr>
        <w:t xml:space="preserve"> The team found that it is unlikely that negative feedback will </w:t>
      </w:r>
      <w:r w:rsidR="005630CE">
        <w:rPr>
          <w:szCs w:val="24"/>
        </w:rPr>
        <w:t xml:space="preserve">ever </w:t>
      </w:r>
      <w:r w:rsidRPr="00A9092B">
        <w:rPr>
          <w:szCs w:val="24"/>
        </w:rPr>
        <w:t>outweigh positive in these surveys and therefore this PI is</w:t>
      </w:r>
      <w:r w:rsidR="005A3B2F">
        <w:rPr>
          <w:szCs w:val="24"/>
        </w:rPr>
        <w:t xml:space="preserve"> not an ambitious goal and it</w:t>
      </w:r>
      <w:r w:rsidR="005F609D">
        <w:rPr>
          <w:szCs w:val="24"/>
        </w:rPr>
        <w:t xml:space="preserve"> does not provide useful </w:t>
      </w:r>
      <w:r w:rsidRPr="00A9092B">
        <w:rPr>
          <w:szCs w:val="24"/>
        </w:rPr>
        <w:t>trend</w:t>
      </w:r>
      <w:r w:rsidR="005F609D">
        <w:rPr>
          <w:szCs w:val="24"/>
        </w:rPr>
        <w:t xml:space="preserve"> information.</w:t>
      </w:r>
    </w:p>
    <w:p w14:paraId="4C973176" w14:textId="0ED7CE3C" w:rsidR="009476A2" w:rsidRPr="00A9092B" w:rsidRDefault="00B5094A" w:rsidP="00C91FB5">
      <w:pPr>
        <w:widowControl w:val="0"/>
        <w:spacing w:after="120"/>
        <w:rPr>
          <w:szCs w:val="24"/>
        </w:rPr>
      </w:pPr>
      <w:r>
        <w:rPr>
          <w:szCs w:val="24"/>
        </w:rPr>
        <w:t xml:space="preserve">Some </w:t>
      </w:r>
      <w:r w:rsidR="00215D03">
        <w:rPr>
          <w:szCs w:val="24"/>
        </w:rPr>
        <w:t>licence holder representatives</w:t>
      </w:r>
      <w:r w:rsidR="00782F1D" w:rsidRPr="00A9092B">
        <w:rPr>
          <w:szCs w:val="24"/>
        </w:rPr>
        <w:t xml:space="preserve"> reported </w:t>
      </w:r>
      <w:r w:rsidR="009476A2" w:rsidRPr="00A9092B">
        <w:rPr>
          <w:szCs w:val="24"/>
        </w:rPr>
        <w:t xml:space="preserve">that the post inspection surveys were </w:t>
      </w:r>
      <w:r w:rsidR="009B6339">
        <w:rPr>
          <w:szCs w:val="24"/>
        </w:rPr>
        <w:t xml:space="preserve">not </w:t>
      </w:r>
      <w:r w:rsidR="009476A2" w:rsidRPr="00A9092B">
        <w:rPr>
          <w:szCs w:val="24"/>
        </w:rPr>
        <w:t>an efficient use of their time as the</w:t>
      </w:r>
      <w:r w:rsidR="002719B5">
        <w:rPr>
          <w:szCs w:val="24"/>
        </w:rPr>
        <w:t>y</w:t>
      </w:r>
      <w:r w:rsidR="003B17AF">
        <w:rPr>
          <w:szCs w:val="24"/>
        </w:rPr>
        <w:t xml:space="preserve"> ha</w:t>
      </w:r>
      <w:r w:rsidR="002719B5">
        <w:rPr>
          <w:szCs w:val="24"/>
        </w:rPr>
        <w:t>ve</w:t>
      </w:r>
      <w:r w:rsidR="003B17AF">
        <w:rPr>
          <w:szCs w:val="24"/>
        </w:rPr>
        <w:t xml:space="preserve"> not </w:t>
      </w:r>
      <w:r w:rsidR="002719B5">
        <w:rPr>
          <w:szCs w:val="24"/>
        </w:rPr>
        <w:t>s</w:t>
      </w:r>
      <w:r w:rsidR="003B17AF">
        <w:rPr>
          <w:szCs w:val="24"/>
        </w:rPr>
        <w:t xml:space="preserve">een any response or actions resulting from their </w:t>
      </w:r>
      <w:r w:rsidR="009476A2" w:rsidRPr="00A9092B">
        <w:rPr>
          <w:szCs w:val="24"/>
        </w:rPr>
        <w:t xml:space="preserve">comments. </w:t>
      </w:r>
      <w:r w:rsidR="005A3B2F">
        <w:rPr>
          <w:szCs w:val="24"/>
        </w:rPr>
        <w:t xml:space="preserve">A number of </w:t>
      </w:r>
      <w:r w:rsidR="00215D03">
        <w:rPr>
          <w:szCs w:val="24"/>
        </w:rPr>
        <w:t>licence holder representatives</w:t>
      </w:r>
      <w:r w:rsidR="005A3B2F">
        <w:rPr>
          <w:szCs w:val="24"/>
        </w:rPr>
        <w:t xml:space="preserve"> expressed a</w:t>
      </w:r>
      <w:r w:rsidR="00782F1D" w:rsidRPr="00A9092B">
        <w:rPr>
          <w:szCs w:val="24"/>
        </w:rPr>
        <w:t xml:space="preserve"> preference for </w:t>
      </w:r>
      <w:r w:rsidR="005A3B2F">
        <w:rPr>
          <w:szCs w:val="24"/>
        </w:rPr>
        <w:t>remaining anonymous</w:t>
      </w:r>
      <w:r w:rsidR="003B17AF">
        <w:rPr>
          <w:szCs w:val="24"/>
        </w:rPr>
        <w:t>,</w:t>
      </w:r>
      <w:r w:rsidR="005A3B2F">
        <w:rPr>
          <w:szCs w:val="24"/>
        </w:rPr>
        <w:t xml:space="preserve"> </w:t>
      </w:r>
      <w:r w:rsidR="009476A2" w:rsidRPr="00A9092B">
        <w:rPr>
          <w:szCs w:val="24"/>
        </w:rPr>
        <w:t>and</w:t>
      </w:r>
      <w:r w:rsidR="005A3B2F">
        <w:rPr>
          <w:szCs w:val="24"/>
        </w:rPr>
        <w:t xml:space="preserve"> felt that</w:t>
      </w:r>
      <w:r w:rsidR="009476A2" w:rsidRPr="00A9092B">
        <w:rPr>
          <w:szCs w:val="24"/>
        </w:rPr>
        <w:t xml:space="preserve"> the survey </w:t>
      </w:r>
      <w:r w:rsidR="005A3B2F">
        <w:rPr>
          <w:szCs w:val="24"/>
        </w:rPr>
        <w:t>was</w:t>
      </w:r>
      <w:r w:rsidR="00782F1D" w:rsidRPr="00A9092B">
        <w:rPr>
          <w:szCs w:val="24"/>
        </w:rPr>
        <w:t xml:space="preserve"> </w:t>
      </w:r>
      <w:r w:rsidR="009476A2" w:rsidRPr="00A9092B">
        <w:rPr>
          <w:szCs w:val="24"/>
        </w:rPr>
        <w:t xml:space="preserve">repetitive and </w:t>
      </w:r>
      <w:r w:rsidR="00782F1D" w:rsidRPr="00A9092B">
        <w:rPr>
          <w:szCs w:val="24"/>
        </w:rPr>
        <w:t>time consuming</w:t>
      </w:r>
      <w:r w:rsidR="009476A2" w:rsidRPr="00A9092B">
        <w:rPr>
          <w:szCs w:val="24"/>
        </w:rPr>
        <w:t>.</w:t>
      </w:r>
    </w:p>
    <w:p w14:paraId="5F516823" w14:textId="2CE994CC" w:rsidR="00C61EAA" w:rsidRPr="00A9092B" w:rsidRDefault="00782F1D" w:rsidP="00C91FB5">
      <w:pPr>
        <w:widowControl w:val="0"/>
        <w:spacing w:after="120"/>
        <w:rPr>
          <w:szCs w:val="24"/>
        </w:rPr>
      </w:pPr>
      <w:r w:rsidRPr="00A9092B">
        <w:rPr>
          <w:szCs w:val="24"/>
        </w:rPr>
        <w:t xml:space="preserve">A review of survey results </w:t>
      </w:r>
      <w:r w:rsidR="009476A2" w:rsidRPr="00A9092B">
        <w:rPr>
          <w:szCs w:val="24"/>
        </w:rPr>
        <w:t xml:space="preserve">noted a large number of comments from </w:t>
      </w:r>
      <w:r w:rsidR="00215D03">
        <w:rPr>
          <w:szCs w:val="24"/>
        </w:rPr>
        <w:t>licence holder representatives</w:t>
      </w:r>
      <w:r w:rsidR="009476A2" w:rsidRPr="00A9092B">
        <w:rPr>
          <w:szCs w:val="24"/>
        </w:rPr>
        <w:t>.</w:t>
      </w:r>
      <w:r w:rsidR="005F609D">
        <w:rPr>
          <w:szCs w:val="24"/>
        </w:rPr>
        <w:t xml:space="preserve"> While feedback is reviewed when it is </w:t>
      </w:r>
      <w:r w:rsidR="005A3B2F">
        <w:rPr>
          <w:szCs w:val="24"/>
        </w:rPr>
        <w:t>received</w:t>
      </w:r>
      <w:r w:rsidR="005F609D">
        <w:rPr>
          <w:szCs w:val="24"/>
        </w:rPr>
        <w:t>, t</w:t>
      </w:r>
      <w:r w:rsidR="009476A2" w:rsidRPr="00A9092B">
        <w:rPr>
          <w:szCs w:val="24"/>
        </w:rPr>
        <w:t>o date these comments have not undergone a systematic management review</w:t>
      </w:r>
      <w:r w:rsidR="005F609D">
        <w:rPr>
          <w:szCs w:val="24"/>
        </w:rPr>
        <w:t>. As such</w:t>
      </w:r>
      <w:r w:rsidR="00346194">
        <w:rPr>
          <w:szCs w:val="24"/>
        </w:rPr>
        <w:t>,</w:t>
      </w:r>
      <w:r w:rsidR="005F609D">
        <w:rPr>
          <w:szCs w:val="24"/>
        </w:rPr>
        <w:t xml:space="preserve"> an</w:t>
      </w:r>
      <w:r w:rsidR="009476A2" w:rsidRPr="00A9092B">
        <w:rPr>
          <w:szCs w:val="24"/>
        </w:rPr>
        <w:t xml:space="preserve"> analysis for learning opportunities </w:t>
      </w:r>
      <w:r w:rsidR="005F609D">
        <w:rPr>
          <w:szCs w:val="24"/>
        </w:rPr>
        <w:t xml:space="preserve">and formal feedback </w:t>
      </w:r>
      <w:r w:rsidR="009476A2" w:rsidRPr="00A9092B">
        <w:rPr>
          <w:szCs w:val="24"/>
        </w:rPr>
        <w:t>to inspectors</w:t>
      </w:r>
      <w:r w:rsidR="00346194">
        <w:rPr>
          <w:szCs w:val="24"/>
        </w:rPr>
        <w:t xml:space="preserve"> was not evident</w:t>
      </w:r>
      <w:r w:rsidR="009476A2" w:rsidRPr="00A9092B">
        <w:rPr>
          <w:szCs w:val="24"/>
        </w:rPr>
        <w:t>.</w:t>
      </w:r>
      <w:r w:rsidRPr="00A9092B">
        <w:rPr>
          <w:szCs w:val="24"/>
        </w:rPr>
        <w:t xml:space="preserve"> </w:t>
      </w:r>
    </w:p>
    <w:p w14:paraId="5114F29C" w14:textId="57643CE0" w:rsidR="007A4A90" w:rsidRPr="00A9092B" w:rsidRDefault="008F414E" w:rsidP="00C91FB5">
      <w:pPr>
        <w:widowControl w:val="0"/>
        <w:spacing w:after="120"/>
        <w:rPr>
          <w:szCs w:val="24"/>
        </w:rPr>
      </w:pPr>
      <w:r w:rsidRPr="00A9092B">
        <w:rPr>
          <w:b/>
        </w:rPr>
        <w:t>PI 2.2</w:t>
      </w:r>
      <w:r w:rsidR="00333484">
        <w:t xml:space="preserve"> </w:t>
      </w:r>
      <w:r w:rsidRPr="00A9092B">
        <w:rPr>
          <w:szCs w:val="24"/>
        </w:rPr>
        <w:t xml:space="preserve">focuses on the number of information sharing meetings held with </w:t>
      </w:r>
      <w:r w:rsidR="003B17AF">
        <w:rPr>
          <w:szCs w:val="24"/>
        </w:rPr>
        <w:t>l</w:t>
      </w:r>
      <w:r w:rsidR="001F7A0E">
        <w:rPr>
          <w:szCs w:val="24"/>
        </w:rPr>
        <w:t>icence holder</w:t>
      </w:r>
      <w:r w:rsidRPr="00A9092B">
        <w:rPr>
          <w:szCs w:val="24"/>
        </w:rPr>
        <w:t>s. The number of meetings recorded has been consistently above the target and indicates that performance in this area is strong.</w:t>
      </w:r>
    </w:p>
    <w:p w14:paraId="2BAC3A18" w14:textId="292BE57E" w:rsidR="008F414E" w:rsidRPr="00A9092B" w:rsidRDefault="000836EE" w:rsidP="00C91FB5">
      <w:pPr>
        <w:widowControl w:val="0"/>
        <w:spacing w:after="120"/>
        <w:rPr>
          <w:szCs w:val="24"/>
        </w:rPr>
      </w:pPr>
      <w:r w:rsidRPr="000836EE">
        <w:rPr>
          <w:b/>
          <w:szCs w:val="24"/>
        </w:rPr>
        <w:t>Other Evidence</w:t>
      </w:r>
      <w:r w:rsidR="002C3746">
        <w:rPr>
          <w:b/>
          <w:szCs w:val="24"/>
        </w:rPr>
        <w:t>:</w:t>
      </w:r>
      <w:r>
        <w:rPr>
          <w:szCs w:val="24"/>
        </w:rPr>
        <w:t xml:space="preserve"> </w:t>
      </w:r>
      <w:r w:rsidR="008F414E" w:rsidRPr="00A9092B">
        <w:rPr>
          <w:szCs w:val="24"/>
        </w:rPr>
        <w:t>The effectiveness of ARPANSA</w:t>
      </w:r>
      <w:r w:rsidR="00E44363">
        <w:rPr>
          <w:szCs w:val="24"/>
        </w:rPr>
        <w:t>’s</w:t>
      </w:r>
      <w:r w:rsidR="008F414E" w:rsidRPr="00A9092B">
        <w:rPr>
          <w:szCs w:val="24"/>
        </w:rPr>
        <w:t xml:space="preserve"> communication </w:t>
      </w:r>
      <w:proofErr w:type="gramStart"/>
      <w:r w:rsidR="008F414E" w:rsidRPr="00A9092B">
        <w:rPr>
          <w:szCs w:val="24"/>
        </w:rPr>
        <w:t>was generally reported</w:t>
      </w:r>
      <w:proofErr w:type="gramEnd"/>
      <w:r w:rsidR="008F414E" w:rsidRPr="00A9092B">
        <w:rPr>
          <w:szCs w:val="24"/>
        </w:rPr>
        <w:t xml:space="preserve"> as acceptable although the team noted that with the exception of the annual </w:t>
      </w:r>
      <w:r w:rsidR="003B17AF">
        <w:rPr>
          <w:szCs w:val="24"/>
        </w:rPr>
        <w:t>l</w:t>
      </w:r>
      <w:r w:rsidR="001F7A0E">
        <w:rPr>
          <w:szCs w:val="24"/>
        </w:rPr>
        <w:t>icence holder</w:t>
      </w:r>
      <w:r w:rsidR="008F414E" w:rsidRPr="00A9092B">
        <w:rPr>
          <w:szCs w:val="24"/>
        </w:rPr>
        <w:t xml:space="preserve"> </w:t>
      </w:r>
      <w:r w:rsidR="003B17AF">
        <w:rPr>
          <w:szCs w:val="24"/>
        </w:rPr>
        <w:t>f</w:t>
      </w:r>
      <w:r w:rsidR="008F414E" w:rsidRPr="00A9092B">
        <w:rPr>
          <w:szCs w:val="24"/>
        </w:rPr>
        <w:t>orum information</w:t>
      </w:r>
      <w:r w:rsidR="003B17AF">
        <w:rPr>
          <w:szCs w:val="24"/>
        </w:rPr>
        <w:t>-</w:t>
      </w:r>
      <w:r w:rsidR="008F414E" w:rsidRPr="00A9092B">
        <w:rPr>
          <w:szCs w:val="24"/>
        </w:rPr>
        <w:t xml:space="preserve">sharing meetings are predominantly undertaken only with large </w:t>
      </w:r>
      <w:r w:rsidR="003B17AF">
        <w:rPr>
          <w:szCs w:val="24"/>
        </w:rPr>
        <w:t>l</w:t>
      </w:r>
      <w:r w:rsidR="001F7A0E">
        <w:rPr>
          <w:szCs w:val="24"/>
        </w:rPr>
        <w:t>icence holder</w:t>
      </w:r>
      <w:r w:rsidR="008F414E" w:rsidRPr="00A9092B">
        <w:rPr>
          <w:szCs w:val="24"/>
        </w:rPr>
        <w:t>s</w:t>
      </w:r>
      <w:r w:rsidR="00C74FE4">
        <w:rPr>
          <w:szCs w:val="24"/>
        </w:rPr>
        <w:t xml:space="preserve">. </w:t>
      </w:r>
    </w:p>
    <w:p w14:paraId="093D6205" w14:textId="2F012208" w:rsidR="003119B6" w:rsidRPr="00A9092B" w:rsidRDefault="00E933BF" w:rsidP="00C91FB5">
      <w:pPr>
        <w:widowControl w:val="0"/>
        <w:spacing w:after="120"/>
        <w:rPr>
          <w:szCs w:val="24"/>
        </w:rPr>
      </w:pPr>
      <w:proofErr w:type="gramStart"/>
      <w:r>
        <w:rPr>
          <w:szCs w:val="24"/>
        </w:rPr>
        <w:t>W</w:t>
      </w:r>
      <w:r w:rsidR="004E23F7">
        <w:rPr>
          <w:szCs w:val="24"/>
        </w:rPr>
        <w:t xml:space="preserve">ider distribution of </w:t>
      </w:r>
      <w:r w:rsidR="008F414E" w:rsidRPr="00A9092B">
        <w:rPr>
          <w:szCs w:val="24"/>
        </w:rPr>
        <w:t xml:space="preserve">inspection outcomes was identified by </w:t>
      </w:r>
      <w:r w:rsidR="00215D03">
        <w:rPr>
          <w:szCs w:val="24"/>
        </w:rPr>
        <w:t>licence holder representatives</w:t>
      </w:r>
      <w:proofErr w:type="gramEnd"/>
      <w:r w:rsidR="008F414E" w:rsidRPr="00A9092B">
        <w:rPr>
          <w:szCs w:val="24"/>
        </w:rPr>
        <w:t xml:space="preserve"> as </w:t>
      </w:r>
      <w:r w:rsidR="008F414E" w:rsidRPr="00A9092B">
        <w:rPr>
          <w:szCs w:val="24"/>
        </w:rPr>
        <w:lastRenderedPageBreak/>
        <w:t xml:space="preserve">a useful area for </w:t>
      </w:r>
      <w:r>
        <w:rPr>
          <w:szCs w:val="24"/>
        </w:rPr>
        <w:t>improvem</w:t>
      </w:r>
      <w:r w:rsidRPr="00A9092B">
        <w:rPr>
          <w:szCs w:val="24"/>
        </w:rPr>
        <w:t>ent</w:t>
      </w:r>
      <w:r w:rsidR="008F414E" w:rsidRPr="00A9092B">
        <w:rPr>
          <w:szCs w:val="24"/>
        </w:rPr>
        <w:t xml:space="preserve">. </w:t>
      </w:r>
      <w:r w:rsidR="00346194">
        <w:rPr>
          <w:szCs w:val="24"/>
        </w:rPr>
        <w:t xml:space="preserve">The </w:t>
      </w:r>
      <w:r>
        <w:rPr>
          <w:szCs w:val="24"/>
        </w:rPr>
        <w:t>l</w:t>
      </w:r>
      <w:r w:rsidR="001F7A0E">
        <w:rPr>
          <w:szCs w:val="24"/>
        </w:rPr>
        <w:t>icence holder</w:t>
      </w:r>
      <w:r w:rsidR="008F414E" w:rsidRPr="00A9092B">
        <w:rPr>
          <w:szCs w:val="24"/>
        </w:rPr>
        <w:t xml:space="preserve"> </w:t>
      </w:r>
      <w:r>
        <w:rPr>
          <w:szCs w:val="24"/>
        </w:rPr>
        <w:t>f</w:t>
      </w:r>
      <w:r w:rsidR="008F414E" w:rsidRPr="00A9092B">
        <w:rPr>
          <w:szCs w:val="24"/>
        </w:rPr>
        <w:t>orums</w:t>
      </w:r>
      <w:r w:rsidR="00346194">
        <w:rPr>
          <w:szCs w:val="24"/>
        </w:rPr>
        <w:t xml:space="preserve"> provid</w:t>
      </w:r>
      <w:r w:rsidR="005A3B2F">
        <w:rPr>
          <w:szCs w:val="24"/>
        </w:rPr>
        <w:t>e an opportunity</w:t>
      </w:r>
      <w:r w:rsidR="00346194">
        <w:rPr>
          <w:szCs w:val="24"/>
        </w:rPr>
        <w:t xml:space="preserve"> </w:t>
      </w:r>
      <w:r w:rsidR="008F414E" w:rsidRPr="00A9092B">
        <w:rPr>
          <w:szCs w:val="24"/>
        </w:rPr>
        <w:t xml:space="preserve">for </w:t>
      </w:r>
      <w:r w:rsidR="00215D03">
        <w:rPr>
          <w:szCs w:val="24"/>
        </w:rPr>
        <w:t>licence holder representatives</w:t>
      </w:r>
      <w:r w:rsidR="008F414E" w:rsidRPr="00A9092B">
        <w:rPr>
          <w:szCs w:val="24"/>
        </w:rPr>
        <w:t xml:space="preserve"> to learn of safety issues </w:t>
      </w:r>
      <w:r w:rsidR="0056176A" w:rsidRPr="00A9092B">
        <w:rPr>
          <w:szCs w:val="24"/>
        </w:rPr>
        <w:t>common</w:t>
      </w:r>
      <w:r w:rsidR="00E44363">
        <w:rPr>
          <w:szCs w:val="24"/>
        </w:rPr>
        <w:t>ly</w:t>
      </w:r>
      <w:r w:rsidR="0056176A" w:rsidRPr="00A9092B">
        <w:rPr>
          <w:szCs w:val="24"/>
        </w:rPr>
        <w:t xml:space="preserve"> </w:t>
      </w:r>
      <w:r w:rsidR="008F414E" w:rsidRPr="00A9092B">
        <w:rPr>
          <w:szCs w:val="24"/>
        </w:rPr>
        <w:t>identified through the inspection program.</w:t>
      </w:r>
      <w:r w:rsidR="00346194">
        <w:rPr>
          <w:szCs w:val="24"/>
        </w:rPr>
        <w:t xml:space="preserve"> </w:t>
      </w:r>
      <w:r w:rsidR="00D33727">
        <w:rPr>
          <w:szCs w:val="24"/>
        </w:rPr>
        <w:t>It</w:t>
      </w:r>
      <w:r w:rsidR="00313CF2">
        <w:rPr>
          <w:szCs w:val="24"/>
        </w:rPr>
        <w:t xml:space="preserve"> may be desirable to </w:t>
      </w:r>
      <w:r w:rsidR="005A3B2F">
        <w:rPr>
          <w:szCs w:val="24"/>
        </w:rPr>
        <w:t>increase</w:t>
      </w:r>
      <w:r w:rsidR="00346194">
        <w:rPr>
          <w:szCs w:val="24"/>
        </w:rPr>
        <w:t xml:space="preserve"> </w:t>
      </w:r>
      <w:r w:rsidR="00313CF2">
        <w:rPr>
          <w:szCs w:val="24"/>
        </w:rPr>
        <w:t>the distribution of this information,</w:t>
      </w:r>
      <w:r w:rsidR="00346194">
        <w:rPr>
          <w:szCs w:val="24"/>
        </w:rPr>
        <w:t xml:space="preserve"> such as during other types of </w:t>
      </w:r>
      <w:r w:rsidR="00346194" w:rsidRPr="00A9092B">
        <w:rPr>
          <w:szCs w:val="24"/>
        </w:rPr>
        <w:t>meetings</w:t>
      </w:r>
      <w:r w:rsidR="00313CF2">
        <w:rPr>
          <w:szCs w:val="24"/>
        </w:rPr>
        <w:t xml:space="preserve"> or</w:t>
      </w:r>
      <w:r w:rsidR="008F414E" w:rsidRPr="00A9092B">
        <w:rPr>
          <w:szCs w:val="24"/>
        </w:rPr>
        <w:t xml:space="preserve"> </w:t>
      </w:r>
      <w:r w:rsidR="00313CF2">
        <w:rPr>
          <w:szCs w:val="24"/>
        </w:rPr>
        <w:t xml:space="preserve">through </w:t>
      </w:r>
      <w:r w:rsidR="00346194">
        <w:rPr>
          <w:szCs w:val="24"/>
        </w:rPr>
        <w:t xml:space="preserve">the </w:t>
      </w:r>
      <w:r w:rsidR="00346194" w:rsidRPr="00A9092B">
        <w:rPr>
          <w:szCs w:val="24"/>
        </w:rPr>
        <w:t>ARPANSA website</w:t>
      </w:r>
      <w:r w:rsidR="00346194">
        <w:rPr>
          <w:szCs w:val="24"/>
        </w:rPr>
        <w:t xml:space="preserve"> and</w:t>
      </w:r>
      <w:r w:rsidR="00346194" w:rsidRPr="00A9092B">
        <w:rPr>
          <w:szCs w:val="24"/>
        </w:rPr>
        <w:t xml:space="preserve"> </w:t>
      </w:r>
      <w:r w:rsidR="008F414E" w:rsidRPr="00A9092B">
        <w:rPr>
          <w:szCs w:val="24"/>
        </w:rPr>
        <w:t>newsletter</w:t>
      </w:r>
      <w:r w:rsidR="005A3B2F">
        <w:rPr>
          <w:szCs w:val="24"/>
        </w:rPr>
        <w:t>s</w:t>
      </w:r>
      <w:r w:rsidR="008F414E" w:rsidRPr="00A9092B">
        <w:rPr>
          <w:szCs w:val="24"/>
        </w:rPr>
        <w:t xml:space="preserve">. Such information </w:t>
      </w:r>
      <w:r w:rsidR="00D33727">
        <w:rPr>
          <w:szCs w:val="24"/>
        </w:rPr>
        <w:t>could</w:t>
      </w:r>
      <w:r w:rsidR="00D33727" w:rsidRPr="00A9092B">
        <w:rPr>
          <w:szCs w:val="24"/>
        </w:rPr>
        <w:t xml:space="preserve"> </w:t>
      </w:r>
      <w:r w:rsidR="008F414E" w:rsidRPr="00A9092B">
        <w:rPr>
          <w:szCs w:val="24"/>
        </w:rPr>
        <w:t xml:space="preserve">help to improve safety practices by </w:t>
      </w:r>
      <w:r w:rsidR="00F9618B">
        <w:rPr>
          <w:szCs w:val="24"/>
        </w:rPr>
        <w:t>assisting l</w:t>
      </w:r>
      <w:r w:rsidR="001F7A0E">
        <w:rPr>
          <w:szCs w:val="24"/>
        </w:rPr>
        <w:t>icence holder</w:t>
      </w:r>
      <w:r w:rsidR="008F414E" w:rsidRPr="00A9092B">
        <w:rPr>
          <w:szCs w:val="24"/>
        </w:rPr>
        <w:t>s to learn from the operational experience of others.</w:t>
      </w:r>
    </w:p>
    <w:p w14:paraId="12E60F3E" w14:textId="7D299BD0" w:rsidR="008F414E" w:rsidRDefault="008F414E" w:rsidP="00C91FB5">
      <w:pPr>
        <w:widowControl w:val="0"/>
        <w:spacing w:after="120"/>
        <w:rPr>
          <w:szCs w:val="24"/>
        </w:rPr>
      </w:pPr>
      <w:r w:rsidRPr="00A9092B">
        <w:rPr>
          <w:szCs w:val="24"/>
        </w:rPr>
        <w:t xml:space="preserve">ARPANSA staff </w:t>
      </w:r>
      <w:r w:rsidR="003119B6" w:rsidRPr="00A9092B">
        <w:rPr>
          <w:szCs w:val="24"/>
        </w:rPr>
        <w:t xml:space="preserve">also reported </w:t>
      </w:r>
      <w:r w:rsidRPr="00A9092B">
        <w:rPr>
          <w:szCs w:val="24"/>
        </w:rPr>
        <w:t xml:space="preserve">that information sharing among </w:t>
      </w:r>
      <w:r w:rsidR="000539B9">
        <w:rPr>
          <w:szCs w:val="24"/>
        </w:rPr>
        <w:t>staff</w:t>
      </w:r>
      <w:r w:rsidRPr="00A9092B">
        <w:rPr>
          <w:szCs w:val="24"/>
        </w:rPr>
        <w:t xml:space="preserve"> </w:t>
      </w:r>
      <w:proofErr w:type="gramStart"/>
      <w:r w:rsidRPr="00A9092B">
        <w:rPr>
          <w:szCs w:val="24"/>
        </w:rPr>
        <w:t>could be improved</w:t>
      </w:r>
      <w:proofErr w:type="gramEnd"/>
      <w:r w:rsidRPr="00A9092B">
        <w:rPr>
          <w:szCs w:val="24"/>
        </w:rPr>
        <w:t>.</w:t>
      </w:r>
      <w:r w:rsidR="008542BF">
        <w:rPr>
          <w:szCs w:val="24"/>
        </w:rPr>
        <w:t xml:space="preserve"> </w:t>
      </w:r>
    </w:p>
    <w:p w14:paraId="67F24D9B" w14:textId="69A94830" w:rsidR="00C872A1" w:rsidRDefault="00014C11" w:rsidP="00C91FB5">
      <w:pPr>
        <w:widowControl w:val="0"/>
        <w:spacing w:after="120"/>
        <w:rPr>
          <w:szCs w:val="24"/>
        </w:rPr>
      </w:pPr>
      <w:r>
        <w:rPr>
          <w:szCs w:val="24"/>
        </w:rPr>
        <w:t>The timeliness of decision</w:t>
      </w:r>
      <w:r w:rsidR="00FD08B5">
        <w:rPr>
          <w:szCs w:val="24"/>
        </w:rPr>
        <w:t>-</w:t>
      </w:r>
      <w:r>
        <w:rPr>
          <w:szCs w:val="24"/>
        </w:rPr>
        <w:t xml:space="preserve">making </w:t>
      </w:r>
      <w:proofErr w:type="gramStart"/>
      <w:r>
        <w:rPr>
          <w:szCs w:val="24"/>
        </w:rPr>
        <w:t>is further discussed</w:t>
      </w:r>
      <w:proofErr w:type="gramEnd"/>
      <w:r>
        <w:rPr>
          <w:szCs w:val="24"/>
        </w:rPr>
        <w:t xml:space="preserve"> under KPI 1. However, published guidance or clearer communication on timeframes</w:t>
      </w:r>
      <w:r w:rsidR="00BC0143">
        <w:rPr>
          <w:szCs w:val="24"/>
        </w:rPr>
        <w:t xml:space="preserve"> for decisions</w:t>
      </w:r>
      <w:r>
        <w:rPr>
          <w:szCs w:val="24"/>
        </w:rPr>
        <w:t xml:space="preserve"> could improve performance against KPI 2. </w:t>
      </w:r>
    </w:p>
    <w:p w14:paraId="19611CEC" w14:textId="29582687" w:rsidR="00C61EAA" w:rsidRDefault="00C61EAA" w:rsidP="00C91FB5">
      <w:pPr>
        <w:pStyle w:val="Heading3"/>
        <w:widowControl w:val="0"/>
        <w:rPr>
          <w:lang w:eastAsia="en-AU"/>
        </w:rPr>
      </w:pPr>
      <w:bookmarkStart w:id="22" w:name="_Toc470173148"/>
      <w:r w:rsidRPr="00A9092B">
        <w:rPr>
          <w:lang w:eastAsia="en-AU"/>
        </w:rPr>
        <w:t>Self</w:t>
      </w:r>
      <w:r w:rsidR="00173273">
        <w:rPr>
          <w:lang w:eastAsia="en-AU"/>
        </w:rPr>
        <w:t>-</w:t>
      </w:r>
      <w:r w:rsidRPr="00A9092B">
        <w:rPr>
          <w:lang w:eastAsia="en-AU"/>
        </w:rPr>
        <w:t>assessed rating of performance against KPI 2 – 2015-16</w:t>
      </w:r>
      <w:bookmarkEnd w:id="22"/>
    </w:p>
    <w:tbl>
      <w:tblPr>
        <w:tblStyle w:val="TableGrid"/>
        <w:tblW w:w="9781" w:type="dxa"/>
        <w:tblInd w:w="108" w:type="dxa"/>
        <w:tblLook w:val="04A0" w:firstRow="1" w:lastRow="0" w:firstColumn="1" w:lastColumn="0" w:noHBand="0" w:noVBand="1"/>
        <w:tblDescription w:val="Chapter 2.2.5 table contains a list of performance ratings against Key Performance Indicator (KPI) 2 of the 2015-16 Regulator Performance Framework. "/>
      </w:tblPr>
      <w:tblGrid>
        <w:gridCol w:w="1560"/>
        <w:gridCol w:w="3118"/>
        <w:gridCol w:w="1701"/>
        <w:gridCol w:w="1701"/>
        <w:gridCol w:w="1701"/>
      </w:tblGrid>
      <w:tr w:rsidR="00985DE5" w:rsidRPr="00173273" w14:paraId="23AED0E1" w14:textId="77777777" w:rsidTr="001D1106">
        <w:trPr>
          <w:cantSplit/>
          <w:tblHeader/>
        </w:trPr>
        <w:tc>
          <w:tcPr>
            <w:tcW w:w="1560" w:type="dxa"/>
          </w:tcPr>
          <w:p w14:paraId="20B43586" w14:textId="77777777" w:rsidR="00985DE5" w:rsidRPr="00EA634A" w:rsidRDefault="00985DE5" w:rsidP="00EA634A">
            <w:pPr>
              <w:pStyle w:val="Tabletext"/>
              <w:rPr>
                <w:rStyle w:val="Strong"/>
              </w:rPr>
            </w:pPr>
            <w:r w:rsidRPr="00EA634A">
              <w:rPr>
                <w:rStyle w:val="Strong"/>
              </w:rPr>
              <w:t>Excellent</w:t>
            </w:r>
          </w:p>
          <w:p w14:paraId="3C762302" w14:textId="4373DD34" w:rsidR="00985DE5" w:rsidRPr="00173273" w:rsidRDefault="00173273" w:rsidP="00EA634A">
            <w:pPr>
              <w:pStyle w:val="Tabletext"/>
              <w:rPr>
                <w:szCs w:val="20"/>
                <w:lang w:eastAsia="en-AU"/>
              </w:rPr>
            </w:pPr>
            <w:r w:rsidRPr="00173273">
              <w:rPr>
                <w:szCs w:val="20"/>
                <w:lang w:eastAsia="en-AU"/>
              </w:rPr>
              <w:t xml:space="preserve">Strong </w:t>
            </w:r>
            <w:r w:rsidR="00985DE5" w:rsidRPr="00173273">
              <w:rPr>
                <w:szCs w:val="20"/>
                <w:lang w:eastAsia="en-AU"/>
              </w:rPr>
              <w:t>performance against all the measures under the KPI</w:t>
            </w:r>
          </w:p>
        </w:tc>
        <w:tc>
          <w:tcPr>
            <w:tcW w:w="3118" w:type="dxa"/>
            <w:shd w:val="clear" w:color="auto" w:fill="EAF1DD" w:themeFill="accent3" w:themeFillTint="33"/>
          </w:tcPr>
          <w:p w14:paraId="1B29C897" w14:textId="64CD333F" w:rsidR="00985DE5" w:rsidRPr="00EA634A" w:rsidRDefault="00985DE5" w:rsidP="00EA634A">
            <w:pPr>
              <w:pStyle w:val="Tabletext"/>
              <w:rPr>
                <w:rStyle w:val="Strong"/>
              </w:rPr>
            </w:pPr>
            <w:r w:rsidRPr="00EA634A">
              <w:rPr>
                <w:rStyle w:val="Strong"/>
              </w:rPr>
              <w:t>Very Good</w:t>
            </w:r>
          </w:p>
          <w:p w14:paraId="2D00F98F" w14:textId="64C04077" w:rsidR="00985DE5" w:rsidRPr="00173273" w:rsidRDefault="00173273" w:rsidP="00EA634A">
            <w:pPr>
              <w:pStyle w:val="Tabletext"/>
              <w:rPr>
                <w:szCs w:val="20"/>
                <w:lang w:eastAsia="en-AU"/>
              </w:rPr>
            </w:pPr>
            <w:r w:rsidRPr="00173273">
              <w:rPr>
                <w:szCs w:val="20"/>
                <w:lang w:eastAsia="en-AU"/>
              </w:rPr>
              <w:t xml:space="preserve">Strong </w:t>
            </w:r>
            <w:r w:rsidR="00985DE5" w:rsidRPr="00173273">
              <w:rPr>
                <w:szCs w:val="20"/>
                <w:lang w:eastAsia="en-AU"/>
              </w:rPr>
              <w:t>performance against majority of the measures under the KPI and no evidence of negative/</w:t>
            </w:r>
            <w:r w:rsidR="00AC362A" w:rsidRPr="00173273">
              <w:rPr>
                <w:szCs w:val="20"/>
                <w:lang w:eastAsia="en-AU"/>
              </w:rPr>
              <w:t>poor</w:t>
            </w:r>
            <w:r w:rsidR="00985DE5" w:rsidRPr="00173273">
              <w:rPr>
                <w:szCs w:val="20"/>
                <w:lang w:eastAsia="en-AU"/>
              </w:rPr>
              <w:t xml:space="preserve"> performance against any measure</w:t>
            </w:r>
          </w:p>
        </w:tc>
        <w:tc>
          <w:tcPr>
            <w:tcW w:w="1701" w:type="dxa"/>
            <w:shd w:val="clear" w:color="auto" w:fill="auto"/>
          </w:tcPr>
          <w:p w14:paraId="1972BF57" w14:textId="77777777" w:rsidR="00985DE5" w:rsidRPr="00EA634A" w:rsidRDefault="00985DE5" w:rsidP="00EA634A">
            <w:pPr>
              <w:pStyle w:val="Tabletext"/>
              <w:rPr>
                <w:rStyle w:val="Strong"/>
              </w:rPr>
            </w:pPr>
            <w:r w:rsidRPr="00EA634A">
              <w:rPr>
                <w:rStyle w:val="Strong"/>
              </w:rPr>
              <w:t>Good</w:t>
            </w:r>
          </w:p>
          <w:p w14:paraId="62231EA8" w14:textId="4FDC9AA1" w:rsidR="00985DE5" w:rsidRPr="00173273" w:rsidRDefault="00173273" w:rsidP="00EA634A">
            <w:pPr>
              <w:pStyle w:val="Tabletext"/>
              <w:rPr>
                <w:szCs w:val="20"/>
                <w:lang w:eastAsia="en-AU"/>
              </w:rPr>
            </w:pPr>
            <w:r w:rsidRPr="00173273">
              <w:rPr>
                <w:szCs w:val="20"/>
                <w:lang w:eastAsia="en-AU"/>
              </w:rPr>
              <w:t xml:space="preserve">Average </w:t>
            </w:r>
            <w:r w:rsidR="00985DE5" w:rsidRPr="00173273">
              <w:rPr>
                <w:szCs w:val="20"/>
                <w:lang w:eastAsia="en-AU"/>
              </w:rPr>
              <w:t>performance against the measures under the KPI</w:t>
            </w:r>
          </w:p>
        </w:tc>
        <w:tc>
          <w:tcPr>
            <w:tcW w:w="1701" w:type="dxa"/>
            <w:shd w:val="clear" w:color="auto" w:fill="FFFFFF" w:themeFill="background1"/>
          </w:tcPr>
          <w:p w14:paraId="785BF9C1" w14:textId="77777777" w:rsidR="00985DE5" w:rsidRPr="00EA634A" w:rsidRDefault="00985DE5" w:rsidP="00EA634A">
            <w:pPr>
              <w:pStyle w:val="Tabletext"/>
              <w:rPr>
                <w:rStyle w:val="Strong"/>
              </w:rPr>
            </w:pPr>
            <w:r w:rsidRPr="00EA634A">
              <w:rPr>
                <w:rStyle w:val="Strong"/>
              </w:rPr>
              <w:t>Fair</w:t>
            </w:r>
          </w:p>
          <w:p w14:paraId="7B896270" w14:textId="77777777" w:rsidR="00985DE5" w:rsidRPr="00173273" w:rsidRDefault="00985DE5" w:rsidP="00EA634A">
            <w:pPr>
              <w:pStyle w:val="Tabletext"/>
              <w:rPr>
                <w:szCs w:val="20"/>
                <w:lang w:eastAsia="en-AU"/>
              </w:rPr>
            </w:pPr>
            <w:r w:rsidRPr="00173273">
              <w:rPr>
                <w:szCs w:val="20"/>
                <w:lang w:eastAsia="en-AU"/>
              </w:rPr>
              <w:t>Poor performance against some measures under the KPI</w:t>
            </w:r>
          </w:p>
        </w:tc>
        <w:tc>
          <w:tcPr>
            <w:tcW w:w="1701" w:type="dxa"/>
          </w:tcPr>
          <w:p w14:paraId="6092504E" w14:textId="77777777" w:rsidR="00985DE5" w:rsidRPr="00EA634A" w:rsidRDefault="00985DE5" w:rsidP="00EA634A">
            <w:pPr>
              <w:pStyle w:val="Tabletext"/>
              <w:rPr>
                <w:rStyle w:val="Strong"/>
              </w:rPr>
            </w:pPr>
            <w:r w:rsidRPr="00EA634A">
              <w:rPr>
                <w:rStyle w:val="Strong"/>
              </w:rPr>
              <w:t>Poor</w:t>
            </w:r>
          </w:p>
          <w:p w14:paraId="681FB6A5" w14:textId="77777777" w:rsidR="00985DE5" w:rsidRPr="00173273" w:rsidRDefault="00985DE5" w:rsidP="00EA634A">
            <w:pPr>
              <w:pStyle w:val="Tabletext"/>
              <w:rPr>
                <w:szCs w:val="20"/>
                <w:lang w:eastAsia="en-AU"/>
              </w:rPr>
            </w:pPr>
            <w:r w:rsidRPr="00173273">
              <w:rPr>
                <w:szCs w:val="20"/>
                <w:lang w:eastAsia="en-AU"/>
              </w:rPr>
              <w:t>Poor performance against most of the measures under the KPI</w:t>
            </w:r>
          </w:p>
        </w:tc>
      </w:tr>
    </w:tbl>
    <w:p w14:paraId="239C7388" w14:textId="456A23E9" w:rsidR="00C61EAA" w:rsidRPr="00A9092B" w:rsidRDefault="009918D0" w:rsidP="00C91FB5">
      <w:pPr>
        <w:pStyle w:val="Heading3"/>
        <w:spacing w:before="200"/>
        <w:rPr>
          <w:lang w:eastAsia="en-AU"/>
        </w:rPr>
      </w:pPr>
      <w:bookmarkStart w:id="23" w:name="_Toc470173149"/>
      <w:r w:rsidRPr="00A9092B">
        <w:rPr>
          <w:lang w:eastAsia="en-AU"/>
        </w:rPr>
        <w:t xml:space="preserve">Actions for improving performance </w:t>
      </w:r>
      <w:r w:rsidR="00C61EAA" w:rsidRPr="00A9092B">
        <w:rPr>
          <w:lang w:eastAsia="en-AU"/>
        </w:rPr>
        <w:t>against KPI 2</w:t>
      </w:r>
      <w:bookmarkEnd w:id="23"/>
    </w:p>
    <w:p w14:paraId="4408F8A8" w14:textId="77777777" w:rsidR="005E5816" w:rsidRPr="005E5816" w:rsidRDefault="005E5816" w:rsidP="00C91FB5">
      <w:pPr>
        <w:autoSpaceDE w:val="0"/>
        <w:autoSpaceDN w:val="0"/>
        <w:adjustRightInd w:val="0"/>
        <w:spacing w:after="120"/>
        <w:rPr>
          <w:rFonts w:cs="Arial"/>
          <w:szCs w:val="24"/>
        </w:rPr>
      </w:pPr>
      <w:r w:rsidRPr="005E5816">
        <w:rPr>
          <w:rFonts w:cs="Arial"/>
          <w:szCs w:val="24"/>
        </w:rPr>
        <w:t xml:space="preserve">The team identified the following AFI related to PI </w:t>
      </w:r>
      <w:r>
        <w:rPr>
          <w:rFonts w:cs="Arial"/>
          <w:szCs w:val="24"/>
        </w:rPr>
        <w:t>2</w:t>
      </w:r>
      <w:r w:rsidRPr="005E5816">
        <w:rPr>
          <w:rFonts w:cs="Arial"/>
          <w:szCs w:val="24"/>
        </w:rPr>
        <w:t>.1:</w:t>
      </w:r>
    </w:p>
    <w:p w14:paraId="27380D1D" w14:textId="48938767" w:rsidR="003119B6" w:rsidRPr="00A9092B" w:rsidRDefault="003C3940" w:rsidP="00C91FB5">
      <w:pPr>
        <w:pStyle w:val="ListParagraph"/>
        <w:numPr>
          <w:ilvl w:val="0"/>
          <w:numId w:val="24"/>
        </w:numPr>
        <w:spacing w:after="120"/>
        <w:ind w:left="714" w:hanging="357"/>
        <w:rPr>
          <w:szCs w:val="24"/>
        </w:rPr>
      </w:pPr>
      <w:r>
        <w:rPr>
          <w:szCs w:val="24"/>
        </w:rPr>
        <w:t>T</w:t>
      </w:r>
      <w:r w:rsidR="003119B6" w:rsidRPr="00A9092B">
        <w:rPr>
          <w:szCs w:val="24"/>
        </w:rPr>
        <w:t>his PI</w:t>
      </w:r>
      <w:r>
        <w:rPr>
          <w:szCs w:val="24"/>
        </w:rPr>
        <w:t xml:space="preserve"> could be </w:t>
      </w:r>
      <w:r w:rsidR="00B5094A">
        <w:rPr>
          <w:szCs w:val="24"/>
        </w:rPr>
        <w:t>refined</w:t>
      </w:r>
      <w:r w:rsidR="003119B6" w:rsidRPr="00A9092B">
        <w:rPr>
          <w:szCs w:val="24"/>
        </w:rPr>
        <w:t xml:space="preserve"> to reflect a feedback score instead of</w:t>
      </w:r>
      <w:r>
        <w:rPr>
          <w:szCs w:val="24"/>
        </w:rPr>
        <w:t xml:space="preserve"> only</w:t>
      </w:r>
      <w:r w:rsidR="003119B6" w:rsidRPr="00A9092B">
        <w:rPr>
          <w:szCs w:val="24"/>
        </w:rPr>
        <w:t xml:space="preserve"> positive outweighing negative.</w:t>
      </w:r>
    </w:p>
    <w:p w14:paraId="2C5BE156" w14:textId="6ED0E027" w:rsidR="003119B6" w:rsidRPr="00A9092B" w:rsidRDefault="00333484" w:rsidP="00C91FB5">
      <w:pPr>
        <w:pStyle w:val="ListParagraph"/>
        <w:numPr>
          <w:ilvl w:val="0"/>
          <w:numId w:val="23"/>
        </w:numPr>
        <w:spacing w:after="120"/>
        <w:ind w:left="714" w:hanging="357"/>
        <w:rPr>
          <w:szCs w:val="24"/>
        </w:rPr>
      </w:pPr>
      <w:r>
        <w:rPr>
          <w:szCs w:val="24"/>
        </w:rPr>
        <w:t>T</w:t>
      </w:r>
      <w:r w:rsidR="003119B6" w:rsidRPr="00A9092B">
        <w:rPr>
          <w:szCs w:val="24"/>
        </w:rPr>
        <w:t>he survey</w:t>
      </w:r>
      <w:r>
        <w:rPr>
          <w:szCs w:val="24"/>
        </w:rPr>
        <w:t xml:space="preserve"> </w:t>
      </w:r>
      <w:proofErr w:type="gramStart"/>
      <w:r w:rsidR="00313CF2">
        <w:rPr>
          <w:szCs w:val="24"/>
        </w:rPr>
        <w:t>could</w:t>
      </w:r>
      <w:r>
        <w:rPr>
          <w:szCs w:val="24"/>
        </w:rPr>
        <w:t xml:space="preserve"> be restructured</w:t>
      </w:r>
      <w:proofErr w:type="gramEnd"/>
      <w:r w:rsidR="003119B6" w:rsidRPr="00A9092B">
        <w:rPr>
          <w:szCs w:val="24"/>
        </w:rPr>
        <w:t xml:space="preserve"> to be less repetitive </w:t>
      </w:r>
      <w:r w:rsidR="00313CF2">
        <w:rPr>
          <w:szCs w:val="24"/>
        </w:rPr>
        <w:t xml:space="preserve">and </w:t>
      </w:r>
      <w:r w:rsidR="0006261C" w:rsidRPr="00A9092B">
        <w:rPr>
          <w:szCs w:val="24"/>
        </w:rPr>
        <w:t>i</w:t>
      </w:r>
      <w:r w:rsidR="003119B6" w:rsidRPr="00A9092B">
        <w:rPr>
          <w:szCs w:val="24"/>
        </w:rPr>
        <w:t xml:space="preserve">nclude a review of </w:t>
      </w:r>
      <w:r w:rsidR="007F60B6">
        <w:rPr>
          <w:szCs w:val="24"/>
        </w:rPr>
        <w:t xml:space="preserve">inspector </w:t>
      </w:r>
      <w:r w:rsidR="003119B6" w:rsidRPr="00A9092B">
        <w:rPr>
          <w:szCs w:val="24"/>
        </w:rPr>
        <w:t>skills</w:t>
      </w:r>
      <w:r w:rsidR="00313CF2">
        <w:rPr>
          <w:szCs w:val="24"/>
        </w:rPr>
        <w:t xml:space="preserve"> </w:t>
      </w:r>
      <w:r w:rsidR="007F60B6">
        <w:rPr>
          <w:szCs w:val="24"/>
        </w:rPr>
        <w:t xml:space="preserve">that could </w:t>
      </w:r>
      <w:r w:rsidR="003119B6" w:rsidRPr="00A9092B">
        <w:rPr>
          <w:szCs w:val="24"/>
        </w:rPr>
        <w:t xml:space="preserve">be fed into </w:t>
      </w:r>
      <w:r w:rsidR="00313CF2">
        <w:rPr>
          <w:szCs w:val="24"/>
        </w:rPr>
        <w:t xml:space="preserve">any </w:t>
      </w:r>
      <w:r w:rsidR="003119B6" w:rsidRPr="00A9092B">
        <w:rPr>
          <w:szCs w:val="24"/>
        </w:rPr>
        <w:t xml:space="preserve">future training needs analyses. </w:t>
      </w:r>
    </w:p>
    <w:p w14:paraId="5BE064E0" w14:textId="5E478A3B" w:rsidR="003119B6" w:rsidRPr="00A9092B" w:rsidRDefault="007B2592" w:rsidP="00C91FB5">
      <w:pPr>
        <w:pStyle w:val="ListParagraph"/>
        <w:numPr>
          <w:ilvl w:val="0"/>
          <w:numId w:val="23"/>
        </w:numPr>
        <w:spacing w:after="120"/>
        <w:ind w:left="714" w:hanging="357"/>
        <w:rPr>
          <w:szCs w:val="24"/>
        </w:rPr>
      </w:pPr>
      <w:r>
        <w:rPr>
          <w:szCs w:val="24"/>
        </w:rPr>
        <w:t>An internal</w:t>
      </w:r>
      <w:r w:rsidR="003119B6" w:rsidRPr="00A9092B">
        <w:rPr>
          <w:szCs w:val="24"/>
        </w:rPr>
        <w:t xml:space="preserve"> process</w:t>
      </w:r>
      <w:r>
        <w:rPr>
          <w:szCs w:val="24"/>
        </w:rPr>
        <w:t xml:space="preserve"> </w:t>
      </w:r>
      <w:proofErr w:type="gramStart"/>
      <w:r w:rsidR="00377920">
        <w:rPr>
          <w:szCs w:val="24"/>
        </w:rPr>
        <w:t>could</w:t>
      </w:r>
      <w:r>
        <w:rPr>
          <w:szCs w:val="24"/>
        </w:rPr>
        <w:t xml:space="preserve"> be developed</w:t>
      </w:r>
      <w:proofErr w:type="gramEnd"/>
      <w:r w:rsidR="003119B6" w:rsidRPr="00A9092B">
        <w:rPr>
          <w:szCs w:val="24"/>
        </w:rPr>
        <w:t xml:space="preserve"> </w:t>
      </w:r>
      <w:r w:rsidR="007F60B6">
        <w:rPr>
          <w:szCs w:val="24"/>
        </w:rPr>
        <w:t xml:space="preserve">to </w:t>
      </w:r>
      <w:r w:rsidR="003119B6" w:rsidRPr="00A9092B">
        <w:rPr>
          <w:szCs w:val="24"/>
        </w:rPr>
        <w:t>manage</w:t>
      </w:r>
      <w:r w:rsidR="007F60B6">
        <w:rPr>
          <w:szCs w:val="24"/>
        </w:rPr>
        <w:t xml:space="preserve"> and review feedback</w:t>
      </w:r>
      <w:r w:rsidR="003119B6" w:rsidRPr="00A9092B">
        <w:rPr>
          <w:szCs w:val="24"/>
        </w:rPr>
        <w:t xml:space="preserve"> in </w:t>
      </w:r>
      <w:r w:rsidR="00377920">
        <w:rPr>
          <w:szCs w:val="24"/>
        </w:rPr>
        <w:t xml:space="preserve">conjunction </w:t>
      </w:r>
      <w:r w:rsidR="003119B6" w:rsidRPr="00A9092B">
        <w:rPr>
          <w:szCs w:val="24"/>
        </w:rPr>
        <w:t>with</w:t>
      </w:r>
      <w:r>
        <w:rPr>
          <w:szCs w:val="24"/>
        </w:rPr>
        <w:t xml:space="preserve"> other</w:t>
      </w:r>
      <w:r w:rsidR="003119B6" w:rsidRPr="00A9092B">
        <w:rPr>
          <w:szCs w:val="24"/>
        </w:rPr>
        <w:t xml:space="preserve"> continuous improvement processes. </w:t>
      </w:r>
    </w:p>
    <w:p w14:paraId="4A8ACDE6" w14:textId="4CE855B3" w:rsidR="003119B6" w:rsidRPr="00A9092B" w:rsidRDefault="00DC25B2" w:rsidP="00C91FB5">
      <w:pPr>
        <w:pStyle w:val="ListParagraph"/>
        <w:numPr>
          <w:ilvl w:val="0"/>
          <w:numId w:val="23"/>
        </w:numPr>
        <w:spacing w:after="120"/>
        <w:ind w:left="714" w:hanging="357"/>
        <w:rPr>
          <w:szCs w:val="24"/>
        </w:rPr>
      </w:pPr>
      <w:r>
        <w:rPr>
          <w:szCs w:val="24"/>
        </w:rPr>
        <w:t>A</w:t>
      </w:r>
      <w:r w:rsidR="00175EDD">
        <w:rPr>
          <w:szCs w:val="24"/>
        </w:rPr>
        <w:t xml:space="preserve">n </w:t>
      </w:r>
      <w:r w:rsidR="0006261C" w:rsidRPr="00A9092B">
        <w:rPr>
          <w:szCs w:val="24"/>
        </w:rPr>
        <w:t>option</w:t>
      </w:r>
      <w:r w:rsidR="007B2592">
        <w:rPr>
          <w:szCs w:val="24"/>
        </w:rPr>
        <w:t xml:space="preserve"> </w:t>
      </w:r>
      <w:r>
        <w:rPr>
          <w:szCs w:val="24"/>
        </w:rPr>
        <w:t xml:space="preserve">could be included </w:t>
      </w:r>
      <w:r w:rsidR="0006261C" w:rsidRPr="00A9092B">
        <w:rPr>
          <w:szCs w:val="24"/>
        </w:rPr>
        <w:t xml:space="preserve">for respondents not to remain </w:t>
      </w:r>
      <w:r w:rsidR="007B2592" w:rsidRPr="00A9092B">
        <w:rPr>
          <w:szCs w:val="24"/>
        </w:rPr>
        <w:t>anonymous</w:t>
      </w:r>
      <w:r>
        <w:rPr>
          <w:szCs w:val="24"/>
        </w:rPr>
        <w:t xml:space="preserve">. This </w:t>
      </w:r>
      <w:r w:rsidR="007B2592">
        <w:rPr>
          <w:szCs w:val="24"/>
        </w:rPr>
        <w:t>would allow for the</w:t>
      </w:r>
      <w:r w:rsidR="0006261C" w:rsidRPr="00A9092B">
        <w:rPr>
          <w:szCs w:val="24"/>
        </w:rPr>
        <w:t xml:space="preserve"> f</w:t>
      </w:r>
      <w:r w:rsidR="003119B6" w:rsidRPr="00A9092B">
        <w:rPr>
          <w:szCs w:val="24"/>
        </w:rPr>
        <w:t xml:space="preserve">ollow-up </w:t>
      </w:r>
      <w:r w:rsidR="0071747E">
        <w:rPr>
          <w:szCs w:val="24"/>
        </w:rPr>
        <w:t xml:space="preserve">of </w:t>
      </w:r>
      <w:r w:rsidR="003119B6" w:rsidRPr="00A9092B">
        <w:rPr>
          <w:szCs w:val="24"/>
        </w:rPr>
        <w:t>negative comments by speakin</w:t>
      </w:r>
      <w:r w:rsidR="003C3940">
        <w:rPr>
          <w:szCs w:val="24"/>
        </w:rPr>
        <w:t xml:space="preserve">g directly to respondents who are willing to </w:t>
      </w:r>
      <w:proofErr w:type="gramStart"/>
      <w:r w:rsidR="003C3940">
        <w:rPr>
          <w:szCs w:val="24"/>
        </w:rPr>
        <w:t>be contacted</w:t>
      </w:r>
      <w:proofErr w:type="gramEnd"/>
      <w:r w:rsidR="003119B6" w:rsidRPr="00A9092B">
        <w:rPr>
          <w:szCs w:val="24"/>
        </w:rPr>
        <w:t xml:space="preserve">. </w:t>
      </w:r>
      <w:r w:rsidR="003C3940">
        <w:rPr>
          <w:szCs w:val="24"/>
        </w:rPr>
        <w:t xml:space="preserve">This </w:t>
      </w:r>
      <w:r w:rsidR="00175EDD">
        <w:rPr>
          <w:szCs w:val="24"/>
        </w:rPr>
        <w:t>change may</w:t>
      </w:r>
      <w:r w:rsidR="003C3940">
        <w:rPr>
          <w:szCs w:val="24"/>
        </w:rPr>
        <w:t xml:space="preserve"> help to e</w:t>
      </w:r>
      <w:r w:rsidR="003119B6" w:rsidRPr="00A9092B">
        <w:rPr>
          <w:szCs w:val="24"/>
        </w:rPr>
        <w:t>nsure that the respondent</w:t>
      </w:r>
      <w:r w:rsidR="00760862">
        <w:rPr>
          <w:szCs w:val="24"/>
        </w:rPr>
        <w:t>s</w:t>
      </w:r>
      <w:r w:rsidR="003119B6" w:rsidRPr="00A9092B">
        <w:rPr>
          <w:szCs w:val="24"/>
        </w:rPr>
        <w:t xml:space="preserve"> feel valued. </w:t>
      </w:r>
    </w:p>
    <w:p w14:paraId="4A09D94E" w14:textId="6160629C" w:rsidR="003119B6" w:rsidRPr="00DC25B2" w:rsidRDefault="009241EF" w:rsidP="00C91FB5">
      <w:pPr>
        <w:pStyle w:val="ListParagraph"/>
        <w:numPr>
          <w:ilvl w:val="0"/>
          <w:numId w:val="23"/>
        </w:numPr>
        <w:spacing w:after="120"/>
        <w:ind w:left="714" w:hanging="357"/>
        <w:rPr>
          <w:szCs w:val="24"/>
        </w:rPr>
      </w:pPr>
      <w:r w:rsidRPr="00DC25B2">
        <w:rPr>
          <w:szCs w:val="24"/>
        </w:rPr>
        <w:t>Investigate additional feedback processes</w:t>
      </w:r>
      <w:r w:rsidR="00DC25B2" w:rsidRPr="00DC25B2">
        <w:rPr>
          <w:szCs w:val="24"/>
        </w:rPr>
        <w:t>, such as t</w:t>
      </w:r>
      <w:r w:rsidRPr="00DC25B2">
        <w:rPr>
          <w:szCs w:val="24"/>
        </w:rPr>
        <w:t>elephone interviews</w:t>
      </w:r>
      <w:r w:rsidR="00F031E9">
        <w:rPr>
          <w:szCs w:val="24"/>
        </w:rPr>
        <w:t xml:space="preserve"> with </w:t>
      </w:r>
      <w:r w:rsidR="00151F6C">
        <w:rPr>
          <w:szCs w:val="24"/>
        </w:rPr>
        <w:t>licence holder representatives</w:t>
      </w:r>
      <w:r w:rsidR="00DC25B2">
        <w:rPr>
          <w:szCs w:val="24"/>
        </w:rPr>
        <w:t>,</w:t>
      </w:r>
      <w:r w:rsidRPr="00DC25B2">
        <w:rPr>
          <w:szCs w:val="24"/>
        </w:rPr>
        <w:t xml:space="preserve"> </w:t>
      </w:r>
      <w:r w:rsidR="00DC25B2">
        <w:rPr>
          <w:szCs w:val="24"/>
        </w:rPr>
        <w:t xml:space="preserve">or </w:t>
      </w:r>
      <w:r w:rsidR="003119B6" w:rsidRPr="00DC25B2">
        <w:rPr>
          <w:szCs w:val="24"/>
        </w:rPr>
        <w:t xml:space="preserve">a </w:t>
      </w:r>
      <w:r w:rsidR="00246A7F">
        <w:rPr>
          <w:szCs w:val="24"/>
        </w:rPr>
        <w:t>‘</w:t>
      </w:r>
      <w:r w:rsidR="003119B6" w:rsidRPr="00DC25B2">
        <w:rPr>
          <w:szCs w:val="24"/>
        </w:rPr>
        <w:t>talk to a regulator</w:t>
      </w:r>
      <w:r w:rsidR="00246A7F">
        <w:rPr>
          <w:szCs w:val="24"/>
        </w:rPr>
        <w:t>’</w:t>
      </w:r>
      <w:r w:rsidR="003119B6" w:rsidRPr="00DC25B2">
        <w:rPr>
          <w:szCs w:val="24"/>
        </w:rPr>
        <w:t xml:space="preserve"> program</w:t>
      </w:r>
      <w:r w:rsidR="00F031E9">
        <w:rPr>
          <w:szCs w:val="24"/>
        </w:rPr>
        <w:t xml:space="preserve"> for public enquiries </w:t>
      </w:r>
      <w:r w:rsidR="003119B6" w:rsidRPr="00DC25B2">
        <w:rPr>
          <w:szCs w:val="24"/>
        </w:rPr>
        <w:t xml:space="preserve">similar to ARPANSA’s </w:t>
      </w:r>
      <w:r w:rsidR="00246A7F">
        <w:rPr>
          <w:szCs w:val="24"/>
        </w:rPr>
        <w:t>‘</w:t>
      </w:r>
      <w:r w:rsidR="003119B6" w:rsidRPr="00DC25B2">
        <w:rPr>
          <w:szCs w:val="24"/>
        </w:rPr>
        <w:t>talk to a scientist</w:t>
      </w:r>
      <w:r w:rsidR="00246A7F">
        <w:rPr>
          <w:szCs w:val="24"/>
        </w:rPr>
        <w:t xml:space="preserve">’ </w:t>
      </w:r>
      <w:r w:rsidR="003119B6" w:rsidRPr="00DC25B2">
        <w:rPr>
          <w:szCs w:val="24"/>
        </w:rPr>
        <w:t>program</w:t>
      </w:r>
      <w:r w:rsidR="00DC25B2">
        <w:rPr>
          <w:szCs w:val="24"/>
        </w:rPr>
        <w:t xml:space="preserve">. This may </w:t>
      </w:r>
      <w:r w:rsidR="003119B6" w:rsidRPr="00DC25B2">
        <w:rPr>
          <w:szCs w:val="24"/>
        </w:rPr>
        <w:t>support effective communication across a wider range of stakeholders</w:t>
      </w:r>
      <w:r w:rsidR="00F031E9">
        <w:rPr>
          <w:szCs w:val="24"/>
        </w:rPr>
        <w:t xml:space="preserve"> and ensure accurate regulatory advice</w:t>
      </w:r>
      <w:r w:rsidR="003119B6" w:rsidRPr="00DC25B2">
        <w:rPr>
          <w:szCs w:val="24"/>
        </w:rPr>
        <w:t xml:space="preserve">. </w:t>
      </w:r>
    </w:p>
    <w:p w14:paraId="76E25CA0" w14:textId="77777777" w:rsidR="005E5816" w:rsidRPr="00E04D16" w:rsidRDefault="005E5816" w:rsidP="00C91FB5">
      <w:pPr>
        <w:autoSpaceDE w:val="0"/>
        <w:autoSpaceDN w:val="0"/>
        <w:adjustRightInd w:val="0"/>
        <w:spacing w:after="120"/>
        <w:rPr>
          <w:rFonts w:cs="Arial"/>
          <w:szCs w:val="24"/>
        </w:rPr>
      </w:pPr>
      <w:r>
        <w:rPr>
          <w:rFonts w:cs="Arial"/>
          <w:szCs w:val="24"/>
        </w:rPr>
        <w:t xml:space="preserve">The team </w:t>
      </w:r>
      <w:r w:rsidRPr="00E04D16">
        <w:rPr>
          <w:rFonts w:cs="Arial"/>
          <w:szCs w:val="24"/>
        </w:rPr>
        <w:t>identified the following AFI related to PI 2.2:</w:t>
      </w:r>
    </w:p>
    <w:p w14:paraId="6508576A" w14:textId="207CF74F" w:rsidR="001C2C64" w:rsidRPr="00E04D16" w:rsidRDefault="005B0A30" w:rsidP="00C91FB5">
      <w:pPr>
        <w:pStyle w:val="ListParagraph"/>
        <w:numPr>
          <w:ilvl w:val="0"/>
          <w:numId w:val="23"/>
        </w:numPr>
        <w:spacing w:after="120"/>
        <w:ind w:left="714" w:hanging="357"/>
        <w:rPr>
          <w:szCs w:val="24"/>
        </w:rPr>
      </w:pPr>
      <w:r w:rsidRPr="00E04D16">
        <w:rPr>
          <w:szCs w:val="24"/>
        </w:rPr>
        <w:t xml:space="preserve">Strategies </w:t>
      </w:r>
      <w:proofErr w:type="gramStart"/>
      <w:r w:rsidRPr="00E04D16">
        <w:rPr>
          <w:szCs w:val="24"/>
        </w:rPr>
        <w:t xml:space="preserve">could be </w:t>
      </w:r>
      <w:r w:rsidR="00CB13B7" w:rsidRPr="00E04D16">
        <w:rPr>
          <w:szCs w:val="24"/>
        </w:rPr>
        <w:t>developed</w:t>
      </w:r>
      <w:proofErr w:type="gramEnd"/>
      <w:r w:rsidR="001C2C64" w:rsidRPr="00E04D16">
        <w:rPr>
          <w:szCs w:val="24"/>
        </w:rPr>
        <w:t xml:space="preserve"> to </w:t>
      </w:r>
      <w:r w:rsidRPr="00E04D16">
        <w:rPr>
          <w:szCs w:val="24"/>
        </w:rPr>
        <w:t xml:space="preserve">provide additional </w:t>
      </w:r>
      <w:r w:rsidR="001C2C64" w:rsidRPr="00E04D16">
        <w:rPr>
          <w:szCs w:val="24"/>
        </w:rPr>
        <w:t xml:space="preserve">information sharing on </w:t>
      </w:r>
      <w:r w:rsidR="00A96B06" w:rsidRPr="00D90583">
        <w:rPr>
          <w:szCs w:val="24"/>
        </w:rPr>
        <w:t xml:space="preserve">operational experience </w:t>
      </w:r>
      <w:r w:rsidR="00760862" w:rsidRPr="00D90583">
        <w:rPr>
          <w:szCs w:val="24"/>
        </w:rPr>
        <w:t xml:space="preserve">across </w:t>
      </w:r>
      <w:r w:rsidR="00E23457" w:rsidRPr="00D90583">
        <w:rPr>
          <w:szCs w:val="24"/>
        </w:rPr>
        <w:t>l</w:t>
      </w:r>
      <w:r w:rsidR="001F7A0E" w:rsidRPr="00D90583">
        <w:rPr>
          <w:szCs w:val="24"/>
        </w:rPr>
        <w:t xml:space="preserve">icence </w:t>
      </w:r>
      <w:r w:rsidR="001F7A0E" w:rsidRPr="00E04D16">
        <w:rPr>
          <w:szCs w:val="24"/>
        </w:rPr>
        <w:t>holder</w:t>
      </w:r>
      <w:r w:rsidR="00760862" w:rsidRPr="00E04D16">
        <w:rPr>
          <w:szCs w:val="24"/>
        </w:rPr>
        <w:t xml:space="preserve">s </w:t>
      </w:r>
      <w:r w:rsidR="00A96B06" w:rsidRPr="00E04D16">
        <w:rPr>
          <w:szCs w:val="24"/>
        </w:rPr>
        <w:t xml:space="preserve">and </w:t>
      </w:r>
      <w:r w:rsidR="001C2C64" w:rsidRPr="00E04D16">
        <w:rPr>
          <w:szCs w:val="24"/>
        </w:rPr>
        <w:t xml:space="preserve">inspection </w:t>
      </w:r>
      <w:r w:rsidRPr="00E04D16">
        <w:rPr>
          <w:szCs w:val="24"/>
        </w:rPr>
        <w:t xml:space="preserve">and </w:t>
      </w:r>
      <w:r w:rsidR="001C2C64" w:rsidRPr="00E04D16">
        <w:rPr>
          <w:szCs w:val="24"/>
        </w:rPr>
        <w:t>assessment outcomes</w:t>
      </w:r>
      <w:r w:rsidR="00FE0720" w:rsidRPr="00E04D16">
        <w:rPr>
          <w:szCs w:val="24"/>
        </w:rPr>
        <w:t xml:space="preserve"> (including good practices)</w:t>
      </w:r>
      <w:r w:rsidR="001C2C64" w:rsidRPr="00E04D16">
        <w:rPr>
          <w:szCs w:val="24"/>
        </w:rPr>
        <w:t xml:space="preserve">. </w:t>
      </w:r>
    </w:p>
    <w:p w14:paraId="17228C77" w14:textId="603A5BBF" w:rsidR="00562BD1" w:rsidRPr="00562BD1" w:rsidRDefault="00E04D16" w:rsidP="00C91FB5">
      <w:pPr>
        <w:pStyle w:val="ListParagraph"/>
        <w:numPr>
          <w:ilvl w:val="0"/>
          <w:numId w:val="23"/>
        </w:numPr>
        <w:spacing w:after="120"/>
        <w:ind w:left="714" w:hanging="357"/>
        <w:rPr>
          <w:sz w:val="22"/>
        </w:rPr>
      </w:pPr>
      <w:r w:rsidRPr="00E04D16">
        <w:rPr>
          <w:szCs w:val="24"/>
        </w:rPr>
        <w:t>I</w:t>
      </w:r>
      <w:r w:rsidR="001C2C64" w:rsidRPr="00E04D16">
        <w:rPr>
          <w:szCs w:val="24"/>
        </w:rPr>
        <w:t xml:space="preserve">mprove </w:t>
      </w:r>
      <w:r w:rsidR="000539B9" w:rsidRPr="00E04D16">
        <w:rPr>
          <w:szCs w:val="24"/>
        </w:rPr>
        <w:t>internal</w:t>
      </w:r>
      <w:r w:rsidR="001C2C64" w:rsidRPr="00E04D16">
        <w:rPr>
          <w:szCs w:val="24"/>
        </w:rPr>
        <w:t xml:space="preserve"> communication on inspection and assessment outcomes</w:t>
      </w:r>
      <w:r w:rsidR="00215FE6" w:rsidRPr="00E04D16">
        <w:rPr>
          <w:sz w:val="22"/>
        </w:rPr>
        <w:t>.</w:t>
      </w:r>
    </w:p>
    <w:p w14:paraId="3F2B06BC" w14:textId="66B84EDE" w:rsidR="009C7EC4" w:rsidRPr="00A9092B" w:rsidRDefault="009C7EC4" w:rsidP="00C91FB5">
      <w:pPr>
        <w:pStyle w:val="Heading2"/>
        <w:spacing w:before="480"/>
        <w:jc w:val="left"/>
        <w:rPr>
          <w:lang w:eastAsia="en-AU"/>
        </w:rPr>
      </w:pPr>
      <w:bookmarkStart w:id="24" w:name="_Toc470173150"/>
      <w:r w:rsidRPr="00A9092B">
        <w:rPr>
          <w:lang w:eastAsia="en-AU"/>
        </w:rPr>
        <w:lastRenderedPageBreak/>
        <w:t xml:space="preserve">KPI 3 </w:t>
      </w:r>
      <w:r w:rsidR="00133CE8">
        <w:rPr>
          <w:lang w:eastAsia="en-AU"/>
        </w:rPr>
        <w:t>–</w:t>
      </w:r>
      <w:r w:rsidRPr="00A9092B">
        <w:rPr>
          <w:lang w:eastAsia="en-AU"/>
        </w:rPr>
        <w:t xml:space="preserve"> Actions undertaken by regulators are proportionate to the regulatory risk being managed</w:t>
      </w:r>
      <w:bookmarkEnd w:id="24"/>
    </w:p>
    <w:p w14:paraId="6643D230" w14:textId="78C813C3" w:rsidR="009C7EC4"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 xml:space="preserve">ARPANSA’s regulatory oversight </w:t>
      </w:r>
      <w:r w:rsidR="00E23457">
        <w:rPr>
          <w:rFonts w:cs="Times New Roman"/>
          <w:bCs/>
          <w:szCs w:val="24"/>
          <w:lang w:eastAsia="en-AU"/>
        </w:rPr>
        <w:t>program</w:t>
      </w:r>
      <w:r>
        <w:rPr>
          <w:rFonts w:cs="Times New Roman"/>
          <w:bCs/>
          <w:szCs w:val="24"/>
          <w:lang w:eastAsia="en-AU"/>
        </w:rPr>
        <w:t xml:space="preserve"> is </w:t>
      </w:r>
      <w:r w:rsidR="00C13A27">
        <w:rPr>
          <w:rFonts w:cs="Times New Roman"/>
          <w:bCs/>
          <w:szCs w:val="24"/>
          <w:lang w:eastAsia="en-AU"/>
        </w:rPr>
        <w:t xml:space="preserve">proportionate to the regulatory risk of the controlled activity. It </w:t>
      </w:r>
      <w:r w:rsidR="00742A6D">
        <w:rPr>
          <w:rFonts w:cs="Times New Roman"/>
          <w:bCs/>
          <w:szCs w:val="24"/>
          <w:lang w:eastAsia="en-AU"/>
        </w:rPr>
        <w:t xml:space="preserve">includes </w:t>
      </w:r>
      <w:r w:rsidR="001F7A0E">
        <w:rPr>
          <w:rFonts w:cs="Times New Roman"/>
          <w:bCs/>
          <w:szCs w:val="24"/>
          <w:lang w:eastAsia="en-AU"/>
        </w:rPr>
        <w:t>licence holder</w:t>
      </w:r>
      <w:r>
        <w:rPr>
          <w:rFonts w:cs="Times New Roman"/>
          <w:bCs/>
          <w:szCs w:val="24"/>
          <w:lang w:eastAsia="en-AU"/>
        </w:rPr>
        <w:t xml:space="preserve"> reporting, inspections, site visits and other meetings</w:t>
      </w:r>
      <w:r w:rsidR="00C13A27">
        <w:rPr>
          <w:rFonts w:cs="Times New Roman"/>
          <w:bCs/>
          <w:szCs w:val="24"/>
          <w:lang w:eastAsia="en-AU"/>
        </w:rPr>
        <w:t xml:space="preserve"> or forums</w:t>
      </w:r>
      <w:r w:rsidR="00133CE8">
        <w:rPr>
          <w:rFonts w:cs="Times New Roman"/>
          <w:bCs/>
          <w:szCs w:val="24"/>
          <w:lang w:eastAsia="en-AU"/>
        </w:rPr>
        <w:t xml:space="preserve">. </w:t>
      </w:r>
      <w:r>
        <w:rPr>
          <w:rFonts w:cs="Times New Roman"/>
          <w:bCs/>
          <w:szCs w:val="24"/>
          <w:lang w:eastAsia="en-AU"/>
        </w:rPr>
        <w:t>An inspection may identify potential non-compliance, performance d</w:t>
      </w:r>
      <w:r w:rsidR="00E85C3E">
        <w:rPr>
          <w:rFonts w:cs="Times New Roman"/>
          <w:bCs/>
          <w:szCs w:val="24"/>
          <w:lang w:eastAsia="en-AU"/>
        </w:rPr>
        <w:t>eficiencies or good practices.</w:t>
      </w:r>
    </w:p>
    <w:p w14:paraId="726FB0CA" w14:textId="4676333C" w:rsidR="003F202E"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 xml:space="preserve">Performance </w:t>
      </w:r>
      <w:r w:rsidR="002A6E3C">
        <w:rPr>
          <w:rFonts w:cs="Times New Roman"/>
          <w:bCs/>
          <w:szCs w:val="24"/>
          <w:lang w:eastAsia="en-AU"/>
        </w:rPr>
        <w:t>d</w:t>
      </w:r>
      <w:r w:rsidRPr="00A9092B">
        <w:rPr>
          <w:rFonts w:cs="Times New Roman"/>
          <w:bCs/>
          <w:szCs w:val="24"/>
          <w:lang w:eastAsia="en-AU"/>
        </w:rPr>
        <w:t>eficiencies</w:t>
      </w:r>
      <w:r>
        <w:rPr>
          <w:rFonts w:cs="Times New Roman"/>
          <w:bCs/>
          <w:szCs w:val="24"/>
          <w:lang w:eastAsia="en-AU"/>
        </w:rPr>
        <w:t xml:space="preserve"> </w:t>
      </w:r>
      <w:r w:rsidRPr="00A9092B">
        <w:rPr>
          <w:rFonts w:cs="Times New Roman"/>
          <w:bCs/>
          <w:szCs w:val="24"/>
          <w:lang w:eastAsia="en-AU"/>
        </w:rPr>
        <w:t xml:space="preserve">may occur when a </w:t>
      </w:r>
      <w:r w:rsidR="00BF1E7C">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 does not follow accepted best practice or does not meet self-imposed standards</w:t>
      </w:r>
      <w:r>
        <w:rPr>
          <w:rFonts w:cs="Times New Roman"/>
          <w:bCs/>
          <w:szCs w:val="24"/>
          <w:lang w:eastAsia="en-AU"/>
        </w:rPr>
        <w:t xml:space="preserve">. These represent an area where the </w:t>
      </w:r>
      <w:r w:rsidR="001F7A0E">
        <w:rPr>
          <w:rFonts w:cs="Times New Roman"/>
          <w:bCs/>
          <w:szCs w:val="24"/>
          <w:lang w:eastAsia="en-AU"/>
        </w:rPr>
        <w:t>licence holder</w:t>
      </w:r>
      <w:r>
        <w:rPr>
          <w:rFonts w:cs="Times New Roman"/>
          <w:bCs/>
          <w:szCs w:val="24"/>
          <w:lang w:eastAsia="en-AU"/>
        </w:rPr>
        <w:t xml:space="preserve"> could improve their safety systems</w:t>
      </w:r>
      <w:r w:rsidR="00595C8E">
        <w:rPr>
          <w:rFonts w:cs="Times New Roman"/>
          <w:bCs/>
          <w:szCs w:val="24"/>
          <w:lang w:eastAsia="en-AU"/>
        </w:rPr>
        <w:t xml:space="preserve"> and practices</w:t>
      </w:r>
      <w:r>
        <w:rPr>
          <w:rFonts w:cs="Times New Roman"/>
          <w:bCs/>
          <w:szCs w:val="24"/>
          <w:lang w:eastAsia="en-AU"/>
        </w:rPr>
        <w:t xml:space="preserve"> and are typically actioned voluntarily without regulatory intervention. </w:t>
      </w:r>
    </w:p>
    <w:p w14:paraId="28489A19" w14:textId="226A9CA8" w:rsidR="00395932"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P</w:t>
      </w:r>
      <w:r w:rsidRPr="00A9092B">
        <w:rPr>
          <w:rFonts w:cs="Times New Roman"/>
          <w:bCs/>
          <w:szCs w:val="24"/>
          <w:lang w:eastAsia="en-AU"/>
        </w:rPr>
        <w:t xml:space="preserve">otential </w:t>
      </w:r>
      <w:r w:rsidR="00BF1E7C">
        <w:rPr>
          <w:rFonts w:cs="Times New Roman"/>
          <w:bCs/>
          <w:szCs w:val="24"/>
          <w:lang w:eastAsia="en-AU"/>
        </w:rPr>
        <w:t>n</w:t>
      </w:r>
      <w:r w:rsidRPr="00A9092B">
        <w:rPr>
          <w:rFonts w:cs="Times New Roman"/>
          <w:bCs/>
          <w:szCs w:val="24"/>
          <w:lang w:eastAsia="en-AU"/>
        </w:rPr>
        <w:t>on-</w:t>
      </w:r>
      <w:r w:rsidR="00BF1E7C">
        <w:rPr>
          <w:rFonts w:cs="Times New Roman"/>
          <w:bCs/>
          <w:szCs w:val="24"/>
          <w:lang w:eastAsia="en-AU"/>
        </w:rPr>
        <w:t>c</w:t>
      </w:r>
      <w:r w:rsidRPr="00A9092B">
        <w:rPr>
          <w:rFonts w:cs="Times New Roman"/>
          <w:bCs/>
          <w:szCs w:val="24"/>
          <w:lang w:eastAsia="en-AU"/>
        </w:rPr>
        <w:t>ompliances</w:t>
      </w:r>
      <w:r>
        <w:rPr>
          <w:rFonts w:cs="Times New Roman"/>
          <w:bCs/>
          <w:szCs w:val="24"/>
          <w:lang w:eastAsia="en-AU"/>
        </w:rPr>
        <w:t xml:space="preserve"> </w:t>
      </w:r>
      <w:r w:rsidRPr="00A9092B">
        <w:rPr>
          <w:rFonts w:cs="Times New Roman"/>
          <w:bCs/>
          <w:szCs w:val="24"/>
          <w:lang w:eastAsia="en-AU"/>
        </w:rPr>
        <w:t xml:space="preserve">may arise when </w:t>
      </w:r>
      <w:r>
        <w:rPr>
          <w:rFonts w:cs="Times New Roman"/>
          <w:bCs/>
          <w:szCs w:val="24"/>
          <w:lang w:eastAsia="en-AU"/>
        </w:rPr>
        <w:t xml:space="preserve">inspectors consider that </w:t>
      </w:r>
      <w:r w:rsidR="00BF1E7C">
        <w:rPr>
          <w:rFonts w:cs="Times New Roman"/>
          <w:bCs/>
          <w:szCs w:val="24"/>
          <w:lang w:eastAsia="en-AU"/>
        </w:rPr>
        <w:t>a l</w:t>
      </w:r>
      <w:r w:rsidR="001F7A0E">
        <w:rPr>
          <w:rFonts w:cs="Times New Roman"/>
          <w:bCs/>
          <w:szCs w:val="24"/>
          <w:lang w:eastAsia="en-AU"/>
        </w:rPr>
        <w:t>icence holder</w:t>
      </w:r>
      <w:r w:rsidRPr="00A9092B">
        <w:rPr>
          <w:rFonts w:cs="Times New Roman"/>
          <w:bCs/>
          <w:szCs w:val="24"/>
          <w:lang w:eastAsia="en-AU"/>
        </w:rPr>
        <w:t xml:space="preserve"> do</w:t>
      </w:r>
      <w:r w:rsidR="00BF1E7C">
        <w:rPr>
          <w:rFonts w:cs="Times New Roman"/>
          <w:bCs/>
          <w:szCs w:val="24"/>
          <w:lang w:eastAsia="en-AU"/>
        </w:rPr>
        <w:t>es</w:t>
      </w:r>
      <w:r w:rsidRPr="00A9092B">
        <w:rPr>
          <w:rFonts w:cs="Times New Roman"/>
          <w:bCs/>
          <w:szCs w:val="24"/>
          <w:lang w:eastAsia="en-AU"/>
        </w:rPr>
        <w:t xml:space="preserve"> not meet the legislative requirements of the Act</w:t>
      </w:r>
      <w:r>
        <w:rPr>
          <w:rFonts w:cs="Times New Roman"/>
          <w:bCs/>
          <w:szCs w:val="24"/>
          <w:lang w:eastAsia="en-AU"/>
        </w:rPr>
        <w:t xml:space="preserve"> and</w:t>
      </w:r>
      <w:r w:rsidRPr="00A9092B">
        <w:rPr>
          <w:rFonts w:cs="Times New Roman"/>
          <w:bCs/>
          <w:szCs w:val="24"/>
          <w:lang w:eastAsia="en-AU"/>
        </w:rPr>
        <w:t xml:space="preserve"> Regulations</w:t>
      </w:r>
      <w:r>
        <w:rPr>
          <w:rFonts w:cs="Times New Roman"/>
          <w:bCs/>
          <w:szCs w:val="24"/>
          <w:lang w:eastAsia="en-AU"/>
        </w:rPr>
        <w:t xml:space="preserve"> or specific</w:t>
      </w:r>
      <w:r w:rsidRPr="00A9092B">
        <w:rPr>
          <w:rFonts w:cs="Times New Roman"/>
          <w:bCs/>
          <w:szCs w:val="24"/>
          <w:lang w:eastAsia="en-AU"/>
        </w:rPr>
        <w:t xml:space="preserve"> licence conditions</w:t>
      </w:r>
      <w:r>
        <w:rPr>
          <w:rFonts w:cs="Times New Roman"/>
          <w:bCs/>
          <w:szCs w:val="24"/>
          <w:lang w:eastAsia="en-AU"/>
        </w:rPr>
        <w:t>. A formal determination o</w:t>
      </w:r>
      <w:r w:rsidR="003F202E">
        <w:rPr>
          <w:rFonts w:cs="Times New Roman"/>
          <w:bCs/>
          <w:szCs w:val="24"/>
          <w:lang w:eastAsia="en-AU"/>
        </w:rPr>
        <w:t>f</w:t>
      </w:r>
      <w:r>
        <w:rPr>
          <w:rFonts w:cs="Times New Roman"/>
          <w:bCs/>
          <w:szCs w:val="24"/>
          <w:lang w:eastAsia="en-AU"/>
        </w:rPr>
        <w:t xml:space="preserve"> whether a potential non-compliance is a breach of the Act is made by the CEO of ARPANSA </w:t>
      </w:r>
      <w:r w:rsidR="002F7B9E">
        <w:rPr>
          <w:rFonts w:cs="Times New Roman"/>
          <w:bCs/>
          <w:szCs w:val="24"/>
          <w:lang w:eastAsia="en-AU"/>
        </w:rPr>
        <w:t>(</w:t>
      </w:r>
      <w:r>
        <w:rPr>
          <w:rFonts w:cs="Times New Roman"/>
          <w:bCs/>
          <w:szCs w:val="24"/>
          <w:lang w:eastAsia="en-AU"/>
        </w:rPr>
        <w:t xml:space="preserve">or </w:t>
      </w:r>
      <w:r w:rsidR="00742A6D">
        <w:rPr>
          <w:rFonts w:cs="Times New Roman"/>
          <w:bCs/>
          <w:szCs w:val="24"/>
          <w:lang w:eastAsia="en-AU"/>
        </w:rPr>
        <w:t xml:space="preserve">his </w:t>
      </w:r>
      <w:r>
        <w:rPr>
          <w:rFonts w:cs="Times New Roman"/>
          <w:bCs/>
          <w:szCs w:val="24"/>
          <w:lang w:eastAsia="en-AU"/>
        </w:rPr>
        <w:t>delegate</w:t>
      </w:r>
      <w:r w:rsidR="002F7B9E">
        <w:rPr>
          <w:rFonts w:cs="Times New Roman"/>
          <w:bCs/>
          <w:szCs w:val="24"/>
          <w:lang w:eastAsia="en-AU"/>
        </w:rPr>
        <w:t>)</w:t>
      </w:r>
      <w:r w:rsidR="00E226D6">
        <w:rPr>
          <w:rFonts w:cs="Times New Roman"/>
          <w:bCs/>
          <w:szCs w:val="24"/>
          <w:lang w:eastAsia="en-AU"/>
        </w:rPr>
        <w:t>,</w:t>
      </w:r>
      <w:r>
        <w:rPr>
          <w:rFonts w:cs="Times New Roman"/>
          <w:bCs/>
          <w:szCs w:val="24"/>
          <w:lang w:eastAsia="en-AU"/>
        </w:rPr>
        <w:t xml:space="preserve"> based on the evidence presented by </w:t>
      </w:r>
      <w:r w:rsidR="002F7B9E">
        <w:rPr>
          <w:rFonts w:cs="Times New Roman"/>
          <w:bCs/>
          <w:szCs w:val="24"/>
          <w:lang w:eastAsia="en-AU"/>
        </w:rPr>
        <w:t>i</w:t>
      </w:r>
      <w:r>
        <w:rPr>
          <w:rFonts w:cs="Times New Roman"/>
          <w:bCs/>
          <w:szCs w:val="24"/>
          <w:lang w:eastAsia="en-AU"/>
        </w:rPr>
        <w:t xml:space="preserve">nspectors and the </w:t>
      </w:r>
      <w:r w:rsidR="001F7A0E">
        <w:rPr>
          <w:rFonts w:cs="Times New Roman"/>
          <w:bCs/>
          <w:szCs w:val="24"/>
          <w:lang w:eastAsia="en-AU"/>
        </w:rPr>
        <w:t>licence holder</w:t>
      </w:r>
      <w:r>
        <w:rPr>
          <w:rFonts w:cs="Times New Roman"/>
          <w:bCs/>
          <w:szCs w:val="24"/>
          <w:lang w:eastAsia="en-AU"/>
        </w:rPr>
        <w:t xml:space="preserve">. </w:t>
      </w:r>
    </w:p>
    <w:p w14:paraId="44FED175" w14:textId="7785DCD2" w:rsidR="00136B99" w:rsidRDefault="00136B99" w:rsidP="00C91FB5">
      <w:pPr>
        <w:tabs>
          <w:tab w:val="left" w:pos="0"/>
        </w:tabs>
        <w:spacing w:after="120"/>
        <w:ind w:right="34"/>
        <w:rPr>
          <w:rFonts w:cs="Times New Roman"/>
          <w:bCs/>
          <w:szCs w:val="24"/>
          <w:lang w:eastAsia="en-AU"/>
        </w:rPr>
      </w:pPr>
      <w:r>
        <w:rPr>
          <w:rFonts w:cs="Times New Roman"/>
          <w:bCs/>
          <w:szCs w:val="24"/>
          <w:lang w:eastAsia="en-AU"/>
        </w:rPr>
        <w:t>The CEO has a range of regulator</w:t>
      </w:r>
      <w:r w:rsidR="00E85C3E">
        <w:rPr>
          <w:rFonts w:cs="Times New Roman"/>
          <w:bCs/>
          <w:szCs w:val="24"/>
          <w:lang w:eastAsia="en-AU"/>
        </w:rPr>
        <w:t xml:space="preserve">y responses to non-compliance. </w:t>
      </w:r>
      <w:r>
        <w:rPr>
          <w:rFonts w:cs="Times New Roman"/>
          <w:bCs/>
          <w:szCs w:val="24"/>
          <w:lang w:eastAsia="en-AU"/>
        </w:rPr>
        <w:t xml:space="preserve">The level of response is proportionate to the particular circumstance. ARPANSA provides guidance on how the response is determined in regulatory guide </w:t>
      </w:r>
      <w:hyperlink r:id="rId16" w:history="1">
        <w:r w:rsidRPr="0064132C">
          <w:rPr>
            <w:rStyle w:val="Hyperlink"/>
            <w:rFonts w:cs="Times New Roman"/>
            <w:bCs/>
            <w:szCs w:val="24"/>
            <w:lang w:eastAsia="en-AU"/>
          </w:rPr>
          <w:t>Graded Response to Non-compliance</w:t>
        </w:r>
      </w:hyperlink>
      <w:r>
        <w:rPr>
          <w:rFonts w:cs="Times New Roman"/>
          <w:bCs/>
          <w:szCs w:val="24"/>
          <w:lang w:eastAsia="en-AU"/>
        </w:rPr>
        <w:t xml:space="preserve">. In most cases, ARPANSA’s initial response will be to encourage a return to compliance. If this is unsuccessful, the regulatory response </w:t>
      </w:r>
      <w:proofErr w:type="gramStart"/>
      <w:r>
        <w:t>may b</w:t>
      </w:r>
      <w:r w:rsidRPr="008B0018">
        <w:t>e escalated</w:t>
      </w:r>
      <w:proofErr w:type="gramEnd"/>
      <w:r w:rsidRPr="008B0018">
        <w:t xml:space="preserve"> </w:t>
      </w:r>
      <w:r>
        <w:rPr>
          <w:rFonts w:cs="Times New Roman"/>
          <w:bCs/>
          <w:szCs w:val="24"/>
          <w:lang w:eastAsia="en-AU"/>
        </w:rPr>
        <w:t xml:space="preserve">to more formal action such as </w:t>
      </w:r>
      <w:r w:rsidR="005F5665">
        <w:rPr>
          <w:rFonts w:cs="Times New Roman"/>
          <w:bCs/>
          <w:szCs w:val="24"/>
          <w:lang w:eastAsia="en-AU"/>
        </w:rPr>
        <w:t xml:space="preserve">an </w:t>
      </w:r>
      <w:r>
        <w:rPr>
          <w:rFonts w:cs="Times New Roman"/>
          <w:bCs/>
          <w:szCs w:val="24"/>
          <w:lang w:eastAsia="en-AU"/>
        </w:rPr>
        <w:t>improvement notice or direction through to suspension or cancellation of licence, or court action. Most of these enforcement actions, which are similar to those of other regulatory bodies, have never needed to be used, but are nonetheless important tools to ensure compliance with the Act and provide confidence to stakeholders</w:t>
      </w:r>
      <w:r w:rsidR="002719B5">
        <w:rPr>
          <w:rFonts w:cs="Times New Roman"/>
          <w:bCs/>
          <w:szCs w:val="24"/>
          <w:lang w:eastAsia="en-AU"/>
        </w:rPr>
        <w:t>,</w:t>
      </w:r>
      <w:r>
        <w:rPr>
          <w:rFonts w:cs="Times New Roman"/>
          <w:bCs/>
          <w:szCs w:val="24"/>
          <w:lang w:eastAsia="en-AU"/>
        </w:rPr>
        <w:t xml:space="preserve"> including the public</w:t>
      </w:r>
      <w:r w:rsidR="002719B5">
        <w:rPr>
          <w:rFonts w:cs="Times New Roman"/>
          <w:bCs/>
          <w:szCs w:val="24"/>
          <w:lang w:eastAsia="en-AU"/>
        </w:rPr>
        <w:t>,</w:t>
      </w:r>
      <w:r>
        <w:rPr>
          <w:rFonts w:cs="Times New Roman"/>
          <w:bCs/>
          <w:szCs w:val="24"/>
          <w:lang w:eastAsia="en-AU"/>
        </w:rPr>
        <w:t xml:space="preserve"> in ARPANSA’s ability to protect the </w:t>
      </w:r>
      <w:r w:rsidR="002719B5">
        <w:rPr>
          <w:rFonts w:cs="Times New Roman"/>
          <w:bCs/>
          <w:szCs w:val="24"/>
          <w:lang w:eastAsia="en-AU"/>
        </w:rPr>
        <w:t>people</w:t>
      </w:r>
      <w:r>
        <w:rPr>
          <w:rFonts w:cs="Times New Roman"/>
          <w:bCs/>
          <w:szCs w:val="24"/>
          <w:lang w:eastAsia="en-AU"/>
        </w:rPr>
        <w:t xml:space="preserve"> and environment from the harmful effects of radiation. In practice, ARPANSA strives to use the lowest level of regulatory response necessary to assure safety</w:t>
      </w:r>
      <w:r w:rsidR="005F5665">
        <w:rPr>
          <w:rFonts w:cs="Times New Roman"/>
          <w:bCs/>
          <w:szCs w:val="24"/>
          <w:lang w:eastAsia="en-AU"/>
        </w:rPr>
        <w:t xml:space="preserve"> and security</w:t>
      </w:r>
      <w:r>
        <w:rPr>
          <w:rFonts w:cs="Times New Roman"/>
          <w:bCs/>
          <w:szCs w:val="24"/>
          <w:lang w:eastAsia="en-AU"/>
        </w:rPr>
        <w:t xml:space="preserve">. </w:t>
      </w:r>
    </w:p>
    <w:p w14:paraId="3F19EE51" w14:textId="4D502EC5" w:rsidR="0081375F" w:rsidRDefault="00136B99" w:rsidP="00C91FB5">
      <w:pPr>
        <w:autoSpaceDE w:val="0"/>
        <w:autoSpaceDN w:val="0"/>
        <w:adjustRightInd w:val="0"/>
        <w:spacing w:after="120"/>
        <w:rPr>
          <w:rFonts w:cs="Times New Roman"/>
          <w:bCs/>
          <w:szCs w:val="24"/>
          <w:lang w:eastAsia="en-AU"/>
        </w:rPr>
      </w:pPr>
      <w:r>
        <w:rPr>
          <w:rFonts w:cs="Times New Roman"/>
          <w:bCs/>
          <w:szCs w:val="24"/>
          <w:lang w:eastAsia="en-AU"/>
        </w:rPr>
        <w:t xml:space="preserve">The Act requires that a licence only </w:t>
      </w:r>
      <w:proofErr w:type="gramStart"/>
      <w:r w:rsidR="007544F8">
        <w:rPr>
          <w:rFonts w:cs="Times New Roman"/>
          <w:bCs/>
          <w:szCs w:val="24"/>
          <w:lang w:eastAsia="en-AU"/>
        </w:rPr>
        <w:t xml:space="preserve">be </w:t>
      </w:r>
      <w:r>
        <w:rPr>
          <w:rFonts w:cs="Times New Roman"/>
          <w:bCs/>
          <w:szCs w:val="24"/>
          <w:lang w:eastAsia="en-AU"/>
        </w:rPr>
        <w:t>issued</w:t>
      </w:r>
      <w:proofErr w:type="gramEnd"/>
      <w:r>
        <w:rPr>
          <w:rFonts w:cs="Times New Roman"/>
          <w:bCs/>
          <w:szCs w:val="24"/>
          <w:lang w:eastAsia="en-AU"/>
        </w:rPr>
        <w:t xml:space="preserve"> to an applicant who is able to demonstrate a capacity to comply with the Act, the Regulations and any licence conditions. Consequently, a finding of non-compliance (breach) </w:t>
      </w:r>
      <w:proofErr w:type="gramStart"/>
      <w:r>
        <w:rPr>
          <w:rFonts w:cs="Times New Roman"/>
          <w:bCs/>
          <w:szCs w:val="24"/>
          <w:lang w:eastAsia="en-AU"/>
        </w:rPr>
        <w:t>almost always</w:t>
      </w:r>
      <w:proofErr w:type="gramEnd"/>
      <w:r>
        <w:rPr>
          <w:rFonts w:cs="Times New Roman"/>
          <w:bCs/>
          <w:szCs w:val="24"/>
          <w:lang w:eastAsia="en-AU"/>
        </w:rPr>
        <w:t xml:space="preserve"> results in corrective actions by the licence holder without the need for formal</w:t>
      </w:r>
      <w:r w:rsidR="00133CE8">
        <w:rPr>
          <w:rFonts w:cs="Times New Roman"/>
          <w:bCs/>
          <w:szCs w:val="24"/>
          <w:lang w:eastAsia="en-AU"/>
        </w:rPr>
        <w:t xml:space="preserve"> enforcement action.</w:t>
      </w:r>
    </w:p>
    <w:p w14:paraId="003ECE30" w14:textId="7DC10EB7" w:rsidR="005B6B2C"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As discussed under KPI</w:t>
      </w:r>
      <w:r w:rsidR="002E0007">
        <w:rPr>
          <w:rFonts w:cs="Times New Roman"/>
          <w:bCs/>
          <w:szCs w:val="24"/>
          <w:lang w:eastAsia="en-AU"/>
        </w:rPr>
        <w:t xml:space="preserve"> </w:t>
      </w:r>
      <w:r>
        <w:rPr>
          <w:rFonts w:cs="Times New Roman"/>
          <w:bCs/>
          <w:szCs w:val="24"/>
          <w:lang w:eastAsia="en-AU"/>
        </w:rPr>
        <w:t xml:space="preserve">1, </w:t>
      </w:r>
      <w:r w:rsidRPr="00A9092B">
        <w:rPr>
          <w:rFonts w:cs="Times New Roman"/>
          <w:bCs/>
          <w:szCs w:val="24"/>
          <w:lang w:eastAsia="en-AU"/>
        </w:rPr>
        <w:t>ARPANSA schedule</w:t>
      </w:r>
      <w:r>
        <w:rPr>
          <w:rFonts w:cs="Times New Roman"/>
          <w:bCs/>
          <w:szCs w:val="24"/>
          <w:lang w:eastAsia="en-AU"/>
        </w:rPr>
        <w:t>s</w:t>
      </w:r>
      <w:r w:rsidRPr="00A9092B">
        <w:rPr>
          <w:rFonts w:cs="Times New Roman"/>
          <w:bCs/>
          <w:szCs w:val="24"/>
          <w:lang w:eastAsia="en-AU"/>
        </w:rPr>
        <w:t xml:space="preserve"> inspections commensurate with risk</w:t>
      </w:r>
      <w:r w:rsidR="0081375F">
        <w:rPr>
          <w:rFonts w:cs="Times New Roman"/>
          <w:bCs/>
          <w:szCs w:val="24"/>
          <w:lang w:eastAsia="en-AU"/>
        </w:rPr>
        <w:t xml:space="preserve">. </w:t>
      </w:r>
      <w:r w:rsidR="001F7A0E" w:rsidRPr="001336BF">
        <w:rPr>
          <w:rFonts w:cs="Times New Roman"/>
          <w:bCs/>
          <w:szCs w:val="24"/>
          <w:lang w:eastAsia="en-AU"/>
        </w:rPr>
        <w:t>Licence holder</w:t>
      </w:r>
      <w:r w:rsidR="0081375F" w:rsidRPr="001336BF">
        <w:rPr>
          <w:rFonts w:cs="Times New Roman"/>
          <w:bCs/>
          <w:szCs w:val="24"/>
          <w:lang w:eastAsia="en-AU"/>
        </w:rPr>
        <w:t xml:space="preserve"> performance </w:t>
      </w:r>
      <w:proofErr w:type="gramStart"/>
      <w:r w:rsidR="0081375F" w:rsidRPr="001336BF">
        <w:rPr>
          <w:rFonts w:cs="Times New Roman"/>
          <w:bCs/>
          <w:szCs w:val="24"/>
          <w:lang w:eastAsia="en-AU"/>
        </w:rPr>
        <w:t>is taken</w:t>
      </w:r>
      <w:proofErr w:type="gramEnd"/>
      <w:r w:rsidR="0081375F" w:rsidRPr="001336BF">
        <w:rPr>
          <w:rFonts w:cs="Times New Roman"/>
          <w:bCs/>
          <w:szCs w:val="24"/>
          <w:lang w:eastAsia="en-AU"/>
        </w:rPr>
        <w:t xml:space="preserve"> into account </w:t>
      </w:r>
      <w:r w:rsidR="001336BF" w:rsidRPr="00CD381B">
        <w:rPr>
          <w:rFonts w:cs="Times New Roman"/>
          <w:bCs/>
          <w:szCs w:val="24"/>
          <w:lang w:eastAsia="en-AU"/>
        </w:rPr>
        <w:t>when reviewing</w:t>
      </w:r>
      <w:r w:rsidR="00F47769" w:rsidRPr="001336BF">
        <w:rPr>
          <w:rFonts w:cs="Times New Roman"/>
          <w:bCs/>
          <w:szCs w:val="24"/>
          <w:lang w:eastAsia="en-AU"/>
        </w:rPr>
        <w:t xml:space="preserve"> </w:t>
      </w:r>
      <w:hyperlink r:id="rId17" w:history="1">
        <w:r w:rsidR="00F47769" w:rsidRPr="001336BF">
          <w:rPr>
            <w:rStyle w:val="Hyperlink"/>
            <w:rFonts w:cs="Times New Roman"/>
            <w:bCs/>
            <w:szCs w:val="24"/>
            <w:lang w:eastAsia="en-AU"/>
          </w:rPr>
          <w:t>risk ranking</w:t>
        </w:r>
      </w:hyperlink>
      <w:r w:rsidR="0066224A">
        <w:rPr>
          <w:rStyle w:val="Hyperlink"/>
          <w:rFonts w:cs="Times New Roman"/>
          <w:bCs/>
          <w:szCs w:val="24"/>
          <w:lang w:eastAsia="en-AU"/>
        </w:rPr>
        <w:t>.</w:t>
      </w:r>
      <w:r w:rsidR="0066224A">
        <w:rPr>
          <w:rFonts w:cs="Times New Roman"/>
          <w:bCs/>
          <w:szCs w:val="24"/>
          <w:lang w:eastAsia="en-AU"/>
        </w:rPr>
        <w:t xml:space="preserve"> I</w:t>
      </w:r>
      <w:r>
        <w:rPr>
          <w:rFonts w:cs="Times New Roman"/>
          <w:bCs/>
          <w:szCs w:val="24"/>
          <w:lang w:eastAsia="en-AU"/>
        </w:rPr>
        <w:t>n the case of facilities, the</w:t>
      </w:r>
      <w:r w:rsidRPr="00A9092B">
        <w:rPr>
          <w:rFonts w:cs="Times New Roman"/>
          <w:bCs/>
          <w:szCs w:val="24"/>
          <w:lang w:eastAsia="en-AU"/>
        </w:rPr>
        <w:t xml:space="preserve"> risk is determined based on the </w:t>
      </w:r>
      <w:r w:rsidR="00395932">
        <w:rPr>
          <w:rFonts w:cs="Times New Roman"/>
          <w:bCs/>
          <w:szCs w:val="24"/>
          <w:lang w:eastAsia="en-AU"/>
        </w:rPr>
        <w:t xml:space="preserve">inherent </w:t>
      </w:r>
      <w:r w:rsidRPr="00A9092B">
        <w:rPr>
          <w:rFonts w:cs="Times New Roman"/>
          <w:bCs/>
          <w:szCs w:val="24"/>
          <w:lang w:eastAsia="en-AU"/>
        </w:rPr>
        <w:t xml:space="preserve">hazard, the effectiveness of </w:t>
      </w:r>
      <w:r w:rsidR="00C25405">
        <w:rPr>
          <w:rFonts w:cs="Times New Roman"/>
          <w:bCs/>
          <w:szCs w:val="24"/>
          <w:lang w:eastAsia="en-AU"/>
        </w:rPr>
        <w:t>critical safety</w:t>
      </w:r>
      <w:r w:rsidR="0066224A">
        <w:rPr>
          <w:rFonts w:cs="Times New Roman"/>
          <w:bCs/>
          <w:szCs w:val="24"/>
          <w:lang w:eastAsia="en-AU"/>
        </w:rPr>
        <w:t xml:space="preserve"> and security </w:t>
      </w:r>
      <w:r w:rsidRPr="00A9092B">
        <w:rPr>
          <w:rFonts w:cs="Times New Roman"/>
          <w:bCs/>
          <w:szCs w:val="24"/>
          <w:lang w:eastAsia="en-AU"/>
        </w:rPr>
        <w:t>controls</w:t>
      </w:r>
      <w:r w:rsidR="00852DA6">
        <w:rPr>
          <w:rFonts w:cs="Times New Roman"/>
          <w:bCs/>
          <w:szCs w:val="24"/>
          <w:lang w:eastAsia="en-AU"/>
        </w:rPr>
        <w:t>,</w:t>
      </w:r>
      <w:r w:rsidRPr="00A9092B">
        <w:rPr>
          <w:rFonts w:cs="Times New Roman"/>
          <w:bCs/>
          <w:szCs w:val="24"/>
          <w:lang w:eastAsia="en-AU"/>
        </w:rPr>
        <w:t xml:space="preserve"> and performance</w:t>
      </w:r>
      <w:r w:rsidR="00395932">
        <w:rPr>
          <w:rFonts w:cs="Times New Roman"/>
          <w:bCs/>
          <w:szCs w:val="24"/>
          <w:lang w:eastAsia="en-AU"/>
        </w:rPr>
        <w:t xml:space="preserve"> history</w:t>
      </w:r>
      <w:r>
        <w:rPr>
          <w:rFonts w:cs="Times New Roman"/>
          <w:bCs/>
          <w:szCs w:val="24"/>
          <w:lang w:eastAsia="en-AU"/>
        </w:rPr>
        <w:t xml:space="preserve">. Where the risk is </w:t>
      </w:r>
      <w:proofErr w:type="gramStart"/>
      <w:r>
        <w:rPr>
          <w:rFonts w:cs="Times New Roman"/>
          <w:bCs/>
          <w:szCs w:val="24"/>
          <w:lang w:eastAsia="en-AU"/>
        </w:rPr>
        <w:t>alter</w:t>
      </w:r>
      <w:r w:rsidR="00852DA6">
        <w:rPr>
          <w:rFonts w:cs="Times New Roman"/>
          <w:bCs/>
          <w:szCs w:val="24"/>
          <w:lang w:eastAsia="en-AU"/>
        </w:rPr>
        <w:t>ed</w:t>
      </w:r>
      <w:proofErr w:type="gramEnd"/>
      <w:r w:rsidR="00852DA6">
        <w:rPr>
          <w:rFonts w:cs="Times New Roman"/>
          <w:bCs/>
          <w:szCs w:val="24"/>
          <w:lang w:eastAsia="en-AU"/>
        </w:rPr>
        <w:t xml:space="preserve"> </w:t>
      </w:r>
      <w:r>
        <w:rPr>
          <w:rFonts w:cs="Times New Roman"/>
          <w:bCs/>
          <w:szCs w:val="24"/>
          <w:lang w:eastAsia="en-AU"/>
        </w:rPr>
        <w:t>the inspection sc</w:t>
      </w:r>
      <w:r w:rsidR="00133CE8">
        <w:rPr>
          <w:rFonts w:cs="Times New Roman"/>
          <w:bCs/>
          <w:szCs w:val="24"/>
          <w:lang w:eastAsia="en-AU"/>
        </w:rPr>
        <w:t>hedule is adjusted accordingly.</w:t>
      </w:r>
      <w:r>
        <w:rPr>
          <w:rFonts w:cs="Times New Roman"/>
          <w:bCs/>
          <w:szCs w:val="24"/>
          <w:lang w:eastAsia="en-AU"/>
        </w:rPr>
        <w:t xml:space="preserve"> Two identical facilities may therefore have a different inspection frequency if the safety </w:t>
      </w:r>
      <w:r w:rsidR="005F5665">
        <w:rPr>
          <w:rFonts w:cs="Times New Roman"/>
          <w:bCs/>
          <w:szCs w:val="24"/>
          <w:lang w:eastAsia="en-AU"/>
        </w:rPr>
        <w:t xml:space="preserve">and security </w:t>
      </w:r>
      <w:r>
        <w:rPr>
          <w:rFonts w:cs="Times New Roman"/>
          <w:bCs/>
          <w:szCs w:val="24"/>
          <w:lang w:eastAsia="en-AU"/>
        </w:rPr>
        <w:t xml:space="preserve">practices </w:t>
      </w:r>
      <w:r w:rsidR="002719B5">
        <w:rPr>
          <w:rFonts w:cs="Times New Roman"/>
          <w:bCs/>
          <w:szCs w:val="24"/>
          <w:lang w:eastAsia="en-AU"/>
        </w:rPr>
        <w:t>of</w:t>
      </w:r>
      <w:r>
        <w:rPr>
          <w:rFonts w:cs="Times New Roman"/>
          <w:bCs/>
          <w:szCs w:val="24"/>
          <w:lang w:eastAsia="en-AU"/>
        </w:rPr>
        <w:t xml:space="preserve"> one are better </w:t>
      </w:r>
      <w:proofErr w:type="gramStart"/>
      <w:r>
        <w:rPr>
          <w:rFonts w:cs="Times New Roman"/>
          <w:bCs/>
          <w:szCs w:val="24"/>
          <w:lang w:eastAsia="en-AU"/>
        </w:rPr>
        <w:t>than the other</w:t>
      </w:r>
      <w:proofErr w:type="gramEnd"/>
      <w:r>
        <w:rPr>
          <w:rFonts w:cs="Times New Roman"/>
          <w:bCs/>
          <w:szCs w:val="24"/>
          <w:lang w:eastAsia="en-AU"/>
        </w:rPr>
        <w:t xml:space="preserve">. </w:t>
      </w:r>
    </w:p>
    <w:p w14:paraId="55A29322" w14:textId="2C8C3EFC" w:rsidR="00395932"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In the case of source</w:t>
      </w:r>
      <w:r w:rsidR="00852DA6">
        <w:rPr>
          <w:rFonts w:cs="Times New Roman"/>
          <w:bCs/>
          <w:szCs w:val="24"/>
          <w:lang w:eastAsia="en-AU"/>
        </w:rPr>
        <w:t>s</w:t>
      </w:r>
      <w:r>
        <w:rPr>
          <w:rFonts w:cs="Times New Roman"/>
          <w:bCs/>
          <w:szCs w:val="24"/>
          <w:lang w:eastAsia="en-AU"/>
        </w:rPr>
        <w:t xml:space="preserve">, the </w:t>
      </w:r>
      <w:r w:rsidR="005F5665">
        <w:rPr>
          <w:rFonts w:cs="Times New Roman"/>
          <w:bCs/>
          <w:szCs w:val="24"/>
          <w:lang w:eastAsia="en-AU"/>
        </w:rPr>
        <w:t xml:space="preserve">method for </w:t>
      </w:r>
      <w:r>
        <w:rPr>
          <w:rFonts w:cs="Times New Roman"/>
          <w:bCs/>
          <w:szCs w:val="24"/>
          <w:lang w:eastAsia="en-AU"/>
        </w:rPr>
        <w:t>determin</w:t>
      </w:r>
      <w:r w:rsidR="005F5665">
        <w:rPr>
          <w:rFonts w:cs="Times New Roman"/>
          <w:bCs/>
          <w:szCs w:val="24"/>
          <w:lang w:eastAsia="en-AU"/>
        </w:rPr>
        <w:t>ing</w:t>
      </w:r>
      <w:r>
        <w:rPr>
          <w:rFonts w:cs="Times New Roman"/>
          <w:bCs/>
          <w:szCs w:val="24"/>
          <w:lang w:eastAsia="en-AU"/>
        </w:rPr>
        <w:t xml:space="preserve"> </w:t>
      </w:r>
      <w:r w:rsidR="005F5665">
        <w:rPr>
          <w:rFonts w:cs="Times New Roman"/>
          <w:bCs/>
          <w:szCs w:val="24"/>
          <w:lang w:eastAsia="en-AU"/>
        </w:rPr>
        <w:t xml:space="preserve">the </w:t>
      </w:r>
      <w:r>
        <w:rPr>
          <w:rFonts w:cs="Times New Roman"/>
          <w:bCs/>
          <w:szCs w:val="24"/>
          <w:lang w:eastAsia="en-AU"/>
        </w:rPr>
        <w:t xml:space="preserve">inspection schedule </w:t>
      </w:r>
      <w:proofErr w:type="gramStart"/>
      <w:r>
        <w:rPr>
          <w:rFonts w:cs="Times New Roman"/>
          <w:bCs/>
          <w:szCs w:val="24"/>
          <w:lang w:eastAsia="en-AU"/>
        </w:rPr>
        <w:t>was altered</w:t>
      </w:r>
      <w:proofErr w:type="gramEnd"/>
      <w:r>
        <w:rPr>
          <w:rFonts w:cs="Times New Roman"/>
          <w:bCs/>
          <w:szCs w:val="24"/>
          <w:lang w:eastAsia="en-AU"/>
        </w:rPr>
        <w:t xml:space="preserve"> during the reporting year to recognise the generally less complex nature of source</w:t>
      </w:r>
      <w:r w:rsidR="00852DA6">
        <w:rPr>
          <w:rFonts w:cs="Times New Roman"/>
          <w:bCs/>
          <w:szCs w:val="24"/>
          <w:lang w:eastAsia="en-AU"/>
        </w:rPr>
        <w:t>s</w:t>
      </w:r>
      <w:r>
        <w:rPr>
          <w:rFonts w:cs="Times New Roman"/>
          <w:bCs/>
          <w:szCs w:val="24"/>
          <w:lang w:eastAsia="en-AU"/>
        </w:rPr>
        <w:t xml:space="preserve"> compared to facilit</w:t>
      </w:r>
      <w:r w:rsidR="00852DA6">
        <w:rPr>
          <w:rFonts w:cs="Times New Roman"/>
          <w:bCs/>
          <w:szCs w:val="24"/>
          <w:lang w:eastAsia="en-AU"/>
        </w:rPr>
        <w:t>ies</w:t>
      </w:r>
      <w:r w:rsidR="00133CE8">
        <w:rPr>
          <w:rFonts w:cs="Times New Roman"/>
          <w:bCs/>
          <w:szCs w:val="24"/>
          <w:lang w:eastAsia="en-AU"/>
        </w:rPr>
        <w:t xml:space="preserve">. </w:t>
      </w:r>
      <w:r>
        <w:rPr>
          <w:rFonts w:cs="Times New Roman"/>
          <w:bCs/>
          <w:szCs w:val="24"/>
          <w:lang w:eastAsia="en-AU"/>
        </w:rPr>
        <w:t xml:space="preserve">The baseline </w:t>
      </w:r>
      <w:r w:rsidR="004721B0">
        <w:rPr>
          <w:rFonts w:cs="Times New Roman"/>
          <w:bCs/>
          <w:szCs w:val="24"/>
          <w:lang w:eastAsia="en-AU"/>
        </w:rPr>
        <w:t xml:space="preserve">inspection </w:t>
      </w:r>
      <w:r w:rsidR="00E23457">
        <w:rPr>
          <w:rFonts w:cs="Times New Roman"/>
          <w:bCs/>
          <w:szCs w:val="24"/>
          <w:lang w:eastAsia="en-AU"/>
        </w:rPr>
        <w:t>program</w:t>
      </w:r>
      <w:r>
        <w:rPr>
          <w:rFonts w:cs="Times New Roman"/>
          <w:bCs/>
          <w:szCs w:val="24"/>
          <w:lang w:eastAsia="en-AU"/>
        </w:rPr>
        <w:t xml:space="preserve"> </w:t>
      </w:r>
      <w:proofErr w:type="gramStart"/>
      <w:r>
        <w:rPr>
          <w:rFonts w:cs="Times New Roman"/>
          <w:bCs/>
          <w:szCs w:val="24"/>
          <w:lang w:eastAsia="en-AU"/>
        </w:rPr>
        <w:t>is now based</w:t>
      </w:r>
      <w:proofErr w:type="gramEnd"/>
      <w:r>
        <w:rPr>
          <w:rFonts w:cs="Times New Roman"/>
          <w:bCs/>
          <w:szCs w:val="24"/>
          <w:lang w:eastAsia="en-AU"/>
        </w:rPr>
        <w:t xml:space="preserve"> on the </w:t>
      </w:r>
      <w:r w:rsidR="00852DA6">
        <w:rPr>
          <w:rFonts w:cs="Times New Roman"/>
          <w:bCs/>
          <w:szCs w:val="24"/>
          <w:lang w:eastAsia="en-AU"/>
        </w:rPr>
        <w:t xml:space="preserve">hazard </w:t>
      </w:r>
      <w:r>
        <w:rPr>
          <w:rFonts w:cs="Times New Roman"/>
          <w:bCs/>
          <w:szCs w:val="24"/>
          <w:lang w:eastAsia="en-AU"/>
        </w:rPr>
        <w:t>categor</w:t>
      </w:r>
      <w:r w:rsidR="00852DA6">
        <w:rPr>
          <w:rFonts w:cs="Times New Roman"/>
          <w:bCs/>
          <w:szCs w:val="24"/>
          <w:lang w:eastAsia="en-AU"/>
        </w:rPr>
        <w:t xml:space="preserve">y </w:t>
      </w:r>
      <w:r>
        <w:rPr>
          <w:rFonts w:cs="Times New Roman"/>
          <w:bCs/>
          <w:szCs w:val="24"/>
          <w:lang w:eastAsia="en-AU"/>
        </w:rPr>
        <w:t xml:space="preserve">of the source with </w:t>
      </w:r>
      <w:r w:rsidR="00395932">
        <w:rPr>
          <w:rFonts w:cs="Times New Roman"/>
          <w:bCs/>
          <w:szCs w:val="24"/>
          <w:lang w:eastAsia="en-AU"/>
        </w:rPr>
        <w:t>additional (</w:t>
      </w:r>
      <w:r>
        <w:rPr>
          <w:rFonts w:cs="Times New Roman"/>
          <w:bCs/>
          <w:szCs w:val="24"/>
          <w:lang w:eastAsia="en-AU"/>
        </w:rPr>
        <w:t>augmented</w:t>
      </w:r>
      <w:r w:rsidR="00395932">
        <w:rPr>
          <w:rFonts w:cs="Times New Roman"/>
          <w:bCs/>
          <w:szCs w:val="24"/>
          <w:lang w:eastAsia="en-AU"/>
        </w:rPr>
        <w:t>)</w:t>
      </w:r>
      <w:r>
        <w:rPr>
          <w:rFonts w:cs="Times New Roman"/>
          <w:bCs/>
          <w:szCs w:val="24"/>
          <w:lang w:eastAsia="en-AU"/>
        </w:rPr>
        <w:t xml:space="preserve"> inspections undertaken where a performance </w:t>
      </w:r>
      <w:r w:rsidR="00A3205E">
        <w:rPr>
          <w:rFonts w:cs="Times New Roman"/>
          <w:bCs/>
          <w:szCs w:val="24"/>
          <w:lang w:eastAsia="en-AU"/>
        </w:rPr>
        <w:t xml:space="preserve">issue </w:t>
      </w:r>
      <w:r>
        <w:rPr>
          <w:rFonts w:cs="Times New Roman"/>
          <w:bCs/>
          <w:szCs w:val="24"/>
          <w:lang w:eastAsia="en-AU"/>
        </w:rPr>
        <w:t>is identified. For very low risk sources</w:t>
      </w:r>
      <w:r w:rsidR="00E226D6">
        <w:rPr>
          <w:rFonts w:cs="Times New Roman"/>
          <w:bCs/>
          <w:szCs w:val="24"/>
          <w:lang w:eastAsia="en-AU"/>
        </w:rPr>
        <w:t>,</w:t>
      </w:r>
      <w:r>
        <w:rPr>
          <w:rFonts w:cs="Times New Roman"/>
          <w:bCs/>
          <w:szCs w:val="24"/>
          <w:lang w:eastAsia="en-AU"/>
        </w:rPr>
        <w:t xml:space="preserve"> a remote inspection process </w:t>
      </w:r>
      <w:r w:rsidR="00A3205E">
        <w:rPr>
          <w:rFonts w:cs="Times New Roman"/>
          <w:bCs/>
          <w:szCs w:val="24"/>
          <w:lang w:eastAsia="en-AU"/>
        </w:rPr>
        <w:t xml:space="preserve">(known as an </w:t>
      </w:r>
      <w:r w:rsidR="00395932">
        <w:rPr>
          <w:rFonts w:cs="Times New Roman"/>
          <w:bCs/>
          <w:szCs w:val="24"/>
          <w:lang w:eastAsia="en-AU"/>
        </w:rPr>
        <w:t>e-Inspection</w:t>
      </w:r>
      <w:r w:rsidR="00A3205E">
        <w:rPr>
          <w:rFonts w:cs="Times New Roman"/>
          <w:bCs/>
          <w:szCs w:val="24"/>
          <w:lang w:eastAsia="en-AU"/>
        </w:rPr>
        <w:t>)</w:t>
      </w:r>
      <w:r w:rsidR="00395932">
        <w:rPr>
          <w:rFonts w:cs="Times New Roman"/>
          <w:bCs/>
          <w:szCs w:val="24"/>
          <w:lang w:eastAsia="en-AU"/>
        </w:rPr>
        <w:t xml:space="preserve"> </w:t>
      </w:r>
      <w:r>
        <w:rPr>
          <w:rFonts w:cs="Times New Roman"/>
          <w:bCs/>
          <w:szCs w:val="24"/>
          <w:lang w:eastAsia="en-AU"/>
        </w:rPr>
        <w:t xml:space="preserve">has been </w:t>
      </w:r>
      <w:r>
        <w:rPr>
          <w:rFonts w:cs="Times New Roman"/>
          <w:bCs/>
          <w:szCs w:val="24"/>
          <w:lang w:eastAsia="en-AU"/>
        </w:rPr>
        <w:lastRenderedPageBreak/>
        <w:t xml:space="preserve">implemented which </w:t>
      </w:r>
      <w:r w:rsidR="00852DA6">
        <w:rPr>
          <w:rFonts w:cs="Times New Roman"/>
          <w:bCs/>
          <w:szCs w:val="24"/>
          <w:lang w:eastAsia="en-AU"/>
        </w:rPr>
        <w:t>does not require inspectors</w:t>
      </w:r>
      <w:r>
        <w:rPr>
          <w:rFonts w:cs="Times New Roman"/>
          <w:bCs/>
          <w:szCs w:val="24"/>
          <w:lang w:eastAsia="en-AU"/>
        </w:rPr>
        <w:t xml:space="preserve"> to physical</w:t>
      </w:r>
      <w:r w:rsidR="00852DA6">
        <w:rPr>
          <w:rFonts w:cs="Times New Roman"/>
          <w:bCs/>
          <w:szCs w:val="24"/>
          <w:lang w:eastAsia="en-AU"/>
        </w:rPr>
        <w:t xml:space="preserve">ly attend </w:t>
      </w:r>
      <w:r w:rsidR="004721B0">
        <w:rPr>
          <w:rFonts w:cs="Times New Roman"/>
          <w:bCs/>
          <w:szCs w:val="24"/>
          <w:lang w:eastAsia="en-AU"/>
        </w:rPr>
        <w:t>the</w:t>
      </w:r>
      <w:r w:rsidR="00852DA6">
        <w:rPr>
          <w:rFonts w:cs="Times New Roman"/>
          <w:bCs/>
          <w:szCs w:val="24"/>
          <w:lang w:eastAsia="en-AU"/>
        </w:rPr>
        <w:t xml:space="preserve"> site</w:t>
      </w:r>
      <w:r>
        <w:rPr>
          <w:rFonts w:cs="Times New Roman"/>
          <w:bCs/>
          <w:szCs w:val="24"/>
          <w:lang w:eastAsia="en-AU"/>
        </w:rPr>
        <w:t xml:space="preserve">. </w:t>
      </w:r>
      <w:r w:rsidR="002719B5">
        <w:rPr>
          <w:rFonts w:cs="Times New Roman"/>
          <w:bCs/>
          <w:szCs w:val="24"/>
          <w:lang w:eastAsia="en-AU"/>
        </w:rPr>
        <w:t>This is particularly useful for sources in remote locations or overseas.</w:t>
      </w:r>
    </w:p>
    <w:p w14:paraId="773CCB99" w14:textId="356ED566" w:rsidR="009C7EC4" w:rsidRPr="00A9092B"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 xml:space="preserve">The </w:t>
      </w:r>
      <w:r w:rsidRPr="00A9092B">
        <w:rPr>
          <w:rFonts w:cs="Times New Roman"/>
          <w:bCs/>
          <w:szCs w:val="24"/>
          <w:lang w:eastAsia="en-AU"/>
        </w:rPr>
        <w:t xml:space="preserve">inspection schedules </w:t>
      </w:r>
      <w:proofErr w:type="gramStart"/>
      <w:r w:rsidRPr="00A9092B">
        <w:rPr>
          <w:rFonts w:cs="Times New Roman"/>
          <w:bCs/>
          <w:szCs w:val="24"/>
          <w:lang w:eastAsia="en-AU"/>
        </w:rPr>
        <w:t>are recorded</w:t>
      </w:r>
      <w:proofErr w:type="gramEnd"/>
      <w:r w:rsidRPr="00A9092B">
        <w:rPr>
          <w:rFonts w:cs="Times New Roman"/>
          <w:bCs/>
          <w:szCs w:val="24"/>
          <w:lang w:eastAsia="en-AU"/>
        </w:rPr>
        <w:t xml:space="preserve"> in the records management system and </w:t>
      </w:r>
      <w:r w:rsidR="00A3205E">
        <w:rPr>
          <w:rFonts w:cs="Times New Roman"/>
          <w:bCs/>
          <w:szCs w:val="24"/>
          <w:lang w:eastAsia="en-AU"/>
        </w:rPr>
        <w:t xml:space="preserve">are </w:t>
      </w:r>
      <w:r w:rsidRPr="00A9092B">
        <w:rPr>
          <w:rFonts w:cs="Times New Roman"/>
          <w:bCs/>
          <w:szCs w:val="24"/>
          <w:lang w:eastAsia="en-AU"/>
        </w:rPr>
        <w:t>updated as required.</w:t>
      </w:r>
    </w:p>
    <w:p w14:paraId="725BAB6F" w14:textId="7511BC85" w:rsidR="009C7EC4" w:rsidRPr="00A9092B" w:rsidRDefault="00A3205E" w:rsidP="00C91FB5">
      <w:pPr>
        <w:autoSpaceDE w:val="0"/>
        <w:autoSpaceDN w:val="0"/>
        <w:adjustRightInd w:val="0"/>
        <w:spacing w:after="120"/>
        <w:rPr>
          <w:rFonts w:cs="Times New Roman"/>
          <w:bCs/>
          <w:szCs w:val="24"/>
          <w:lang w:eastAsia="en-AU"/>
        </w:rPr>
      </w:pPr>
      <w:r>
        <w:rPr>
          <w:rFonts w:cs="Times New Roman"/>
          <w:bCs/>
          <w:szCs w:val="24"/>
          <w:lang w:eastAsia="en-AU"/>
        </w:rPr>
        <w:t>I</w:t>
      </w:r>
      <w:r w:rsidR="009C7EC4" w:rsidRPr="00A9092B">
        <w:rPr>
          <w:rFonts w:cs="Times New Roman"/>
          <w:bCs/>
          <w:szCs w:val="24"/>
          <w:lang w:eastAsia="en-AU"/>
        </w:rPr>
        <w:t xml:space="preserve">nspectors monitor </w:t>
      </w:r>
      <w:r w:rsidR="004721B0">
        <w:rPr>
          <w:rFonts w:cs="Times New Roman"/>
          <w:bCs/>
          <w:szCs w:val="24"/>
          <w:lang w:eastAsia="en-AU"/>
        </w:rPr>
        <w:t xml:space="preserve">licence holder </w:t>
      </w:r>
      <w:r w:rsidR="009C7EC4" w:rsidRPr="00A9092B">
        <w:rPr>
          <w:rFonts w:cs="Times New Roman"/>
          <w:bCs/>
          <w:szCs w:val="24"/>
          <w:lang w:eastAsia="en-AU"/>
        </w:rPr>
        <w:t>performance on a regular basis outside the inspection process through site visits, reports and meetings</w:t>
      </w:r>
      <w:r w:rsidR="009C7EC4">
        <w:rPr>
          <w:rFonts w:cs="Times New Roman"/>
          <w:bCs/>
          <w:szCs w:val="24"/>
          <w:lang w:eastAsia="en-AU"/>
        </w:rPr>
        <w:t xml:space="preserve">. </w:t>
      </w:r>
      <w:r w:rsidR="009C7EC4" w:rsidRPr="00A9092B">
        <w:rPr>
          <w:rFonts w:cs="Times New Roman"/>
          <w:bCs/>
          <w:szCs w:val="24"/>
          <w:lang w:eastAsia="en-AU"/>
        </w:rPr>
        <w:t xml:space="preserve">Frequent site visits </w:t>
      </w:r>
      <w:proofErr w:type="gramStart"/>
      <w:r w:rsidR="009C7EC4" w:rsidRPr="00A9092B">
        <w:rPr>
          <w:rFonts w:cs="Times New Roman"/>
          <w:bCs/>
          <w:szCs w:val="24"/>
          <w:lang w:eastAsia="en-AU"/>
        </w:rPr>
        <w:t>are undertaken</w:t>
      </w:r>
      <w:proofErr w:type="gramEnd"/>
      <w:r w:rsidR="009C7EC4" w:rsidRPr="00A9092B">
        <w:rPr>
          <w:rFonts w:cs="Times New Roman"/>
          <w:bCs/>
          <w:szCs w:val="24"/>
          <w:lang w:eastAsia="en-AU"/>
        </w:rPr>
        <w:t xml:space="preserve"> to </w:t>
      </w:r>
      <w:r w:rsidR="00F007AC">
        <w:rPr>
          <w:rFonts w:cs="Times New Roman"/>
          <w:bCs/>
          <w:szCs w:val="24"/>
          <w:lang w:eastAsia="en-AU"/>
        </w:rPr>
        <w:t xml:space="preserve">meet with staff and </w:t>
      </w:r>
      <w:r w:rsidR="009C7EC4" w:rsidRPr="00A9092B">
        <w:rPr>
          <w:rFonts w:cs="Times New Roman"/>
          <w:bCs/>
          <w:szCs w:val="24"/>
          <w:lang w:eastAsia="en-AU"/>
        </w:rPr>
        <w:t xml:space="preserve">observe operations. Unlike inspections, no detailed advance planning is required and observations </w:t>
      </w:r>
      <w:proofErr w:type="gramStart"/>
      <w:r w:rsidR="009C7EC4" w:rsidRPr="00A9092B">
        <w:rPr>
          <w:rFonts w:cs="Times New Roman"/>
          <w:bCs/>
          <w:szCs w:val="24"/>
          <w:lang w:eastAsia="en-AU"/>
        </w:rPr>
        <w:t>are shared</w:t>
      </w:r>
      <w:proofErr w:type="gramEnd"/>
      <w:r w:rsidR="009C7EC4" w:rsidRPr="00A9092B">
        <w:rPr>
          <w:rFonts w:cs="Times New Roman"/>
          <w:bCs/>
          <w:szCs w:val="24"/>
          <w:lang w:eastAsia="en-AU"/>
        </w:rPr>
        <w:t xml:space="preserve"> verbally with the </w:t>
      </w:r>
      <w:r w:rsidR="00F007AC">
        <w:rPr>
          <w:rFonts w:cs="Times New Roman"/>
          <w:bCs/>
          <w:szCs w:val="24"/>
          <w:lang w:eastAsia="en-AU"/>
        </w:rPr>
        <w:t>l</w:t>
      </w:r>
      <w:r w:rsidR="001F7A0E">
        <w:rPr>
          <w:rFonts w:cs="Times New Roman"/>
          <w:bCs/>
          <w:szCs w:val="24"/>
          <w:lang w:eastAsia="en-AU"/>
        </w:rPr>
        <w:t>icence holder</w:t>
      </w:r>
      <w:r w:rsidR="009C7EC4">
        <w:rPr>
          <w:rFonts w:cs="Times New Roman"/>
          <w:bCs/>
          <w:szCs w:val="24"/>
          <w:lang w:eastAsia="en-AU"/>
        </w:rPr>
        <w:t xml:space="preserve">. </w:t>
      </w:r>
      <w:r w:rsidR="009C7EC4" w:rsidRPr="00A9092B">
        <w:rPr>
          <w:rFonts w:cs="Times New Roman"/>
          <w:bCs/>
          <w:szCs w:val="24"/>
          <w:lang w:eastAsia="en-AU"/>
        </w:rPr>
        <w:t>Frequent site visits improve regulatory</w:t>
      </w:r>
      <w:r w:rsidR="009C7EC4">
        <w:rPr>
          <w:rFonts w:cs="Times New Roman"/>
          <w:bCs/>
          <w:szCs w:val="24"/>
          <w:lang w:eastAsia="en-AU"/>
        </w:rPr>
        <w:t xml:space="preserve"> understanding and</w:t>
      </w:r>
      <w:r w:rsidR="009C7EC4" w:rsidRPr="00A9092B">
        <w:rPr>
          <w:rFonts w:cs="Times New Roman"/>
          <w:bCs/>
          <w:szCs w:val="24"/>
          <w:lang w:eastAsia="en-AU"/>
        </w:rPr>
        <w:t xml:space="preserve"> oversight</w:t>
      </w:r>
      <w:r w:rsidR="00F007AC">
        <w:rPr>
          <w:rFonts w:cs="Times New Roman"/>
          <w:bCs/>
          <w:szCs w:val="24"/>
          <w:lang w:eastAsia="en-AU"/>
        </w:rPr>
        <w:t xml:space="preserve"> and</w:t>
      </w:r>
      <w:r w:rsidR="009C7EC4" w:rsidRPr="00A9092B">
        <w:rPr>
          <w:rFonts w:cs="Times New Roman"/>
          <w:bCs/>
          <w:szCs w:val="24"/>
          <w:lang w:eastAsia="en-AU"/>
        </w:rPr>
        <w:t xml:space="preserve"> increase the visibility of </w:t>
      </w:r>
      <w:r w:rsidR="00F007AC">
        <w:rPr>
          <w:rFonts w:cs="Times New Roman"/>
          <w:bCs/>
          <w:szCs w:val="24"/>
          <w:lang w:eastAsia="en-AU"/>
        </w:rPr>
        <w:t xml:space="preserve">the </w:t>
      </w:r>
      <w:r w:rsidR="009C7EC4" w:rsidRPr="00A9092B">
        <w:rPr>
          <w:rFonts w:cs="Times New Roman"/>
          <w:bCs/>
          <w:szCs w:val="24"/>
          <w:lang w:eastAsia="en-AU"/>
        </w:rPr>
        <w:t>regulator</w:t>
      </w:r>
      <w:r w:rsidR="00F007AC">
        <w:rPr>
          <w:rFonts w:cs="Times New Roman"/>
          <w:bCs/>
          <w:szCs w:val="24"/>
          <w:lang w:eastAsia="en-AU"/>
        </w:rPr>
        <w:t xml:space="preserve">. They also </w:t>
      </w:r>
      <w:r w:rsidR="009C7EC4" w:rsidRPr="00A9092B">
        <w:rPr>
          <w:rFonts w:cs="Times New Roman"/>
          <w:bCs/>
          <w:szCs w:val="24"/>
          <w:lang w:eastAsia="en-AU"/>
        </w:rPr>
        <w:t>contribute to minimising the incidence of potential non-compliances through enhanced communication</w:t>
      </w:r>
      <w:r w:rsidR="009C7EC4">
        <w:rPr>
          <w:rFonts w:cs="Times New Roman"/>
          <w:bCs/>
          <w:szCs w:val="24"/>
          <w:lang w:eastAsia="en-AU"/>
        </w:rPr>
        <w:t xml:space="preserve"> of regulatory requirements</w:t>
      </w:r>
      <w:r w:rsidR="00722DEF">
        <w:rPr>
          <w:rFonts w:cs="Times New Roman"/>
          <w:bCs/>
          <w:szCs w:val="24"/>
          <w:lang w:eastAsia="en-AU"/>
        </w:rPr>
        <w:t xml:space="preserve"> and experience</w:t>
      </w:r>
      <w:r w:rsidR="009C7EC4" w:rsidRPr="00A9092B">
        <w:rPr>
          <w:rFonts w:cs="Times New Roman"/>
          <w:bCs/>
          <w:szCs w:val="24"/>
          <w:lang w:eastAsia="en-AU"/>
        </w:rPr>
        <w:t>.</w:t>
      </w:r>
    </w:p>
    <w:p w14:paraId="41CCAF18" w14:textId="0F1CAC80" w:rsidR="009C7EC4" w:rsidRDefault="009C7EC4" w:rsidP="00C91FB5">
      <w:pPr>
        <w:pStyle w:val="Heading3"/>
        <w:rPr>
          <w:lang w:eastAsia="en-AU"/>
        </w:rPr>
      </w:pPr>
      <w:bookmarkStart w:id="25" w:name="_Toc470173151"/>
      <w:r w:rsidRPr="00A9092B">
        <w:rPr>
          <w:lang w:eastAsia="en-AU"/>
        </w:rPr>
        <w:t>Measures</w:t>
      </w:r>
      <w:bookmarkEnd w:id="25"/>
    </w:p>
    <w:p w14:paraId="35DD2FC4" w14:textId="77777777" w:rsidR="0013090A" w:rsidRDefault="0013090A" w:rsidP="0013090A">
      <w:pPr>
        <w:spacing w:after="120"/>
        <w:rPr>
          <w:rFonts w:cs="Times New Roman"/>
          <w:b/>
          <w:bCs/>
          <w:szCs w:val="24"/>
          <w:lang w:eastAsia="en-AU"/>
        </w:rPr>
      </w:pPr>
      <w:r w:rsidRPr="0047516F">
        <w:rPr>
          <w:rFonts w:cs="Times New Roman"/>
        </w:rPr>
        <w:t>Take action proportionate to the</w:t>
      </w:r>
      <w:r>
        <w:rPr>
          <w:rFonts w:cs="Times New Roman"/>
        </w:rPr>
        <w:t xml:space="preserve"> regulatory risks </w:t>
      </w:r>
      <w:proofErr w:type="gramStart"/>
      <w:r>
        <w:rPr>
          <w:rFonts w:cs="Times New Roman"/>
        </w:rPr>
        <w:t>being managed</w:t>
      </w:r>
      <w:proofErr w:type="gramEnd"/>
      <w:r>
        <w:rPr>
          <w:rFonts w:cs="Times New Roman"/>
        </w:rPr>
        <w:t>.</w:t>
      </w:r>
    </w:p>
    <w:p w14:paraId="6C6D3D7F" w14:textId="7221D22E" w:rsidR="0013090A" w:rsidRPr="0013090A" w:rsidRDefault="0013090A" w:rsidP="0013090A">
      <w:pPr>
        <w:pStyle w:val="Heading3"/>
        <w:spacing w:before="200"/>
        <w:rPr>
          <w:lang w:eastAsia="en-AU"/>
        </w:rPr>
      </w:pPr>
      <w:bookmarkStart w:id="26" w:name="_Toc470173152"/>
      <w:r w:rsidRPr="00A9092B">
        <w:rPr>
          <w:lang w:eastAsia="en-AU"/>
        </w:rPr>
        <w:t>Other evidence to indicate compliance with KPI 3</w:t>
      </w:r>
      <w:bookmarkEnd w:id="26"/>
    </w:p>
    <w:tbl>
      <w:tblPr>
        <w:tblStyle w:val="TableGrid"/>
        <w:tblW w:w="9747" w:type="dxa"/>
        <w:tblLook w:val="04A0" w:firstRow="1" w:lastRow="0" w:firstColumn="1" w:lastColumn="0" w:noHBand="0" w:noVBand="1"/>
        <w:tblDescription w:val="Chapter 2.3.2 table contains a list of evidence metrics against Key Performance Indicator (KPI) 3.  This table contains 3 heading columns 1. Indicators, 2. Evidence and 3. Comment. "/>
      </w:tblPr>
      <w:tblGrid>
        <w:gridCol w:w="2802"/>
        <w:gridCol w:w="2835"/>
        <w:gridCol w:w="4110"/>
      </w:tblGrid>
      <w:tr w:rsidR="008335FB" w:rsidRPr="00EA634A" w14:paraId="25F973B7" w14:textId="77777777" w:rsidTr="0013090A">
        <w:trPr>
          <w:cantSplit/>
          <w:tblHeader/>
        </w:trPr>
        <w:tc>
          <w:tcPr>
            <w:tcW w:w="2802" w:type="dxa"/>
            <w:vAlign w:val="center"/>
          </w:tcPr>
          <w:p w14:paraId="3437E0A9" w14:textId="77777777" w:rsidR="008335FB" w:rsidRPr="00EA634A" w:rsidRDefault="008335FB" w:rsidP="0013090A">
            <w:pPr>
              <w:pStyle w:val="Tableheading"/>
            </w:pPr>
            <w:r w:rsidRPr="00EA634A">
              <w:t>Indicator</w:t>
            </w:r>
          </w:p>
        </w:tc>
        <w:tc>
          <w:tcPr>
            <w:tcW w:w="2835" w:type="dxa"/>
            <w:vAlign w:val="center"/>
          </w:tcPr>
          <w:p w14:paraId="5EB281C5" w14:textId="77777777" w:rsidR="008335FB" w:rsidRPr="00EA634A" w:rsidRDefault="008335FB" w:rsidP="0013090A">
            <w:pPr>
              <w:pStyle w:val="Tableheading"/>
            </w:pPr>
            <w:r w:rsidRPr="00EA634A">
              <w:t>Evidence</w:t>
            </w:r>
          </w:p>
        </w:tc>
        <w:tc>
          <w:tcPr>
            <w:tcW w:w="4110" w:type="dxa"/>
            <w:vAlign w:val="center"/>
          </w:tcPr>
          <w:p w14:paraId="01293C42" w14:textId="77777777" w:rsidR="008335FB" w:rsidRPr="00EA634A" w:rsidRDefault="008335FB" w:rsidP="0013090A">
            <w:pPr>
              <w:pStyle w:val="Tableheading"/>
            </w:pPr>
            <w:r w:rsidRPr="00EA634A">
              <w:t>Comment</w:t>
            </w:r>
          </w:p>
        </w:tc>
      </w:tr>
      <w:tr w:rsidR="008335FB" w:rsidRPr="00C15611" w14:paraId="4801400F" w14:textId="77777777" w:rsidTr="0013090A">
        <w:trPr>
          <w:trHeight w:val="2623"/>
        </w:trPr>
        <w:tc>
          <w:tcPr>
            <w:tcW w:w="2802" w:type="dxa"/>
          </w:tcPr>
          <w:p w14:paraId="6DD8EEBF" w14:textId="77777777" w:rsidR="008335FB" w:rsidRPr="00C15611" w:rsidRDefault="008335FB" w:rsidP="0013090A">
            <w:pPr>
              <w:pStyle w:val="Tabletext"/>
            </w:pPr>
            <w:r w:rsidRPr="00C15611">
              <w:t>PI 3.1 – Ratio of performance deficiencies to non-compliances during inspections (graded approach)</w:t>
            </w:r>
            <w:r>
              <w:t>.</w:t>
            </w:r>
          </w:p>
        </w:tc>
        <w:tc>
          <w:tcPr>
            <w:tcW w:w="2835" w:type="dxa"/>
          </w:tcPr>
          <w:p w14:paraId="364C14BA" w14:textId="77777777" w:rsidR="008335FB" w:rsidRPr="00167AA9" w:rsidRDefault="008335FB" w:rsidP="0013090A">
            <w:pPr>
              <w:pStyle w:val="Tabletext"/>
            </w:pPr>
            <w:r w:rsidRPr="00C15611">
              <w:rPr>
                <w:bCs/>
                <w:noProof/>
                <w:lang w:eastAsia="en-AU"/>
              </w:rPr>
              <mc:AlternateContent>
                <mc:Choice Requires="wps">
                  <w:drawing>
                    <wp:inline distT="0" distB="0" distL="0" distR="0" wp14:anchorId="1B92F027" wp14:editId="6F13C947">
                      <wp:extent cx="101600" cy="118533"/>
                      <wp:effectExtent l="0" t="0" r="12700" b="15240"/>
                      <wp:docPr id="16" name="Oval 16"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6"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" fillcolor="#9bbb59 [3206]" strokecolor="#4e6128 [1606]" strokeweight="2pt">
                      <w10:anchorlock/>
                    </v:oval>
                  </w:pict>
                </mc:Fallback>
              </mc:AlternateContent>
            </w:r>
            <w:r>
              <w:t xml:space="preserve"> </w:t>
            </w:r>
            <w:r w:rsidRPr="00C15611">
              <w:t xml:space="preserve">42 performance deficiencies </w:t>
            </w:r>
            <w:proofErr w:type="gramStart"/>
            <w:r w:rsidRPr="00C15611">
              <w:t>to each non-comp</w:t>
            </w:r>
            <w:r>
              <w:t>liance</w:t>
            </w:r>
            <w:proofErr w:type="gramEnd"/>
            <w:r>
              <w:t xml:space="preserve"> – target (5:1) exceeded.</w:t>
            </w:r>
          </w:p>
        </w:tc>
        <w:tc>
          <w:tcPr>
            <w:tcW w:w="4110" w:type="dxa"/>
          </w:tcPr>
          <w:p w14:paraId="1FC4050E" w14:textId="77777777" w:rsidR="008335FB" w:rsidRPr="00C15611" w:rsidRDefault="008335FB" w:rsidP="0013090A">
            <w:pPr>
              <w:pStyle w:val="Tabletext"/>
              <w:numPr>
                <w:ilvl w:val="0"/>
                <w:numId w:val="39"/>
              </w:numPr>
              <w:ind w:left="303"/>
              <w:rPr>
                <w:bCs/>
                <w:lang w:eastAsia="en-AU"/>
              </w:rPr>
            </w:pPr>
            <w:proofErr w:type="gramStart"/>
            <w:r w:rsidRPr="00C15611">
              <w:rPr>
                <w:bCs/>
                <w:lang w:eastAsia="en-AU"/>
              </w:rPr>
              <w:t>169</w:t>
            </w:r>
            <w:proofErr w:type="gramEnd"/>
            <w:r w:rsidRPr="00C15611">
              <w:rPr>
                <w:bCs/>
                <w:lang w:eastAsia="en-AU"/>
              </w:rPr>
              <w:t xml:space="preserve"> performance deficiencies (PDs) &amp; 4 potential non-compliances (NCs).</w:t>
            </w:r>
          </w:p>
          <w:p w14:paraId="3E02A9A0" w14:textId="77777777" w:rsidR="008335FB" w:rsidRPr="00C15611" w:rsidRDefault="008335FB" w:rsidP="0013090A">
            <w:pPr>
              <w:pStyle w:val="Tabletext"/>
              <w:numPr>
                <w:ilvl w:val="0"/>
                <w:numId w:val="39"/>
              </w:numPr>
              <w:ind w:left="303"/>
              <w:rPr>
                <w:bCs/>
                <w:lang w:eastAsia="en-AU"/>
              </w:rPr>
            </w:pPr>
            <w:r w:rsidRPr="00C15611">
              <w:rPr>
                <w:bCs/>
                <w:lang w:eastAsia="en-AU"/>
              </w:rPr>
              <w:t>There appeared to be some inconsistencies in categorisation of PDs and NCs.</w:t>
            </w:r>
          </w:p>
          <w:p w14:paraId="07323A2B" w14:textId="77777777" w:rsidR="008335FB" w:rsidRPr="00C15611" w:rsidRDefault="008335FB" w:rsidP="0013090A">
            <w:pPr>
              <w:pStyle w:val="Tabletext"/>
              <w:numPr>
                <w:ilvl w:val="0"/>
                <w:numId w:val="39"/>
              </w:numPr>
              <w:ind w:left="303"/>
              <w:rPr>
                <w:bCs/>
                <w:lang w:eastAsia="en-AU"/>
              </w:rPr>
            </w:pPr>
            <w:r w:rsidRPr="00C15611">
              <w:rPr>
                <w:bCs/>
                <w:lang w:eastAsia="en-AU"/>
              </w:rPr>
              <w:t xml:space="preserve">Percentage of PD to NC as an indicator was not considered </w:t>
            </w:r>
            <w:proofErr w:type="gramStart"/>
            <w:r w:rsidRPr="00C15611">
              <w:rPr>
                <w:bCs/>
                <w:lang w:eastAsia="en-AU"/>
              </w:rPr>
              <w:t>to be an</w:t>
            </w:r>
            <w:proofErr w:type="gramEnd"/>
            <w:r w:rsidRPr="00C15611">
              <w:rPr>
                <w:bCs/>
                <w:lang w:eastAsia="en-AU"/>
              </w:rPr>
              <w:t xml:space="preserve"> effective indicator of the graded approach.</w:t>
            </w:r>
          </w:p>
          <w:p w14:paraId="2CEE2B56" w14:textId="77777777" w:rsidR="008335FB" w:rsidRPr="00C15611" w:rsidRDefault="008335FB" w:rsidP="0013090A">
            <w:pPr>
              <w:pStyle w:val="Tabletext"/>
              <w:numPr>
                <w:ilvl w:val="0"/>
                <w:numId w:val="39"/>
              </w:numPr>
              <w:ind w:left="303"/>
              <w:rPr>
                <w:bCs/>
                <w:sz w:val="18"/>
                <w:szCs w:val="18"/>
                <w:lang w:eastAsia="en-AU"/>
              </w:rPr>
            </w:pPr>
            <w:r w:rsidRPr="00C15611">
              <w:rPr>
                <w:bCs/>
                <w:lang w:eastAsia="en-AU"/>
              </w:rPr>
              <w:t>AFI – Consider developing a PI that is a better quantitative indicator of performance related to the graded approach.</w:t>
            </w:r>
          </w:p>
        </w:tc>
      </w:tr>
      <w:tr w:rsidR="008335FB" w:rsidRPr="00C15611" w14:paraId="72B16C41" w14:textId="77777777" w:rsidTr="0013090A">
        <w:trPr>
          <w:trHeight w:val="2623"/>
        </w:trPr>
        <w:tc>
          <w:tcPr>
            <w:tcW w:w="2802" w:type="dxa"/>
          </w:tcPr>
          <w:p w14:paraId="730353AA" w14:textId="77777777" w:rsidR="008335FB" w:rsidRPr="00C15611" w:rsidRDefault="008335FB" w:rsidP="0013090A">
            <w:pPr>
              <w:pStyle w:val="Tabletext"/>
            </w:pPr>
            <w:r w:rsidRPr="00C15611">
              <w:t>PI 3.2 – Ratio of site visits (monitoring) to inspections at licensed facilities (performance monitoring)</w:t>
            </w:r>
            <w:r>
              <w:t>.</w:t>
            </w:r>
          </w:p>
        </w:tc>
        <w:tc>
          <w:tcPr>
            <w:tcW w:w="2835" w:type="dxa"/>
          </w:tcPr>
          <w:p w14:paraId="61ADA741" w14:textId="77777777" w:rsidR="008335FB" w:rsidRPr="00C15611" w:rsidRDefault="008335FB" w:rsidP="0013090A">
            <w:pPr>
              <w:pStyle w:val="Tabletext"/>
              <w:rPr>
                <w:color w:val="0070C0"/>
              </w:rPr>
            </w:pPr>
            <w:r w:rsidRPr="00C15611">
              <w:rPr>
                <w:bCs/>
                <w:noProof/>
                <w:lang w:eastAsia="en-AU"/>
              </w:rPr>
              <mc:AlternateContent>
                <mc:Choice Requires="wps">
                  <w:drawing>
                    <wp:inline distT="0" distB="0" distL="0" distR="0" wp14:anchorId="651DA313" wp14:editId="3D05FA87">
                      <wp:extent cx="101600" cy="118533"/>
                      <wp:effectExtent l="0" t="0" r="12700" b="15240"/>
                      <wp:docPr id="17" name="Oval 17"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7"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" fillcolor="#c0504d [3205]" strokecolor="#622423 [1605]" strokeweight="2pt">
                      <w10:anchorlock/>
                    </v:oval>
                  </w:pict>
                </mc:Fallback>
              </mc:AlternateContent>
            </w:r>
            <w:r>
              <w:t xml:space="preserve"> </w:t>
            </w:r>
            <w:r w:rsidRPr="00C15611">
              <w:t>3 site visits per inspections at licensed facilities – target (5:1) not met.</w:t>
            </w:r>
          </w:p>
        </w:tc>
        <w:tc>
          <w:tcPr>
            <w:tcW w:w="4110" w:type="dxa"/>
          </w:tcPr>
          <w:p w14:paraId="5DF64440" w14:textId="77777777" w:rsidR="008335FB" w:rsidRPr="00C15611" w:rsidRDefault="008335FB" w:rsidP="0013090A">
            <w:pPr>
              <w:pStyle w:val="Tabletext"/>
              <w:numPr>
                <w:ilvl w:val="0"/>
                <w:numId w:val="39"/>
              </w:numPr>
              <w:ind w:left="303"/>
              <w:rPr>
                <w:bCs/>
                <w:lang w:eastAsia="en-AU"/>
              </w:rPr>
            </w:pPr>
            <w:proofErr w:type="gramStart"/>
            <w:r w:rsidRPr="00C15611">
              <w:rPr>
                <w:bCs/>
                <w:lang w:eastAsia="en-AU"/>
              </w:rPr>
              <w:t>83</w:t>
            </w:r>
            <w:proofErr w:type="gramEnd"/>
            <w:r w:rsidRPr="00C15611">
              <w:rPr>
                <w:bCs/>
                <w:lang w:eastAsia="en-AU"/>
              </w:rPr>
              <w:t xml:space="preserve"> site visits &amp; 30 inspections of licensed facilities.</w:t>
            </w:r>
          </w:p>
          <w:p w14:paraId="4BA52AB5" w14:textId="77777777" w:rsidR="008335FB" w:rsidRPr="00C15611" w:rsidRDefault="008335FB" w:rsidP="0013090A">
            <w:pPr>
              <w:pStyle w:val="Tabletext"/>
              <w:numPr>
                <w:ilvl w:val="0"/>
                <w:numId w:val="39"/>
              </w:numPr>
              <w:ind w:left="303"/>
              <w:rPr>
                <w:bCs/>
                <w:lang w:eastAsia="en-AU"/>
              </w:rPr>
            </w:pPr>
            <w:r w:rsidRPr="00C15611">
              <w:rPr>
                <w:bCs/>
                <w:lang w:eastAsia="en-AU"/>
              </w:rPr>
              <w:t xml:space="preserve">The current measure of site visit/inspection ratio may not fully reflect the adequacy of oversight for many facilities. </w:t>
            </w:r>
            <w:proofErr w:type="gramStart"/>
            <w:r w:rsidRPr="00C15611">
              <w:rPr>
                <w:bCs/>
                <w:lang w:eastAsia="en-AU"/>
              </w:rPr>
              <w:t>The current ratio is dominated by a few licence holders that receive many site visits</w:t>
            </w:r>
            <w:proofErr w:type="gramEnd"/>
            <w:r w:rsidRPr="00C15611">
              <w:rPr>
                <w:bCs/>
                <w:lang w:eastAsia="en-AU"/>
              </w:rPr>
              <w:t>.</w:t>
            </w:r>
          </w:p>
          <w:p w14:paraId="1A644B55" w14:textId="77777777" w:rsidR="008335FB" w:rsidRPr="00C15611" w:rsidRDefault="008335FB" w:rsidP="0013090A">
            <w:pPr>
              <w:pStyle w:val="Tabletext"/>
              <w:numPr>
                <w:ilvl w:val="0"/>
                <w:numId w:val="39"/>
              </w:numPr>
              <w:ind w:left="303"/>
              <w:rPr>
                <w:bCs/>
                <w:lang w:eastAsia="en-AU"/>
              </w:rPr>
            </w:pPr>
            <w:r w:rsidRPr="00C15611">
              <w:rPr>
                <w:bCs/>
                <w:lang w:eastAsia="en-AU"/>
              </w:rPr>
              <w:t>Sources are not included in PI, but may benefit from a similar arrangement.</w:t>
            </w:r>
          </w:p>
          <w:p w14:paraId="14AAACBC" w14:textId="77777777" w:rsidR="008335FB" w:rsidRPr="00C15611" w:rsidRDefault="008335FB" w:rsidP="0013090A">
            <w:pPr>
              <w:pStyle w:val="Tabletext"/>
              <w:numPr>
                <w:ilvl w:val="0"/>
                <w:numId w:val="39"/>
              </w:numPr>
              <w:ind w:left="303"/>
              <w:rPr>
                <w:sz w:val="18"/>
                <w:szCs w:val="18"/>
              </w:rPr>
            </w:pPr>
            <w:r w:rsidRPr="00C15611">
              <w:rPr>
                <w:bCs/>
                <w:lang w:eastAsia="en-AU"/>
              </w:rPr>
              <w:t xml:space="preserve">AFI – Consider revising the PI so that it is an indication of an acceptable visit ratio for individual facilities rather than an overall ratio </w:t>
            </w:r>
            <w:proofErr w:type="gramStart"/>
            <w:r w:rsidRPr="00C15611">
              <w:rPr>
                <w:bCs/>
                <w:lang w:eastAsia="en-AU"/>
              </w:rPr>
              <w:t>being met</w:t>
            </w:r>
            <w:proofErr w:type="gramEnd"/>
            <w:r w:rsidRPr="00C15611">
              <w:rPr>
                <w:bCs/>
                <w:lang w:eastAsia="en-AU"/>
              </w:rPr>
              <w:t>.</w:t>
            </w:r>
          </w:p>
        </w:tc>
      </w:tr>
    </w:tbl>
    <w:p w14:paraId="3B6178A6" w14:textId="2659DE58" w:rsidR="00983FDD"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 xml:space="preserve">ARPANSA’s application process </w:t>
      </w:r>
      <w:r w:rsidR="00983FDD">
        <w:rPr>
          <w:rFonts w:cs="Times New Roman"/>
          <w:bCs/>
          <w:szCs w:val="24"/>
          <w:lang w:eastAsia="en-AU"/>
        </w:rPr>
        <w:t xml:space="preserve">requires </w:t>
      </w:r>
      <w:r>
        <w:rPr>
          <w:rFonts w:cs="Times New Roman"/>
          <w:bCs/>
          <w:szCs w:val="24"/>
          <w:lang w:eastAsia="en-AU"/>
        </w:rPr>
        <w:t xml:space="preserve">an applicant </w:t>
      </w:r>
      <w:r w:rsidR="00983FDD">
        <w:rPr>
          <w:rFonts w:cs="Times New Roman"/>
          <w:bCs/>
          <w:szCs w:val="24"/>
          <w:lang w:eastAsia="en-AU"/>
        </w:rPr>
        <w:t xml:space="preserve">to demonstrate </w:t>
      </w:r>
      <w:r>
        <w:rPr>
          <w:rFonts w:cs="Times New Roman"/>
          <w:bCs/>
          <w:szCs w:val="24"/>
          <w:lang w:eastAsia="en-AU"/>
        </w:rPr>
        <w:t>the</w:t>
      </w:r>
      <w:r w:rsidR="007544F8">
        <w:rPr>
          <w:rFonts w:cs="Times New Roman"/>
          <w:bCs/>
          <w:szCs w:val="24"/>
          <w:lang w:eastAsia="en-AU"/>
        </w:rPr>
        <w:t>ir</w:t>
      </w:r>
      <w:r>
        <w:rPr>
          <w:rFonts w:cs="Times New Roman"/>
          <w:bCs/>
          <w:szCs w:val="24"/>
          <w:lang w:eastAsia="en-AU"/>
        </w:rPr>
        <w:t xml:space="preserve"> capacity to meet regulatory requirements under the Act and Regulations. </w:t>
      </w:r>
      <w:r w:rsidR="00983FDD">
        <w:rPr>
          <w:rFonts w:cs="Times New Roman"/>
          <w:bCs/>
          <w:szCs w:val="24"/>
          <w:lang w:eastAsia="en-AU"/>
        </w:rPr>
        <w:t>ARPANSA strives to avoid direct regulatory i</w:t>
      </w:r>
      <w:r w:rsidR="00E85C3E">
        <w:rPr>
          <w:rFonts w:cs="Times New Roman"/>
          <w:bCs/>
          <w:szCs w:val="24"/>
          <w:lang w:eastAsia="en-AU"/>
        </w:rPr>
        <w:t xml:space="preserve">ntervention wherever possible. </w:t>
      </w:r>
      <w:r w:rsidR="00983FDD">
        <w:rPr>
          <w:rFonts w:cs="Times New Roman"/>
          <w:bCs/>
          <w:szCs w:val="24"/>
          <w:lang w:eastAsia="en-AU"/>
        </w:rPr>
        <w:t xml:space="preserve">Its </w:t>
      </w:r>
      <w:r>
        <w:rPr>
          <w:rFonts w:cs="Times New Roman"/>
          <w:bCs/>
          <w:szCs w:val="24"/>
          <w:lang w:eastAsia="en-AU"/>
        </w:rPr>
        <w:t xml:space="preserve">policies have effectively emphasised that the prime responsibility to </w:t>
      </w:r>
      <w:r w:rsidR="00E35A2F">
        <w:rPr>
          <w:rFonts w:cs="Times New Roman"/>
          <w:bCs/>
          <w:szCs w:val="24"/>
          <w:lang w:eastAsia="en-AU"/>
        </w:rPr>
        <w:t xml:space="preserve">identify and </w:t>
      </w:r>
      <w:r w:rsidR="007544F8">
        <w:rPr>
          <w:rFonts w:cs="Times New Roman"/>
          <w:bCs/>
          <w:szCs w:val="24"/>
          <w:lang w:eastAsia="en-AU"/>
        </w:rPr>
        <w:t xml:space="preserve">rectify </w:t>
      </w:r>
      <w:r w:rsidR="000D764E">
        <w:rPr>
          <w:rFonts w:cs="Times New Roman"/>
          <w:bCs/>
          <w:szCs w:val="24"/>
          <w:lang w:eastAsia="en-AU"/>
        </w:rPr>
        <w:t xml:space="preserve">safety or security </w:t>
      </w:r>
      <w:r w:rsidR="007544F8">
        <w:rPr>
          <w:rFonts w:cs="Times New Roman"/>
          <w:bCs/>
          <w:szCs w:val="24"/>
          <w:lang w:eastAsia="en-AU"/>
        </w:rPr>
        <w:t>issues</w:t>
      </w:r>
      <w:r>
        <w:rPr>
          <w:rFonts w:cs="Times New Roman"/>
          <w:bCs/>
          <w:szCs w:val="24"/>
          <w:lang w:eastAsia="en-AU"/>
        </w:rPr>
        <w:t xml:space="preserve"> rests with the </w:t>
      </w:r>
      <w:r w:rsidR="001F7A0E">
        <w:rPr>
          <w:rFonts w:cs="Times New Roman"/>
          <w:bCs/>
          <w:szCs w:val="24"/>
          <w:lang w:eastAsia="en-AU"/>
        </w:rPr>
        <w:t>licence holder</w:t>
      </w:r>
      <w:r>
        <w:rPr>
          <w:rFonts w:cs="Times New Roman"/>
          <w:bCs/>
          <w:szCs w:val="24"/>
          <w:lang w:eastAsia="en-AU"/>
        </w:rPr>
        <w:t>.</w:t>
      </w:r>
      <w:r w:rsidR="00EF21B3">
        <w:rPr>
          <w:rFonts w:cs="Times New Roman"/>
          <w:bCs/>
          <w:szCs w:val="24"/>
          <w:lang w:eastAsia="en-AU"/>
        </w:rPr>
        <w:t xml:space="preserve"> </w:t>
      </w:r>
    </w:p>
    <w:p w14:paraId="7B712C08" w14:textId="62F488DA" w:rsidR="009C7EC4" w:rsidRDefault="00983FDD" w:rsidP="00C91FB5">
      <w:pPr>
        <w:autoSpaceDE w:val="0"/>
        <w:autoSpaceDN w:val="0"/>
        <w:adjustRightInd w:val="0"/>
        <w:spacing w:after="120"/>
        <w:rPr>
          <w:rFonts w:cs="Times New Roman"/>
          <w:bCs/>
          <w:szCs w:val="24"/>
          <w:lang w:eastAsia="en-AU"/>
        </w:rPr>
      </w:pPr>
      <w:r>
        <w:rPr>
          <w:rFonts w:cs="Times New Roman"/>
          <w:bCs/>
          <w:szCs w:val="24"/>
          <w:lang w:eastAsia="en-AU"/>
        </w:rPr>
        <w:t>ARPANSA</w:t>
      </w:r>
      <w:r w:rsidR="00EF21B3">
        <w:rPr>
          <w:rFonts w:cs="Times New Roman"/>
          <w:bCs/>
          <w:szCs w:val="24"/>
          <w:lang w:eastAsia="en-AU"/>
        </w:rPr>
        <w:t xml:space="preserve"> promotes </w:t>
      </w:r>
      <w:proofErr w:type="gramStart"/>
      <w:r w:rsidR="00EF21B3">
        <w:rPr>
          <w:rFonts w:cs="Times New Roman"/>
          <w:bCs/>
          <w:szCs w:val="24"/>
          <w:lang w:eastAsia="en-AU"/>
        </w:rPr>
        <w:t>a</w:t>
      </w:r>
      <w:r w:rsidR="00DC1818">
        <w:rPr>
          <w:rFonts w:cs="Times New Roman"/>
          <w:bCs/>
          <w:szCs w:val="24"/>
          <w:lang w:eastAsia="en-AU"/>
        </w:rPr>
        <w:t>n</w:t>
      </w:r>
      <w:proofErr w:type="gramEnd"/>
      <w:r w:rsidR="009C7EC4">
        <w:rPr>
          <w:rFonts w:cs="Times New Roman"/>
          <w:bCs/>
          <w:szCs w:val="24"/>
          <w:lang w:eastAsia="en-AU"/>
        </w:rPr>
        <w:t xml:space="preserve"> </w:t>
      </w:r>
      <w:hyperlink r:id="rId18" w:history="1">
        <w:r w:rsidR="009C7EC4" w:rsidRPr="00557AC5">
          <w:rPr>
            <w:rStyle w:val="Hyperlink"/>
            <w:rFonts w:cs="Times New Roman"/>
            <w:bCs/>
            <w:szCs w:val="24"/>
            <w:lang w:eastAsia="en-AU"/>
          </w:rPr>
          <w:t>holistic approach to safety</w:t>
        </w:r>
      </w:hyperlink>
      <w:r w:rsidR="00EF21B3">
        <w:rPr>
          <w:rFonts w:cs="Times New Roman"/>
          <w:bCs/>
          <w:szCs w:val="24"/>
          <w:lang w:eastAsia="en-AU"/>
        </w:rPr>
        <w:t xml:space="preserve"> </w:t>
      </w:r>
      <w:r>
        <w:rPr>
          <w:rFonts w:cs="Times New Roman"/>
          <w:bCs/>
          <w:szCs w:val="24"/>
          <w:lang w:eastAsia="en-AU"/>
        </w:rPr>
        <w:t xml:space="preserve">that </w:t>
      </w:r>
      <w:r w:rsidR="009C7EC4">
        <w:rPr>
          <w:rFonts w:cs="Times New Roman"/>
          <w:bCs/>
          <w:szCs w:val="24"/>
          <w:lang w:eastAsia="en-AU"/>
        </w:rPr>
        <w:t>encourage</w:t>
      </w:r>
      <w:r w:rsidR="00EF21B3">
        <w:rPr>
          <w:rFonts w:cs="Times New Roman"/>
          <w:bCs/>
          <w:szCs w:val="24"/>
          <w:lang w:eastAsia="en-AU"/>
        </w:rPr>
        <w:t>s</w:t>
      </w:r>
      <w:r w:rsidR="009C7EC4">
        <w:rPr>
          <w:rFonts w:cs="Times New Roman"/>
          <w:bCs/>
          <w:szCs w:val="24"/>
          <w:lang w:eastAsia="en-AU"/>
        </w:rPr>
        <w:t xml:space="preserve"> </w:t>
      </w:r>
      <w:r w:rsidR="00EF21B3">
        <w:rPr>
          <w:rFonts w:cs="Times New Roman"/>
          <w:bCs/>
          <w:szCs w:val="24"/>
          <w:lang w:eastAsia="en-AU"/>
        </w:rPr>
        <w:t xml:space="preserve">licence holders to </w:t>
      </w:r>
      <w:r w:rsidR="00997149">
        <w:rPr>
          <w:rFonts w:cs="Times New Roman"/>
          <w:bCs/>
          <w:szCs w:val="24"/>
          <w:lang w:eastAsia="en-AU"/>
        </w:rPr>
        <w:t xml:space="preserve">consider </w:t>
      </w:r>
      <w:r w:rsidR="009C7EC4">
        <w:rPr>
          <w:rFonts w:cs="Times New Roman"/>
          <w:bCs/>
          <w:szCs w:val="24"/>
          <w:lang w:eastAsia="en-AU"/>
        </w:rPr>
        <w:t xml:space="preserve">any human and organisational factors </w:t>
      </w:r>
      <w:r w:rsidR="00997149">
        <w:rPr>
          <w:rFonts w:cs="Times New Roman"/>
          <w:bCs/>
          <w:szCs w:val="24"/>
          <w:lang w:eastAsia="en-AU"/>
        </w:rPr>
        <w:t xml:space="preserve">affecting </w:t>
      </w:r>
      <w:r w:rsidR="009C7EC4">
        <w:rPr>
          <w:rFonts w:cs="Times New Roman"/>
          <w:bCs/>
          <w:szCs w:val="24"/>
          <w:lang w:eastAsia="en-AU"/>
        </w:rPr>
        <w:t xml:space="preserve">safety </w:t>
      </w:r>
      <w:r w:rsidR="00997149">
        <w:rPr>
          <w:rFonts w:cs="Times New Roman"/>
          <w:bCs/>
          <w:szCs w:val="24"/>
          <w:lang w:eastAsia="en-AU"/>
        </w:rPr>
        <w:t xml:space="preserve">of </w:t>
      </w:r>
      <w:r w:rsidR="00E85C3E">
        <w:rPr>
          <w:rFonts w:cs="Times New Roman"/>
          <w:bCs/>
          <w:szCs w:val="24"/>
          <w:lang w:eastAsia="en-AU"/>
        </w:rPr>
        <w:t>controlled activities.</w:t>
      </w:r>
      <w:r w:rsidR="009C7EC4">
        <w:rPr>
          <w:rFonts w:cs="Times New Roman"/>
          <w:bCs/>
          <w:szCs w:val="24"/>
          <w:lang w:eastAsia="en-AU"/>
        </w:rPr>
        <w:t xml:space="preserve"> </w:t>
      </w:r>
      <w:r w:rsidR="00151F6C">
        <w:rPr>
          <w:rFonts w:cs="Times New Roman"/>
          <w:bCs/>
          <w:szCs w:val="24"/>
          <w:lang w:eastAsia="en-AU"/>
        </w:rPr>
        <w:t>A l</w:t>
      </w:r>
      <w:r w:rsidR="001F7A0E">
        <w:rPr>
          <w:rFonts w:cs="Times New Roman"/>
          <w:bCs/>
          <w:szCs w:val="24"/>
          <w:lang w:eastAsia="en-AU"/>
        </w:rPr>
        <w:t>icence holder</w:t>
      </w:r>
      <w:r w:rsidR="00151F6C">
        <w:rPr>
          <w:rFonts w:cs="Times New Roman"/>
          <w:bCs/>
          <w:szCs w:val="24"/>
          <w:lang w:eastAsia="en-AU"/>
        </w:rPr>
        <w:t xml:space="preserve"> </w:t>
      </w:r>
      <w:proofErr w:type="gramStart"/>
      <w:r w:rsidR="00151F6C">
        <w:rPr>
          <w:rFonts w:cs="Times New Roman"/>
          <w:bCs/>
          <w:szCs w:val="24"/>
          <w:lang w:eastAsia="en-AU"/>
        </w:rPr>
        <w:t>i</w:t>
      </w:r>
      <w:r w:rsidR="009C7EC4">
        <w:rPr>
          <w:rFonts w:cs="Times New Roman"/>
          <w:bCs/>
          <w:szCs w:val="24"/>
          <w:lang w:eastAsia="en-AU"/>
        </w:rPr>
        <w:t>s expected</w:t>
      </w:r>
      <w:proofErr w:type="gramEnd"/>
      <w:r w:rsidR="009C7EC4">
        <w:rPr>
          <w:rFonts w:cs="Times New Roman"/>
          <w:bCs/>
          <w:szCs w:val="24"/>
          <w:lang w:eastAsia="en-AU"/>
        </w:rPr>
        <w:t xml:space="preserve"> to </w:t>
      </w:r>
      <w:r w:rsidR="00F33C9D">
        <w:rPr>
          <w:rFonts w:cs="Times New Roman"/>
          <w:bCs/>
          <w:szCs w:val="24"/>
          <w:lang w:eastAsia="en-AU"/>
        </w:rPr>
        <w:t xml:space="preserve">improve </w:t>
      </w:r>
      <w:r w:rsidR="009C7EC4">
        <w:rPr>
          <w:rFonts w:cs="Times New Roman"/>
          <w:bCs/>
          <w:szCs w:val="24"/>
          <w:lang w:eastAsia="en-AU"/>
        </w:rPr>
        <w:t>systems and processes beyond an immediate problem</w:t>
      </w:r>
      <w:r w:rsidR="00EF21B3">
        <w:rPr>
          <w:rFonts w:cs="Times New Roman"/>
          <w:bCs/>
          <w:szCs w:val="24"/>
          <w:lang w:eastAsia="en-AU"/>
        </w:rPr>
        <w:t>,</w:t>
      </w:r>
      <w:r w:rsidR="009C7EC4">
        <w:rPr>
          <w:rFonts w:cs="Times New Roman"/>
          <w:bCs/>
          <w:szCs w:val="24"/>
          <w:lang w:eastAsia="en-AU"/>
        </w:rPr>
        <w:t xml:space="preserve"> </w:t>
      </w:r>
      <w:r w:rsidR="009C7EC4">
        <w:rPr>
          <w:rFonts w:cs="Times New Roman"/>
          <w:bCs/>
          <w:szCs w:val="24"/>
          <w:lang w:eastAsia="en-AU"/>
        </w:rPr>
        <w:lastRenderedPageBreak/>
        <w:t xml:space="preserve">and carefully consider wide ranging </w:t>
      </w:r>
      <w:r w:rsidR="00C51BDA">
        <w:rPr>
          <w:rFonts w:cs="Times New Roman"/>
          <w:bCs/>
          <w:szCs w:val="24"/>
          <w:lang w:eastAsia="en-AU"/>
        </w:rPr>
        <w:t xml:space="preserve">issues of </w:t>
      </w:r>
      <w:r w:rsidR="009C7EC4">
        <w:rPr>
          <w:rFonts w:cs="Times New Roman"/>
          <w:bCs/>
          <w:szCs w:val="24"/>
          <w:lang w:eastAsia="en-AU"/>
        </w:rPr>
        <w:t xml:space="preserve">safety culture, human performance and performance improvement. </w:t>
      </w:r>
    </w:p>
    <w:p w14:paraId="3FB3170F" w14:textId="7079CFE5" w:rsidR="009C7EC4" w:rsidRPr="00A9092B" w:rsidRDefault="0032312D" w:rsidP="00C91FB5">
      <w:pPr>
        <w:autoSpaceDE w:val="0"/>
        <w:autoSpaceDN w:val="0"/>
        <w:adjustRightInd w:val="0"/>
        <w:spacing w:after="120"/>
        <w:rPr>
          <w:rFonts w:cs="Times New Roman"/>
          <w:bCs/>
          <w:szCs w:val="24"/>
          <w:lang w:eastAsia="en-AU"/>
        </w:rPr>
      </w:pPr>
      <w:r>
        <w:rPr>
          <w:rFonts w:cs="Times New Roman"/>
          <w:bCs/>
          <w:szCs w:val="24"/>
          <w:lang w:eastAsia="en-AU"/>
        </w:rPr>
        <w:t>The</w:t>
      </w:r>
      <w:r w:rsidR="009C7EC4" w:rsidRPr="00A9092B">
        <w:rPr>
          <w:rFonts w:cs="Times New Roman"/>
          <w:bCs/>
          <w:szCs w:val="24"/>
          <w:lang w:eastAsia="en-AU"/>
        </w:rPr>
        <w:t xml:space="preserve"> risk informed inspection </w:t>
      </w:r>
      <w:r w:rsidR="00E23457">
        <w:rPr>
          <w:rFonts w:cs="Times New Roman"/>
          <w:bCs/>
          <w:szCs w:val="24"/>
          <w:lang w:eastAsia="en-AU"/>
        </w:rPr>
        <w:t>program</w:t>
      </w:r>
      <w:r w:rsidR="009C7EC4" w:rsidRPr="00A9092B">
        <w:rPr>
          <w:rFonts w:cs="Times New Roman"/>
          <w:bCs/>
          <w:szCs w:val="24"/>
          <w:lang w:eastAsia="en-AU"/>
        </w:rPr>
        <w:t xml:space="preserve"> </w:t>
      </w:r>
      <w:proofErr w:type="gramStart"/>
      <w:r w:rsidR="009C7EC4" w:rsidRPr="00A9092B">
        <w:rPr>
          <w:rFonts w:cs="Times New Roman"/>
          <w:bCs/>
          <w:szCs w:val="24"/>
          <w:lang w:eastAsia="en-AU"/>
        </w:rPr>
        <w:t>is designed</w:t>
      </w:r>
      <w:proofErr w:type="gramEnd"/>
      <w:r w:rsidR="009C7EC4" w:rsidRPr="00A9092B">
        <w:rPr>
          <w:rFonts w:cs="Times New Roman"/>
          <w:bCs/>
          <w:szCs w:val="24"/>
          <w:lang w:eastAsia="en-AU"/>
        </w:rPr>
        <w:t xml:space="preserve"> </w:t>
      </w:r>
      <w:r w:rsidR="009C7EC4">
        <w:rPr>
          <w:rFonts w:cs="Times New Roman"/>
          <w:bCs/>
          <w:szCs w:val="24"/>
          <w:lang w:eastAsia="en-AU"/>
        </w:rPr>
        <w:t xml:space="preserve">to </w:t>
      </w:r>
      <w:r>
        <w:rPr>
          <w:rFonts w:cs="Times New Roman"/>
          <w:bCs/>
          <w:szCs w:val="24"/>
          <w:lang w:eastAsia="en-AU"/>
        </w:rPr>
        <w:t xml:space="preserve">direct </w:t>
      </w:r>
      <w:r w:rsidR="009C7EC4">
        <w:rPr>
          <w:rFonts w:cs="Times New Roman"/>
          <w:bCs/>
          <w:szCs w:val="24"/>
          <w:lang w:eastAsia="en-AU"/>
        </w:rPr>
        <w:t xml:space="preserve">regulatory resources to licences presenting the highest risk. </w:t>
      </w:r>
      <w:r w:rsidR="009C7EC4">
        <w:t xml:space="preserve">Inspections </w:t>
      </w:r>
      <w:proofErr w:type="gramStart"/>
      <w:r w:rsidR="009C7EC4">
        <w:t>are undertaken</w:t>
      </w:r>
      <w:proofErr w:type="gramEnd"/>
      <w:r w:rsidR="009C7EC4">
        <w:t xml:space="preserve"> using </w:t>
      </w:r>
      <w:hyperlink r:id="rId19" w:history="1">
        <w:r w:rsidR="003665E1" w:rsidRPr="001540FC">
          <w:rPr>
            <w:rStyle w:val="Hyperlink"/>
            <w:rFonts w:cs="Times New Roman"/>
            <w:bCs/>
            <w:szCs w:val="24"/>
            <w:lang w:eastAsia="en-AU"/>
          </w:rPr>
          <w:t>Performance Objectives and Criteria</w:t>
        </w:r>
      </w:hyperlink>
      <w:r w:rsidR="003665E1">
        <w:t xml:space="preserve"> (</w:t>
      </w:r>
      <w:r w:rsidR="009C7EC4">
        <w:t>PO&amp;Cs</w:t>
      </w:r>
      <w:r w:rsidR="003665E1">
        <w:t>)</w:t>
      </w:r>
      <w:r w:rsidR="009C7EC4">
        <w:t xml:space="preserve"> </w:t>
      </w:r>
      <w:r>
        <w:t xml:space="preserve">as </w:t>
      </w:r>
      <w:r w:rsidR="009C7EC4">
        <w:t>described under KPI</w:t>
      </w:r>
      <w:r w:rsidR="00147E43">
        <w:t xml:space="preserve"> 1</w:t>
      </w:r>
      <w:r w:rsidR="00E85C3E">
        <w:t xml:space="preserve">. </w:t>
      </w:r>
      <w:r w:rsidR="009C7EC4">
        <w:t xml:space="preserve">The PO&amp;Cs provide a structure </w:t>
      </w:r>
      <w:r w:rsidR="000D764E">
        <w:t xml:space="preserve">for </w:t>
      </w:r>
      <w:r w:rsidR="009C7EC4">
        <w:t>inspections</w:t>
      </w:r>
      <w:r w:rsidR="000D764E">
        <w:t>,</w:t>
      </w:r>
      <w:r w:rsidR="009C7EC4">
        <w:t xml:space="preserve"> </w:t>
      </w:r>
      <w:r w:rsidR="000D764E">
        <w:t xml:space="preserve">with </w:t>
      </w:r>
      <w:r w:rsidR="009C7EC4">
        <w:t>a scope and depth proportionate to the risk of the controlled activity</w:t>
      </w:r>
      <w:r w:rsidR="000D764E">
        <w:t>,</w:t>
      </w:r>
      <w:r w:rsidR="009C7EC4">
        <w:t xml:space="preserve"> and at an appropriate frequency</w:t>
      </w:r>
      <w:r w:rsidR="009C7EC4">
        <w:rPr>
          <w:rFonts w:cs="Times New Roman"/>
          <w:bCs/>
          <w:szCs w:val="24"/>
          <w:lang w:eastAsia="en-AU"/>
        </w:rPr>
        <w:t xml:space="preserve">. During the reporting </w:t>
      </w:r>
      <w:r w:rsidR="002C1732">
        <w:rPr>
          <w:rFonts w:cs="Times New Roman"/>
          <w:bCs/>
          <w:szCs w:val="24"/>
          <w:lang w:eastAsia="en-AU"/>
        </w:rPr>
        <w:t>period,</w:t>
      </w:r>
      <w:r w:rsidR="009C7EC4">
        <w:rPr>
          <w:rFonts w:cs="Times New Roman"/>
          <w:bCs/>
          <w:szCs w:val="24"/>
          <w:lang w:eastAsia="en-AU"/>
        </w:rPr>
        <w:t xml:space="preserve"> 69% of inspections were o</w:t>
      </w:r>
      <w:r>
        <w:rPr>
          <w:rFonts w:cs="Times New Roman"/>
          <w:bCs/>
          <w:szCs w:val="24"/>
          <w:lang w:eastAsia="en-AU"/>
        </w:rPr>
        <w:t>f</w:t>
      </w:r>
      <w:r w:rsidR="009C7EC4">
        <w:rPr>
          <w:rFonts w:cs="Times New Roman"/>
          <w:bCs/>
          <w:szCs w:val="24"/>
          <w:lang w:eastAsia="en-AU"/>
        </w:rPr>
        <w:t xml:space="preserve"> licence</w:t>
      </w:r>
      <w:r w:rsidR="000D764E">
        <w:rPr>
          <w:rFonts w:cs="Times New Roman"/>
          <w:bCs/>
          <w:szCs w:val="24"/>
          <w:lang w:eastAsia="en-AU"/>
        </w:rPr>
        <w:t xml:space="preserve"> holders</w:t>
      </w:r>
      <w:r w:rsidR="009C7EC4">
        <w:rPr>
          <w:rFonts w:cs="Times New Roman"/>
          <w:bCs/>
          <w:szCs w:val="24"/>
          <w:lang w:eastAsia="en-AU"/>
        </w:rPr>
        <w:t xml:space="preserve"> with a medi</w:t>
      </w:r>
      <w:r w:rsidR="002E4EC1">
        <w:rPr>
          <w:rFonts w:cs="Times New Roman"/>
          <w:bCs/>
          <w:szCs w:val="24"/>
          <w:lang w:eastAsia="en-AU"/>
        </w:rPr>
        <w:t>um to high risk (See</w:t>
      </w:r>
      <w:r w:rsidR="002C1732">
        <w:rPr>
          <w:rFonts w:cs="Times New Roman"/>
          <w:bCs/>
          <w:szCs w:val="24"/>
          <w:lang w:eastAsia="en-AU"/>
        </w:rPr>
        <w:t xml:space="preserve"> Section 2.4 - </w:t>
      </w:r>
      <w:r w:rsidR="002E4EC1">
        <w:rPr>
          <w:rFonts w:cs="Times New Roman"/>
          <w:bCs/>
          <w:szCs w:val="24"/>
          <w:lang w:eastAsia="en-AU"/>
        </w:rPr>
        <w:t xml:space="preserve">KPI4). </w:t>
      </w:r>
      <w:r w:rsidR="009C7EC4">
        <w:rPr>
          <w:rFonts w:cs="Times New Roman"/>
          <w:bCs/>
          <w:szCs w:val="24"/>
          <w:lang w:eastAsia="en-AU"/>
        </w:rPr>
        <w:t xml:space="preserve">Policies and guidance on assessing risks and the effects on inspection </w:t>
      </w:r>
      <w:r w:rsidR="00576909">
        <w:rPr>
          <w:rFonts w:cs="Times New Roman"/>
          <w:bCs/>
          <w:szCs w:val="24"/>
          <w:lang w:eastAsia="en-AU"/>
        </w:rPr>
        <w:t>schedules</w:t>
      </w:r>
      <w:r w:rsidR="009C7EC4">
        <w:rPr>
          <w:rFonts w:cs="Times New Roman"/>
          <w:bCs/>
          <w:szCs w:val="24"/>
          <w:lang w:eastAsia="en-AU"/>
        </w:rPr>
        <w:t xml:space="preserve"> </w:t>
      </w:r>
      <w:proofErr w:type="gramStart"/>
      <w:r w:rsidR="009C7EC4">
        <w:rPr>
          <w:rFonts w:cs="Times New Roman"/>
          <w:bCs/>
          <w:szCs w:val="24"/>
          <w:lang w:eastAsia="en-AU"/>
        </w:rPr>
        <w:t>are clearly documented and published where appropriate</w:t>
      </w:r>
      <w:proofErr w:type="gramEnd"/>
      <w:r w:rsidR="009C7EC4">
        <w:rPr>
          <w:rFonts w:cs="Times New Roman"/>
          <w:bCs/>
          <w:szCs w:val="24"/>
          <w:lang w:eastAsia="en-AU"/>
        </w:rPr>
        <w:t>.</w:t>
      </w:r>
    </w:p>
    <w:p w14:paraId="0EE56EF5" w14:textId="39078B25" w:rsidR="009C7EC4" w:rsidRPr="00A9092B" w:rsidRDefault="009C7EC4" w:rsidP="00C91FB5">
      <w:pPr>
        <w:autoSpaceDE w:val="0"/>
        <w:autoSpaceDN w:val="0"/>
        <w:adjustRightInd w:val="0"/>
        <w:spacing w:after="120"/>
        <w:rPr>
          <w:rFonts w:cs="Times New Roman"/>
          <w:bCs/>
          <w:szCs w:val="24"/>
          <w:lang w:eastAsia="en-AU"/>
        </w:rPr>
      </w:pPr>
      <w:r w:rsidRPr="00A9092B">
        <w:rPr>
          <w:rFonts w:cs="Times New Roman"/>
          <w:bCs/>
          <w:szCs w:val="24"/>
          <w:lang w:eastAsia="en-AU"/>
        </w:rPr>
        <w:t xml:space="preserve">The </w:t>
      </w:r>
      <w:hyperlink r:id="rId20" w:history="1">
        <w:r w:rsidRPr="00576909">
          <w:rPr>
            <w:rStyle w:val="Hyperlink"/>
            <w:rFonts w:cs="Times New Roman"/>
            <w:bCs/>
            <w:szCs w:val="24"/>
            <w:lang w:eastAsia="en-AU"/>
          </w:rPr>
          <w:t>risk ranking methodology</w:t>
        </w:r>
      </w:hyperlink>
      <w:r w:rsidRPr="00A9092B">
        <w:rPr>
          <w:rFonts w:cs="Times New Roman"/>
          <w:bCs/>
          <w:szCs w:val="24"/>
          <w:lang w:eastAsia="en-AU"/>
        </w:rPr>
        <w:t xml:space="preserve"> used </w:t>
      </w:r>
      <w:r>
        <w:rPr>
          <w:rFonts w:cs="Times New Roman"/>
          <w:bCs/>
          <w:szCs w:val="24"/>
          <w:lang w:eastAsia="en-AU"/>
        </w:rPr>
        <w:t xml:space="preserve">to allocate regulatory resources </w:t>
      </w:r>
      <w:r w:rsidRPr="00A9092B">
        <w:rPr>
          <w:rFonts w:cs="Times New Roman"/>
          <w:bCs/>
          <w:szCs w:val="24"/>
          <w:lang w:eastAsia="en-AU"/>
        </w:rPr>
        <w:t>is available to stakeholders on the ARPANSA website</w:t>
      </w:r>
      <w:r>
        <w:rPr>
          <w:rFonts w:cs="Times New Roman"/>
          <w:bCs/>
          <w:szCs w:val="24"/>
          <w:lang w:eastAsia="en-AU"/>
        </w:rPr>
        <w:t xml:space="preserve">. Facility </w:t>
      </w:r>
      <w:r w:rsidR="0032312D">
        <w:rPr>
          <w:rFonts w:cs="Times New Roman"/>
          <w:bCs/>
          <w:szCs w:val="24"/>
          <w:lang w:eastAsia="en-AU"/>
        </w:rPr>
        <w:t>r</w:t>
      </w:r>
      <w:r w:rsidRPr="00A9092B">
        <w:rPr>
          <w:rFonts w:cs="Times New Roman"/>
          <w:bCs/>
          <w:szCs w:val="24"/>
          <w:lang w:eastAsia="en-AU"/>
        </w:rPr>
        <w:t>isk ranking</w:t>
      </w:r>
      <w:r w:rsidR="008B348F">
        <w:rPr>
          <w:rFonts w:cs="Times New Roman"/>
          <w:bCs/>
          <w:szCs w:val="24"/>
          <w:lang w:eastAsia="en-AU"/>
        </w:rPr>
        <w:t xml:space="preserve"> </w:t>
      </w:r>
      <w:proofErr w:type="gramStart"/>
      <w:r w:rsidR="008B348F">
        <w:rPr>
          <w:rFonts w:cs="Times New Roman"/>
          <w:bCs/>
          <w:szCs w:val="24"/>
          <w:lang w:eastAsia="en-AU"/>
        </w:rPr>
        <w:t>is</w:t>
      </w:r>
      <w:r w:rsidRPr="00A9092B">
        <w:rPr>
          <w:rFonts w:cs="Times New Roman"/>
          <w:bCs/>
          <w:szCs w:val="24"/>
          <w:lang w:eastAsia="en-AU"/>
        </w:rPr>
        <w:t xml:space="preserve"> reviewed</w:t>
      </w:r>
      <w:proofErr w:type="gramEnd"/>
      <w:r w:rsidRPr="00A9092B">
        <w:rPr>
          <w:rFonts w:cs="Times New Roman"/>
          <w:bCs/>
          <w:szCs w:val="24"/>
          <w:lang w:eastAsia="en-AU"/>
        </w:rPr>
        <w:t xml:space="preserve"> annually</w:t>
      </w:r>
      <w:r>
        <w:rPr>
          <w:rFonts w:cs="Times New Roman"/>
          <w:bCs/>
          <w:szCs w:val="24"/>
          <w:lang w:eastAsia="en-AU"/>
        </w:rPr>
        <w:t xml:space="preserve"> and after</w:t>
      </w:r>
      <w:r w:rsidRPr="00A9092B">
        <w:rPr>
          <w:rFonts w:cs="Times New Roman"/>
          <w:bCs/>
          <w:szCs w:val="24"/>
          <w:lang w:eastAsia="en-AU"/>
        </w:rPr>
        <w:t xml:space="preserve"> </w:t>
      </w:r>
      <w:r>
        <w:rPr>
          <w:rFonts w:cs="Times New Roman"/>
          <w:bCs/>
          <w:szCs w:val="24"/>
          <w:lang w:eastAsia="en-AU"/>
        </w:rPr>
        <w:t xml:space="preserve">any significant change or inspection </w:t>
      </w:r>
      <w:r w:rsidRPr="00A9092B">
        <w:rPr>
          <w:rFonts w:cs="Times New Roman"/>
          <w:bCs/>
          <w:szCs w:val="24"/>
          <w:lang w:eastAsia="en-AU"/>
        </w:rPr>
        <w:t xml:space="preserve">finding such as </w:t>
      </w:r>
      <w:r>
        <w:rPr>
          <w:rFonts w:cs="Times New Roman"/>
          <w:bCs/>
          <w:szCs w:val="24"/>
          <w:lang w:eastAsia="en-AU"/>
        </w:rPr>
        <w:t>non</w:t>
      </w:r>
      <w:r w:rsidRPr="00A9092B">
        <w:rPr>
          <w:rFonts w:cs="Times New Roman"/>
          <w:bCs/>
          <w:szCs w:val="24"/>
          <w:lang w:eastAsia="en-AU"/>
        </w:rPr>
        <w:t>-compliance</w:t>
      </w:r>
      <w:r>
        <w:rPr>
          <w:rFonts w:cs="Times New Roman"/>
          <w:bCs/>
          <w:szCs w:val="24"/>
          <w:lang w:eastAsia="en-AU"/>
        </w:rPr>
        <w:t xml:space="preserve">. </w:t>
      </w:r>
    </w:p>
    <w:p w14:paraId="12DE7610" w14:textId="3F44EDF8" w:rsidR="009C7EC4" w:rsidRDefault="009C7EC4" w:rsidP="00C91FB5">
      <w:pPr>
        <w:pStyle w:val="Heading3"/>
        <w:rPr>
          <w:lang w:eastAsia="en-AU"/>
        </w:rPr>
      </w:pPr>
      <w:bookmarkStart w:id="27" w:name="_Toc470173153"/>
      <w:r w:rsidRPr="00A9092B">
        <w:rPr>
          <w:lang w:eastAsia="en-AU"/>
        </w:rPr>
        <w:t>Analysis of evidence presented</w:t>
      </w:r>
      <w:bookmarkEnd w:id="27"/>
    </w:p>
    <w:p w14:paraId="7B63FB1B" w14:textId="24574D31" w:rsidR="009C7EC4" w:rsidRPr="00A9092B" w:rsidRDefault="009C7EC4" w:rsidP="00C91FB5">
      <w:pPr>
        <w:autoSpaceDE w:val="0"/>
        <w:autoSpaceDN w:val="0"/>
        <w:adjustRightInd w:val="0"/>
        <w:spacing w:after="120"/>
        <w:rPr>
          <w:rFonts w:cs="Times New Roman"/>
          <w:b/>
          <w:bCs/>
          <w:szCs w:val="24"/>
          <w:lang w:eastAsia="en-AU"/>
        </w:rPr>
      </w:pPr>
      <w:r w:rsidRPr="008077B9">
        <w:rPr>
          <w:szCs w:val="24"/>
        </w:rPr>
        <w:t xml:space="preserve">Overall </w:t>
      </w:r>
      <w:r>
        <w:rPr>
          <w:szCs w:val="24"/>
        </w:rPr>
        <w:t xml:space="preserve">performance </w:t>
      </w:r>
      <w:r w:rsidR="00AB47C3">
        <w:rPr>
          <w:szCs w:val="24"/>
        </w:rPr>
        <w:t xml:space="preserve">against this KPI </w:t>
      </w:r>
      <w:proofErr w:type="gramStart"/>
      <w:r>
        <w:rPr>
          <w:szCs w:val="24"/>
        </w:rPr>
        <w:t>was assessed</w:t>
      </w:r>
      <w:proofErr w:type="gramEnd"/>
      <w:r>
        <w:rPr>
          <w:szCs w:val="24"/>
        </w:rPr>
        <w:t xml:space="preserve"> as good. This is based on evidence that a range of enforcement options are available, </w:t>
      </w:r>
      <w:r w:rsidR="001C54FD">
        <w:rPr>
          <w:szCs w:val="24"/>
        </w:rPr>
        <w:t xml:space="preserve">and </w:t>
      </w:r>
      <w:r>
        <w:rPr>
          <w:szCs w:val="24"/>
        </w:rPr>
        <w:t xml:space="preserve">risk assessment and management policies and procedures </w:t>
      </w:r>
      <w:r w:rsidR="002719B5">
        <w:rPr>
          <w:szCs w:val="24"/>
        </w:rPr>
        <w:t>are</w:t>
      </w:r>
      <w:r>
        <w:rPr>
          <w:szCs w:val="24"/>
        </w:rPr>
        <w:t xml:space="preserve"> in place and available to stakeholders. Performance against the </w:t>
      </w:r>
      <w:r w:rsidRPr="008B348F">
        <w:rPr>
          <w:szCs w:val="24"/>
        </w:rPr>
        <w:t>PI</w:t>
      </w:r>
      <w:r w:rsidR="00E07AEE">
        <w:rPr>
          <w:szCs w:val="24"/>
        </w:rPr>
        <w:t>s</w:t>
      </w:r>
      <w:r>
        <w:rPr>
          <w:szCs w:val="24"/>
        </w:rPr>
        <w:t xml:space="preserve"> was reasonable, but </w:t>
      </w:r>
      <w:r w:rsidR="00E07AEE">
        <w:rPr>
          <w:szCs w:val="24"/>
        </w:rPr>
        <w:t xml:space="preserve">they </w:t>
      </w:r>
      <w:proofErr w:type="gramStart"/>
      <w:r w:rsidR="001B3F78">
        <w:rPr>
          <w:szCs w:val="24"/>
        </w:rPr>
        <w:t>are not</w:t>
      </w:r>
      <w:r>
        <w:rPr>
          <w:szCs w:val="24"/>
        </w:rPr>
        <w:t xml:space="preserve"> closely aligned</w:t>
      </w:r>
      <w:proofErr w:type="gramEnd"/>
      <w:r>
        <w:rPr>
          <w:szCs w:val="24"/>
        </w:rPr>
        <w:t xml:space="preserve"> with KPI 3.</w:t>
      </w:r>
    </w:p>
    <w:p w14:paraId="45A53CF6" w14:textId="0C296AFF" w:rsidR="009C7EC4" w:rsidRPr="00A9092B" w:rsidRDefault="009C7EC4" w:rsidP="00C91FB5">
      <w:pPr>
        <w:spacing w:after="120"/>
        <w:rPr>
          <w:szCs w:val="24"/>
        </w:rPr>
      </w:pPr>
      <w:r w:rsidRPr="00A9092B">
        <w:rPr>
          <w:b/>
          <w:szCs w:val="24"/>
        </w:rPr>
        <w:t>PI 3.1</w:t>
      </w:r>
      <w:r w:rsidRPr="00A9092B">
        <w:rPr>
          <w:szCs w:val="24"/>
        </w:rPr>
        <w:t xml:space="preserve"> </w:t>
      </w:r>
      <w:r>
        <w:rPr>
          <w:szCs w:val="24"/>
        </w:rPr>
        <w:t>shows</w:t>
      </w:r>
      <w:r w:rsidRPr="00A9092B">
        <w:rPr>
          <w:szCs w:val="24"/>
        </w:rPr>
        <w:t xml:space="preserve"> that </w:t>
      </w:r>
      <w:r>
        <w:rPr>
          <w:szCs w:val="24"/>
        </w:rPr>
        <w:t xml:space="preserve">ARPANSA </w:t>
      </w:r>
      <w:r w:rsidR="0023328A">
        <w:rPr>
          <w:szCs w:val="24"/>
        </w:rPr>
        <w:t xml:space="preserve">applies a graded </w:t>
      </w:r>
      <w:r w:rsidRPr="00A9092B">
        <w:rPr>
          <w:szCs w:val="24"/>
        </w:rPr>
        <w:t xml:space="preserve">approach </w:t>
      </w:r>
      <w:r w:rsidR="0023328A">
        <w:rPr>
          <w:szCs w:val="24"/>
        </w:rPr>
        <w:t>to regulatory intervention</w:t>
      </w:r>
      <w:r>
        <w:rPr>
          <w:szCs w:val="24"/>
        </w:rPr>
        <w:t>. Formal</w:t>
      </w:r>
      <w:r w:rsidRPr="00A9092B">
        <w:rPr>
          <w:szCs w:val="24"/>
        </w:rPr>
        <w:t xml:space="preserve"> enforcement action </w:t>
      </w:r>
      <w:proofErr w:type="gramStart"/>
      <w:r w:rsidRPr="00A9092B">
        <w:rPr>
          <w:szCs w:val="24"/>
        </w:rPr>
        <w:t>will only be initiated</w:t>
      </w:r>
      <w:proofErr w:type="gramEnd"/>
      <w:r w:rsidRPr="00A9092B">
        <w:rPr>
          <w:szCs w:val="24"/>
        </w:rPr>
        <w:t xml:space="preserve"> for findings of non-compliance</w:t>
      </w:r>
      <w:r>
        <w:rPr>
          <w:szCs w:val="24"/>
        </w:rPr>
        <w:t xml:space="preserve"> where the </w:t>
      </w:r>
      <w:r w:rsidR="001F7A0E">
        <w:rPr>
          <w:szCs w:val="24"/>
        </w:rPr>
        <w:t>licence holder</w:t>
      </w:r>
      <w:r>
        <w:rPr>
          <w:szCs w:val="24"/>
        </w:rPr>
        <w:t xml:space="preserve"> fails to </w:t>
      </w:r>
      <w:r w:rsidR="00507523">
        <w:rPr>
          <w:szCs w:val="24"/>
        </w:rPr>
        <w:t xml:space="preserve">solve </w:t>
      </w:r>
      <w:r>
        <w:rPr>
          <w:szCs w:val="24"/>
        </w:rPr>
        <w:t>its own problems</w:t>
      </w:r>
      <w:r w:rsidRPr="00A9092B">
        <w:rPr>
          <w:szCs w:val="24"/>
        </w:rPr>
        <w:t xml:space="preserve">. This is </w:t>
      </w:r>
      <w:r>
        <w:rPr>
          <w:szCs w:val="24"/>
        </w:rPr>
        <w:t xml:space="preserve">an effective </w:t>
      </w:r>
      <w:proofErr w:type="gramStart"/>
      <w:r>
        <w:rPr>
          <w:szCs w:val="24"/>
        </w:rPr>
        <w:t>approach which</w:t>
      </w:r>
      <w:proofErr w:type="gramEnd"/>
      <w:r>
        <w:rPr>
          <w:szCs w:val="24"/>
        </w:rPr>
        <w:t xml:space="preserve"> helps to avoid direct interference in the operations of a </w:t>
      </w:r>
      <w:r w:rsidR="001F7A0E">
        <w:rPr>
          <w:szCs w:val="24"/>
        </w:rPr>
        <w:t>licence holder</w:t>
      </w:r>
      <w:r>
        <w:rPr>
          <w:szCs w:val="24"/>
        </w:rPr>
        <w:t xml:space="preserve">. </w:t>
      </w:r>
      <w:r w:rsidRPr="00A9092B">
        <w:rPr>
          <w:szCs w:val="24"/>
        </w:rPr>
        <w:t xml:space="preserve">It indicates that </w:t>
      </w:r>
      <w:r>
        <w:rPr>
          <w:szCs w:val="24"/>
        </w:rPr>
        <w:t>ARPANSA</w:t>
      </w:r>
      <w:r w:rsidRPr="00A9092B">
        <w:rPr>
          <w:szCs w:val="24"/>
        </w:rPr>
        <w:t xml:space="preserve"> is mindful of the need to be proportionate and predic</w:t>
      </w:r>
      <w:r>
        <w:rPr>
          <w:szCs w:val="24"/>
        </w:rPr>
        <w:t>t</w:t>
      </w:r>
      <w:r w:rsidRPr="00A9092B">
        <w:rPr>
          <w:szCs w:val="24"/>
        </w:rPr>
        <w:t>able in the</w:t>
      </w:r>
      <w:r w:rsidR="0023328A">
        <w:rPr>
          <w:szCs w:val="24"/>
        </w:rPr>
        <w:t>ir</w:t>
      </w:r>
      <w:r w:rsidRPr="00A9092B">
        <w:rPr>
          <w:szCs w:val="24"/>
        </w:rPr>
        <w:t xml:space="preserve"> regulatory </w:t>
      </w:r>
      <w:r w:rsidR="0023328A">
        <w:rPr>
          <w:szCs w:val="24"/>
        </w:rPr>
        <w:t>response</w:t>
      </w:r>
      <w:r w:rsidRPr="00A9092B">
        <w:rPr>
          <w:szCs w:val="24"/>
        </w:rPr>
        <w:t xml:space="preserve">. The measured value for </w:t>
      </w:r>
      <w:r w:rsidR="00C73AFA">
        <w:rPr>
          <w:szCs w:val="24"/>
        </w:rPr>
        <w:t xml:space="preserve">this </w:t>
      </w:r>
      <w:r>
        <w:rPr>
          <w:szCs w:val="24"/>
        </w:rPr>
        <w:t>PI was</w:t>
      </w:r>
      <w:r w:rsidRPr="00A9092B">
        <w:rPr>
          <w:szCs w:val="24"/>
        </w:rPr>
        <w:t xml:space="preserve"> 42:1 against a target of 5:1.</w:t>
      </w:r>
    </w:p>
    <w:p w14:paraId="6F207079" w14:textId="44391669" w:rsidR="009C7EC4" w:rsidRDefault="00E15DA7" w:rsidP="00C91FB5">
      <w:pPr>
        <w:spacing w:after="120"/>
        <w:rPr>
          <w:szCs w:val="24"/>
        </w:rPr>
      </w:pPr>
      <w:r>
        <w:rPr>
          <w:szCs w:val="24"/>
        </w:rPr>
        <w:t>T</w:t>
      </w:r>
      <w:r w:rsidR="009C7EC4">
        <w:rPr>
          <w:szCs w:val="24"/>
        </w:rPr>
        <w:t>he ratio of</w:t>
      </w:r>
      <w:r w:rsidR="009C7EC4" w:rsidRPr="00A9092B">
        <w:rPr>
          <w:szCs w:val="24"/>
        </w:rPr>
        <w:t xml:space="preserve"> </w:t>
      </w:r>
      <w:r w:rsidR="0023328A">
        <w:rPr>
          <w:szCs w:val="24"/>
        </w:rPr>
        <w:t xml:space="preserve">performance deficiencies </w:t>
      </w:r>
      <w:r w:rsidR="009C7EC4" w:rsidRPr="00A9092B">
        <w:rPr>
          <w:szCs w:val="24"/>
        </w:rPr>
        <w:t xml:space="preserve">to </w:t>
      </w:r>
      <w:r w:rsidR="0023328A">
        <w:rPr>
          <w:szCs w:val="24"/>
        </w:rPr>
        <w:t>non-compliance</w:t>
      </w:r>
      <w:r w:rsidR="009C7EC4" w:rsidRPr="00A9092B">
        <w:rPr>
          <w:szCs w:val="24"/>
        </w:rPr>
        <w:t xml:space="preserve"> </w:t>
      </w:r>
      <w:r w:rsidR="009C7EC4">
        <w:rPr>
          <w:szCs w:val="24"/>
        </w:rPr>
        <w:t xml:space="preserve">may not be </w:t>
      </w:r>
      <w:r w:rsidR="001A2A4C">
        <w:rPr>
          <w:szCs w:val="24"/>
        </w:rPr>
        <w:t>the best</w:t>
      </w:r>
      <w:r w:rsidR="009C7EC4">
        <w:rPr>
          <w:szCs w:val="24"/>
        </w:rPr>
        <w:t xml:space="preserve"> measure of how well the graded approach is implemented</w:t>
      </w:r>
      <w:r w:rsidR="001A2A4C">
        <w:rPr>
          <w:szCs w:val="24"/>
        </w:rPr>
        <w:t>,</w:t>
      </w:r>
      <w:r w:rsidR="001A2A4C" w:rsidRPr="00A9092B">
        <w:rPr>
          <w:szCs w:val="24"/>
        </w:rPr>
        <w:t xml:space="preserve"> </w:t>
      </w:r>
      <w:r w:rsidR="001A2A4C">
        <w:rPr>
          <w:szCs w:val="24"/>
        </w:rPr>
        <w:t>i.e.</w:t>
      </w:r>
      <w:r w:rsidR="009C7EC4" w:rsidRPr="00A9092B">
        <w:rPr>
          <w:szCs w:val="24"/>
        </w:rPr>
        <w:t xml:space="preserve"> </w:t>
      </w:r>
      <w:r w:rsidR="009C7EC4">
        <w:rPr>
          <w:szCs w:val="24"/>
        </w:rPr>
        <w:t>a change in the PI from 5:1 to 10:1 may not indicate an increase in the degree to which the actions taken by ARPANSA are proportionate to the risk being regulated (KPI</w:t>
      </w:r>
      <w:r w:rsidR="001B3F78">
        <w:rPr>
          <w:szCs w:val="24"/>
        </w:rPr>
        <w:t xml:space="preserve"> </w:t>
      </w:r>
      <w:r w:rsidR="009C7EC4">
        <w:rPr>
          <w:szCs w:val="24"/>
        </w:rPr>
        <w:t>3).</w:t>
      </w:r>
    </w:p>
    <w:p w14:paraId="4A87BA42" w14:textId="17F62F67" w:rsidR="009C7EC4" w:rsidRPr="007D0C92" w:rsidRDefault="009C7EC4" w:rsidP="00C91FB5">
      <w:pPr>
        <w:spacing w:after="120"/>
        <w:rPr>
          <w:szCs w:val="24"/>
        </w:rPr>
      </w:pPr>
      <w:r>
        <w:rPr>
          <w:szCs w:val="24"/>
        </w:rPr>
        <w:t xml:space="preserve">To ensure this indicator is accurate, the team </w:t>
      </w:r>
      <w:r w:rsidRPr="00A9092B">
        <w:rPr>
          <w:szCs w:val="24"/>
        </w:rPr>
        <w:t>review</w:t>
      </w:r>
      <w:r>
        <w:rPr>
          <w:szCs w:val="24"/>
        </w:rPr>
        <w:t>ed</w:t>
      </w:r>
      <w:r w:rsidRPr="00A9092B">
        <w:rPr>
          <w:szCs w:val="24"/>
        </w:rPr>
        <w:t xml:space="preserve"> </w:t>
      </w:r>
      <w:r w:rsidR="00E15DA7">
        <w:rPr>
          <w:szCs w:val="24"/>
        </w:rPr>
        <w:t xml:space="preserve">how performance deficiencies, non-compliances and good practices were </w:t>
      </w:r>
      <w:r>
        <w:rPr>
          <w:szCs w:val="24"/>
        </w:rPr>
        <w:t>categoris</w:t>
      </w:r>
      <w:r w:rsidR="00E15DA7">
        <w:rPr>
          <w:szCs w:val="24"/>
        </w:rPr>
        <w:t>ed</w:t>
      </w:r>
      <w:r>
        <w:rPr>
          <w:szCs w:val="24"/>
        </w:rPr>
        <w:t>.</w:t>
      </w:r>
      <w:r w:rsidRPr="00A9092B">
        <w:rPr>
          <w:szCs w:val="24"/>
        </w:rPr>
        <w:t xml:space="preserve"> </w:t>
      </w:r>
      <w:r>
        <w:rPr>
          <w:szCs w:val="24"/>
        </w:rPr>
        <w:t>Th</w:t>
      </w:r>
      <w:r w:rsidR="00E15DA7">
        <w:rPr>
          <w:szCs w:val="24"/>
        </w:rPr>
        <w:t>e</w:t>
      </w:r>
      <w:r>
        <w:rPr>
          <w:szCs w:val="24"/>
        </w:rPr>
        <w:t xml:space="preserve"> review found some inconsistencies in the categorisation</w:t>
      </w:r>
      <w:r w:rsidR="00045298">
        <w:rPr>
          <w:szCs w:val="24"/>
        </w:rPr>
        <w:t xml:space="preserve"> process</w:t>
      </w:r>
      <w:r w:rsidR="00341E56">
        <w:rPr>
          <w:szCs w:val="24"/>
        </w:rPr>
        <w:t>.</w:t>
      </w:r>
      <w:r w:rsidR="009A7D53">
        <w:rPr>
          <w:szCs w:val="24"/>
        </w:rPr>
        <w:t xml:space="preserve"> </w:t>
      </w:r>
      <w:r w:rsidR="006F5458">
        <w:rPr>
          <w:szCs w:val="24"/>
        </w:rPr>
        <w:t xml:space="preserve">Some </w:t>
      </w:r>
      <w:r w:rsidR="005432D2">
        <w:rPr>
          <w:szCs w:val="24"/>
        </w:rPr>
        <w:t>‘</w:t>
      </w:r>
      <w:r w:rsidR="006F5458">
        <w:rPr>
          <w:szCs w:val="24"/>
        </w:rPr>
        <w:t>good practices</w:t>
      </w:r>
      <w:r w:rsidR="005432D2">
        <w:rPr>
          <w:szCs w:val="24"/>
        </w:rPr>
        <w:t>’</w:t>
      </w:r>
      <w:r w:rsidR="00D20679">
        <w:rPr>
          <w:szCs w:val="24"/>
        </w:rPr>
        <w:t xml:space="preserve"> were not sufficiently </w:t>
      </w:r>
      <w:r w:rsidR="001A2A4C">
        <w:rPr>
          <w:szCs w:val="24"/>
        </w:rPr>
        <w:t>different</w:t>
      </w:r>
      <w:r w:rsidR="00D20679">
        <w:rPr>
          <w:szCs w:val="24"/>
        </w:rPr>
        <w:t xml:space="preserve"> from </w:t>
      </w:r>
      <w:r w:rsidR="001A2A4C">
        <w:rPr>
          <w:szCs w:val="24"/>
        </w:rPr>
        <w:t>expected</w:t>
      </w:r>
      <w:r w:rsidR="00D20679">
        <w:rPr>
          <w:szCs w:val="24"/>
        </w:rPr>
        <w:t xml:space="preserve"> standards to warrant the term. Several performance deficiencies </w:t>
      </w:r>
      <w:r w:rsidR="00FA69FB">
        <w:rPr>
          <w:szCs w:val="24"/>
        </w:rPr>
        <w:t xml:space="preserve">appeared </w:t>
      </w:r>
      <w:r w:rsidR="00D20679">
        <w:rPr>
          <w:szCs w:val="24"/>
        </w:rPr>
        <w:t xml:space="preserve">as though they </w:t>
      </w:r>
      <w:r w:rsidR="00045298">
        <w:rPr>
          <w:szCs w:val="24"/>
        </w:rPr>
        <w:t xml:space="preserve">may have been </w:t>
      </w:r>
      <w:proofErr w:type="gramStart"/>
      <w:r w:rsidR="00D20679">
        <w:rPr>
          <w:szCs w:val="24"/>
        </w:rPr>
        <w:t>down</w:t>
      </w:r>
      <w:r w:rsidR="00045298">
        <w:rPr>
          <w:szCs w:val="24"/>
        </w:rPr>
        <w:t>-</w:t>
      </w:r>
      <w:r w:rsidR="00D20679">
        <w:rPr>
          <w:szCs w:val="24"/>
        </w:rPr>
        <w:t>played</w:t>
      </w:r>
      <w:proofErr w:type="gramEnd"/>
      <w:r w:rsidR="00D20679">
        <w:rPr>
          <w:szCs w:val="24"/>
        </w:rPr>
        <w:t xml:space="preserve"> from potential non-compliance. </w:t>
      </w:r>
      <w:r w:rsidR="00341E56">
        <w:rPr>
          <w:szCs w:val="24"/>
        </w:rPr>
        <w:t>These</w:t>
      </w:r>
      <w:r>
        <w:rPr>
          <w:szCs w:val="24"/>
        </w:rPr>
        <w:t xml:space="preserve"> incons</w:t>
      </w:r>
      <w:r w:rsidR="00045298">
        <w:rPr>
          <w:szCs w:val="24"/>
        </w:rPr>
        <w:t>is</w:t>
      </w:r>
      <w:r>
        <w:rPr>
          <w:szCs w:val="24"/>
        </w:rPr>
        <w:t>t</w:t>
      </w:r>
      <w:r w:rsidR="00045298">
        <w:rPr>
          <w:szCs w:val="24"/>
        </w:rPr>
        <w:t>e</w:t>
      </w:r>
      <w:r>
        <w:rPr>
          <w:szCs w:val="24"/>
        </w:rPr>
        <w:t xml:space="preserve">ncies appear to have </w:t>
      </w:r>
      <w:r w:rsidRPr="00A9092B">
        <w:rPr>
          <w:szCs w:val="24"/>
        </w:rPr>
        <w:t xml:space="preserve">lessened after training </w:t>
      </w:r>
      <w:proofErr w:type="gramStart"/>
      <w:r w:rsidRPr="00A9092B">
        <w:rPr>
          <w:szCs w:val="24"/>
        </w:rPr>
        <w:t>was provided</w:t>
      </w:r>
      <w:proofErr w:type="gramEnd"/>
      <w:r w:rsidRPr="00A9092B">
        <w:rPr>
          <w:szCs w:val="24"/>
        </w:rPr>
        <w:t xml:space="preserve"> in February 2016</w:t>
      </w:r>
      <w:r w:rsidR="00045298">
        <w:rPr>
          <w:szCs w:val="24"/>
        </w:rPr>
        <w:t>,</w:t>
      </w:r>
      <w:r w:rsidR="00341E56">
        <w:rPr>
          <w:szCs w:val="24"/>
        </w:rPr>
        <w:t xml:space="preserve"> suggesting that the problem </w:t>
      </w:r>
      <w:r w:rsidR="00045298">
        <w:rPr>
          <w:szCs w:val="24"/>
        </w:rPr>
        <w:t xml:space="preserve">may have been </w:t>
      </w:r>
      <w:r w:rsidR="00341E56">
        <w:rPr>
          <w:szCs w:val="24"/>
        </w:rPr>
        <w:t xml:space="preserve">associated with a </w:t>
      </w:r>
      <w:r w:rsidR="00045298">
        <w:rPr>
          <w:szCs w:val="24"/>
        </w:rPr>
        <w:t>‘</w:t>
      </w:r>
      <w:r w:rsidR="00341E56">
        <w:rPr>
          <w:szCs w:val="24"/>
        </w:rPr>
        <w:t>bedding-in</w:t>
      </w:r>
      <w:r w:rsidR="00045298">
        <w:rPr>
          <w:szCs w:val="24"/>
        </w:rPr>
        <w:t>’</w:t>
      </w:r>
      <w:r w:rsidR="00341E56">
        <w:rPr>
          <w:szCs w:val="24"/>
        </w:rPr>
        <w:t xml:space="preserve"> period whil</w:t>
      </w:r>
      <w:r w:rsidR="00045298">
        <w:rPr>
          <w:szCs w:val="24"/>
        </w:rPr>
        <w:t>e</w:t>
      </w:r>
      <w:r w:rsidR="00341E56">
        <w:rPr>
          <w:szCs w:val="24"/>
        </w:rPr>
        <w:t xml:space="preserve"> inspectors </w:t>
      </w:r>
      <w:r w:rsidR="00045298">
        <w:rPr>
          <w:szCs w:val="24"/>
        </w:rPr>
        <w:t xml:space="preserve">became familiar with </w:t>
      </w:r>
      <w:r w:rsidR="00341E56">
        <w:rPr>
          <w:szCs w:val="24"/>
        </w:rPr>
        <w:t>the revised inspection process</w:t>
      </w:r>
      <w:r w:rsidRPr="00A9092B">
        <w:rPr>
          <w:szCs w:val="24"/>
        </w:rPr>
        <w:t>.</w:t>
      </w:r>
      <w:r>
        <w:rPr>
          <w:szCs w:val="24"/>
        </w:rPr>
        <w:t xml:space="preserve"> As such, the indicator </w:t>
      </w:r>
      <w:proofErr w:type="gramStart"/>
      <w:r>
        <w:rPr>
          <w:szCs w:val="24"/>
        </w:rPr>
        <w:t>was considered</w:t>
      </w:r>
      <w:proofErr w:type="gramEnd"/>
      <w:r>
        <w:rPr>
          <w:szCs w:val="24"/>
        </w:rPr>
        <w:t xml:space="preserve"> </w:t>
      </w:r>
      <w:r w:rsidRPr="007D0C92">
        <w:rPr>
          <w:szCs w:val="24"/>
        </w:rPr>
        <w:t>representative of performance.</w:t>
      </w:r>
    </w:p>
    <w:p w14:paraId="56EF7B1D" w14:textId="627BEE73" w:rsidR="00C872A1" w:rsidRDefault="009C7EC4" w:rsidP="00C91FB5">
      <w:pPr>
        <w:spacing w:after="120"/>
        <w:rPr>
          <w:szCs w:val="24"/>
        </w:rPr>
      </w:pPr>
      <w:r w:rsidRPr="007D0C92">
        <w:rPr>
          <w:b/>
          <w:szCs w:val="24"/>
        </w:rPr>
        <w:t>PI 3.2</w:t>
      </w:r>
      <w:r w:rsidRPr="007D0C92">
        <w:rPr>
          <w:szCs w:val="24"/>
        </w:rPr>
        <w:t xml:space="preserve"> measures </w:t>
      </w:r>
      <w:r w:rsidR="00432DCF">
        <w:rPr>
          <w:szCs w:val="24"/>
        </w:rPr>
        <w:t xml:space="preserve">the ratio </w:t>
      </w:r>
      <w:r w:rsidRPr="007D0C92">
        <w:rPr>
          <w:szCs w:val="24"/>
        </w:rPr>
        <w:t>o</w:t>
      </w:r>
      <w:r w:rsidR="00045298">
        <w:rPr>
          <w:szCs w:val="24"/>
        </w:rPr>
        <w:t>f</w:t>
      </w:r>
      <w:r w:rsidRPr="007D0C92">
        <w:rPr>
          <w:szCs w:val="24"/>
        </w:rPr>
        <w:t xml:space="preserve"> site visits to inspections. This measure</w:t>
      </w:r>
      <w:r w:rsidR="00432DCF">
        <w:rPr>
          <w:szCs w:val="24"/>
        </w:rPr>
        <w:t xml:space="preserve"> indicates</w:t>
      </w:r>
      <w:r w:rsidRPr="007D0C92">
        <w:rPr>
          <w:szCs w:val="24"/>
        </w:rPr>
        <w:t xml:space="preserve"> the level of involvement</w:t>
      </w:r>
      <w:r>
        <w:rPr>
          <w:szCs w:val="24"/>
        </w:rPr>
        <w:t xml:space="preserve">, oversight and presence </w:t>
      </w:r>
      <w:r w:rsidR="00432DCF">
        <w:rPr>
          <w:szCs w:val="24"/>
        </w:rPr>
        <w:t xml:space="preserve">of </w:t>
      </w:r>
      <w:r>
        <w:rPr>
          <w:szCs w:val="24"/>
        </w:rPr>
        <w:t>ARPANSA outside of scheduled inspections.</w:t>
      </w:r>
    </w:p>
    <w:p w14:paraId="5079E0F1" w14:textId="7B2F6FCD" w:rsidR="009C7EC4" w:rsidRPr="00A9092B" w:rsidRDefault="009C7EC4" w:rsidP="00C91FB5">
      <w:pPr>
        <w:spacing w:after="120"/>
        <w:rPr>
          <w:szCs w:val="24"/>
        </w:rPr>
      </w:pPr>
      <w:r w:rsidRPr="00A9092B">
        <w:rPr>
          <w:szCs w:val="24"/>
        </w:rPr>
        <w:t xml:space="preserve">The 2015/16 </w:t>
      </w:r>
      <w:r w:rsidRPr="00697486">
        <w:rPr>
          <w:szCs w:val="24"/>
        </w:rPr>
        <w:t xml:space="preserve">data shows that the target of five site visits to </w:t>
      </w:r>
      <w:r w:rsidR="00C872A1" w:rsidRPr="00697486">
        <w:rPr>
          <w:szCs w:val="24"/>
        </w:rPr>
        <w:t>each</w:t>
      </w:r>
      <w:r w:rsidRPr="00697486">
        <w:rPr>
          <w:szCs w:val="24"/>
        </w:rPr>
        <w:t xml:space="preserve"> inspection</w:t>
      </w:r>
      <w:r w:rsidR="00432DCF" w:rsidRPr="00697486">
        <w:rPr>
          <w:szCs w:val="24"/>
        </w:rPr>
        <w:t xml:space="preserve"> was not met for many facilities</w:t>
      </w:r>
      <w:r w:rsidR="00133CE8">
        <w:rPr>
          <w:szCs w:val="24"/>
        </w:rPr>
        <w:t>.</w:t>
      </w:r>
      <w:r w:rsidR="00432DCF" w:rsidRPr="00697486">
        <w:rPr>
          <w:szCs w:val="24"/>
        </w:rPr>
        <w:t xml:space="preserve"> </w:t>
      </w:r>
      <w:r w:rsidRPr="00697486">
        <w:rPr>
          <w:szCs w:val="24"/>
        </w:rPr>
        <w:t xml:space="preserve">The </w:t>
      </w:r>
      <w:r w:rsidR="00697486" w:rsidRPr="00697486">
        <w:rPr>
          <w:szCs w:val="24"/>
        </w:rPr>
        <w:t xml:space="preserve">result </w:t>
      </w:r>
      <w:proofErr w:type="gramStart"/>
      <w:r w:rsidR="00697486" w:rsidRPr="00697486">
        <w:rPr>
          <w:szCs w:val="24"/>
        </w:rPr>
        <w:t>is</w:t>
      </w:r>
      <w:r w:rsidRPr="00697486">
        <w:rPr>
          <w:szCs w:val="24"/>
        </w:rPr>
        <w:t xml:space="preserve"> also positively skewed</w:t>
      </w:r>
      <w:proofErr w:type="gramEnd"/>
      <w:r w:rsidRPr="00697486">
        <w:rPr>
          <w:szCs w:val="24"/>
        </w:rPr>
        <w:t xml:space="preserve"> because the high number of site visits to the OPAL </w:t>
      </w:r>
      <w:r w:rsidR="005432D2" w:rsidRPr="00697486">
        <w:rPr>
          <w:szCs w:val="24"/>
        </w:rPr>
        <w:t xml:space="preserve">research </w:t>
      </w:r>
      <w:r w:rsidRPr="00697486">
        <w:rPr>
          <w:szCs w:val="24"/>
        </w:rPr>
        <w:t>reactor.</w:t>
      </w:r>
    </w:p>
    <w:p w14:paraId="63123C12" w14:textId="33B5E384" w:rsidR="00833EEF" w:rsidRDefault="009C7EC4" w:rsidP="00C91FB5">
      <w:pPr>
        <w:spacing w:after="120"/>
        <w:rPr>
          <w:szCs w:val="24"/>
        </w:rPr>
      </w:pPr>
      <w:r w:rsidRPr="00A9092B">
        <w:rPr>
          <w:szCs w:val="24"/>
        </w:rPr>
        <w:lastRenderedPageBreak/>
        <w:t xml:space="preserve">There </w:t>
      </w:r>
      <w:proofErr w:type="gramStart"/>
      <w:r w:rsidRPr="00A9092B">
        <w:rPr>
          <w:szCs w:val="24"/>
        </w:rPr>
        <w:t>was mixe</w:t>
      </w:r>
      <w:r w:rsidR="00C57201">
        <w:rPr>
          <w:szCs w:val="24"/>
        </w:rPr>
        <w:t>d</w:t>
      </w:r>
      <w:proofErr w:type="gramEnd"/>
      <w:r w:rsidRPr="00A9092B">
        <w:rPr>
          <w:szCs w:val="24"/>
        </w:rPr>
        <w:t xml:space="preserve"> </w:t>
      </w:r>
      <w:r w:rsidR="00C57201">
        <w:rPr>
          <w:szCs w:val="24"/>
        </w:rPr>
        <w:t xml:space="preserve">opinion </w:t>
      </w:r>
      <w:r w:rsidR="0005724B" w:rsidRPr="00A9092B">
        <w:rPr>
          <w:szCs w:val="24"/>
        </w:rPr>
        <w:t xml:space="preserve">from </w:t>
      </w:r>
      <w:r w:rsidR="00151F6C">
        <w:rPr>
          <w:szCs w:val="24"/>
        </w:rPr>
        <w:t>licence holder representatives</w:t>
      </w:r>
      <w:r w:rsidR="0005724B" w:rsidRPr="00A9092B">
        <w:rPr>
          <w:szCs w:val="24"/>
        </w:rPr>
        <w:t xml:space="preserve"> </w:t>
      </w:r>
      <w:r w:rsidRPr="00A9092B">
        <w:rPr>
          <w:szCs w:val="24"/>
        </w:rPr>
        <w:t>regarding site visits</w:t>
      </w:r>
      <w:r>
        <w:rPr>
          <w:szCs w:val="24"/>
        </w:rPr>
        <w:t xml:space="preserve">. </w:t>
      </w:r>
      <w:r w:rsidRPr="00A9092B">
        <w:rPr>
          <w:szCs w:val="24"/>
        </w:rPr>
        <w:t>Some consider</w:t>
      </w:r>
      <w:r w:rsidR="00C57201">
        <w:rPr>
          <w:szCs w:val="24"/>
        </w:rPr>
        <w:t>ed</w:t>
      </w:r>
      <w:r w:rsidRPr="00A9092B">
        <w:rPr>
          <w:szCs w:val="24"/>
        </w:rPr>
        <w:t xml:space="preserve"> that the ratio of visits to inspections could be more risk informed and five visits </w:t>
      </w:r>
      <w:proofErr w:type="gramStart"/>
      <w:r w:rsidRPr="00A9092B">
        <w:rPr>
          <w:szCs w:val="24"/>
        </w:rPr>
        <w:t>was</w:t>
      </w:r>
      <w:proofErr w:type="gramEnd"/>
      <w:r w:rsidRPr="00A9092B">
        <w:rPr>
          <w:szCs w:val="24"/>
        </w:rPr>
        <w:t xml:space="preserve"> excessive in some cases.</w:t>
      </w:r>
      <w:r w:rsidR="00C57201">
        <w:rPr>
          <w:szCs w:val="24"/>
        </w:rPr>
        <w:t xml:space="preserve"> O</w:t>
      </w:r>
      <w:r w:rsidRPr="00A9092B">
        <w:rPr>
          <w:szCs w:val="24"/>
        </w:rPr>
        <w:t xml:space="preserve">ther </w:t>
      </w:r>
      <w:r w:rsidR="00151F6C">
        <w:rPr>
          <w:szCs w:val="24"/>
        </w:rPr>
        <w:t>licence holder representatives</w:t>
      </w:r>
      <w:r w:rsidRPr="00A9092B">
        <w:rPr>
          <w:szCs w:val="24"/>
        </w:rPr>
        <w:t xml:space="preserve"> welcomed the regular contact by ARPANSA. The assessment team noted that the requirement for site visits is</w:t>
      </w:r>
      <w:r w:rsidR="00BB54B7">
        <w:rPr>
          <w:szCs w:val="24"/>
        </w:rPr>
        <w:t>,</w:t>
      </w:r>
      <w:r w:rsidRPr="00A9092B">
        <w:rPr>
          <w:szCs w:val="24"/>
        </w:rPr>
        <w:t xml:space="preserve"> in practice</w:t>
      </w:r>
      <w:r w:rsidR="00BB54B7">
        <w:rPr>
          <w:szCs w:val="24"/>
        </w:rPr>
        <w:t>,</w:t>
      </w:r>
      <w:r w:rsidRPr="00A9092B">
        <w:rPr>
          <w:szCs w:val="24"/>
        </w:rPr>
        <w:t xml:space="preserve"> risk informed</w:t>
      </w:r>
      <w:r>
        <w:rPr>
          <w:szCs w:val="24"/>
        </w:rPr>
        <w:t>.</w:t>
      </w:r>
      <w:r w:rsidRPr="00A9092B">
        <w:rPr>
          <w:szCs w:val="24"/>
        </w:rPr>
        <w:t xml:space="preserve"> </w:t>
      </w:r>
      <w:r>
        <w:rPr>
          <w:szCs w:val="24"/>
        </w:rPr>
        <w:t xml:space="preserve">A </w:t>
      </w:r>
      <w:r w:rsidRPr="00A9092B">
        <w:rPr>
          <w:szCs w:val="24"/>
        </w:rPr>
        <w:t xml:space="preserve">higher risk </w:t>
      </w:r>
      <w:r>
        <w:rPr>
          <w:szCs w:val="24"/>
        </w:rPr>
        <w:t xml:space="preserve">site will have </w:t>
      </w:r>
      <w:r w:rsidRPr="00A9092B">
        <w:rPr>
          <w:szCs w:val="24"/>
        </w:rPr>
        <w:t xml:space="preserve">more </w:t>
      </w:r>
      <w:r w:rsidR="0067734F" w:rsidRPr="00A9092B">
        <w:rPr>
          <w:szCs w:val="24"/>
        </w:rPr>
        <w:t>inspection</w:t>
      </w:r>
      <w:r w:rsidR="0067734F">
        <w:rPr>
          <w:szCs w:val="24"/>
        </w:rPr>
        <w:t>s, which</w:t>
      </w:r>
      <w:r>
        <w:rPr>
          <w:szCs w:val="24"/>
        </w:rPr>
        <w:t xml:space="preserve"> will increase the </w:t>
      </w:r>
      <w:r w:rsidR="00833EEF">
        <w:rPr>
          <w:szCs w:val="24"/>
        </w:rPr>
        <w:t xml:space="preserve">required </w:t>
      </w:r>
      <w:r>
        <w:rPr>
          <w:szCs w:val="24"/>
        </w:rPr>
        <w:t xml:space="preserve">number of </w:t>
      </w:r>
      <w:r w:rsidRPr="00A9092B">
        <w:rPr>
          <w:szCs w:val="24"/>
        </w:rPr>
        <w:t>site visits.</w:t>
      </w:r>
    </w:p>
    <w:p w14:paraId="0DF90277" w14:textId="34DC67EB" w:rsidR="009C7EC4" w:rsidRPr="00A9092B" w:rsidRDefault="00833EEF" w:rsidP="00C91FB5">
      <w:pPr>
        <w:spacing w:after="120"/>
        <w:rPr>
          <w:szCs w:val="24"/>
        </w:rPr>
      </w:pPr>
      <w:r>
        <w:rPr>
          <w:szCs w:val="24"/>
        </w:rPr>
        <w:t>A</w:t>
      </w:r>
      <w:r w:rsidR="009C7EC4" w:rsidRPr="00A9092B">
        <w:rPr>
          <w:szCs w:val="24"/>
        </w:rPr>
        <w:t xml:space="preserve"> number of inspectors </w:t>
      </w:r>
      <w:r w:rsidR="00BB5919">
        <w:rPr>
          <w:szCs w:val="24"/>
        </w:rPr>
        <w:t xml:space="preserve">expressed the view </w:t>
      </w:r>
      <w:r w:rsidR="009C7EC4" w:rsidRPr="00A9092B">
        <w:rPr>
          <w:szCs w:val="24"/>
        </w:rPr>
        <w:t xml:space="preserve">that </w:t>
      </w:r>
      <w:r w:rsidR="006D7031">
        <w:rPr>
          <w:szCs w:val="24"/>
        </w:rPr>
        <w:t xml:space="preserve">the required ratio of inspections to </w:t>
      </w:r>
      <w:r w:rsidR="009C7EC4" w:rsidRPr="00A9092B">
        <w:rPr>
          <w:szCs w:val="24"/>
        </w:rPr>
        <w:t xml:space="preserve">site visits for some low level facilities was </w:t>
      </w:r>
      <w:r>
        <w:rPr>
          <w:szCs w:val="24"/>
        </w:rPr>
        <w:t>an in</w:t>
      </w:r>
      <w:r w:rsidR="009C7EC4" w:rsidRPr="00A9092B">
        <w:rPr>
          <w:szCs w:val="24"/>
        </w:rPr>
        <w:t xml:space="preserve">efficient use of their time. </w:t>
      </w:r>
      <w:r w:rsidR="00BB5919">
        <w:rPr>
          <w:szCs w:val="24"/>
        </w:rPr>
        <w:t>A</w:t>
      </w:r>
      <w:r w:rsidR="009C7EC4" w:rsidRPr="00A9092B">
        <w:rPr>
          <w:szCs w:val="24"/>
        </w:rPr>
        <w:t xml:space="preserve"> phone call </w:t>
      </w:r>
      <w:proofErr w:type="gramStart"/>
      <w:r w:rsidR="00BB5919">
        <w:rPr>
          <w:szCs w:val="24"/>
        </w:rPr>
        <w:t>was suggested</w:t>
      </w:r>
      <w:proofErr w:type="gramEnd"/>
      <w:r w:rsidR="00BB5919">
        <w:rPr>
          <w:szCs w:val="24"/>
        </w:rPr>
        <w:t xml:space="preserve"> as </w:t>
      </w:r>
      <w:r w:rsidR="009C7EC4" w:rsidRPr="00A9092B">
        <w:rPr>
          <w:szCs w:val="24"/>
        </w:rPr>
        <w:t xml:space="preserve">a suitable alternative </w:t>
      </w:r>
      <w:r w:rsidR="00BB5919">
        <w:rPr>
          <w:szCs w:val="24"/>
        </w:rPr>
        <w:t xml:space="preserve">for </w:t>
      </w:r>
      <w:r w:rsidR="009C7EC4" w:rsidRPr="00A9092B">
        <w:rPr>
          <w:szCs w:val="24"/>
        </w:rPr>
        <w:t xml:space="preserve">communicating with low risk facilities. </w:t>
      </w:r>
    </w:p>
    <w:p w14:paraId="24E041CF" w14:textId="5D1D8A2B" w:rsidR="009C7EC4" w:rsidRDefault="009C7EC4" w:rsidP="00C91FB5">
      <w:pPr>
        <w:spacing w:after="120"/>
        <w:rPr>
          <w:szCs w:val="24"/>
        </w:rPr>
      </w:pPr>
      <w:r w:rsidRPr="00A9092B">
        <w:rPr>
          <w:szCs w:val="24"/>
        </w:rPr>
        <w:t xml:space="preserve">This PI does not currently apply to </w:t>
      </w:r>
      <w:r w:rsidR="00BB5919">
        <w:rPr>
          <w:szCs w:val="24"/>
        </w:rPr>
        <w:t>s</w:t>
      </w:r>
      <w:r w:rsidRPr="00A9092B">
        <w:rPr>
          <w:szCs w:val="24"/>
        </w:rPr>
        <w:t xml:space="preserve">ource </w:t>
      </w:r>
      <w:r w:rsidR="00BB5919">
        <w:rPr>
          <w:szCs w:val="24"/>
        </w:rPr>
        <w:t>l</w:t>
      </w:r>
      <w:r w:rsidRPr="00A9092B">
        <w:rPr>
          <w:szCs w:val="24"/>
        </w:rPr>
        <w:t>icences</w:t>
      </w:r>
      <w:r w:rsidR="00BB5919">
        <w:rPr>
          <w:szCs w:val="24"/>
        </w:rPr>
        <w:t>, however t</w:t>
      </w:r>
      <w:r w:rsidRPr="00A9092B">
        <w:rPr>
          <w:szCs w:val="24"/>
        </w:rPr>
        <w:t xml:space="preserve">he assessment team </w:t>
      </w:r>
      <w:r w:rsidR="00896DDD">
        <w:rPr>
          <w:szCs w:val="24"/>
        </w:rPr>
        <w:t xml:space="preserve">believe </w:t>
      </w:r>
      <w:r w:rsidRPr="00A9092B">
        <w:rPr>
          <w:szCs w:val="24"/>
        </w:rPr>
        <w:t xml:space="preserve">that </w:t>
      </w:r>
      <w:r w:rsidR="001B3F78">
        <w:rPr>
          <w:szCs w:val="24"/>
        </w:rPr>
        <w:t xml:space="preserve">the </w:t>
      </w:r>
      <w:r w:rsidRPr="00A9092B">
        <w:rPr>
          <w:szCs w:val="24"/>
        </w:rPr>
        <w:t>general benefits offered by the graded use of site visits</w:t>
      </w:r>
      <w:r>
        <w:rPr>
          <w:szCs w:val="24"/>
        </w:rPr>
        <w:t>, or a suitable alternative,</w:t>
      </w:r>
      <w:r w:rsidRPr="00A9092B">
        <w:rPr>
          <w:szCs w:val="24"/>
        </w:rPr>
        <w:t xml:space="preserve"> would complement communication and oversight</w:t>
      </w:r>
      <w:r w:rsidR="00896DDD">
        <w:rPr>
          <w:szCs w:val="24"/>
        </w:rPr>
        <w:t xml:space="preserve"> for source licence holders</w:t>
      </w:r>
      <w:r w:rsidRPr="00A9092B">
        <w:rPr>
          <w:szCs w:val="24"/>
        </w:rPr>
        <w:t>.</w:t>
      </w:r>
    </w:p>
    <w:p w14:paraId="4A496CFA" w14:textId="18B4CD7A" w:rsidR="009C7EC4" w:rsidRPr="00CC0F36" w:rsidRDefault="009C7EC4" w:rsidP="00C91FB5">
      <w:pPr>
        <w:spacing w:after="120"/>
        <w:rPr>
          <w:szCs w:val="24"/>
        </w:rPr>
      </w:pPr>
      <w:r>
        <w:rPr>
          <w:b/>
          <w:szCs w:val="24"/>
        </w:rPr>
        <w:t xml:space="preserve">Other Evidence </w:t>
      </w:r>
      <w:r w:rsidRPr="00CC0F36">
        <w:rPr>
          <w:szCs w:val="24"/>
        </w:rPr>
        <w:t>supporting KPI</w:t>
      </w:r>
      <w:r w:rsidR="00F7301D">
        <w:rPr>
          <w:szCs w:val="24"/>
        </w:rPr>
        <w:t xml:space="preserve"> </w:t>
      </w:r>
      <w:r w:rsidRPr="00CC0F36">
        <w:rPr>
          <w:szCs w:val="24"/>
        </w:rPr>
        <w:t>3</w:t>
      </w:r>
      <w:r>
        <w:rPr>
          <w:szCs w:val="24"/>
        </w:rPr>
        <w:t xml:space="preserve"> indicates that the Act and supporting policies and procedures have been effective to emphasis the responsibility of licen</w:t>
      </w:r>
      <w:r w:rsidR="0018069B">
        <w:rPr>
          <w:szCs w:val="24"/>
        </w:rPr>
        <w:t>ce holders</w:t>
      </w:r>
      <w:r>
        <w:rPr>
          <w:szCs w:val="24"/>
        </w:rPr>
        <w:t xml:space="preserve"> to </w:t>
      </w:r>
      <w:r w:rsidR="00BE3F4C">
        <w:rPr>
          <w:szCs w:val="24"/>
        </w:rPr>
        <w:t xml:space="preserve">rectify </w:t>
      </w:r>
      <w:r>
        <w:rPr>
          <w:szCs w:val="24"/>
        </w:rPr>
        <w:t xml:space="preserve">their own problems without the need for regulatory intervention. ARPANSA’s approach to </w:t>
      </w:r>
      <w:hyperlink r:id="rId21" w:history="1">
        <w:r w:rsidRPr="00C82B50">
          <w:rPr>
            <w:rStyle w:val="Hyperlink"/>
            <w:szCs w:val="24"/>
          </w:rPr>
          <w:t>holistic safety</w:t>
        </w:r>
      </w:hyperlink>
      <w:r>
        <w:rPr>
          <w:szCs w:val="24"/>
        </w:rPr>
        <w:t xml:space="preserve"> emphasises the importance of safety culture, human performan</w:t>
      </w:r>
      <w:r w:rsidR="00133CE8">
        <w:rPr>
          <w:szCs w:val="24"/>
        </w:rPr>
        <w:t>ce and performance improvement.</w:t>
      </w:r>
      <w:r>
        <w:rPr>
          <w:szCs w:val="24"/>
        </w:rPr>
        <w:t xml:space="preserve"> </w:t>
      </w:r>
      <w:r w:rsidR="00C03BDA">
        <w:rPr>
          <w:szCs w:val="24"/>
        </w:rPr>
        <w:t>Applying t</w:t>
      </w:r>
      <w:r w:rsidR="0018069B">
        <w:rPr>
          <w:szCs w:val="24"/>
        </w:rPr>
        <w:t>his approach may result in</w:t>
      </w:r>
      <w:r>
        <w:rPr>
          <w:szCs w:val="24"/>
        </w:rPr>
        <w:t xml:space="preserve"> improvements made by </w:t>
      </w:r>
      <w:r w:rsidR="001F7A0E">
        <w:rPr>
          <w:szCs w:val="24"/>
        </w:rPr>
        <w:t>licence holder</w:t>
      </w:r>
      <w:r>
        <w:rPr>
          <w:szCs w:val="24"/>
        </w:rPr>
        <w:t>s hav</w:t>
      </w:r>
      <w:r w:rsidR="0018069B">
        <w:rPr>
          <w:szCs w:val="24"/>
        </w:rPr>
        <w:t>ing</w:t>
      </w:r>
      <w:r>
        <w:rPr>
          <w:szCs w:val="24"/>
        </w:rPr>
        <w:t xml:space="preserve"> a wider effect than may otherwise be the case.</w:t>
      </w:r>
      <w:r w:rsidRPr="00CC0F36">
        <w:rPr>
          <w:szCs w:val="24"/>
        </w:rPr>
        <w:t xml:space="preserve"> </w:t>
      </w:r>
      <w:r>
        <w:rPr>
          <w:szCs w:val="24"/>
        </w:rPr>
        <w:t xml:space="preserve">ARPANSA has </w:t>
      </w:r>
      <w:r w:rsidR="00C03BDA">
        <w:rPr>
          <w:szCs w:val="24"/>
        </w:rPr>
        <w:t xml:space="preserve">published </w:t>
      </w:r>
      <w:r>
        <w:rPr>
          <w:szCs w:val="24"/>
        </w:rPr>
        <w:t xml:space="preserve">regulatory guidance </w:t>
      </w:r>
      <w:r w:rsidR="00C03BDA">
        <w:rPr>
          <w:szCs w:val="24"/>
        </w:rPr>
        <w:t xml:space="preserve">about </w:t>
      </w:r>
      <w:r>
        <w:rPr>
          <w:szCs w:val="24"/>
        </w:rPr>
        <w:t xml:space="preserve">its </w:t>
      </w:r>
      <w:hyperlink r:id="rId22" w:history="1">
        <w:r w:rsidRPr="00C82B50">
          <w:rPr>
            <w:rStyle w:val="Hyperlink"/>
            <w:szCs w:val="24"/>
          </w:rPr>
          <w:t>inspection process</w:t>
        </w:r>
      </w:hyperlink>
      <w:r>
        <w:rPr>
          <w:szCs w:val="24"/>
        </w:rPr>
        <w:t xml:space="preserve"> on </w:t>
      </w:r>
      <w:r w:rsidR="00C03BDA">
        <w:rPr>
          <w:szCs w:val="24"/>
        </w:rPr>
        <w:t xml:space="preserve">the </w:t>
      </w:r>
      <w:r>
        <w:rPr>
          <w:szCs w:val="24"/>
        </w:rPr>
        <w:t xml:space="preserve">website </w:t>
      </w:r>
      <w:r w:rsidR="00C03BDA">
        <w:rPr>
          <w:szCs w:val="24"/>
        </w:rPr>
        <w:t xml:space="preserve">to inform </w:t>
      </w:r>
      <w:r w:rsidR="001F7A0E">
        <w:rPr>
          <w:szCs w:val="24"/>
        </w:rPr>
        <w:t>licence holder</w:t>
      </w:r>
      <w:r>
        <w:rPr>
          <w:szCs w:val="24"/>
        </w:rPr>
        <w:t xml:space="preserve">s </w:t>
      </w:r>
      <w:r w:rsidR="00C03BDA">
        <w:rPr>
          <w:szCs w:val="24"/>
        </w:rPr>
        <w:t xml:space="preserve">of their </w:t>
      </w:r>
      <w:r>
        <w:rPr>
          <w:szCs w:val="24"/>
        </w:rPr>
        <w:t xml:space="preserve">regulatory responsibilities and empower </w:t>
      </w:r>
      <w:r w:rsidR="00C03BDA">
        <w:rPr>
          <w:szCs w:val="24"/>
        </w:rPr>
        <w:t xml:space="preserve">them </w:t>
      </w:r>
      <w:r>
        <w:rPr>
          <w:szCs w:val="24"/>
        </w:rPr>
        <w:t xml:space="preserve">to identify and </w:t>
      </w:r>
      <w:r w:rsidR="00097778">
        <w:rPr>
          <w:szCs w:val="24"/>
        </w:rPr>
        <w:t xml:space="preserve">rectify </w:t>
      </w:r>
      <w:r>
        <w:rPr>
          <w:szCs w:val="24"/>
        </w:rPr>
        <w:t>their own pro</w:t>
      </w:r>
      <w:r w:rsidR="00133CE8">
        <w:rPr>
          <w:szCs w:val="24"/>
        </w:rPr>
        <w:t>blems.</w:t>
      </w:r>
    </w:p>
    <w:p w14:paraId="7DE6974C" w14:textId="0AA195D2" w:rsidR="009C7EC4" w:rsidRPr="00A9092B" w:rsidRDefault="00E85C3E" w:rsidP="00C91FB5">
      <w:pPr>
        <w:pStyle w:val="Heading3"/>
        <w:rPr>
          <w:lang w:eastAsia="en-AU"/>
        </w:rPr>
      </w:pPr>
      <w:bookmarkStart w:id="28" w:name="_Toc470173154"/>
      <w:r>
        <w:rPr>
          <w:lang w:eastAsia="en-AU"/>
        </w:rPr>
        <w:t>Self-</w:t>
      </w:r>
      <w:r w:rsidR="009C7EC4" w:rsidRPr="00A9092B">
        <w:rPr>
          <w:lang w:eastAsia="en-AU"/>
        </w:rPr>
        <w:t>assessed rating of performance against KPI 3 – 2015-16</w:t>
      </w:r>
      <w:bookmarkEnd w:id="28"/>
    </w:p>
    <w:tbl>
      <w:tblPr>
        <w:tblStyle w:val="TableGrid"/>
        <w:tblW w:w="9781" w:type="dxa"/>
        <w:tblInd w:w="108" w:type="dxa"/>
        <w:tblLook w:val="04A0" w:firstRow="1" w:lastRow="0" w:firstColumn="1" w:lastColumn="0" w:noHBand="0" w:noVBand="1"/>
        <w:tblDescription w:val="Chapter 2.3.4 table contains a list of performance ratings against Key Performance Indicator (KPI) 3 of the 2015-16 Regulator Performance Framework. "/>
      </w:tblPr>
      <w:tblGrid>
        <w:gridCol w:w="1560"/>
        <w:gridCol w:w="2976"/>
        <w:gridCol w:w="1843"/>
        <w:gridCol w:w="1701"/>
        <w:gridCol w:w="1701"/>
      </w:tblGrid>
      <w:tr w:rsidR="00C872A1" w:rsidRPr="00E85C3E" w14:paraId="0BDBBDD5" w14:textId="77777777" w:rsidTr="001D1106">
        <w:trPr>
          <w:trHeight w:val="1783"/>
          <w:tblHeader/>
        </w:trPr>
        <w:tc>
          <w:tcPr>
            <w:tcW w:w="1560" w:type="dxa"/>
          </w:tcPr>
          <w:p w14:paraId="12472EB5"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Excellent</w:t>
            </w:r>
          </w:p>
          <w:p w14:paraId="4FD77F0A" w14:textId="4248D83D" w:rsidR="009C7EC4" w:rsidRPr="00E85C3E" w:rsidRDefault="00E85C3E" w:rsidP="00C91FB5">
            <w:pPr>
              <w:autoSpaceDE w:val="0"/>
              <w:autoSpaceDN w:val="0"/>
              <w:adjustRightInd w:val="0"/>
              <w:spacing w:before="120" w:after="120"/>
              <w:jc w:val="center"/>
              <w:rPr>
                <w:rFonts w:cs="Times New Roman"/>
                <w:bCs/>
                <w:sz w:val="20"/>
                <w:szCs w:val="20"/>
                <w:lang w:eastAsia="en-AU"/>
              </w:rPr>
            </w:pPr>
            <w:r w:rsidRPr="00E85C3E">
              <w:rPr>
                <w:rFonts w:cs="Times New Roman"/>
                <w:bCs/>
                <w:sz w:val="20"/>
                <w:szCs w:val="20"/>
                <w:lang w:eastAsia="en-AU"/>
              </w:rPr>
              <w:t xml:space="preserve">Strong </w:t>
            </w:r>
            <w:r w:rsidR="009C7EC4" w:rsidRPr="00E85C3E">
              <w:rPr>
                <w:rFonts w:cs="Times New Roman"/>
                <w:bCs/>
                <w:sz w:val="20"/>
                <w:szCs w:val="20"/>
                <w:lang w:eastAsia="en-AU"/>
              </w:rPr>
              <w:t>performance against all the measures under the KPI</w:t>
            </w:r>
          </w:p>
        </w:tc>
        <w:tc>
          <w:tcPr>
            <w:tcW w:w="2976" w:type="dxa"/>
          </w:tcPr>
          <w:p w14:paraId="19317FB2"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Very Good</w:t>
            </w:r>
          </w:p>
          <w:p w14:paraId="1AFC9A12" w14:textId="32A0D611" w:rsidR="009C7EC4" w:rsidRPr="00E85C3E" w:rsidRDefault="00E85C3E" w:rsidP="00C91FB5">
            <w:pPr>
              <w:autoSpaceDE w:val="0"/>
              <w:autoSpaceDN w:val="0"/>
              <w:adjustRightInd w:val="0"/>
              <w:spacing w:before="120" w:after="120"/>
              <w:jc w:val="center"/>
              <w:rPr>
                <w:rFonts w:cs="Times New Roman"/>
                <w:bCs/>
                <w:sz w:val="20"/>
                <w:szCs w:val="20"/>
                <w:lang w:eastAsia="en-AU"/>
              </w:rPr>
            </w:pPr>
            <w:r w:rsidRPr="00E85C3E">
              <w:rPr>
                <w:rFonts w:cs="Times New Roman"/>
                <w:bCs/>
                <w:sz w:val="20"/>
                <w:szCs w:val="20"/>
                <w:lang w:eastAsia="en-AU"/>
              </w:rPr>
              <w:t xml:space="preserve">Strong </w:t>
            </w:r>
            <w:r w:rsidR="009C7EC4" w:rsidRPr="00E85C3E">
              <w:rPr>
                <w:rFonts w:cs="Times New Roman"/>
                <w:bCs/>
                <w:sz w:val="20"/>
                <w:szCs w:val="20"/>
                <w:lang w:eastAsia="en-AU"/>
              </w:rPr>
              <w:t>performance against majority of the measures under the KPI and no evidence of negative/poor performance against any measure</w:t>
            </w:r>
          </w:p>
        </w:tc>
        <w:tc>
          <w:tcPr>
            <w:tcW w:w="1843" w:type="dxa"/>
            <w:shd w:val="clear" w:color="auto" w:fill="EAF1DD" w:themeFill="accent3" w:themeFillTint="33"/>
          </w:tcPr>
          <w:p w14:paraId="67AF662D"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Good</w:t>
            </w:r>
          </w:p>
          <w:p w14:paraId="4EEFAAAF" w14:textId="5F7191BF" w:rsidR="009C7EC4" w:rsidRPr="00E85C3E" w:rsidRDefault="00E85C3E" w:rsidP="00C91FB5">
            <w:pPr>
              <w:autoSpaceDE w:val="0"/>
              <w:autoSpaceDN w:val="0"/>
              <w:adjustRightInd w:val="0"/>
              <w:spacing w:before="120" w:after="120"/>
              <w:jc w:val="center"/>
              <w:rPr>
                <w:rFonts w:cs="Times New Roman"/>
                <w:b/>
                <w:bCs/>
                <w:sz w:val="20"/>
                <w:szCs w:val="20"/>
                <w:lang w:eastAsia="en-AU"/>
              </w:rPr>
            </w:pPr>
            <w:r w:rsidRPr="00E85C3E">
              <w:rPr>
                <w:rFonts w:cs="Times New Roman"/>
                <w:bCs/>
                <w:sz w:val="20"/>
                <w:szCs w:val="20"/>
                <w:lang w:eastAsia="en-AU"/>
              </w:rPr>
              <w:t xml:space="preserve">Average </w:t>
            </w:r>
            <w:r w:rsidR="009C7EC4" w:rsidRPr="00E85C3E">
              <w:rPr>
                <w:rFonts w:cs="Times New Roman"/>
                <w:bCs/>
                <w:sz w:val="20"/>
                <w:szCs w:val="20"/>
                <w:lang w:eastAsia="en-AU"/>
              </w:rPr>
              <w:t>performance against the measures under the KPI</w:t>
            </w:r>
          </w:p>
        </w:tc>
        <w:tc>
          <w:tcPr>
            <w:tcW w:w="1701" w:type="dxa"/>
          </w:tcPr>
          <w:p w14:paraId="5B73C959"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Fair</w:t>
            </w:r>
          </w:p>
          <w:p w14:paraId="04004A01" w14:textId="77777777" w:rsidR="009C7EC4" w:rsidRPr="00E85C3E" w:rsidRDefault="009C7EC4" w:rsidP="00C91FB5">
            <w:pPr>
              <w:autoSpaceDE w:val="0"/>
              <w:autoSpaceDN w:val="0"/>
              <w:adjustRightInd w:val="0"/>
              <w:spacing w:before="120" w:after="120"/>
              <w:jc w:val="center"/>
              <w:rPr>
                <w:rFonts w:cs="Times New Roman"/>
                <w:bCs/>
                <w:sz w:val="20"/>
                <w:szCs w:val="20"/>
                <w:lang w:eastAsia="en-AU"/>
              </w:rPr>
            </w:pPr>
            <w:r w:rsidRPr="00E85C3E">
              <w:rPr>
                <w:rFonts w:cs="Times New Roman"/>
                <w:bCs/>
                <w:sz w:val="20"/>
                <w:szCs w:val="20"/>
                <w:lang w:eastAsia="en-AU"/>
              </w:rPr>
              <w:t>Poor performance against some measures under the KPI</w:t>
            </w:r>
          </w:p>
        </w:tc>
        <w:tc>
          <w:tcPr>
            <w:tcW w:w="1701" w:type="dxa"/>
          </w:tcPr>
          <w:p w14:paraId="1A23C6B5"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Poor</w:t>
            </w:r>
          </w:p>
          <w:p w14:paraId="698AC606" w14:textId="77777777" w:rsidR="009C7EC4" w:rsidRPr="00E85C3E" w:rsidRDefault="009C7EC4" w:rsidP="00C91FB5">
            <w:pPr>
              <w:autoSpaceDE w:val="0"/>
              <w:autoSpaceDN w:val="0"/>
              <w:adjustRightInd w:val="0"/>
              <w:spacing w:before="120" w:after="120"/>
              <w:jc w:val="center"/>
              <w:rPr>
                <w:rFonts w:cs="Times New Roman"/>
                <w:b/>
                <w:bCs/>
                <w:sz w:val="20"/>
                <w:szCs w:val="20"/>
                <w:lang w:eastAsia="en-AU"/>
              </w:rPr>
            </w:pPr>
            <w:r w:rsidRPr="00E85C3E">
              <w:rPr>
                <w:rFonts w:cs="Times New Roman"/>
                <w:bCs/>
                <w:sz w:val="20"/>
                <w:szCs w:val="20"/>
                <w:lang w:eastAsia="en-AU"/>
              </w:rPr>
              <w:t>Poor performance against most of the measures under the KPI</w:t>
            </w:r>
          </w:p>
        </w:tc>
      </w:tr>
    </w:tbl>
    <w:p w14:paraId="278E26BB" w14:textId="584A3C21" w:rsidR="009C7EC4" w:rsidRPr="00A9092B" w:rsidRDefault="009C7EC4" w:rsidP="00C91FB5">
      <w:pPr>
        <w:pStyle w:val="Heading3"/>
        <w:spacing w:before="200"/>
        <w:rPr>
          <w:lang w:eastAsia="en-AU"/>
        </w:rPr>
      </w:pPr>
      <w:bookmarkStart w:id="29" w:name="_Toc470173155"/>
      <w:r w:rsidRPr="00A9092B">
        <w:rPr>
          <w:lang w:eastAsia="en-AU"/>
        </w:rPr>
        <w:t>Actions for improving performance against KPI 3</w:t>
      </w:r>
      <w:bookmarkEnd w:id="29"/>
    </w:p>
    <w:p w14:paraId="1370A47C" w14:textId="77777777" w:rsidR="009C7EC4" w:rsidRPr="00A9092B" w:rsidRDefault="009C7EC4" w:rsidP="00C91FB5">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w:t>
      </w:r>
      <w:r w:rsidRPr="00A9092B">
        <w:rPr>
          <w:rFonts w:cs="Arial"/>
          <w:szCs w:val="24"/>
        </w:rPr>
        <w:t xml:space="preserve"> PI </w:t>
      </w:r>
      <w:r>
        <w:rPr>
          <w:rFonts w:cs="Arial"/>
          <w:szCs w:val="24"/>
        </w:rPr>
        <w:t>3</w:t>
      </w:r>
      <w:r w:rsidRPr="00A9092B">
        <w:rPr>
          <w:rFonts w:cs="Arial"/>
          <w:szCs w:val="24"/>
        </w:rPr>
        <w:t>.1:</w:t>
      </w:r>
    </w:p>
    <w:p w14:paraId="6362E6A3" w14:textId="6C0C5A3D" w:rsidR="009C7EC4" w:rsidRPr="00D17C73" w:rsidRDefault="009C7EC4" w:rsidP="00C91FB5">
      <w:pPr>
        <w:pStyle w:val="ListParagraph"/>
        <w:numPr>
          <w:ilvl w:val="0"/>
          <w:numId w:val="22"/>
        </w:numPr>
        <w:spacing w:after="120"/>
        <w:ind w:left="714" w:hanging="357"/>
        <w:rPr>
          <w:szCs w:val="24"/>
        </w:rPr>
      </w:pPr>
      <w:r w:rsidRPr="006D005B">
        <w:rPr>
          <w:szCs w:val="24"/>
        </w:rPr>
        <w:t xml:space="preserve">This PI could be refined to </w:t>
      </w:r>
      <w:r>
        <w:rPr>
          <w:szCs w:val="24"/>
        </w:rPr>
        <w:t>reflect</w:t>
      </w:r>
      <w:r w:rsidRPr="006D005B">
        <w:rPr>
          <w:szCs w:val="24"/>
        </w:rPr>
        <w:t xml:space="preserve"> more directly the use of risk based approach</w:t>
      </w:r>
      <w:r>
        <w:rPr>
          <w:szCs w:val="24"/>
        </w:rPr>
        <w:t>es</w:t>
      </w:r>
      <w:r w:rsidR="00133CE8">
        <w:rPr>
          <w:szCs w:val="24"/>
        </w:rPr>
        <w:t xml:space="preserve"> at ARPANSA.</w:t>
      </w:r>
    </w:p>
    <w:p w14:paraId="6436E0E4" w14:textId="4D1B01A9" w:rsidR="009C7EC4" w:rsidRPr="006D005B" w:rsidRDefault="009C7EC4" w:rsidP="00C91FB5">
      <w:pPr>
        <w:pStyle w:val="ListParagraph"/>
        <w:numPr>
          <w:ilvl w:val="0"/>
          <w:numId w:val="22"/>
        </w:numPr>
        <w:spacing w:after="120"/>
        <w:ind w:left="714" w:hanging="357"/>
        <w:rPr>
          <w:szCs w:val="24"/>
        </w:rPr>
      </w:pPr>
      <w:r w:rsidRPr="006D005B">
        <w:rPr>
          <w:szCs w:val="24"/>
        </w:rPr>
        <w:t xml:space="preserve">Consistency </w:t>
      </w:r>
      <w:proofErr w:type="gramStart"/>
      <w:r w:rsidRPr="006D005B">
        <w:rPr>
          <w:szCs w:val="24"/>
        </w:rPr>
        <w:t>could be improved</w:t>
      </w:r>
      <w:proofErr w:type="gramEnd"/>
      <w:r w:rsidRPr="006D005B">
        <w:rPr>
          <w:szCs w:val="24"/>
        </w:rPr>
        <w:t xml:space="preserve"> by </w:t>
      </w:r>
      <w:r>
        <w:rPr>
          <w:szCs w:val="24"/>
        </w:rPr>
        <w:t>increasing</w:t>
      </w:r>
      <w:r w:rsidRPr="006D005B">
        <w:rPr>
          <w:szCs w:val="24"/>
        </w:rPr>
        <w:t xml:space="preserve"> guidance or training</w:t>
      </w:r>
      <w:r>
        <w:rPr>
          <w:szCs w:val="24"/>
        </w:rPr>
        <w:t xml:space="preserve"> material</w:t>
      </w:r>
      <w:r w:rsidRPr="006D005B">
        <w:rPr>
          <w:szCs w:val="24"/>
        </w:rPr>
        <w:t xml:space="preserve"> for </w:t>
      </w:r>
      <w:r w:rsidR="0057381B">
        <w:rPr>
          <w:szCs w:val="24"/>
        </w:rPr>
        <w:t>inspectors</w:t>
      </w:r>
      <w:r w:rsidRPr="006D005B">
        <w:rPr>
          <w:szCs w:val="24"/>
        </w:rPr>
        <w:t xml:space="preserve"> on the use of discretion when categorising non-compliance, performance deficiencies and good practices. </w:t>
      </w:r>
    </w:p>
    <w:p w14:paraId="285E7753" w14:textId="77777777" w:rsidR="009C7EC4" w:rsidRPr="00A9092B" w:rsidRDefault="009C7EC4" w:rsidP="00C91FB5">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 PI 3</w:t>
      </w:r>
      <w:r w:rsidRPr="00A9092B">
        <w:rPr>
          <w:rFonts w:cs="Arial"/>
          <w:szCs w:val="24"/>
        </w:rPr>
        <w:t>.</w:t>
      </w:r>
      <w:r>
        <w:rPr>
          <w:rFonts w:cs="Arial"/>
          <w:szCs w:val="24"/>
        </w:rPr>
        <w:t>2</w:t>
      </w:r>
      <w:r w:rsidRPr="00A9092B">
        <w:rPr>
          <w:rFonts w:cs="Arial"/>
          <w:szCs w:val="24"/>
        </w:rPr>
        <w:t>:</w:t>
      </w:r>
    </w:p>
    <w:p w14:paraId="4B148597" w14:textId="77777777" w:rsidR="009C7EC4" w:rsidRPr="00A9092B" w:rsidRDefault="009C7EC4" w:rsidP="00C91FB5">
      <w:pPr>
        <w:pStyle w:val="ListParagraph"/>
        <w:numPr>
          <w:ilvl w:val="0"/>
          <w:numId w:val="25"/>
        </w:numPr>
        <w:spacing w:after="120"/>
        <w:ind w:left="714" w:hanging="357"/>
        <w:rPr>
          <w:szCs w:val="24"/>
        </w:rPr>
      </w:pPr>
      <w:r>
        <w:rPr>
          <w:szCs w:val="24"/>
        </w:rPr>
        <w:t>T</w:t>
      </w:r>
      <w:r w:rsidRPr="00A9092B">
        <w:rPr>
          <w:szCs w:val="24"/>
        </w:rPr>
        <w:t>he scope of this PI</w:t>
      </w:r>
      <w:r>
        <w:rPr>
          <w:szCs w:val="24"/>
        </w:rPr>
        <w:t xml:space="preserve"> </w:t>
      </w:r>
      <w:proofErr w:type="gramStart"/>
      <w:r>
        <w:rPr>
          <w:szCs w:val="24"/>
        </w:rPr>
        <w:t>could be expanded</w:t>
      </w:r>
      <w:proofErr w:type="gramEnd"/>
      <w:r w:rsidRPr="00A9092B">
        <w:rPr>
          <w:szCs w:val="24"/>
        </w:rPr>
        <w:t xml:space="preserve"> to include sources</w:t>
      </w:r>
      <w:r>
        <w:rPr>
          <w:szCs w:val="24"/>
        </w:rPr>
        <w:t>.</w:t>
      </w:r>
    </w:p>
    <w:p w14:paraId="6D55D4E9" w14:textId="531BBCB4" w:rsidR="009C7EC4" w:rsidRPr="00C82B50" w:rsidRDefault="009C7EC4" w:rsidP="00C91FB5">
      <w:pPr>
        <w:pStyle w:val="ListParagraph"/>
        <w:numPr>
          <w:ilvl w:val="0"/>
          <w:numId w:val="25"/>
        </w:numPr>
        <w:spacing w:after="120"/>
        <w:ind w:left="714" w:hanging="357"/>
        <w:rPr>
          <w:szCs w:val="24"/>
        </w:rPr>
      </w:pPr>
      <w:r w:rsidRPr="00343908">
        <w:rPr>
          <w:szCs w:val="24"/>
        </w:rPr>
        <w:t xml:space="preserve">The PI </w:t>
      </w:r>
      <w:proofErr w:type="gramStart"/>
      <w:r w:rsidRPr="00343908">
        <w:rPr>
          <w:szCs w:val="24"/>
        </w:rPr>
        <w:t>could be developed</w:t>
      </w:r>
      <w:proofErr w:type="gramEnd"/>
      <w:r w:rsidRPr="00343908">
        <w:rPr>
          <w:szCs w:val="24"/>
        </w:rPr>
        <w:t xml:space="preserve"> so it more accurately reflects performance </w:t>
      </w:r>
      <w:r w:rsidR="000F031D">
        <w:rPr>
          <w:szCs w:val="24"/>
        </w:rPr>
        <w:t>of</w:t>
      </w:r>
      <w:r w:rsidRPr="00343908">
        <w:rPr>
          <w:szCs w:val="24"/>
        </w:rPr>
        <w:t xml:space="preserve"> all </w:t>
      </w:r>
      <w:r w:rsidR="001F7A0E">
        <w:rPr>
          <w:szCs w:val="24"/>
        </w:rPr>
        <w:t>licence holder</w:t>
      </w:r>
      <w:r w:rsidRPr="00343908">
        <w:rPr>
          <w:szCs w:val="24"/>
        </w:rPr>
        <w:t xml:space="preserve">s, and is not as </w:t>
      </w:r>
      <w:r w:rsidR="000F031D">
        <w:rPr>
          <w:szCs w:val="24"/>
        </w:rPr>
        <w:t xml:space="preserve">influenced </w:t>
      </w:r>
      <w:r w:rsidRPr="00343908">
        <w:rPr>
          <w:szCs w:val="24"/>
        </w:rPr>
        <w:t>by the large</w:t>
      </w:r>
      <w:r w:rsidR="000F031D">
        <w:rPr>
          <w:szCs w:val="24"/>
        </w:rPr>
        <w:t>r</w:t>
      </w:r>
      <w:r w:rsidRPr="00343908">
        <w:rPr>
          <w:szCs w:val="24"/>
        </w:rPr>
        <w:t xml:space="preserve"> </w:t>
      </w:r>
      <w:r w:rsidR="001F7A0E">
        <w:rPr>
          <w:szCs w:val="24"/>
        </w:rPr>
        <w:t>licence holder</w:t>
      </w:r>
      <w:r w:rsidRPr="00343908">
        <w:rPr>
          <w:szCs w:val="24"/>
        </w:rPr>
        <w:t>s. For example,</w:t>
      </w:r>
      <w:r>
        <w:rPr>
          <w:szCs w:val="24"/>
        </w:rPr>
        <w:t xml:space="preserve"> the </w:t>
      </w:r>
      <w:r w:rsidRPr="00C82B50">
        <w:rPr>
          <w:szCs w:val="24"/>
        </w:rPr>
        <w:t xml:space="preserve">indicator could be the proportion of licences for </w:t>
      </w:r>
      <w:r w:rsidR="00133CE8">
        <w:rPr>
          <w:szCs w:val="24"/>
        </w:rPr>
        <w:t xml:space="preserve">which the desired ratio </w:t>
      </w:r>
      <w:proofErr w:type="gramStart"/>
      <w:r w:rsidR="00133CE8">
        <w:rPr>
          <w:szCs w:val="24"/>
        </w:rPr>
        <w:t>is met</w:t>
      </w:r>
      <w:proofErr w:type="gramEnd"/>
      <w:r w:rsidR="00133CE8">
        <w:rPr>
          <w:szCs w:val="24"/>
        </w:rPr>
        <w:t>.</w:t>
      </w:r>
    </w:p>
    <w:p w14:paraId="10D5CD6F" w14:textId="30EB3FB4" w:rsidR="009C7EC4" w:rsidRPr="00C82B50" w:rsidRDefault="009C7EC4" w:rsidP="00C91FB5">
      <w:pPr>
        <w:pStyle w:val="ListParagraph"/>
        <w:numPr>
          <w:ilvl w:val="0"/>
          <w:numId w:val="25"/>
        </w:numPr>
        <w:spacing w:after="120"/>
        <w:ind w:left="714" w:hanging="357"/>
        <w:rPr>
          <w:szCs w:val="24"/>
        </w:rPr>
      </w:pPr>
      <w:r w:rsidRPr="00C82B50">
        <w:rPr>
          <w:szCs w:val="24"/>
        </w:rPr>
        <w:t xml:space="preserve">A site-visit to inspection ratio could be determined for each facility commensurate to its risk. </w:t>
      </w:r>
    </w:p>
    <w:p w14:paraId="051E91CE" w14:textId="76C67B5C" w:rsidR="00562BD1" w:rsidRPr="00562BD1" w:rsidRDefault="009C7EC4" w:rsidP="00C91FB5">
      <w:pPr>
        <w:pStyle w:val="ListParagraph"/>
        <w:numPr>
          <w:ilvl w:val="0"/>
          <w:numId w:val="25"/>
        </w:numPr>
        <w:spacing w:after="120"/>
        <w:ind w:left="714" w:hanging="357"/>
        <w:rPr>
          <w:szCs w:val="24"/>
        </w:rPr>
      </w:pPr>
      <w:r w:rsidRPr="00C82B50">
        <w:rPr>
          <w:szCs w:val="24"/>
        </w:rPr>
        <w:lastRenderedPageBreak/>
        <w:t>Evaluate the use of phone</w:t>
      </w:r>
      <w:r w:rsidRPr="00A9092B">
        <w:rPr>
          <w:szCs w:val="24"/>
        </w:rPr>
        <w:t xml:space="preserve"> calls or alternatives to replace some site visits</w:t>
      </w:r>
      <w:r>
        <w:rPr>
          <w:szCs w:val="24"/>
        </w:rPr>
        <w:t xml:space="preserve"> for low risk </w:t>
      </w:r>
      <w:r w:rsidR="001F7A0E">
        <w:rPr>
          <w:szCs w:val="24"/>
        </w:rPr>
        <w:t>licence holder</w:t>
      </w:r>
      <w:r>
        <w:rPr>
          <w:szCs w:val="24"/>
        </w:rPr>
        <w:t>s</w:t>
      </w:r>
      <w:r w:rsidRPr="00A9092B">
        <w:rPr>
          <w:szCs w:val="24"/>
        </w:rPr>
        <w:t>.</w:t>
      </w:r>
    </w:p>
    <w:p w14:paraId="5160AEE3" w14:textId="63716993" w:rsidR="009C7EC4" w:rsidRPr="00A9092B" w:rsidRDefault="009C7EC4" w:rsidP="00C91FB5">
      <w:pPr>
        <w:pStyle w:val="Heading2"/>
        <w:spacing w:before="480"/>
        <w:jc w:val="left"/>
        <w:rPr>
          <w:lang w:eastAsia="en-AU"/>
        </w:rPr>
      </w:pPr>
      <w:bookmarkStart w:id="30" w:name="_Toc470173156"/>
      <w:r w:rsidRPr="00A9092B">
        <w:rPr>
          <w:lang w:eastAsia="en-AU"/>
        </w:rPr>
        <w:t xml:space="preserve">KPI 4 </w:t>
      </w:r>
      <w:r w:rsidR="00133CE8">
        <w:rPr>
          <w:lang w:eastAsia="en-AU"/>
        </w:rPr>
        <w:t>–</w:t>
      </w:r>
      <w:r w:rsidRPr="00A9092B">
        <w:rPr>
          <w:lang w:eastAsia="en-AU"/>
        </w:rPr>
        <w:t xml:space="preserve"> Compliance and monitoring approaches are streamlined and co-ordinated</w:t>
      </w:r>
      <w:bookmarkEnd w:id="30"/>
    </w:p>
    <w:p w14:paraId="05221D4D" w14:textId="385B2EFF" w:rsidR="009C7EC4"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ARPANSA</w:t>
      </w:r>
      <w:r w:rsidR="003B03A9">
        <w:rPr>
          <w:rFonts w:cs="Times New Roman"/>
          <w:bCs/>
          <w:szCs w:val="24"/>
          <w:lang w:eastAsia="en-AU"/>
        </w:rPr>
        <w:t>’s</w:t>
      </w:r>
      <w:r>
        <w:rPr>
          <w:rFonts w:cs="Times New Roman"/>
          <w:bCs/>
          <w:szCs w:val="24"/>
          <w:lang w:eastAsia="en-AU"/>
        </w:rPr>
        <w:t xml:space="preserve"> compliance monitoring </w:t>
      </w:r>
      <w:r w:rsidR="003B03A9">
        <w:rPr>
          <w:rFonts w:cs="Times New Roman"/>
          <w:bCs/>
          <w:szCs w:val="24"/>
          <w:lang w:eastAsia="en-AU"/>
        </w:rPr>
        <w:t xml:space="preserve">program </w:t>
      </w:r>
      <w:r>
        <w:rPr>
          <w:rFonts w:cs="Times New Roman"/>
          <w:bCs/>
          <w:szCs w:val="24"/>
          <w:lang w:eastAsia="en-AU"/>
        </w:rPr>
        <w:t>comprises performance reporting, regulatory inspections and a range of communication practices</w:t>
      </w:r>
      <w:r w:rsidR="003B03A9">
        <w:rPr>
          <w:rFonts w:cs="Times New Roman"/>
          <w:bCs/>
          <w:szCs w:val="24"/>
          <w:lang w:eastAsia="en-AU"/>
        </w:rPr>
        <w:t xml:space="preserve"> that c</w:t>
      </w:r>
      <w:r>
        <w:rPr>
          <w:rFonts w:cs="Times New Roman"/>
          <w:bCs/>
          <w:szCs w:val="24"/>
          <w:lang w:eastAsia="en-AU"/>
        </w:rPr>
        <w:t xml:space="preserve">ollectively provide effective regulatory oversight of </w:t>
      </w:r>
      <w:r w:rsidR="003B03A9">
        <w:rPr>
          <w:rFonts w:cs="Times New Roman"/>
          <w:bCs/>
          <w:szCs w:val="24"/>
          <w:lang w:eastAsia="en-AU"/>
        </w:rPr>
        <w:t>l</w:t>
      </w:r>
      <w:r w:rsidR="001F7A0E">
        <w:rPr>
          <w:rFonts w:cs="Times New Roman"/>
          <w:bCs/>
          <w:szCs w:val="24"/>
          <w:lang w:eastAsia="en-AU"/>
        </w:rPr>
        <w:t>icence holder</w:t>
      </w:r>
      <w:r w:rsidR="007A3E01">
        <w:rPr>
          <w:rFonts w:cs="Times New Roman"/>
          <w:bCs/>
          <w:szCs w:val="24"/>
          <w:lang w:eastAsia="en-AU"/>
        </w:rPr>
        <w:t xml:space="preserve"> </w:t>
      </w:r>
      <w:r>
        <w:rPr>
          <w:rFonts w:cs="Times New Roman"/>
          <w:bCs/>
          <w:szCs w:val="24"/>
          <w:lang w:eastAsia="en-AU"/>
        </w:rPr>
        <w:t>compliance</w:t>
      </w:r>
      <w:r w:rsidR="0097349F">
        <w:rPr>
          <w:rFonts w:cs="Times New Roman"/>
          <w:bCs/>
          <w:szCs w:val="24"/>
          <w:lang w:eastAsia="en-AU"/>
        </w:rPr>
        <w:t xml:space="preserve">. </w:t>
      </w:r>
      <w:r w:rsidRPr="00D81AFE">
        <w:rPr>
          <w:rFonts w:cs="Times New Roman"/>
          <w:bCs/>
          <w:szCs w:val="24"/>
          <w:lang w:eastAsia="en-AU"/>
        </w:rPr>
        <w:t>Together, these approaches also e</w:t>
      </w:r>
      <w:r w:rsidR="00335D20" w:rsidRPr="00D81AFE">
        <w:rPr>
          <w:rFonts w:cs="Times New Roman"/>
          <w:bCs/>
          <w:szCs w:val="24"/>
          <w:lang w:eastAsia="en-AU"/>
        </w:rPr>
        <w:t>nable</w:t>
      </w:r>
      <w:r w:rsidRPr="00D81AFE">
        <w:rPr>
          <w:rFonts w:cs="Times New Roman"/>
          <w:bCs/>
          <w:szCs w:val="24"/>
          <w:lang w:eastAsia="en-AU"/>
        </w:rPr>
        <w:t xml:space="preserve"> ARPANSA to </w:t>
      </w:r>
      <w:r w:rsidR="006D7031" w:rsidRPr="00D81AFE">
        <w:rPr>
          <w:rFonts w:cs="Times New Roman"/>
          <w:bCs/>
          <w:szCs w:val="24"/>
          <w:lang w:eastAsia="en-AU"/>
        </w:rPr>
        <w:t>assess</w:t>
      </w:r>
      <w:r w:rsidRPr="00D81AFE">
        <w:rPr>
          <w:rFonts w:cs="Times New Roman"/>
          <w:bCs/>
          <w:szCs w:val="24"/>
          <w:lang w:eastAsia="en-AU"/>
        </w:rPr>
        <w:t xml:space="preserve"> </w:t>
      </w:r>
      <w:r w:rsidR="001F7A0E" w:rsidRPr="00D81AFE">
        <w:rPr>
          <w:rFonts w:cs="Times New Roman"/>
          <w:bCs/>
          <w:szCs w:val="24"/>
          <w:lang w:eastAsia="en-AU"/>
        </w:rPr>
        <w:t>licence holder</w:t>
      </w:r>
      <w:r w:rsidRPr="00D81AFE">
        <w:rPr>
          <w:rFonts w:cs="Times New Roman"/>
          <w:bCs/>
          <w:szCs w:val="24"/>
          <w:lang w:eastAsia="en-AU"/>
        </w:rPr>
        <w:t xml:space="preserve"> performance against international </w:t>
      </w:r>
      <w:r w:rsidR="001B3F78">
        <w:rPr>
          <w:rFonts w:cs="Times New Roman"/>
          <w:bCs/>
          <w:szCs w:val="24"/>
          <w:lang w:eastAsia="en-AU"/>
        </w:rPr>
        <w:t xml:space="preserve">best </w:t>
      </w:r>
      <w:r w:rsidRPr="00D81AFE">
        <w:rPr>
          <w:rFonts w:cs="Times New Roman"/>
          <w:bCs/>
          <w:szCs w:val="24"/>
          <w:lang w:eastAsia="en-AU"/>
        </w:rPr>
        <w:t xml:space="preserve">practice and to justify </w:t>
      </w:r>
      <w:r w:rsidR="00335D20" w:rsidRPr="00D90583">
        <w:rPr>
          <w:rFonts w:cs="Times New Roman"/>
          <w:bCs/>
          <w:szCs w:val="24"/>
          <w:lang w:eastAsia="en-AU"/>
        </w:rPr>
        <w:t xml:space="preserve">the need for any </w:t>
      </w:r>
      <w:r w:rsidRPr="00D90583">
        <w:rPr>
          <w:rFonts w:cs="Times New Roman"/>
          <w:bCs/>
          <w:szCs w:val="24"/>
          <w:lang w:eastAsia="en-AU"/>
        </w:rPr>
        <w:t>safety</w:t>
      </w:r>
      <w:r w:rsidR="001B3F78">
        <w:rPr>
          <w:rFonts w:cs="Times New Roman"/>
          <w:bCs/>
          <w:szCs w:val="24"/>
          <w:lang w:eastAsia="en-AU"/>
        </w:rPr>
        <w:t xml:space="preserve"> and security</w:t>
      </w:r>
      <w:r w:rsidRPr="00D90583">
        <w:rPr>
          <w:rFonts w:cs="Times New Roman"/>
          <w:bCs/>
          <w:szCs w:val="24"/>
          <w:lang w:eastAsia="en-AU"/>
        </w:rPr>
        <w:t xml:space="preserve"> improvements identified.</w:t>
      </w:r>
    </w:p>
    <w:p w14:paraId="08CAB67E" w14:textId="3E9866C5" w:rsidR="009C7EC4" w:rsidRDefault="009C7EC4" w:rsidP="00C91FB5">
      <w:pPr>
        <w:autoSpaceDE w:val="0"/>
        <w:autoSpaceDN w:val="0"/>
        <w:adjustRightInd w:val="0"/>
        <w:spacing w:after="120"/>
        <w:rPr>
          <w:rFonts w:cs="Times New Roman"/>
          <w:bCs/>
          <w:szCs w:val="24"/>
          <w:lang w:eastAsia="en-AU"/>
        </w:rPr>
      </w:pPr>
      <w:r>
        <w:rPr>
          <w:rFonts w:cs="Times New Roman"/>
          <w:bCs/>
          <w:szCs w:val="24"/>
          <w:lang w:eastAsia="en-AU"/>
        </w:rPr>
        <w:t xml:space="preserve">Each </w:t>
      </w:r>
      <w:r w:rsidR="001F7A0E">
        <w:rPr>
          <w:rFonts w:cs="Times New Roman"/>
          <w:bCs/>
          <w:szCs w:val="24"/>
          <w:lang w:eastAsia="en-AU"/>
        </w:rPr>
        <w:t>licence holder</w:t>
      </w:r>
      <w:r>
        <w:rPr>
          <w:rFonts w:cs="Times New Roman"/>
          <w:bCs/>
          <w:szCs w:val="24"/>
          <w:lang w:eastAsia="en-AU"/>
        </w:rPr>
        <w:t xml:space="preserve"> must report on its operations to ARPANSA. </w:t>
      </w:r>
      <w:r w:rsidR="009809CA">
        <w:rPr>
          <w:rFonts w:cs="Times New Roman"/>
          <w:bCs/>
          <w:szCs w:val="24"/>
          <w:lang w:eastAsia="en-AU"/>
        </w:rPr>
        <w:t xml:space="preserve">These reports keep ARPANSA informed of any significant operational matters. </w:t>
      </w:r>
      <w:r>
        <w:rPr>
          <w:rFonts w:cs="Times New Roman"/>
          <w:bCs/>
          <w:szCs w:val="24"/>
          <w:lang w:eastAsia="en-AU"/>
        </w:rPr>
        <w:t xml:space="preserve">The </w:t>
      </w:r>
      <w:r w:rsidR="0017765F">
        <w:rPr>
          <w:rFonts w:cs="Times New Roman"/>
          <w:bCs/>
          <w:szCs w:val="24"/>
          <w:lang w:eastAsia="en-AU"/>
        </w:rPr>
        <w:t>usual</w:t>
      </w:r>
      <w:r w:rsidR="009809CA">
        <w:rPr>
          <w:rFonts w:cs="Times New Roman"/>
          <w:bCs/>
          <w:szCs w:val="24"/>
          <w:lang w:eastAsia="en-AU"/>
        </w:rPr>
        <w:t xml:space="preserve"> </w:t>
      </w:r>
      <w:r>
        <w:rPr>
          <w:rFonts w:cs="Times New Roman"/>
          <w:bCs/>
          <w:szCs w:val="24"/>
          <w:lang w:eastAsia="en-AU"/>
        </w:rPr>
        <w:t>interval for reporting is quarterly however th</w:t>
      </w:r>
      <w:r w:rsidR="009809CA">
        <w:rPr>
          <w:rFonts w:cs="Times New Roman"/>
          <w:bCs/>
          <w:szCs w:val="24"/>
          <w:lang w:eastAsia="en-AU"/>
        </w:rPr>
        <w:t xml:space="preserve">is </w:t>
      </w:r>
      <w:proofErr w:type="gramStart"/>
      <w:r w:rsidR="00EE7827">
        <w:rPr>
          <w:rFonts w:cs="Times New Roman"/>
          <w:bCs/>
          <w:szCs w:val="24"/>
          <w:lang w:eastAsia="en-AU"/>
        </w:rPr>
        <w:t>w</w:t>
      </w:r>
      <w:r>
        <w:rPr>
          <w:rFonts w:cs="Times New Roman"/>
          <w:bCs/>
          <w:szCs w:val="24"/>
          <w:lang w:eastAsia="en-AU"/>
        </w:rPr>
        <w:t>as streamlined</w:t>
      </w:r>
      <w:proofErr w:type="gramEnd"/>
      <w:r>
        <w:rPr>
          <w:rFonts w:cs="Times New Roman"/>
          <w:bCs/>
          <w:szCs w:val="24"/>
          <w:lang w:eastAsia="en-AU"/>
        </w:rPr>
        <w:t xml:space="preserve"> </w:t>
      </w:r>
      <w:r w:rsidR="00EE7827">
        <w:rPr>
          <w:rFonts w:cs="Times New Roman"/>
          <w:bCs/>
          <w:szCs w:val="24"/>
          <w:lang w:eastAsia="en-AU"/>
        </w:rPr>
        <w:t xml:space="preserve">in 2013 </w:t>
      </w:r>
      <w:r>
        <w:rPr>
          <w:rFonts w:cs="Times New Roman"/>
          <w:bCs/>
          <w:szCs w:val="24"/>
          <w:lang w:eastAsia="en-AU"/>
        </w:rPr>
        <w:t>to annual reporting for low hazard activities</w:t>
      </w:r>
      <w:r w:rsidRPr="00D81AFE">
        <w:rPr>
          <w:rFonts w:cs="Times New Roman"/>
          <w:bCs/>
          <w:szCs w:val="24"/>
          <w:lang w:eastAsia="en-AU"/>
        </w:rPr>
        <w:t xml:space="preserve">. </w:t>
      </w:r>
      <w:r w:rsidR="005254AF" w:rsidRPr="00D81AFE">
        <w:rPr>
          <w:rFonts w:cs="Times New Roman"/>
          <w:bCs/>
          <w:szCs w:val="24"/>
          <w:lang w:eastAsia="en-AU"/>
        </w:rPr>
        <w:t>Reports include</w:t>
      </w:r>
      <w:r w:rsidRPr="00D81AFE">
        <w:rPr>
          <w:rFonts w:cs="Times New Roman"/>
          <w:bCs/>
          <w:szCs w:val="24"/>
          <w:lang w:eastAsia="en-AU"/>
        </w:rPr>
        <w:t xml:space="preserve"> any self-identified potential non-compliance; acquisition, transfer </w:t>
      </w:r>
      <w:r w:rsidR="00BF2380" w:rsidRPr="00D81AFE">
        <w:rPr>
          <w:rFonts w:cs="Times New Roman"/>
          <w:bCs/>
          <w:szCs w:val="24"/>
          <w:lang w:eastAsia="en-AU"/>
        </w:rPr>
        <w:t>or</w:t>
      </w:r>
      <w:r w:rsidRPr="00D81AFE">
        <w:rPr>
          <w:rFonts w:cs="Times New Roman"/>
          <w:bCs/>
          <w:szCs w:val="24"/>
          <w:lang w:eastAsia="en-AU"/>
        </w:rPr>
        <w:t xml:space="preserve"> disposal of </w:t>
      </w:r>
      <w:r w:rsidR="00B14960" w:rsidRPr="00D81AFE">
        <w:rPr>
          <w:rFonts w:cs="Times New Roman"/>
          <w:bCs/>
          <w:szCs w:val="24"/>
          <w:lang w:eastAsia="en-AU"/>
        </w:rPr>
        <w:t xml:space="preserve">radiation </w:t>
      </w:r>
      <w:r w:rsidRPr="00D81AFE">
        <w:rPr>
          <w:rFonts w:cs="Times New Roman"/>
          <w:bCs/>
          <w:szCs w:val="24"/>
          <w:lang w:eastAsia="en-AU"/>
        </w:rPr>
        <w:t>sources; occurrence of any incidents; any changes that affect the basis on which the licence was issued</w:t>
      </w:r>
      <w:r w:rsidR="00A83CB1" w:rsidRPr="00D81AFE">
        <w:rPr>
          <w:rFonts w:cs="Times New Roman"/>
          <w:bCs/>
          <w:szCs w:val="24"/>
          <w:lang w:eastAsia="en-AU"/>
        </w:rPr>
        <w:t>;</w:t>
      </w:r>
      <w:r w:rsidRPr="00D81AFE">
        <w:rPr>
          <w:rFonts w:cs="Times New Roman"/>
          <w:bCs/>
          <w:szCs w:val="24"/>
          <w:lang w:eastAsia="en-AU"/>
        </w:rPr>
        <w:t xml:space="preserve"> and updates on actions associated with </w:t>
      </w:r>
      <w:r w:rsidR="00D81AFE" w:rsidRPr="00D81AFE">
        <w:rPr>
          <w:rFonts w:cs="Times New Roman"/>
          <w:bCs/>
          <w:szCs w:val="24"/>
          <w:lang w:eastAsia="en-AU"/>
        </w:rPr>
        <w:t>inspection outcomes</w:t>
      </w:r>
      <w:r w:rsidRPr="00D81AFE">
        <w:rPr>
          <w:rFonts w:cs="Times New Roman"/>
          <w:bCs/>
          <w:szCs w:val="24"/>
          <w:lang w:eastAsia="en-AU"/>
        </w:rPr>
        <w:t>. Reporting is via a simple</w:t>
      </w:r>
      <w:r w:rsidR="005B565A" w:rsidRPr="00D81AFE">
        <w:rPr>
          <w:rFonts w:cs="Times New Roman"/>
          <w:bCs/>
          <w:szCs w:val="24"/>
          <w:lang w:eastAsia="en-AU"/>
        </w:rPr>
        <w:t>,</w:t>
      </w:r>
      <w:r>
        <w:rPr>
          <w:rFonts w:cs="Times New Roman"/>
          <w:bCs/>
          <w:szCs w:val="24"/>
          <w:lang w:eastAsia="en-AU"/>
        </w:rPr>
        <w:t xml:space="preserve"> standardised form and is a non-intrusive approach to regulatory oversight.</w:t>
      </w:r>
    </w:p>
    <w:p w14:paraId="63C7B6FE" w14:textId="63E6197E" w:rsidR="009C7EC4" w:rsidRPr="00A9092B" w:rsidRDefault="009C7EC4" w:rsidP="00C91FB5">
      <w:pPr>
        <w:autoSpaceDE w:val="0"/>
        <w:autoSpaceDN w:val="0"/>
        <w:adjustRightInd w:val="0"/>
        <w:spacing w:after="120"/>
        <w:rPr>
          <w:rFonts w:cs="Times New Roman"/>
          <w:bCs/>
          <w:szCs w:val="24"/>
          <w:lang w:eastAsia="en-AU"/>
        </w:rPr>
      </w:pPr>
      <w:r w:rsidRPr="00623D74">
        <w:rPr>
          <w:rFonts w:cs="Times New Roman"/>
          <w:bCs/>
          <w:szCs w:val="24"/>
          <w:lang w:eastAsia="en-AU"/>
        </w:rPr>
        <w:t>ARPANSA</w:t>
      </w:r>
      <w:r w:rsidR="006E0972">
        <w:rPr>
          <w:rFonts w:cs="Times New Roman"/>
          <w:bCs/>
          <w:szCs w:val="24"/>
          <w:lang w:eastAsia="en-AU"/>
        </w:rPr>
        <w:t xml:space="preserve">’s </w:t>
      </w:r>
      <w:r w:rsidRPr="00623D74">
        <w:rPr>
          <w:rFonts w:cs="Times New Roman"/>
          <w:bCs/>
          <w:szCs w:val="24"/>
          <w:lang w:eastAsia="en-AU"/>
        </w:rPr>
        <w:t xml:space="preserve">inspection </w:t>
      </w:r>
      <w:r w:rsidR="00E23457">
        <w:rPr>
          <w:rFonts w:cs="Times New Roman"/>
          <w:bCs/>
          <w:szCs w:val="24"/>
          <w:lang w:eastAsia="en-AU"/>
        </w:rPr>
        <w:t>program</w:t>
      </w:r>
      <w:r w:rsidRPr="00623D74">
        <w:rPr>
          <w:rFonts w:cs="Times New Roman"/>
          <w:bCs/>
          <w:szCs w:val="24"/>
          <w:lang w:eastAsia="en-AU"/>
        </w:rPr>
        <w:t xml:space="preserve"> </w:t>
      </w:r>
      <w:proofErr w:type="gramStart"/>
      <w:r w:rsidRPr="00623D74">
        <w:rPr>
          <w:rFonts w:cs="Times New Roman"/>
          <w:bCs/>
          <w:szCs w:val="24"/>
          <w:lang w:eastAsia="en-AU"/>
        </w:rPr>
        <w:t>is described</w:t>
      </w:r>
      <w:proofErr w:type="gramEnd"/>
      <w:r w:rsidRPr="00623D74">
        <w:rPr>
          <w:rFonts w:cs="Times New Roman"/>
          <w:bCs/>
          <w:szCs w:val="24"/>
          <w:lang w:eastAsia="en-AU"/>
        </w:rPr>
        <w:t xml:space="preserve"> under KPI</w:t>
      </w:r>
      <w:r w:rsidR="00531F32">
        <w:rPr>
          <w:rFonts w:cs="Times New Roman"/>
          <w:bCs/>
          <w:szCs w:val="24"/>
          <w:lang w:eastAsia="en-AU"/>
        </w:rPr>
        <w:t xml:space="preserve"> </w:t>
      </w:r>
      <w:r w:rsidRPr="00623D74">
        <w:rPr>
          <w:rFonts w:cs="Times New Roman"/>
          <w:bCs/>
          <w:szCs w:val="24"/>
          <w:lang w:eastAsia="en-AU"/>
        </w:rPr>
        <w:t>1 and KPI</w:t>
      </w:r>
      <w:r w:rsidR="00531F32">
        <w:rPr>
          <w:rFonts w:cs="Times New Roman"/>
          <w:bCs/>
          <w:szCs w:val="24"/>
          <w:lang w:eastAsia="en-AU"/>
        </w:rPr>
        <w:t xml:space="preserve"> </w:t>
      </w:r>
      <w:r w:rsidRPr="00623D74">
        <w:rPr>
          <w:rFonts w:cs="Times New Roman"/>
          <w:bCs/>
          <w:szCs w:val="24"/>
          <w:lang w:eastAsia="en-AU"/>
        </w:rPr>
        <w:t xml:space="preserve">3. Facilities </w:t>
      </w:r>
      <w:r w:rsidR="00623D74" w:rsidRPr="0044087B">
        <w:rPr>
          <w:rFonts w:cs="Times New Roman"/>
          <w:bCs/>
          <w:szCs w:val="24"/>
          <w:lang w:eastAsia="en-AU"/>
        </w:rPr>
        <w:t xml:space="preserve">and sources </w:t>
      </w:r>
      <w:proofErr w:type="gramStart"/>
      <w:r w:rsidRPr="00623D74">
        <w:rPr>
          <w:rFonts w:cs="Times New Roman"/>
          <w:bCs/>
          <w:szCs w:val="24"/>
          <w:lang w:eastAsia="en-AU"/>
        </w:rPr>
        <w:t>are inspected</w:t>
      </w:r>
      <w:proofErr w:type="gramEnd"/>
      <w:r w:rsidRPr="00623D74">
        <w:rPr>
          <w:rFonts w:cs="Times New Roman"/>
          <w:bCs/>
          <w:szCs w:val="24"/>
          <w:lang w:eastAsia="en-AU"/>
        </w:rPr>
        <w:t xml:space="preserve"> against published </w:t>
      </w:r>
      <w:hyperlink r:id="rId23" w:history="1">
        <w:r w:rsidRPr="00623D74">
          <w:rPr>
            <w:rStyle w:val="Hyperlink"/>
            <w:rFonts w:cs="Times New Roman"/>
            <w:bCs/>
            <w:szCs w:val="24"/>
            <w:lang w:eastAsia="en-AU"/>
          </w:rPr>
          <w:t>Performance Objectives and Criteria</w:t>
        </w:r>
      </w:hyperlink>
      <w:r w:rsidR="00D81AFE">
        <w:rPr>
          <w:rStyle w:val="Hyperlink"/>
          <w:rFonts w:cs="Times New Roman"/>
          <w:bCs/>
          <w:szCs w:val="24"/>
          <w:lang w:eastAsia="en-AU"/>
        </w:rPr>
        <w:t xml:space="preserve"> (PO&amp;C)</w:t>
      </w:r>
      <w:r w:rsidRPr="00623D74">
        <w:rPr>
          <w:rFonts w:cs="Times New Roman"/>
          <w:bCs/>
          <w:szCs w:val="24"/>
          <w:lang w:eastAsia="en-AU"/>
        </w:rPr>
        <w:t xml:space="preserve"> available to </w:t>
      </w:r>
      <w:r w:rsidR="001F7A0E">
        <w:rPr>
          <w:rFonts w:cs="Times New Roman"/>
          <w:bCs/>
          <w:szCs w:val="24"/>
          <w:lang w:eastAsia="en-AU"/>
        </w:rPr>
        <w:t>licence holder</w:t>
      </w:r>
      <w:r w:rsidRPr="00623D74">
        <w:rPr>
          <w:rFonts w:cs="Times New Roman"/>
          <w:bCs/>
          <w:szCs w:val="24"/>
          <w:lang w:eastAsia="en-AU"/>
        </w:rPr>
        <w:t xml:space="preserve">s </w:t>
      </w:r>
      <w:r w:rsidR="00531F32">
        <w:rPr>
          <w:rFonts w:cs="Times New Roman"/>
          <w:bCs/>
          <w:szCs w:val="24"/>
          <w:lang w:eastAsia="en-AU"/>
        </w:rPr>
        <w:t>on</w:t>
      </w:r>
      <w:r w:rsidR="00531F32" w:rsidRPr="00623D74">
        <w:rPr>
          <w:rFonts w:cs="Times New Roman"/>
          <w:bCs/>
          <w:szCs w:val="24"/>
          <w:lang w:eastAsia="en-AU"/>
        </w:rPr>
        <w:t xml:space="preserve"> </w:t>
      </w:r>
      <w:r w:rsidRPr="00623D74">
        <w:rPr>
          <w:rFonts w:cs="Times New Roman"/>
          <w:bCs/>
          <w:szCs w:val="24"/>
          <w:lang w:eastAsia="en-AU"/>
        </w:rPr>
        <w:t xml:space="preserve">the ARPANSA website. </w:t>
      </w:r>
      <w:r w:rsidRPr="00D81AFE">
        <w:rPr>
          <w:rFonts w:cs="Times New Roman"/>
          <w:bCs/>
          <w:szCs w:val="24"/>
          <w:lang w:eastAsia="en-AU"/>
        </w:rPr>
        <w:t xml:space="preserve">Each </w:t>
      </w:r>
      <w:r w:rsidR="00D81AFE" w:rsidRPr="00D81AFE">
        <w:rPr>
          <w:rFonts w:cs="Times New Roman"/>
          <w:bCs/>
          <w:szCs w:val="24"/>
          <w:lang w:eastAsia="en-AU"/>
        </w:rPr>
        <w:t>PO&amp;C</w:t>
      </w:r>
      <w:r w:rsidRPr="00D81AFE">
        <w:rPr>
          <w:rFonts w:cs="Times New Roman"/>
          <w:bCs/>
          <w:szCs w:val="24"/>
          <w:lang w:eastAsia="en-AU"/>
        </w:rPr>
        <w:t xml:space="preserve"> </w:t>
      </w:r>
      <w:proofErr w:type="gramStart"/>
      <w:r w:rsidRPr="00D81AFE">
        <w:rPr>
          <w:rFonts w:cs="Times New Roman"/>
          <w:bCs/>
          <w:szCs w:val="24"/>
          <w:lang w:eastAsia="en-AU"/>
        </w:rPr>
        <w:t>is</w:t>
      </w:r>
      <w:r w:rsidRPr="00623D74">
        <w:rPr>
          <w:rFonts w:cs="Times New Roman"/>
          <w:bCs/>
          <w:szCs w:val="24"/>
          <w:lang w:eastAsia="en-AU"/>
        </w:rPr>
        <w:t xml:space="preserve"> examined</w:t>
      </w:r>
      <w:proofErr w:type="gramEnd"/>
      <w:r w:rsidRPr="00623D74">
        <w:rPr>
          <w:rFonts w:cs="Times New Roman"/>
          <w:bCs/>
          <w:szCs w:val="24"/>
          <w:lang w:eastAsia="en-AU"/>
        </w:rPr>
        <w:t xml:space="preserve"> at least every three years in the case of facilities and </w:t>
      </w:r>
      <w:r w:rsidR="00F63BF1">
        <w:rPr>
          <w:rFonts w:cs="Times New Roman"/>
          <w:bCs/>
          <w:szCs w:val="24"/>
          <w:lang w:eastAsia="en-AU"/>
        </w:rPr>
        <w:t>five</w:t>
      </w:r>
      <w:r w:rsidRPr="00623D74">
        <w:rPr>
          <w:rFonts w:cs="Times New Roman"/>
          <w:bCs/>
          <w:szCs w:val="24"/>
          <w:lang w:eastAsia="en-AU"/>
        </w:rPr>
        <w:t xml:space="preserve"> years for sources. Higher risk facilities and sources </w:t>
      </w:r>
      <w:proofErr w:type="gramStart"/>
      <w:r w:rsidRPr="00623D74">
        <w:rPr>
          <w:rFonts w:cs="Times New Roman"/>
          <w:bCs/>
          <w:szCs w:val="24"/>
          <w:lang w:eastAsia="en-AU"/>
        </w:rPr>
        <w:t>are inspected</w:t>
      </w:r>
      <w:proofErr w:type="gramEnd"/>
      <w:r w:rsidRPr="00623D74">
        <w:rPr>
          <w:rFonts w:cs="Times New Roman"/>
          <w:bCs/>
          <w:szCs w:val="24"/>
          <w:lang w:eastAsia="en-AU"/>
        </w:rPr>
        <w:t xml:space="preserve"> more frequently. The frequency and depth of each inspection </w:t>
      </w:r>
      <w:proofErr w:type="gramStart"/>
      <w:r w:rsidRPr="00623D74">
        <w:rPr>
          <w:rFonts w:cs="Times New Roman"/>
          <w:bCs/>
          <w:szCs w:val="24"/>
          <w:lang w:eastAsia="en-AU"/>
        </w:rPr>
        <w:t>is determined</w:t>
      </w:r>
      <w:proofErr w:type="gramEnd"/>
      <w:r w:rsidRPr="00623D74">
        <w:rPr>
          <w:rFonts w:cs="Times New Roman"/>
          <w:bCs/>
          <w:szCs w:val="24"/>
          <w:lang w:eastAsia="en-AU"/>
        </w:rPr>
        <w:t xml:space="preserve"> by risk. For example</w:t>
      </w:r>
      <w:r w:rsidR="006E0972">
        <w:rPr>
          <w:rFonts w:cs="Times New Roman"/>
          <w:bCs/>
          <w:szCs w:val="24"/>
          <w:lang w:eastAsia="en-AU"/>
        </w:rPr>
        <w:t>,</w:t>
      </w:r>
      <w:r w:rsidRPr="00623D74">
        <w:rPr>
          <w:rFonts w:cs="Times New Roman"/>
          <w:bCs/>
          <w:szCs w:val="24"/>
          <w:lang w:eastAsia="en-AU"/>
        </w:rPr>
        <w:t xml:space="preserve"> a typical particle accelerator </w:t>
      </w:r>
      <w:proofErr w:type="gramStart"/>
      <w:r w:rsidR="006E0972">
        <w:rPr>
          <w:rFonts w:cs="Times New Roman"/>
          <w:bCs/>
          <w:szCs w:val="24"/>
          <w:lang w:eastAsia="en-AU"/>
        </w:rPr>
        <w:t>is</w:t>
      </w:r>
      <w:r w:rsidRPr="00623D74">
        <w:rPr>
          <w:rFonts w:cs="Times New Roman"/>
          <w:bCs/>
          <w:szCs w:val="24"/>
          <w:lang w:eastAsia="en-AU"/>
        </w:rPr>
        <w:t xml:space="preserve"> </w:t>
      </w:r>
      <w:r w:rsidR="00A81363">
        <w:rPr>
          <w:rFonts w:cs="Times New Roman"/>
          <w:bCs/>
          <w:szCs w:val="24"/>
          <w:lang w:eastAsia="en-AU"/>
        </w:rPr>
        <w:t>inspected</w:t>
      </w:r>
      <w:proofErr w:type="gramEnd"/>
      <w:r w:rsidR="00A81363">
        <w:rPr>
          <w:rFonts w:cs="Times New Roman"/>
          <w:bCs/>
          <w:szCs w:val="24"/>
          <w:lang w:eastAsia="en-AU"/>
        </w:rPr>
        <w:t xml:space="preserve"> </w:t>
      </w:r>
      <w:r w:rsidRPr="00623D74">
        <w:rPr>
          <w:rFonts w:cs="Times New Roman"/>
          <w:bCs/>
          <w:szCs w:val="24"/>
          <w:lang w:eastAsia="en-AU"/>
        </w:rPr>
        <w:t xml:space="preserve">once a year across all </w:t>
      </w:r>
      <w:r w:rsidR="00A81363">
        <w:rPr>
          <w:rFonts w:cs="Times New Roman"/>
          <w:bCs/>
          <w:szCs w:val="24"/>
          <w:lang w:eastAsia="en-AU"/>
        </w:rPr>
        <w:t>performance objectives and criteria</w:t>
      </w:r>
      <w:r w:rsidRPr="00623D74">
        <w:rPr>
          <w:rFonts w:cs="Times New Roman"/>
          <w:bCs/>
          <w:szCs w:val="24"/>
          <w:lang w:eastAsia="en-AU"/>
        </w:rPr>
        <w:t xml:space="preserve"> whereas the more complex OPAL research reactor is inspected quarterly on a single baseline module. All inspections examine performance in three cross cutting areas: safety culture, human performanc</w:t>
      </w:r>
      <w:r w:rsidR="0058535A">
        <w:rPr>
          <w:rFonts w:cs="Times New Roman"/>
          <w:bCs/>
          <w:szCs w:val="24"/>
          <w:lang w:eastAsia="en-AU"/>
        </w:rPr>
        <w:t xml:space="preserve">e and performance improvement. </w:t>
      </w:r>
      <w:r w:rsidRPr="00623D74">
        <w:rPr>
          <w:rFonts w:cs="Times New Roman"/>
          <w:bCs/>
          <w:szCs w:val="24"/>
          <w:lang w:eastAsia="en-AU"/>
        </w:rPr>
        <w:t>These modules are consistent with ARPANSA</w:t>
      </w:r>
      <w:r w:rsidR="00A81363">
        <w:rPr>
          <w:rFonts w:cs="Times New Roman"/>
          <w:bCs/>
          <w:szCs w:val="24"/>
          <w:lang w:eastAsia="en-AU"/>
        </w:rPr>
        <w:t>’</w:t>
      </w:r>
      <w:r w:rsidRPr="00623D74">
        <w:rPr>
          <w:rFonts w:cs="Times New Roman"/>
          <w:bCs/>
          <w:szCs w:val="24"/>
          <w:lang w:eastAsia="en-AU"/>
        </w:rPr>
        <w:t xml:space="preserve">s promotion of </w:t>
      </w:r>
      <w:hyperlink r:id="rId24" w:history="1">
        <w:r w:rsidRPr="00623D74">
          <w:rPr>
            <w:rStyle w:val="Hyperlink"/>
            <w:rFonts w:cs="Times New Roman"/>
            <w:bCs/>
            <w:szCs w:val="24"/>
            <w:lang w:eastAsia="en-AU"/>
          </w:rPr>
          <w:t>holistic safety</w:t>
        </w:r>
      </w:hyperlink>
      <w:r w:rsidRPr="00623D74">
        <w:rPr>
          <w:rFonts w:cs="Times New Roman"/>
          <w:bCs/>
          <w:szCs w:val="24"/>
          <w:lang w:eastAsia="en-AU"/>
        </w:rPr>
        <w:t xml:space="preserve"> </w:t>
      </w:r>
      <w:r w:rsidR="0044087B">
        <w:rPr>
          <w:rFonts w:cs="Times New Roman"/>
          <w:bCs/>
          <w:szCs w:val="24"/>
          <w:lang w:eastAsia="en-AU"/>
        </w:rPr>
        <w:t>that</w:t>
      </w:r>
      <w:r w:rsidRPr="00623D74">
        <w:rPr>
          <w:rFonts w:cs="Times New Roman"/>
          <w:bCs/>
          <w:szCs w:val="24"/>
          <w:lang w:eastAsia="en-AU"/>
        </w:rPr>
        <w:t xml:space="preserve"> recognises the importance of human and organisational factors to safe</w:t>
      </w:r>
      <w:r w:rsidR="00A83CB1">
        <w:rPr>
          <w:rFonts w:cs="Times New Roman"/>
          <w:bCs/>
          <w:szCs w:val="24"/>
          <w:lang w:eastAsia="en-AU"/>
        </w:rPr>
        <w:t>ty.</w:t>
      </w:r>
      <w:r w:rsidRPr="00A9092B" w:rsidDel="00A36E15">
        <w:rPr>
          <w:rFonts w:cs="Times New Roman"/>
          <w:bCs/>
          <w:szCs w:val="24"/>
          <w:lang w:eastAsia="en-AU"/>
        </w:rPr>
        <w:t xml:space="preserve"> </w:t>
      </w:r>
    </w:p>
    <w:p w14:paraId="7FC42974" w14:textId="20FDA2DB" w:rsidR="009C7EC4" w:rsidRPr="00A9092B" w:rsidRDefault="002E0007" w:rsidP="00C91FB5">
      <w:pPr>
        <w:autoSpaceDE w:val="0"/>
        <w:autoSpaceDN w:val="0"/>
        <w:adjustRightInd w:val="0"/>
        <w:spacing w:after="120"/>
        <w:rPr>
          <w:rFonts w:cs="Times New Roman"/>
          <w:bCs/>
          <w:szCs w:val="24"/>
          <w:lang w:eastAsia="en-AU"/>
        </w:rPr>
      </w:pPr>
      <w:r>
        <w:rPr>
          <w:rFonts w:cs="Times New Roman"/>
          <w:bCs/>
          <w:szCs w:val="24"/>
          <w:lang w:eastAsia="en-AU"/>
        </w:rPr>
        <w:t>I</w:t>
      </w:r>
      <w:r w:rsidR="009C7EC4" w:rsidRPr="00A9092B">
        <w:rPr>
          <w:rFonts w:cs="Times New Roman"/>
          <w:bCs/>
          <w:szCs w:val="24"/>
          <w:lang w:eastAsia="en-AU"/>
        </w:rPr>
        <w:t xml:space="preserve">nspectors monitor </w:t>
      </w:r>
      <w:r w:rsidR="004A1ABB">
        <w:rPr>
          <w:rFonts w:cs="Times New Roman"/>
          <w:bCs/>
          <w:szCs w:val="24"/>
          <w:lang w:eastAsia="en-AU"/>
        </w:rPr>
        <w:t xml:space="preserve">licence holder </w:t>
      </w:r>
      <w:r w:rsidR="009C7EC4" w:rsidRPr="00A9092B">
        <w:rPr>
          <w:rFonts w:cs="Times New Roman"/>
          <w:bCs/>
          <w:szCs w:val="24"/>
          <w:lang w:eastAsia="en-AU"/>
        </w:rPr>
        <w:t xml:space="preserve">performance on a regular basis outside </w:t>
      </w:r>
      <w:r>
        <w:rPr>
          <w:rFonts w:cs="Times New Roman"/>
          <w:bCs/>
          <w:szCs w:val="24"/>
          <w:lang w:eastAsia="en-AU"/>
        </w:rPr>
        <w:t xml:space="preserve">the </w:t>
      </w:r>
      <w:r w:rsidR="009C7EC4">
        <w:rPr>
          <w:rFonts w:cs="Times New Roman"/>
          <w:bCs/>
          <w:szCs w:val="24"/>
          <w:lang w:eastAsia="en-AU"/>
        </w:rPr>
        <w:t xml:space="preserve">formal </w:t>
      </w:r>
      <w:r>
        <w:rPr>
          <w:rFonts w:cs="Times New Roman"/>
          <w:bCs/>
          <w:szCs w:val="24"/>
          <w:lang w:eastAsia="en-AU"/>
        </w:rPr>
        <w:t xml:space="preserve">compliance </w:t>
      </w:r>
      <w:r w:rsidR="009C7EC4">
        <w:rPr>
          <w:rFonts w:cs="Times New Roman"/>
          <w:bCs/>
          <w:szCs w:val="24"/>
          <w:lang w:eastAsia="en-AU"/>
        </w:rPr>
        <w:t xml:space="preserve">reporting </w:t>
      </w:r>
      <w:r w:rsidR="00A81363">
        <w:rPr>
          <w:rFonts w:cs="Times New Roman"/>
          <w:bCs/>
          <w:szCs w:val="24"/>
          <w:lang w:eastAsia="en-AU"/>
        </w:rPr>
        <w:t>and</w:t>
      </w:r>
      <w:r w:rsidR="009C7EC4" w:rsidRPr="00A9092B">
        <w:rPr>
          <w:rFonts w:cs="Times New Roman"/>
          <w:bCs/>
          <w:szCs w:val="24"/>
          <w:lang w:eastAsia="en-AU"/>
        </w:rPr>
        <w:t xml:space="preserve"> inspection process</w:t>
      </w:r>
      <w:r>
        <w:rPr>
          <w:rFonts w:cs="Times New Roman"/>
          <w:bCs/>
          <w:szCs w:val="24"/>
          <w:lang w:eastAsia="en-AU"/>
        </w:rPr>
        <w:t>es</w:t>
      </w:r>
      <w:r w:rsidR="009C7EC4" w:rsidRPr="00A9092B">
        <w:rPr>
          <w:rFonts w:cs="Times New Roman"/>
          <w:bCs/>
          <w:szCs w:val="24"/>
          <w:lang w:eastAsia="en-AU"/>
        </w:rPr>
        <w:t xml:space="preserve"> through site visits, meetings</w:t>
      </w:r>
      <w:r w:rsidR="009C7EC4">
        <w:rPr>
          <w:rFonts w:cs="Times New Roman"/>
          <w:bCs/>
          <w:szCs w:val="24"/>
          <w:lang w:eastAsia="en-AU"/>
        </w:rPr>
        <w:t xml:space="preserve"> and for</w:t>
      </w:r>
      <w:r w:rsidR="004A1ABB">
        <w:rPr>
          <w:rFonts w:cs="Times New Roman"/>
          <w:bCs/>
          <w:szCs w:val="24"/>
          <w:lang w:eastAsia="en-AU"/>
        </w:rPr>
        <w:t>ums</w:t>
      </w:r>
      <w:r w:rsidR="009C7EC4">
        <w:rPr>
          <w:rFonts w:cs="Times New Roman"/>
          <w:bCs/>
          <w:szCs w:val="24"/>
          <w:lang w:eastAsia="en-AU"/>
        </w:rPr>
        <w:t xml:space="preserve">. </w:t>
      </w:r>
      <w:r w:rsidR="009C7EC4" w:rsidRPr="00A9092B">
        <w:rPr>
          <w:rFonts w:cs="Times New Roman"/>
          <w:bCs/>
          <w:szCs w:val="24"/>
          <w:lang w:eastAsia="en-AU"/>
        </w:rPr>
        <w:t xml:space="preserve">Frequent site visits </w:t>
      </w:r>
      <w:proofErr w:type="gramStart"/>
      <w:r w:rsidR="009C7EC4" w:rsidRPr="00A9092B">
        <w:rPr>
          <w:rFonts w:cs="Times New Roman"/>
          <w:bCs/>
          <w:szCs w:val="24"/>
          <w:lang w:eastAsia="en-AU"/>
        </w:rPr>
        <w:t>are undertaken</w:t>
      </w:r>
      <w:proofErr w:type="gramEnd"/>
      <w:r w:rsidR="009C7EC4" w:rsidRPr="00A9092B">
        <w:rPr>
          <w:rFonts w:cs="Times New Roman"/>
          <w:bCs/>
          <w:szCs w:val="24"/>
          <w:lang w:eastAsia="en-AU"/>
        </w:rPr>
        <w:t xml:space="preserve"> to enhance communication.</w:t>
      </w:r>
    </w:p>
    <w:p w14:paraId="237738A9" w14:textId="2ABB740B" w:rsidR="009C7EC4" w:rsidRPr="00A9092B" w:rsidRDefault="00F7301D" w:rsidP="00C91FB5">
      <w:pPr>
        <w:autoSpaceDE w:val="0"/>
        <w:autoSpaceDN w:val="0"/>
        <w:adjustRightInd w:val="0"/>
        <w:spacing w:after="120"/>
        <w:rPr>
          <w:rFonts w:cs="Times New Roman"/>
          <w:bCs/>
          <w:szCs w:val="24"/>
          <w:lang w:eastAsia="en-AU"/>
        </w:rPr>
      </w:pPr>
      <w:r>
        <w:rPr>
          <w:rFonts w:cs="Times New Roman"/>
          <w:bCs/>
          <w:szCs w:val="24"/>
          <w:lang w:eastAsia="en-AU"/>
        </w:rPr>
        <w:t xml:space="preserve">As described in KPI 3, </w:t>
      </w:r>
      <w:r w:rsidR="009C7EC4" w:rsidRPr="00A9092B">
        <w:rPr>
          <w:rFonts w:cs="Times New Roman"/>
          <w:bCs/>
          <w:szCs w:val="24"/>
          <w:lang w:eastAsia="en-AU"/>
        </w:rPr>
        <w:t>ARPANSA streamlines its compliance activit</w:t>
      </w:r>
      <w:r w:rsidR="004A1ABB">
        <w:rPr>
          <w:rFonts w:cs="Times New Roman"/>
          <w:bCs/>
          <w:szCs w:val="24"/>
          <w:lang w:eastAsia="en-AU"/>
        </w:rPr>
        <w:t>ies</w:t>
      </w:r>
      <w:r w:rsidR="009C7EC4" w:rsidRPr="00A9092B">
        <w:rPr>
          <w:rFonts w:cs="Times New Roman"/>
          <w:bCs/>
          <w:szCs w:val="24"/>
          <w:lang w:eastAsia="en-AU"/>
        </w:rPr>
        <w:t xml:space="preserve"> by basing inspection frequency on risk. The </w:t>
      </w:r>
      <w:hyperlink r:id="rId25" w:history="1">
        <w:r w:rsidR="009C7EC4" w:rsidRPr="0076133E">
          <w:rPr>
            <w:rStyle w:val="Hyperlink"/>
            <w:rFonts w:cs="Times New Roman"/>
            <w:bCs/>
            <w:szCs w:val="24"/>
            <w:lang w:eastAsia="en-AU"/>
          </w:rPr>
          <w:t>risk ranking methodology</w:t>
        </w:r>
      </w:hyperlink>
      <w:r w:rsidR="009C7EC4" w:rsidRPr="00A9092B">
        <w:rPr>
          <w:rFonts w:cs="Times New Roman"/>
          <w:bCs/>
          <w:szCs w:val="24"/>
          <w:lang w:eastAsia="en-AU"/>
        </w:rPr>
        <w:t xml:space="preserve"> </w:t>
      </w:r>
      <w:proofErr w:type="gramStart"/>
      <w:r w:rsidR="009C7EC4" w:rsidRPr="00A9092B">
        <w:rPr>
          <w:rFonts w:cs="Times New Roman"/>
          <w:bCs/>
          <w:szCs w:val="24"/>
          <w:lang w:eastAsia="en-AU"/>
        </w:rPr>
        <w:t>is published</w:t>
      </w:r>
      <w:proofErr w:type="gramEnd"/>
      <w:r w:rsidR="009C7EC4" w:rsidRPr="00A9092B">
        <w:rPr>
          <w:rFonts w:cs="Times New Roman"/>
          <w:bCs/>
          <w:szCs w:val="24"/>
          <w:lang w:eastAsia="en-AU"/>
        </w:rPr>
        <w:t xml:space="preserve"> online. Establishing a transparent and planned inspection </w:t>
      </w:r>
      <w:r w:rsidR="00E23457">
        <w:rPr>
          <w:rFonts w:cs="Times New Roman"/>
          <w:bCs/>
          <w:szCs w:val="24"/>
          <w:lang w:eastAsia="en-AU"/>
        </w:rPr>
        <w:t>program</w:t>
      </w:r>
      <w:r w:rsidR="009C7EC4" w:rsidRPr="00A9092B">
        <w:rPr>
          <w:rFonts w:cs="Times New Roman"/>
          <w:bCs/>
          <w:szCs w:val="24"/>
          <w:lang w:eastAsia="en-AU"/>
        </w:rPr>
        <w:t xml:space="preserve"> based on risk </w:t>
      </w:r>
      <w:r w:rsidR="004A1ABB">
        <w:rPr>
          <w:rFonts w:cs="Times New Roman"/>
          <w:bCs/>
          <w:szCs w:val="24"/>
          <w:lang w:eastAsia="en-AU"/>
        </w:rPr>
        <w:t xml:space="preserve">allows </w:t>
      </w:r>
      <w:r w:rsidR="009C7EC4" w:rsidRPr="00A9092B">
        <w:rPr>
          <w:rFonts w:cs="Times New Roman"/>
          <w:bCs/>
          <w:szCs w:val="24"/>
          <w:lang w:eastAsia="en-AU"/>
        </w:rPr>
        <w:t xml:space="preserve">ARPANSA </w:t>
      </w:r>
      <w:r w:rsidR="004A1ABB">
        <w:rPr>
          <w:rFonts w:cs="Times New Roman"/>
          <w:bCs/>
          <w:szCs w:val="24"/>
          <w:lang w:eastAsia="en-AU"/>
        </w:rPr>
        <w:t xml:space="preserve">to </w:t>
      </w:r>
      <w:r w:rsidR="009C7EC4" w:rsidRPr="00A9092B">
        <w:rPr>
          <w:rFonts w:cs="Times New Roman"/>
          <w:bCs/>
          <w:szCs w:val="24"/>
          <w:lang w:eastAsia="en-AU"/>
        </w:rPr>
        <w:t xml:space="preserve">streamline its </w:t>
      </w:r>
      <w:proofErr w:type="gramStart"/>
      <w:r w:rsidR="009C7EC4" w:rsidRPr="00A9092B">
        <w:rPr>
          <w:rFonts w:cs="Times New Roman"/>
          <w:bCs/>
          <w:szCs w:val="24"/>
          <w:lang w:eastAsia="en-AU"/>
        </w:rPr>
        <w:t>compliance monitoring</w:t>
      </w:r>
      <w:proofErr w:type="gramEnd"/>
      <w:r w:rsidR="009C7EC4" w:rsidRPr="00A9092B">
        <w:rPr>
          <w:rFonts w:cs="Times New Roman"/>
          <w:bCs/>
          <w:szCs w:val="24"/>
          <w:lang w:eastAsia="en-AU"/>
        </w:rPr>
        <w:t xml:space="preserve"> </w:t>
      </w:r>
      <w:r w:rsidR="00E23457">
        <w:rPr>
          <w:rFonts w:cs="Times New Roman"/>
          <w:bCs/>
          <w:szCs w:val="24"/>
          <w:lang w:eastAsia="en-AU"/>
        </w:rPr>
        <w:t>program</w:t>
      </w:r>
      <w:r w:rsidR="009C7EC4" w:rsidRPr="00A9092B">
        <w:rPr>
          <w:rFonts w:cs="Times New Roman"/>
          <w:bCs/>
          <w:szCs w:val="24"/>
          <w:lang w:eastAsia="en-AU"/>
        </w:rPr>
        <w:t xml:space="preserve"> as necessary and reduce regulatory burden where appropriate.</w:t>
      </w:r>
    </w:p>
    <w:p w14:paraId="2FC56611" w14:textId="443B951C" w:rsidR="009C7EC4" w:rsidRPr="00A9092B" w:rsidRDefault="009C7EC4" w:rsidP="00C91FB5">
      <w:pPr>
        <w:autoSpaceDE w:val="0"/>
        <w:autoSpaceDN w:val="0"/>
        <w:adjustRightInd w:val="0"/>
        <w:spacing w:after="120"/>
        <w:rPr>
          <w:rFonts w:cs="Times New Roman"/>
          <w:bCs/>
          <w:szCs w:val="24"/>
          <w:lang w:eastAsia="en-AU"/>
        </w:rPr>
      </w:pPr>
      <w:r w:rsidRPr="00A9092B">
        <w:rPr>
          <w:rFonts w:cs="Times New Roman"/>
          <w:bCs/>
          <w:szCs w:val="24"/>
          <w:lang w:eastAsia="en-AU"/>
        </w:rPr>
        <w:t xml:space="preserve">ARPANSA encourages </w:t>
      </w:r>
      <w:r w:rsidR="00BD4142">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s </w:t>
      </w:r>
      <w:proofErr w:type="gramStart"/>
      <w:r w:rsidRPr="00A9092B">
        <w:rPr>
          <w:rFonts w:cs="Times New Roman"/>
          <w:bCs/>
          <w:szCs w:val="24"/>
          <w:lang w:eastAsia="en-AU"/>
        </w:rPr>
        <w:t>to proactively manage</w:t>
      </w:r>
      <w:proofErr w:type="gramEnd"/>
      <w:r w:rsidRPr="00A9092B">
        <w:rPr>
          <w:rFonts w:cs="Times New Roman"/>
          <w:bCs/>
          <w:szCs w:val="24"/>
          <w:lang w:eastAsia="en-AU"/>
        </w:rPr>
        <w:t xml:space="preserve"> safety by identifying performance deficiencies </w:t>
      </w:r>
      <w:r w:rsidR="004A0F6A">
        <w:rPr>
          <w:rFonts w:cs="Times New Roman"/>
          <w:bCs/>
          <w:szCs w:val="24"/>
          <w:lang w:eastAsia="en-AU"/>
        </w:rPr>
        <w:t xml:space="preserve">and </w:t>
      </w:r>
      <w:r w:rsidRPr="00A9092B">
        <w:rPr>
          <w:rFonts w:cs="Times New Roman"/>
          <w:bCs/>
          <w:szCs w:val="24"/>
          <w:lang w:eastAsia="en-AU"/>
        </w:rPr>
        <w:t>potential non-compliance. When a performance deficiency is</w:t>
      </w:r>
      <w:r w:rsidR="004A0F6A">
        <w:rPr>
          <w:rFonts w:cs="Times New Roman"/>
          <w:bCs/>
          <w:szCs w:val="24"/>
          <w:lang w:eastAsia="en-AU"/>
        </w:rPr>
        <w:t xml:space="preserve"> </w:t>
      </w:r>
      <w:proofErr w:type="gramStart"/>
      <w:r w:rsidRPr="00A9092B">
        <w:rPr>
          <w:rFonts w:cs="Times New Roman"/>
          <w:bCs/>
          <w:szCs w:val="24"/>
          <w:lang w:eastAsia="en-AU"/>
        </w:rPr>
        <w:t>identified</w:t>
      </w:r>
      <w:proofErr w:type="gramEnd"/>
      <w:r w:rsidRPr="00A9092B">
        <w:rPr>
          <w:rFonts w:cs="Times New Roman"/>
          <w:bCs/>
          <w:szCs w:val="24"/>
          <w:lang w:eastAsia="en-AU"/>
        </w:rPr>
        <w:t xml:space="preserve"> there is an expectation that the </w:t>
      </w:r>
      <w:r w:rsidR="004A0F6A">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 will take corrective action in a timely fashion. The objec</w:t>
      </w:r>
      <w:r w:rsidR="004A0F6A">
        <w:rPr>
          <w:rFonts w:cs="Times New Roman"/>
          <w:bCs/>
          <w:szCs w:val="24"/>
          <w:lang w:eastAsia="en-AU"/>
        </w:rPr>
        <w:t>t</w:t>
      </w:r>
      <w:r w:rsidRPr="00A9092B">
        <w:rPr>
          <w:rFonts w:cs="Times New Roman"/>
          <w:bCs/>
          <w:szCs w:val="24"/>
          <w:lang w:eastAsia="en-AU"/>
        </w:rPr>
        <w:t xml:space="preserve"> of identifying performance deficiencies is to </w:t>
      </w:r>
      <w:r>
        <w:rPr>
          <w:rFonts w:cs="Times New Roman"/>
          <w:bCs/>
          <w:szCs w:val="24"/>
          <w:lang w:eastAsia="en-AU"/>
        </w:rPr>
        <w:t>encourage the improvement of</w:t>
      </w:r>
      <w:r w:rsidRPr="00A9092B">
        <w:rPr>
          <w:rFonts w:cs="Times New Roman"/>
          <w:bCs/>
          <w:szCs w:val="24"/>
          <w:lang w:eastAsia="en-AU"/>
        </w:rPr>
        <w:t xml:space="preserve"> </w:t>
      </w:r>
      <w:r w:rsidR="00F318AC">
        <w:rPr>
          <w:rFonts w:cs="Times New Roman"/>
          <w:bCs/>
          <w:szCs w:val="24"/>
          <w:lang w:eastAsia="en-AU"/>
        </w:rPr>
        <w:t>safety and security</w:t>
      </w:r>
      <w:r>
        <w:rPr>
          <w:rFonts w:cs="Times New Roman"/>
          <w:bCs/>
          <w:szCs w:val="24"/>
          <w:lang w:eastAsia="en-AU"/>
        </w:rPr>
        <w:t>.</w:t>
      </w:r>
      <w:r w:rsidRPr="00A9092B">
        <w:rPr>
          <w:rFonts w:cs="Times New Roman"/>
          <w:bCs/>
          <w:szCs w:val="24"/>
          <w:lang w:eastAsia="en-AU"/>
        </w:rPr>
        <w:t xml:space="preserve"> </w:t>
      </w:r>
      <w:r>
        <w:rPr>
          <w:rFonts w:cs="Times New Roman"/>
          <w:bCs/>
          <w:szCs w:val="24"/>
          <w:lang w:eastAsia="en-AU"/>
        </w:rPr>
        <w:t>T</w:t>
      </w:r>
      <w:r w:rsidRPr="00A9092B">
        <w:rPr>
          <w:rFonts w:cs="Times New Roman"/>
          <w:bCs/>
          <w:szCs w:val="24"/>
          <w:lang w:eastAsia="en-AU"/>
        </w:rPr>
        <w:t xml:space="preserve">he time taken for a </w:t>
      </w:r>
      <w:r w:rsidR="004A0F6A">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 to address corrective actions </w:t>
      </w:r>
      <w:r w:rsidRPr="00A9092B">
        <w:rPr>
          <w:rFonts w:cs="Times New Roman"/>
          <w:bCs/>
          <w:szCs w:val="24"/>
          <w:lang w:eastAsia="en-AU"/>
        </w:rPr>
        <w:lastRenderedPageBreak/>
        <w:t>following the finding of</w:t>
      </w:r>
      <w:r>
        <w:rPr>
          <w:rFonts w:cs="Times New Roman"/>
          <w:bCs/>
          <w:szCs w:val="24"/>
          <w:lang w:eastAsia="en-AU"/>
        </w:rPr>
        <w:t xml:space="preserve"> a performance deficiency is an indicator </w:t>
      </w:r>
      <w:r w:rsidRPr="00A9092B">
        <w:rPr>
          <w:rFonts w:cs="Times New Roman"/>
          <w:bCs/>
          <w:szCs w:val="24"/>
          <w:lang w:eastAsia="en-AU"/>
        </w:rPr>
        <w:t xml:space="preserve">of the influence, transparency and effectiveness of </w:t>
      </w:r>
      <w:r w:rsidR="00F318AC">
        <w:rPr>
          <w:rFonts w:cs="Times New Roman"/>
          <w:bCs/>
          <w:szCs w:val="24"/>
          <w:lang w:eastAsia="en-AU"/>
        </w:rPr>
        <w:t>ARPANSA’s</w:t>
      </w:r>
      <w:r w:rsidRPr="00A9092B">
        <w:rPr>
          <w:rFonts w:cs="Times New Roman"/>
          <w:bCs/>
          <w:szCs w:val="24"/>
          <w:lang w:eastAsia="en-AU"/>
        </w:rPr>
        <w:t xml:space="preserve"> inspection/compliance monitoring </w:t>
      </w:r>
      <w:r w:rsidR="00E23457">
        <w:rPr>
          <w:rFonts w:cs="Times New Roman"/>
          <w:bCs/>
          <w:szCs w:val="24"/>
          <w:lang w:eastAsia="en-AU"/>
        </w:rPr>
        <w:t>program</w:t>
      </w:r>
      <w:r w:rsidRPr="00A9092B">
        <w:rPr>
          <w:rFonts w:cs="Times New Roman"/>
          <w:bCs/>
          <w:szCs w:val="24"/>
          <w:lang w:eastAsia="en-AU"/>
        </w:rPr>
        <w:t>.</w:t>
      </w:r>
    </w:p>
    <w:p w14:paraId="42E95645" w14:textId="67352326" w:rsidR="009C7EC4" w:rsidRDefault="0044087B" w:rsidP="00C91FB5">
      <w:pPr>
        <w:autoSpaceDE w:val="0"/>
        <w:autoSpaceDN w:val="0"/>
        <w:adjustRightInd w:val="0"/>
        <w:spacing w:after="120"/>
        <w:rPr>
          <w:rFonts w:cs="Times New Roman"/>
          <w:bCs/>
          <w:szCs w:val="24"/>
          <w:lang w:eastAsia="en-AU"/>
        </w:rPr>
      </w:pPr>
      <w:r>
        <w:rPr>
          <w:rFonts w:cs="Times New Roman"/>
          <w:bCs/>
          <w:szCs w:val="24"/>
          <w:lang w:eastAsia="en-AU"/>
        </w:rPr>
        <w:t>A periodic a</w:t>
      </w:r>
      <w:r w:rsidR="009C7EC4" w:rsidRPr="00A9092B">
        <w:rPr>
          <w:rFonts w:cs="Times New Roman"/>
          <w:bCs/>
          <w:szCs w:val="24"/>
          <w:lang w:eastAsia="en-AU"/>
        </w:rPr>
        <w:t xml:space="preserve">nalysis of </w:t>
      </w:r>
      <w:r w:rsidR="00DB2693">
        <w:rPr>
          <w:rFonts w:cs="Times New Roman"/>
          <w:bCs/>
          <w:szCs w:val="24"/>
          <w:lang w:eastAsia="en-AU"/>
        </w:rPr>
        <w:t>p</w:t>
      </w:r>
      <w:r w:rsidR="009C7EC4" w:rsidRPr="00A9092B">
        <w:rPr>
          <w:rFonts w:cs="Times New Roman"/>
          <w:bCs/>
          <w:szCs w:val="24"/>
          <w:lang w:eastAsia="en-AU"/>
        </w:rPr>
        <w:t xml:space="preserve">erformance </w:t>
      </w:r>
      <w:r w:rsidR="00DB2693">
        <w:rPr>
          <w:rFonts w:cs="Times New Roman"/>
          <w:bCs/>
          <w:szCs w:val="24"/>
          <w:lang w:eastAsia="en-AU"/>
        </w:rPr>
        <w:t>d</w:t>
      </w:r>
      <w:r w:rsidR="009C7EC4" w:rsidRPr="00A9092B">
        <w:rPr>
          <w:rFonts w:cs="Times New Roman"/>
          <w:bCs/>
          <w:szCs w:val="24"/>
          <w:lang w:eastAsia="en-AU"/>
        </w:rPr>
        <w:t xml:space="preserve">eficiencies, </w:t>
      </w:r>
      <w:r w:rsidR="00DB2693">
        <w:rPr>
          <w:rFonts w:cs="Times New Roman"/>
          <w:bCs/>
          <w:szCs w:val="24"/>
          <w:lang w:eastAsia="en-AU"/>
        </w:rPr>
        <w:t>p</w:t>
      </w:r>
      <w:r w:rsidR="009C7EC4" w:rsidRPr="00A9092B">
        <w:rPr>
          <w:rFonts w:cs="Times New Roman"/>
          <w:bCs/>
          <w:szCs w:val="24"/>
          <w:lang w:eastAsia="en-AU"/>
        </w:rPr>
        <w:t xml:space="preserve">otential </w:t>
      </w:r>
      <w:r w:rsidR="00DB2693">
        <w:rPr>
          <w:rFonts w:cs="Times New Roman"/>
          <w:bCs/>
          <w:szCs w:val="24"/>
          <w:lang w:eastAsia="en-AU"/>
        </w:rPr>
        <w:t>n</w:t>
      </w:r>
      <w:r w:rsidR="009C7EC4" w:rsidRPr="00A9092B">
        <w:rPr>
          <w:rFonts w:cs="Times New Roman"/>
          <w:bCs/>
          <w:szCs w:val="24"/>
          <w:lang w:eastAsia="en-AU"/>
        </w:rPr>
        <w:t>on-</w:t>
      </w:r>
      <w:r w:rsidR="00DB2693">
        <w:rPr>
          <w:rFonts w:cs="Times New Roman"/>
          <w:bCs/>
          <w:szCs w:val="24"/>
          <w:lang w:eastAsia="en-AU"/>
        </w:rPr>
        <w:t>c</w:t>
      </w:r>
      <w:r w:rsidR="009C7EC4" w:rsidRPr="00A9092B">
        <w:rPr>
          <w:rFonts w:cs="Times New Roman"/>
          <w:bCs/>
          <w:szCs w:val="24"/>
          <w:lang w:eastAsia="en-AU"/>
        </w:rPr>
        <w:t xml:space="preserve">ompliances, and </w:t>
      </w:r>
      <w:r w:rsidR="00DB2693">
        <w:rPr>
          <w:rFonts w:cs="Times New Roman"/>
          <w:bCs/>
          <w:szCs w:val="24"/>
          <w:lang w:eastAsia="en-AU"/>
        </w:rPr>
        <w:t>g</w:t>
      </w:r>
      <w:r w:rsidR="009C7EC4" w:rsidRPr="00A9092B">
        <w:rPr>
          <w:rFonts w:cs="Times New Roman"/>
          <w:bCs/>
          <w:szCs w:val="24"/>
          <w:lang w:eastAsia="en-AU"/>
        </w:rPr>
        <w:t xml:space="preserve">ood </w:t>
      </w:r>
      <w:r w:rsidR="00DB2693">
        <w:rPr>
          <w:rFonts w:cs="Times New Roman"/>
          <w:bCs/>
          <w:szCs w:val="24"/>
          <w:lang w:eastAsia="en-AU"/>
        </w:rPr>
        <w:t>p</w:t>
      </w:r>
      <w:r w:rsidR="009C7EC4" w:rsidRPr="00A9092B">
        <w:rPr>
          <w:rFonts w:cs="Times New Roman"/>
          <w:bCs/>
          <w:szCs w:val="24"/>
          <w:lang w:eastAsia="en-AU"/>
        </w:rPr>
        <w:t xml:space="preserve">ractices </w:t>
      </w:r>
      <w:proofErr w:type="gramStart"/>
      <w:r>
        <w:rPr>
          <w:rFonts w:cs="Times New Roman"/>
          <w:bCs/>
          <w:szCs w:val="24"/>
          <w:lang w:eastAsia="en-AU"/>
        </w:rPr>
        <w:t>is performed</w:t>
      </w:r>
      <w:proofErr w:type="gramEnd"/>
      <w:r w:rsidR="009C7EC4" w:rsidRPr="00A9092B">
        <w:rPr>
          <w:rFonts w:cs="Times New Roman"/>
          <w:bCs/>
          <w:szCs w:val="24"/>
          <w:lang w:eastAsia="en-AU"/>
        </w:rPr>
        <w:t xml:space="preserve"> to ensure that resources are appropriately allocated and to monitor trends or emerging issues.</w:t>
      </w:r>
    </w:p>
    <w:p w14:paraId="515D623D" w14:textId="61BAF1D0" w:rsidR="0076133E" w:rsidRPr="00A9092B" w:rsidRDefault="00DB2693" w:rsidP="00C91FB5">
      <w:pPr>
        <w:autoSpaceDE w:val="0"/>
        <w:autoSpaceDN w:val="0"/>
        <w:adjustRightInd w:val="0"/>
        <w:spacing w:after="120"/>
        <w:rPr>
          <w:rFonts w:cs="Times New Roman"/>
          <w:bCs/>
          <w:szCs w:val="24"/>
          <w:lang w:eastAsia="en-AU"/>
        </w:rPr>
      </w:pPr>
      <w:r>
        <w:rPr>
          <w:rFonts w:cs="Times New Roman"/>
          <w:bCs/>
          <w:szCs w:val="24"/>
          <w:lang w:eastAsia="en-AU"/>
        </w:rPr>
        <w:t>Although</w:t>
      </w:r>
      <w:r w:rsidR="0076133E">
        <w:rPr>
          <w:rFonts w:cs="Times New Roman"/>
          <w:bCs/>
          <w:szCs w:val="24"/>
          <w:lang w:eastAsia="en-AU"/>
        </w:rPr>
        <w:t xml:space="preserve"> not during the reporting period, ARPANSA has previously undertaken joint activities with other </w:t>
      </w:r>
      <w:r>
        <w:rPr>
          <w:rFonts w:cs="Times New Roman"/>
          <w:bCs/>
          <w:szCs w:val="24"/>
          <w:lang w:eastAsia="en-AU"/>
        </w:rPr>
        <w:t>C</w:t>
      </w:r>
      <w:r w:rsidR="0076133E">
        <w:rPr>
          <w:rFonts w:cs="Times New Roman"/>
          <w:bCs/>
          <w:szCs w:val="24"/>
          <w:lang w:eastAsia="en-AU"/>
        </w:rPr>
        <w:t xml:space="preserve">ommonwealth regulators; namely </w:t>
      </w:r>
      <w:r>
        <w:rPr>
          <w:rFonts w:cs="Times New Roman"/>
          <w:bCs/>
          <w:szCs w:val="24"/>
          <w:lang w:eastAsia="en-AU"/>
        </w:rPr>
        <w:t xml:space="preserve">the </w:t>
      </w:r>
      <w:r w:rsidR="004652B8">
        <w:rPr>
          <w:rFonts w:cs="Times New Roman"/>
          <w:bCs/>
          <w:szCs w:val="24"/>
          <w:lang w:eastAsia="en-AU"/>
        </w:rPr>
        <w:t xml:space="preserve">Australian Safeguards and </w:t>
      </w:r>
      <w:r w:rsidR="008A5DC7">
        <w:rPr>
          <w:rFonts w:cs="Times New Roman"/>
          <w:bCs/>
          <w:szCs w:val="24"/>
          <w:lang w:eastAsia="en-AU"/>
        </w:rPr>
        <w:br/>
      </w:r>
      <w:r w:rsidR="004652B8">
        <w:rPr>
          <w:rFonts w:cs="Times New Roman"/>
          <w:bCs/>
          <w:szCs w:val="24"/>
          <w:lang w:eastAsia="en-AU"/>
        </w:rPr>
        <w:t xml:space="preserve">Non-Proliferation Office (ASNO) </w:t>
      </w:r>
      <w:r w:rsidR="0076133E">
        <w:rPr>
          <w:rFonts w:cs="Times New Roman"/>
          <w:bCs/>
          <w:szCs w:val="24"/>
          <w:lang w:eastAsia="en-AU"/>
        </w:rPr>
        <w:t xml:space="preserve">and </w:t>
      </w:r>
      <w:proofErr w:type="spellStart"/>
      <w:r w:rsidR="0076133E">
        <w:rPr>
          <w:rFonts w:cs="Times New Roman"/>
          <w:bCs/>
          <w:szCs w:val="24"/>
          <w:lang w:eastAsia="en-AU"/>
        </w:rPr>
        <w:t>Comcare</w:t>
      </w:r>
      <w:proofErr w:type="spellEnd"/>
      <w:r w:rsidR="0076133E">
        <w:rPr>
          <w:rFonts w:cs="Times New Roman"/>
          <w:bCs/>
          <w:szCs w:val="24"/>
          <w:lang w:eastAsia="en-AU"/>
        </w:rPr>
        <w:t xml:space="preserve">. </w:t>
      </w:r>
    </w:p>
    <w:p w14:paraId="0C9F6279" w14:textId="328553C5" w:rsidR="009C7EC4" w:rsidRPr="00A9092B" w:rsidRDefault="009C7EC4" w:rsidP="00C91FB5">
      <w:pPr>
        <w:pStyle w:val="Heading3"/>
        <w:rPr>
          <w:lang w:eastAsia="en-AU"/>
        </w:rPr>
      </w:pPr>
      <w:bookmarkStart w:id="31" w:name="_Toc470173157"/>
      <w:r w:rsidRPr="00A9092B">
        <w:rPr>
          <w:lang w:eastAsia="en-AU"/>
        </w:rPr>
        <w:t>Measures</w:t>
      </w:r>
      <w:bookmarkEnd w:id="31"/>
    </w:p>
    <w:p w14:paraId="38C4D145" w14:textId="34F91863" w:rsidR="0076133E" w:rsidRDefault="009C7EC4" w:rsidP="00C91FB5">
      <w:pPr>
        <w:spacing w:after="120"/>
        <w:rPr>
          <w:rFonts w:cs="Times New Roman"/>
          <w:b/>
          <w:bCs/>
          <w:szCs w:val="24"/>
          <w:lang w:eastAsia="en-AU"/>
        </w:rPr>
      </w:pPr>
      <w:r>
        <w:rPr>
          <w:rFonts w:cs="Times New Roman"/>
        </w:rPr>
        <w:t>C</w:t>
      </w:r>
      <w:r w:rsidRPr="0047516F">
        <w:rPr>
          <w:rFonts w:cs="Times New Roman"/>
        </w:rPr>
        <w:t>ompliance and monitoring</w:t>
      </w:r>
      <w:r>
        <w:rPr>
          <w:rFonts w:cs="Times New Roman"/>
        </w:rPr>
        <w:t xml:space="preserve"> approaches are s</w:t>
      </w:r>
      <w:r w:rsidRPr="0047516F">
        <w:rPr>
          <w:rFonts w:cs="Times New Roman"/>
        </w:rPr>
        <w:t>treamlined and coordinated</w:t>
      </w:r>
      <w:r w:rsidR="0076133E">
        <w:rPr>
          <w:rFonts w:cs="Times New Roman"/>
        </w:rPr>
        <w:t>.</w:t>
      </w:r>
    </w:p>
    <w:p w14:paraId="39533F2E" w14:textId="32006341" w:rsidR="009C7EC4" w:rsidRPr="00A9092B" w:rsidRDefault="009C7EC4" w:rsidP="00C91FB5">
      <w:pPr>
        <w:pStyle w:val="Heading3"/>
        <w:rPr>
          <w:lang w:eastAsia="en-AU"/>
        </w:rPr>
      </w:pPr>
      <w:bookmarkStart w:id="32" w:name="_Toc470173158"/>
      <w:r w:rsidRPr="00A9092B">
        <w:rPr>
          <w:lang w:eastAsia="en-AU"/>
        </w:rPr>
        <w:t>Approved evidence metrics for KPI 4</w:t>
      </w:r>
      <w:bookmarkEnd w:id="32"/>
    </w:p>
    <w:tbl>
      <w:tblPr>
        <w:tblStyle w:val="TableGrid"/>
        <w:tblW w:w="9747" w:type="dxa"/>
        <w:tblLook w:val="04A0" w:firstRow="1" w:lastRow="0" w:firstColumn="1" w:lastColumn="0" w:noHBand="0" w:noVBand="1"/>
        <w:tblDescription w:val="Chapter 2.4.2 table contains a list of evidence metrics against Key Performance Indicator (KPI) 4.  This table contains 3 heading columns 1. Indicators, 2. Evidence and 3. Comment. "/>
      </w:tblPr>
      <w:tblGrid>
        <w:gridCol w:w="2692"/>
        <w:gridCol w:w="2945"/>
        <w:gridCol w:w="4110"/>
      </w:tblGrid>
      <w:tr w:rsidR="0076133E" w:rsidRPr="00173273" w14:paraId="0613BD48" w14:textId="77777777" w:rsidTr="008A5DC7">
        <w:trPr>
          <w:cantSplit/>
          <w:tblHeader/>
        </w:trPr>
        <w:tc>
          <w:tcPr>
            <w:tcW w:w="2692" w:type="dxa"/>
            <w:vAlign w:val="center"/>
          </w:tcPr>
          <w:p w14:paraId="58D18AD9" w14:textId="09507537" w:rsidR="009C7EC4" w:rsidRPr="00173273" w:rsidRDefault="009C7EC4" w:rsidP="006D47B2">
            <w:pPr>
              <w:pStyle w:val="Tableheading"/>
              <w:rPr>
                <w:lang w:eastAsia="en-AU"/>
              </w:rPr>
            </w:pPr>
            <w:r w:rsidRPr="00173273">
              <w:rPr>
                <w:lang w:eastAsia="en-AU"/>
              </w:rPr>
              <w:t>Indicator</w:t>
            </w:r>
          </w:p>
        </w:tc>
        <w:tc>
          <w:tcPr>
            <w:tcW w:w="2945" w:type="dxa"/>
            <w:vAlign w:val="center"/>
          </w:tcPr>
          <w:p w14:paraId="79C89F50" w14:textId="77777777" w:rsidR="009C7EC4" w:rsidRPr="00173273" w:rsidRDefault="009C7EC4" w:rsidP="006D47B2">
            <w:pPr>
              <w:pStyle w:val="Tableheading"/>
              <w:rPr>
                <w:lang w:eastAsia="en-AU"/>
              </w:rPr>
            </w:pPr>
            <w:r w:rsidRPr="00173273">
              <w:rPr>
                <w:lang w:eastAsia="en-AU"/>
              </w:rPr>
              <w:t>Evidence</w:t>
            </w:r>
          </w:p>
        </w:tc>
        <w:tc>
          <w:tcPr>
            <w:tcW w:w="4110" w:type="dxa"/>
            <w:vAlign w:val="center"/>
          </w:tcPr>
          <w:p w14:paraId="2094C344" w14:textId="77777777" w:rsidR="009C7EC4" w:rsidRPr="00173273" w:rsidRDefault="009C7EC4" w:rsidP="006D47B2">
            <w:pPr>
              <w:pStyle w:val="Tableheading"/>
              <w:rPr>
                <w:lang w:eastAsia="en-AU"/>
              </w:rPr>
            </w:pPr>
            <w:r w:rsidRPr="00173273">
              <w:rPr>
                <w:lang w:eastAsia="en-AU"/>
              </w:rPr>
              <w:t>Comment</w:t>
            </w:r>
          </w:p>
        </w:tc>
      </w:tr>
      <w:tr w:rsidR="0076133E" w:rsidRPr="00173273" w14:paraId="4D8957F8" w14:textId="77777777" w:rsidTr="008A5DC7">
        <w:trPr>
          <w:cantSplit/>
          <w:trHeight w:val="2623"/>
        </w:trPr>
        <w:tc>
          <w:tcPr>
            <w:tcW w:w="2692" w:type="dxa"/>
          </w:tcPr>
          <w:p w14:paraId="3E5121C3" w14:textId="60199B89" w:rsidR="009C7EC4" w:rsidRPr="00173273" w:rsidRDefault="009C7EC4" w:rsidP="006D47B2">
            <w:pPr>
              <w:pStyle w:val="Tabletext"/>
              <w:rPr>
                <w:lang w:eastAsia="en-AU"/>
              </w:rPr>
            </w:pPr>
            <w:proofErr w:type="gramStart"/>
            <w:r w:rsidRPr="00173273">
              <w:rPr>
                <w:lang w:eastAsia="en-AU"/>
              </w:rPr>
              <w:t xml:space="preserve">PI 4.1 </w:t>
            </w:r>
            <w:r w:rsidR="00173273">
              <w:rPr>
                <w:lang w:eastAsia="en-AU"/>
              </w:rPr>
              <w:t>–</w:t>
            </w:r>
            <w:r w:rsidRPr="00173273">
              <w:rPr>
                <w:lang w:eastAsia="en-AU"/>
              </w:rPr>
              <w:t xml:space="preserve"> Percentage of inspections on </w:t>
            </w:r>
            <w:r w:rsidR="00F318AC" w:rsidRPr="00173273">
              <w:rPr>
                <w:lang w:eastAsia="en-AU"/>
              </w:rPr>
              <w:t>l</w:t>
            </w:r>
            <w:r w:rsidR="001F7A0E" w:rsidRPr="00173273">
              <w:rPr>
                <w:lang w:eastAsia="en-AU"/>
              </w:rPr>
              <w:t>icence holder</w:t>
            </w:r>
            <w:r w:rsidRPr="00173273">
              <w:rPr>
                <w:lang w:eastAsia="en-AU"/>
              </w:rPr>
              <w:t>s with a medium to high risk ranking (risk informed regulation)</w:t>
            </w:r>
            <w:r w:rsidR="0058535A">
              <w:rPr>
                <w:lang w:eastAsia="en-AU"/>
              </w:rPr>
              <w:t>.</w:t>
            </w:r>
            <w:proofErr w:type="gramEnd"/>
          </w:p>
        </w:tc>
        <w:tc>
          <w:tcPr>
            <w:tcW w:w="2945" w:type="dxa"/>
          </w:tcPr>
          <w:p w14:paraId="49890EEE" w14:textId="7F4F5BE5" w:rsidR="009C7EC4" w:rsidRPr="00173273" w:rsidRDefault="009C7EC4" w:rsidP="006D47B2">
            <w:pPr>
              <w:pStyle w:val="Tabletext"/>
              <w:rPr>
                <w:lang w:eastAsia="en-AU"/>
              </w:rPr>
            </w:pPr>
            <w:r w:rsidRPr="00173273">
              <w:rPr>
                <w:noProof/>
                <w:lang w:eastAsia="en-AU"/>
              </w:rPr>
              <mc:AlternateContent>
                <mc:Choice Requires="wps">
                  <w:drawing>
                    <wp:inline distT="0" distB="0" distL="0" distR="0" wp14:anchorId="4DEB0CA1" wp14:editId="3AA9A2A3">
                      <wp:extent cx="101600" cy="118533"/>
                      <wp:effectExtent l="0" t="0" r="12700" b="15240"/>
                      <wp:docPr id="19" name="Oval 19"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9"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" fillcolor="#f79646 [3209]" strokecolor="#974706 [1609]" strokeweight="2pt">
                      <w10:anchorlock/>
                    </v:oval>
                  </w:pict>
                </mc:Fallback>
              </mc:AlternateContent>
            </w:r>
            <w:r w:rsidR="008A5DC7">
              <w:rPr>
                <w:lang w:eastAsia="en-AU"/>
              </w:rPr>
              <w:t xml:space="preserve"> </w:t>
            </w:r>
            <w:r w:rsidRPr="00173273">
              <w:rPr>
                <w:lang w:eastAsia="en-AU"/>
              </w:rPr>
              <w:t xml:space="preserve">69% of inspections conducted on medium to </w:t>
            </w:r>
            <w:proofErr w:type="gramStart"/>
            <w:r w:rsidRPr="00173273">
              <w:rPr>
                <w:lang w:eastAsia="en-AU"/>
              </w:rPr>
              <w:t>high risk</w:t>
            </w:r>
            <w:proofErr w:type="gramEnd"/>
            <w:r w:rsidRPr="00173273">
              <w:rPr>
                <w:lang w:eastAsia="en-AU"/>
              </w:rPr>
              <w:t xml:space="preserve"> </w:t>
            </w:r>
            <w:r w:rsidR="00F318AC" w:rsidRPr="00173273">
              <w:rPr>
                <w:lang w:eastAsia="en-AU"/>
              </w:rPr>
              <w:t>l</w:t>
            </w:r>
            <w:r w:rsidR="001F7A0E" w:rsidRPr="00173273">
              <w:rPr>
                <w:lang w:eastAsia="en-AU"/>
              </w:rPr>
              <w:t>icence holder</w:t>
            </w:r>
            <w:r w:rsidRPr="00173273">
              <w:rPr>
                <w:lang w:eastAsia="en-AU"/>
              </w:rPr>
              <w:t>s – target (80%) not met.</w:t>
            </w:r>
          </w:p>
        </w:tc>
        <w:tc>
          <w:tcPr>
            <w:tcW w:w="4110" w:type="dxa"/>
          </w:tcPr>
          <w:p w14:paraId="2A0E992D" w14:textId="7C9DBFD7" w:rsidR="009C7EC4" w:rsidRPr="00173273" w:rsidRDefault="009C7EC4" w:rsidP="006D47B2">
            <w:pPr>
              <w:pStyle w:val="Tabletext"/>
              <w:numPr>
                <w:ilvl w:val="0"/>
                <w:numId w:val="40"/>
              </w:numPr>
              <w:ind w:left="303"/>
              <w:rPr>
                <w:lang w:eastAsia="en-AU"/>
              </w:rPr>
            </w:pPr>
            <w:r w:rsidRPr="00173273">
              <w:rPr>
                <w:lang w:eastAsia="en-AU"/>
              </w:rPr>
              <w:t>ARPANSA’s performance against this PI may be under</w:t>
            </w:r>
            <w:r w:rsidR="00F318AC" w:rsidRPr="00173273">
              <w:rPr>
                <w:lang w:eastAsia="en-AU"/>
              </w:rPr>
              <w:t>-</w:t>
            </w:r>
            <w:r w:rsidRPr="00173273">
              <w:rPr>
                <w:lang w:eastAsia="en-AU"/>
              </w:rPr>
              <w:t xml:space="preserve">represented due to the introduction of new strategies to improve the efficient allocation of resources to high and medium risk </w:t>
            </w:r>
            <w:r w:rsidR="00F318AC" w:rsidRPr="00173273">
              <w:rPr>
                <w:lang w:eastAsia="en-AU"/>
              </w:rPr>
              <w:t>l</w:t>
            </w:r>
            <w:r w:rsidR="001F7A0E" w:rsidRPr="00173273">
              <w:rPr>
                <w:lang w:eastAsia="en-AU"/>
              </w:rPr>
              <w:t>icence holder</w:t>
            </w:r>
            <w:r w:rsidRPr="00173273">
              <w:rPr>
                <w:lang w:eastAsia="en-AU"/>
              </w:rPr>
              <w:t>s.</w:t>
            </w:r>
          </w:p>
          <w:p w14:paraId="0D172F96" w14:textId="383CC959" w:rsidR="009C7EC4" w:rsidRPr="00173273" w:rsidRDefault="009C7EC4" w:rsidP="006D47B2">
            <w:pPr>
              <w:pStyle w:val="Tabletext"/>
              <w:numPr>
                <w:ilvl w:val="0"/>
                <w:numId w:val="40"/>
              </w:numPr>
              <w:ind w:left="303"/>
              <w:rPr>
                <w:lang w:eastAsia="en-AU"/>
              </w:rPr>
            </w:pPr>
            <w:r w:rsidRPr="00173273">
              <w:rPr>
                <w:lang w:eastAsia="en-AU"/>
              </w:rPr>
              <w:t>The introduction of e</w:t>
            </w:r>
            <w:r w:rsidR="00562BD1">
              <w:rPr>
                <w:lang w:eastAsia="en-AU"/>
              </w:rPr>
              <w:t>-</w:t>
            </w:r>
            <w:r w:rsidRPr="00173273">
              <w:rPr>
                <w:lang w:eastAsia="en-AU"/>
              </w:rPr>
              <w:t xml:space="preserve">inspections, which require less ARPANSA and stakeholder resources, increased the frequency of inspection for some low risk </w:t>
            </w:r>
            <w:r w:rsidR="001F7A0E" w:rsidRPr="00173273">
              <w:rPr>
                <w:lang w:eastAsia="en-AU"/>
              </w:rPr>
              <w:t>licence holder</w:t>
            </w:r>
            <w:r w:rsidRPr="00173273">
              <w:rPr>
                <w:lang w:eastAsia="en-AU"/>
              </w:rPr>
              <w:t>s.</w:t>
            </w:r>
          </w:p>
        </w:tc>
      </w:tr>
      <w:tr w:rsidR="0076133E" w:rsidRPr="00173273" w14:paraId="490E4903" w14:textId="77777777" w:rsidTr="008A5DC7">
        <w:trPr>
          <w:cantSplit/>
          <w:trHeight w:val="2623"/>
        </w:trPr>
        <w:tc>
          <w:tcPr>
            <w:tcW w:w="2692" w:type="dxa"/>
          </w:tcPr>
          <w:p w14:paraId="2900B410" w14:textId="293E8FA6" w:rsidR="009C7EC4" w:rsidRPr="00173273" w:rsidRDefault="009C7EC4" w:rsidP="006D47B2">
            <w:pPr>
              <w:pStyle w:val="Tabletext"/>
              <w:rPr>
                <w:lang w:eastAsia="en-AU"/>
              </w:rPr>
            </w:pPr>
            <w:r w:rsidRPr="00173273">
              <w:rPr>
                <w:lang w:eastAsia="en-AU"/>
              </w:rPr>
              <w:t xml:space="preserve">PI 4.2 </w:t>
            </w:r>
            <w:r w:rsidR="00173273">
              <w:rPr>
                <w:lang w:eastAsia="en-AU"/>
              </w:rPr>
              <w:t>–</w:t>
            </w:r>
            <w:r w:rsidRPr="00173273">
              <w:rPr>
                <w:lang w:eastAsia="en-AU"/>
              </w:rPr>
              <w:t xml:space="preserve"> Percentage of time that actions </w:t>
            </w:r>
            <w:proofErr w:type="gramStart"/>
            <w:r w:rsidRPr="00173273">
              <w:rPr>
                <w:lang w:eastAsia="en-AU"/>
              </w:rPr>
              <w:t>are initiated</w:t>
            </w:r>
            <w:proofErr w:type="gramEnd"/>
            <w:r w:rsidRPr="00173273">
              <w:rPr>
                <w:lang w:eastAsia="en-AU"/>
              </w:rPr>
              <w:t xml:space="preserve"> within three months of the issuance of a performance deficiency (light touch regulation)</w:t>
            </w:r>
            <w:r w:rsidR="0058535A">
              <w:rPr>
                <w:lang w:eastAsia="en-AU"/>
              </w:rPr>
              <w:t>.</w:t>
            </w:r>
          </w:p>
        </w:tc>
        <w:tc>
          <w:tcPr>
            <w:tcW w:w="2945" w:type="dxa"/>
          </w:tcPr>
          <w:p w14:paraId="1B08A407" w14:textId="705D0532" w:rsidR="009C7EC4" w:rsidRPr="00173273" w:rsidRDefault="009C7EC4" w:rsidP="006D47B2">
            <w:pPr>
              <w:pStyle w:val="Tabletext"/>
              <w:rPr>
                <w:lang w:eastAsia="en-AU"/>
              </w:rPr>
            </w:pPr>
            <w:r w:rsidRPr="00173273">
              <w:rPr>
                <w:noProof/>
                <w:lang w:eastAsia="en-AU"/>
              </w:rPr>
              <mc:AlternateContent>
                <mc:Choice Requires="wps">
                  <w:drawing>
                    <wp:inline distT="0" distB="0" distL="0" distR="0" wp14:anchorId="20AD47ED" wp14:editId="18D11C7C">
                      <wp:extent cx="101600" cy="118533"/>
                      <wp:effectExtent l="0" t="0" r="12700" b="15240"/>
                      <wp:docPr id="20" name="Oval 20"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0"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" fillcolor="#c0504d [3205]" strokecolor="#622423 [1605]" strokeweight="2pt">
                      <w10:anchorlock/>
                    </v:oval>
                  </w:pict>
                </mc:Fallback>
              </mc:AlternateContent>
            </w:r>
            <w:r w:rsidR="008A5DC7">
              <w:rPr>
                <w:lang w:eastAsia="en-AU"/>
              </w:rPr>
              <w:t xml:space="preserve"> </w:t>
            </w:r>
            <w:r w:rsidRPr="00173273">
              <w:rPr>
                <w:lang w:eastAsia="en-AU"/>
              </w:rPr>
              <w:t xml:space="preserve">35% of time that action </w:t>
            </w:r>
            <w:proofErr w:type="gramStart"/>
            <w:r w:rsidRPr="00173273">
              <w:rPr>
                <w:lang w:eastAsia="en-AU"/>
              </w:rPr>
              <w:t>is initiated</w:t>
            </w:r>
            <w:proofErr w:type="gramEnd"/>
            <w:r w:rsidRPr="00173273">
              <w:rPr>
                <w:lang w:eastAsia="en-AU"/>
              </w:rPr>
              <w:t xml:space="preserve"> within 3 months – target (50%) not met.</w:t>
            </w:r>
          </w:p>
        </w:tc>
        <w:tc>
          <w:tcPr>
            <w:tcW w:w="4110" w:type="dxa"/>
          </w:tcPr>
          <w:p w14:paraId="74686772" w14:textId="0C6904F6" w:rsidR="009C7EC4" w:rsidRPr="00173273" w:rsidRDefault="009C7EC4" w:rsidP="006D47B2">
            <w:pPr>
              <w:pStyle w:val="Tabletext"/>
              <w:numPr>
                <w:ilvl w:val="0"/>
                <w:numId w:val="40"/>
              </w:numPr>
              <w:ind w:left="303"/>
              <w:rPr>
                <w:lang w:eastAsia="en-AU"/>
              </w:rPr>
            </w:pPr>
            <w:r w:rsidRPr="00173273">
              <w:rPr>
                <w:lang w:eastAsia="en-AU"/>
              </w:rPr>
              <w:t>The actual percentage of actions initiated may be higher than the recorded figure. Developing the process for the recording of the data could address this issue. However, no data is available were inspectors did not follow up on whether an action has been initiated within three months.</w:t>
            </w:r>
          </w:p>
          <w:p w14:paraId="645576E0" w14:textId="5158255B" w:rsidR="009C7EC4" w:rsidRPr="00173273" w:rsidRDefault="009C7EC4" w:rsidP="006D47B2">
            <w:pPr>
              <w:pStyle w:val="Tabletext"/>
              <w:numPr>
                <w:ilvl w:val="0"/>
                <w:numId w:val="40"/>
              </w:numPr>
              <w:ind w:left="303"/>
              <w:rPr>
                <w:lang w:eastAsia="en-AU"/>
              </w:rPr>
            </w:pPr>
            <w:r w:rsidRPr="00173273">
              <w:rPr>
                <w:lang w:eastAsia="en-AU"/>
              </w:rPr>
              <w:t xml:space="preserve">Improvement in this PI </w:t>
            </w:r>
            <w:proofErr w:type="gramStart"/>
            <w:r w:rsidRPr="00173273">
              <w:rPr>
                <w:lang w:eastAsia="en-AU"/>
              </w:rPr>
              <w:t>is seen</w:t>
            </w:r>
            <w:proofErr w:type="gramEnd"/>
            <w:r w:rsidRPr="00173273">
              <w:rPr>
                <w:lang w:eastAsia="en-AU"/>
              </w:rPr>
              <w:t xml:space="preserve"> as a management priority. Improvements </w:t>
            </w:r>
            <w:proofErr w:type="gramStart"/>
            <w:r w:rsidRPr="00173273">
              <w:rPr>
                <w:lang w:eastAsia="en-AU"/>
              </w:rPr>
              <w:t>could be achieved</w:t>
            </w:r>
            <w:proofErr w:type="gramEnd"/>
            <w:r w:rsidRPr="00173273">
              <w:rPr>
                <w:lang w:eastAsia="en-AU"/>
              </w:rPr>
              <w:t xml:space="preserve"> through an increased focus on inspectors following up with </w:t>
            </w:r>
            <w:r w:rsidR="00F318AC" w:rsidRPr="00173273">
              <w:rPr>
                <w:lang w:eastAsia="en-AU"/>
              </w:rPr>
              <w:t>l</w:t>
            </w:r>
            <w:r w:rsidR="001F7A0E" w:rsidRPr="00173273">
              <w:rPr>
                <w:lang w:eastAsia="en-AU"/>
              </w:rPr>
              <w:t>icence holder</w:t>
            </w:r>
            <w:r w:rsidRPr="00173273">
              <w:rPr>
                <w:lang w:eastAsia="en-AU"/>
              </w:rPr>
              <w:t xml:space="preserve">s. </w:t>
            </w:r>
          </w:p>
          <w:p w14:paraId="3DBE4FF5" w14:textId="367D0E3B" w:rsidR="009C7EC4" w:rsidRPr="00173273" w:rsidRDefault="009C7EC4" w:rsidP="006D47B2">
            <w:pPr>
              <w:pStyle w:val="Tabletext"/>
              <w:numPr>
                <w:ilvl w:val="0"/>
                <w:numId w:val="40"/>
              </w:numPr>
              <w:ind w:left="303"/>
              <w:rPr>
                <w:lang w:eastAsia="en-AU"/>
              </w:rPr>
            </w:pPr>
            <w:r w:rsidRPr="00173273">
              <w:rPr>
                <w:lang w:eastAsia="en-AU"/>
              </w:rPr>
              <w:t xml:space="preserve">Use of the term performance deficiency is unpopular with </w:t>
            </w:r>
            <w:r w:rsidR="00151F6C" w:rsidRPr="00173273">
              <w:rPr>
                <w:lang w:eastAsia="en-AU"/>
              </w:rPr>
              <w:t>licence holder representatives</w:t>
            </w:r>
            <w:r w:rsidRPr="00173273">
              <w:rPr>
                <w:lang w:eastAsia="en-AU"/>
              </w:rPr>
              <w:t xml:space="preserve">. </w:t>
            </w:r>
          </w:p>
        </w:tc>
      </w:tr>
    </w:tbl>
    <w:p w14:paraId="4940D3EC" w14:textId="61E076CC" w:rsidR="009C7EC4" w:rsidRPr="00A9092B" w:rsidRDefault="009C7EC4" w:rsidP="00C91FB5">
      <w:pPr>
        <w:pStyle w:val="Heading3"/>
        <w:spacing w:before="200"/>
        <w:rPr>
          <w:lang w:eastAsia="en-AU"/>
        </w:rPr>
      </w:pPr>
      <w:bookmarkStart w:id="33" w:name="_Toc470173159"/>
      <w:r w:rsidRPr="00A9092B">
        <w:rPr>
          <w:lang w:eastAsia="en-AU"/>
        </w:rPr>
        <w:t>Other evidence to indicate compliance with KPI 4</w:t>
      </w:r>
      <w:bookmarkEnd w:id="33"/>
    </w:p>
    <w:p w14:paraId="570EECCF" w14:textId="3CDA60B9" w:rsidR="009C7EC4" w:rsidRPr="00A9092B" w:rsidRDefault="009C7EC4" w:rsidP="00C91FB5">
      <w:pPr>
        <w:spacing w:after="120"/>
        <w:rPr>
          <w:rFonts w:cs="Times New Roman"/>
          <w:bCs/>
          <w:lang w:eastAsia="en-AU"/>
        </w:rPr>
      </w:pPr>
      <w:r w:rsidRPr="00A9092B">
        <w:rPr>
          <w:rFonts w:cs="Times New Roman"/>
          <w:bCs/>
          <w:lang w:eastAsia="en-AU"/>
        </w:rPr>
        <w:t xml:space="preserve">A review of facility risk </w:t>
      </w:r>
      <w:r w:rsidR="00DB2693">
        <w:rPr>
          <w:rFonts w:cs="Times New Roman"/>
          <w:bCs/>
          <w:lang w:eastAsia="en-AU"/>
        </w:rPr>
        <w:t xml:space="preserve">ranking </w:t>
      </w:r>
      <w:r w:rsidRPr="00A9092B">
        <w:rPr>
          <w:rFonts w:cs="Times New Roman"/>
          <w:bCs/>
          <w:lang w:eastAsia="en-AU"/>
        </w:rPr>
        <w:t>takes place at least annually and following an inspection. Th</w:t>
      </w:r>
      <w:r w:rsidR="004926C6">
        <w:rPr>
          <w:rFonts w:cs="Times New Roman"/>
          <w:bCs/>
          <w:lang w:eastAsia="en-AU"/>
        </w:rPr>
        <w:t>e</w:t>
      </w:r>
      <w:r w:rsidRPr="00A9092B">
        <w:rPr>
          <w:rFonts w:cs="Times New Roman"/>
          <w:bCs/>
          <w:lang w:eastAsia="en-AU"/>
        </w:rPr>
        <w:t xml:space="preserve"> risk ranking determines inspection frequency and monitoring strategies. As such, facilities with a high level of control and demonstrated good performance can earn a higher level of autonomy.</w:t>
      </w:r>
      <w:r>
        <w:rPr>
          <w:rFonts w:cs="Times New Roman"/>
          <w:bCs/>
          <w:lang w:eastAsia="en-AU"/>
        </w:rPr>
        <w:t xml:space="preserve"> Source inspection frequencies are determined primarily on the inherent hazard of the source.</w:t>
      </w:r>
    </w:p>
    <w:p w14:paraId="31FA007F" w14:textId="56513DB2" w:rsidR="00215FE6" w:rsidRDefault="009C7EC4" w:rsidP="00C91FB5">
      <w:pPr>
        <w:spacing w:after="120"/>
        <w:rPr>
          <w:rFonts w:cs="Times New Roman"/>
          <w:bCs/>
          <w:lang w:eastAsia="en-AU"/>
        </w:rPr>
      </w:pPr>
      <w:r w:rsidRPr="004C00F1">
        <w:rPr>
          <w:rFonts w:cs="Times New Roman"/>
          <w:bCs/>
          <w:lang w:eastAsia="en-AU"/>
        </w:rPr>
        <w:t xml:space="preserve">Feedback from </w:t>
      </w:r>
      <w:r w:rsidR="00151F6C">
        <w:rPr>
          <w:rFonts w:cs="Times New Roman"/>
          <w:bCs/>
          <w:lang w:eastAsia="en-AU"/>
        </w:rPr>
        <w:t xml:space="preserve">a </w:t>
      </w:r>
      <w:r w:rsidR="004926C6" w:rsidRPr="00832072">
        <w:rPr>
          <w:rFonts w:cs="Times New Roman"/>
          <w:bCs/>
          <w:lang w:eastAsia="en-AU"/>
        </w:rPr>
        <w:t>l</w:t>
      </w:r>
      <w:r w:rsidR="001F7A0E" w:rsidRPr="00832072">
        <w:rPr>
          <w:rFonts w:cs="Times New Roman"/>
          <w:bCs/>
          <w:lang w:eastAsia="en-AU"/>
        </w:rPr>
        <w:t>icence holder</w:t>
      </w:r>
      <w:r w:rsidRPr="00832072">
        <w:rPr>
          <w:rFonts w:cs="Times New Roman"/>
          <w:bCs/>
          <w:lang w:eastAsia="en-AU"/>
        </w:rPr>
        <w:t xml:space="preserve"> </w:t>
      </w:r>
      <w:proofErr w:type="gramStart"/>
      <w:r w:rsidRPr="00832072">
        <w:rPr>
          <w:rFonts w:cs="Times New Roman"/>
          <w:bCs/>
          <w:lang w:eastAsia="en-AU"/>
        </w:rPr>
        <w:t xml:space="preserve">is </w:t>
      </w:r>
      <w:r w:rsidRPr="004C00F1">
        <w:rPr>
          <w:rFonts w:cs="Times New Roman"/>
          <w:bCs/>
          <w:lang w:eastAsia="en-AU"/>
        </w:rPr>
        <w:t>acted</w:t>
      </w:r>
      <w:proofErr w:type="gramEnd"/>
      <w:r w:rsidRPr="004C00F1">
        <w:rPr>
          <w:rFonts w:cs="Times New Roman"/>
          <w:bCs/>
          <w:lang w:eastAsia="en-AU"/>
        </w:rPr>
        <w:t xml:space="preserve"> on to streamline regulatory performance. For example</w:t>
      </w:r>
      <w:r w:rsidR="004926C6" w:rsidRPr="004C00F1">
        <w:rPr>
          <w:rFonts w:cs="Times New Roman"/>
          <w:bCs/>
          <w:lang w:eastAsia="en-AU"/>
        </w:rPr>
        <w:t>,</w:t>
      </w:r>
      <w:r w:rsidRPr="004C00F1">
        <w:rPr>
          <w:rFonts w:cs="Times New Roman"/>
          <w:bCs/>
          <w:lang w:eastAsia="en-AU"/>
        </w:rPr>
        <w:t xml:space="preserve"> </w:t>
      </w:r>
      <w:r w:rsidR="004C00F1" w:rsidRPr="004C00F1">
        <w:rPr>
          <w:rFonts w:cs="Times New Roman"/>
          <w:bCs/>
          <w:lang w:eastAsia="en-AU"/>
        </w:rPr>
        <w:t xml:space="preserve">licence holders with more than one type of licence have requested that inspections of sources and facilities </w:t>
      </w:r>
      <w:proofErr w:type="gramStart"/>
      <w:r w:rsidR="00832072">
        <w:rPr>
          <w:rFonts w:cs="Times New Roman"/>
          <w:bCs/>
          <w:lang w:eastAsia="en-AU"/>
        </w:rPr>
        <w:t>be</w:t>
      </w:r>
      <w:r w:rsidR="004C00F1" w:rsidRPr="004C00F1">
        <w:rPr>
          <w:rFonts w:cs="Times New Roman"/>
          <w:bCs/>
          <w:lang w:eastAsia="en-AU"/>
        </w:rPr>
        <w:t xml:space="preserve"> combined</w:t>
      </w:r>
      <w:proofErr w:type="gramEnd"/>
      <w:r w:rsidR="004C00F1" w:rsidRPr="004C00F1">
        <w:rPr>
          <w:rFonts w:cs="Times New Roman"/>
          <w:bCs/>
          <w:lang w:eastAsia="en-AU"/>
        </w:rPr>
        <w:t xml:space="preserve">. </w:t>
      </w:r>
      <w:r w:rsidRPr="00A9092B">
        <w:rPr>
          <w:rFonts w:cs="Times New Roman"/>
          <w:bCs/>
          <w:lang w:eastAsia="en-AU"/>
        </w:rPr>
        <w:t>ARPANSA has</w:t>
      </w:r>
      <w:r w:rsidR="00832072">
        <w:rPr>
          <w:rFonts w:cs="Times New Roman"/>
          <w:bCs/>
          <w:lang w:eastAsia="en-AU"/>
        </w:rPr>
        <w:t xml:space="preserve"> now</w:t>
      </w:r>
      <w:r w:rsidRPr="00A9092B">
        <w:rPr>
          <w:rFonts w:cs="Times New Roman"/>
          <w:bCs/>
          <w:lang w:eastAsia="en-AU"/>
        </w:rPr>
        <w:t xml:space="preserve"> implemented combined source and facility inspections to streamline the inspection process for </w:t>
      </w:r>
      <w:r w:rsidR="004C00F1">
        <w:rPr>
          <w:rFonts w:cs="Times New Roman"/>
          <w:bCs/>
          <w:lang w:eastAsia="en-AU"/>
        </w:rPr>
        <w:t xml:space="preserve">those </w:t>
      </w:r>
      <w:r w:rsidR="004926C6">
        <w:rPr>
          <w:rFonts w:cs="Times New Roman"/>
          <w:bCs/>
          <w:lang w:eastAsia="en-AU"/>
        </w:rPr>
        <w:t>l</w:t>
      </w:r>
      <w:r w:rsidR="001F7A0E">
        <w:rPr>
          <w:rFonts w:cs="Times New Roman"/>
          <w:bCs/>
          <w:lang w:eastAsia="en-AU"/>
        </w:rPr>
        <w:t>icence holder</w:t>
      </w:r>
      <w:r w:rsidRPr="00A9092B">
        <w:rPr>
          <w:rFonts w:cs="Times New Roman"/>
          <w:bCs/>
          <w:lang w:eastAsia="en-AU"/>
        </w:rPr>
        <w:t>s.</w:t>
      </w:r>
      <w:r>
        <w:rPr>
          <w:rFonts w:cs="Times New Roman"/>
          <w:bCs/>
          <w:lang w:eastAsia="en-AU"/>
        </w:rPr>
        <w:t xml:space="preserve"> </w:t>
      </w:r>
    </w:p>
    <w:p w14:paraId="7126F312" w14:textId="43B9BA02" w:rsidR="009C7EC4" w:rsidRPr="00215FE6" w:rsidRDefault="009C7EC4" w:rsidP="00C91FB5">
      <w:pPr>
        <w:pStyle w:val="Heading3"/>
        <w:rPr>
          <w:lang w:eastAsia="en-AU"/>
        </w:rPr>
      </w:pPr>
      <w:bookmarkStart w:id="34" w:name="_Toc470173160"/>
      <w:r w:rsidRPr="00A9092B">
        <w:rPr>
          <w:lang w:eastAsia="en-AU"/>
        </w:rPr>
        <w:lastRenderedPageBreak/>
        <w:t>Analysis of evidence presented</w:t>
      </w:r>
      <w:bookmarkEnd w:id="34"/>
    </w:p>
    <w:p w14:paraId="7E47E1C3" w14:textId="6B8BF72F" w:rsidR="009C7EC4" w:rsidRDefault="009C7EC4" w:rsidP="00C91FB5">
      <w:pPr>
        <w:autoSpaceDE w:val="0"/>
        <w:autoSpaceDN w:val="0"/>
        <w:adjustRightInd w:val="0"/>
        <w:spacing w:after="120"/>
        <w:rPr>
          <w:szCs w:val="24"/>
        </w:rPr>
      </w:pPr>
      <w:r w:rsidRPr="008077B9">
        <w:rPr>
          <w:szCs w:val="24"/>
        </w:rPr>
        <w:t xml:space="preserve">Overall </w:t>
      </w:r>
      <w:r>
        <w:rPr>
          <w:szCs w:val="24"/>
        </w:rPr>
        <w:t xml:space="preserve">performance </w:t>
      </w:r>
      <w:r w:rsidR="00AB47C3">
        <w:rPr>
          <w:szCs w:val="24"/>
        </w:rPr>
        <w:t xml:space="preserve">against this KPI </w:t>
      </w:r>
      <w:proofErr w:type="gramStart"/>
      <w:r>
        <w:rPr>
          <w:szCs w:val="24"/>
        </w:rPr>
        <w:t>was assessed</w:t>
      </w:r>
      <w:proofErr w:type="gramEnd"/>
      <w:r>
        <w:rPr>
          <w:szCs w:val="24"/>
        </w:rPr>
        <w:t xml:space="preserve"> as </w:t>
      </w:r>
      <w:r w:rsidR="00536E85">
        <w:rPr>
          <w:szCs w:val="24"/>
        </w:rPr>
        <w:t>g</w:t>
      </w:r>
      <w:r w:rsidR="00703266">
        <w:rPr>
          <w:szCs w:val="24"/>
        </w:rPr>
        <w:t>ood</w:t>
      </w:r>
      <w:r>
        <w:rPr>
          <w:szCs w:val="24"/>
        </w:rPr>
        <w:t xml:space="preserve">. This is based on evidence that there was a high level of </w:t>
      </w:r>
      <w:r w:rsidRPr="00B7323C">
        <w:rPr>
          <w:szCs w:val="24"/>
        </w:rPr>
        <w:t>transparency of inspection and monitoring arrangements</w:t>
      </w:r>
      <w:r>
        <w:rPr>
          <w:szCs w:val="24"/>
        </w:rPr>
        <w:t>,</w:t>
      </w:r>
      <w:r w:rsidRPr="00B7323C">
        <w:rPr>
          <w:szCs w:val="24"/>
        </w:rPr>
        <w:t xml:space="preserve"> </w:t>
      </w:r>
      <w:r>
        <w:rPr>
          <w:szCs w:val="24"/>
        </w:rPr>
        <w:t xml:space="preserve">feedback mechanisms in place </w:t>
      </w:r>
      <w:r w:rsidRPr="00B7323C">
        <w:rPr>
          <w:szCs w:val="24"/>
        </w:rPr>
        <w:t xml:space="preserve">to seek stakeholder views on </w:t>
      </w:r>
      <w:r w:rsidR="00740421">
        <w:rPr>
          <w:szCs w:val="24"/>
        </w:rPr>
        <w:t xml:space="preserve">the </w:t>
      </w:r>
      <w:r w:rsidRPr="00B7323C">
        <w:rPr>
          <w:szCs w:val="24"/>
        </w:rPr>
        <w:t>inspection and monitoring regime</w:t>
      </w:r>
      <w:r w:rsidR="00740421">
        <w:rPr>
          <w:szCs w:val="24"/>
        </w:rPr>
        <w:t>s</w:t>
      </w:r>
      <w:r>
        <w:rPr>
          <w:szCs w:val="24"/>
        </w:rPr>
        <w:t>, and m</w:t>
      </w:r>
      <w:r w:rsidRPr="00B7323C">
        <w:rPr>
          <w:szCs w:val="24"/>
        </w:rPr>
        <w:t>onitoring and enforcement strategies that allow for a range of regulatory responses.</w:t>
      </w:r>
    </w:p>
    <w:p w14:paraId="26ACE928" w14:textId="7396ADD9" w:rsidR="009C7EC4" w:rsidRPr="00B7323C" w:rsidRDefault="009C7EC4" w:rsidP="00C91FB5">
      <w:pPr>
        <w:autoSpaceDE w:val="0"/>
        <w:autoSpaceDN w:val="0"/>
        <w:adjustRightInd w:val="0"/>
        <w:spacing w:after="120"/>
        <w:rPr>
          <w:szCs w:val="24"/>
        </w:rPr>
      </w:pPr>
      <w:r>
        <w:rPr>
          <w:szCs w:val="24"/>
        </w:rPr>
        <w:t xml:space="preserve">While the PIs relate to the KPI, the measures used may not provide sufficient information </w:t>
      </w:r>
      <w:proofErr w:type="gramStart"/>
      <w:r>
        <w:rPr>
          <w:szCs w:val="24"/>
        </w:rPr>
        <w:t>to</w:t>
      </w:r>
      <w:r w:rsidR="00740421">
        <w:rPr>
          <w:szCs w:val="24"/>
        </w:rPr>
        <w:t xml:space="preserve"> </w:t>
      </w:r>
      <w:r w:rsidR="00A13E22">
        <w:rPr>
          <w:szCs w:val="24"/>
        </w:rPr>
        <w:t xml:space="preserve">fully and </w:t>
      </w:r>
      <w:r>
        <w:rPr>
          <w:szCs w:val="24"/>
        </w:rPr>
        <w:t>accurate</w:t>
      </w:r>
      <w:r w:rsidR="00A13E22">
        <w:rPr>
          <w:szCs w:val="24"/>
        </w:rPr>
        <w:t>ly</w:t>
      </w:r>
      <w:r>
        <w:rPr>
          <w:szCs w:val="24"/>
        </w:rPr>
        <w:t xml:space="preserve"> assess</w:t>
      </w:r>
      <w:proofErr w:type="gramEnd"/>
      <w:r>
        <w:rPr>
          <w:szCs w:val="24"/>
        </w:rPr>
        <w:t xml:space="preserve"> performance.</w:t>
      </w:r>
    </w:p>
    <w:p w14:paraId="52796BFC" w14:textId="4BE9AD35" w:rsidR="009C7EC4" w:rsidRDefault="009C7EC4" w:rsidP="00C91FB5">
      <w:pPr>
        <w:spacing w:after="120"/>
        <w:rPr>
          <w:szCs w:val="24"/>
        </w:rPr>
      </w:pPr>
      <w:r w:rsidRPr="00B91212">
        <w:rPr>
          <w:b/>
        </w:rPr>
        <w:t>PI 4.1</w:t>
      </w:r>
      <w:r w:rsidRPr="00A9092B">
        <w:rPr>
          <w:sz w:val="22"/>
        </w:rPr>
        <w:t xml:space="preserve"> </w:t>
      </w:r>
      <w:r w:rsidRPr="0022270F">
        <w:rPr>
          <w:szCs w:val="24"/>
        </w:rPr>
        <w:t>relates to the number of inspections performed on higher risk licences compared to the lower risk</w:t>
      </w:r>
      <w:r w:rsidR="002C20A9">
        <w:rPr>
          <w:szCs w:val="24"/>
        </w:rPr>
        <w:t xml:space="preserve"> licences</w:t>
      </w:r>
      <w:r w:rsidRPr="0022270F">
        <w:rPr>
          <w:szCs w:val="24"/>
        </w:rPr>
        <w:t>.</w:t>
      </w:r>
      <w:r w:rsidRPr="00A9092B">
        <w:rPr>
          <w:szCs w:val="24"/>
        </w:rPr>
        <w:t xml:space="preserve"> </w:t>
      </w:r>
      <w:r>
        <w:rPr>
          <w:szCs w:val="24"/>
        </w:rPr>
        <w:t xml:space="preserve">This PI represents how well ARPANSA targets resources to higher risk </w:t>
      </w:r>
      <w:r w:rsidR="002C20A9">
        <w:rPr>
          <w:szCs w:val="24"/>
        </w:rPr>
        <w:t>l</w:t>
      </w:r>
      <w:r w:rsidR="001F7A0E">
        <w:rPr>
          <w:szCs w:val="24"/>
        </w:rPr>
        <w:t>icence holder</w:t>
      </w:r>
      <w:r w:rsidR="002C20A9">
        <w:rPr>
          <w:szCs w:val="24"/>
        </w:rPr>
        <w:t>s</w:t>
      </w:r>
      <w:r>
        <w:rPr>
          <w:szCs w:val="24"/>
        </w:rPr>
        <w:t>.</w:t>
      </w:r>
    </w:p>
    <w:p w14:paraId="17309531" w14:textId="049734A2" w:rsidR="009C7EC4" w:rsidRDefault="009C7EC4" w:rsidP="00C91FB5">
      <w:pPr>
        <w:spacing w:after="120"/>
        <w:rPr>
          <w:szCs w:val="24"/>
        </w:rPr>
      </w:pPr>
      <w:r w:rsidRPr="00A9092B">
        <w:rPr>
          <w:szCs w:val="24"/>
        </w:rPr>
        <w:t>The team noted</w:t>
      </w:r>
      <w:r w:rsidR="002C20A9">
        <w:rPr>
          <w:szCs w:val="24"/>
        </w:rPr>
        <w:t xml:space="preserve"> that</w:t>
      </w:r>
      <w:r w:rsidRPr="00A9092B">
        <w:rPr>
          <w:szCs w:val="24"/>
        </w:rPr>
        <w:t xml:space="preserve"> since the establishment of this PI, the risk ranking method for source licences </w:t>
      </w:r>
      <w:proofErr w:type="gramStart"/>
      <w:r w:rsidR="00740421">
        <w:rPr>
          <w:szCs w:val="24"/>
        </w:rPr>
        <w:t>was</w:t>
      </w:r>
      <w:r w:rsidRPr="00A9092B">
        <w:rPr>
          <w:szCs w:val="24"/>
        </w:rPr>
        <w:t xml:space="preserve"> adjusted</w:t>
      </w:r>
      <w:proofErr w:type="gramEnd"/>
      <w:r w:rsidRPr="00A9092B">
        <w:rPr>
          <w:szCs w:val="24"/>
        </w:rPr>
        <w:t>.</w:t>
      </w:r>
      <w:r w:rsidR="008A5DC7">
        <w:rPr>
          <w:szCs w:val="24"/>
        </w:rPr>
        <w:t xml:space="preserve"> </w:t>
      </w:r>
      <w:r>
        <w:rPr>
          <w:szCs w:val="24"/>
        </w:rPr>
        <w:t xml:space="preserve">A large </w:t>
      </w:r>
      <w:r w:rsidR="00AF743F">
        <w:rPr>
          <w:szCs w:val="24"/>
        </w:rPr>
        <w:t xml:space="preserve">proportion </w:t>
      </w:r>
      <w:r>
        <w:rPr>
          <w:szCs w:val="24"/>
        </w:rPr>
        <w:t xml:space="preserve">of source licences are in the lower risk categories. These </w:t>
      </w:r>
      <w:r w:rsidR="002C20A9">
        <w:rPr>
          <w:szCs w:val="24"/>
        </w:rPr>
        <w:t xml:space="preserve">graded </w:t>
      </w:r>
      <w:r>
        <w:rPr>
          <w:szCs w:val="24"/>
        </w:rPr>
        <w:t xml:space="preserve">strategies help to meet the intention of the </w:t>
      </w:r>
      <w:r w:rsidRPr="00832072">
        <w:rPr>
          <w:szCs w:val="24"/>
        </w:rPr>
        <w:t>PI. However</w:t>
      </w:r>
      <w:r w:rsidR="00C20F71" w:rsidRPr="00832072">
        <w:rPr>
          <w:szCs w:val="24"/>
        </w:rPr>
        <w:t>,</w:t>
      </w:r>
      <w:r w:rsidRPr="00832072">
        <w:rPr>
          <w:szCs w:val="24"/>
        </w:rPr>
        <w:t xml:space="preserve"> the introduction of less resource</w:t>
      </w:r>
      <w:r w:rsidR="00644CAD" w:rsidRPr="00832072">
        <w:rPr>
          <w:szCs w:val="24"/>
        </w:rPr>
        <w:t>-</w:t>
      </w:r>
      <w:r w:rsidRPr="00832072">
        <w:rPr>
          <w:szCs w:val="24"/>
        </w:rPr>
        <w:t xml:space="preserve">intensive inspections may </w:t>
      </w:r>
      <w:r w:rsidR="00644CAD" w:rsidRPr="00832072">
        <w:rPr>
          <w:szCs w:val="24"/>
        </w:rPr>
        <w:t xml:space="preserve">result in an </w:t>
      </w:r>
      <w:r w:rsidRPr="00832072">
        <w:rPr>
          <w:szCs w:val="24"/>
        </w:rPr>
        <w:t>increase</w:t>
      </w:r>
      <w:r w:rsidR="00644CAD" w:rsidRPr="00832072">
        <w:rPr>
          <w:szCs w:val="24"/>
        </w:rPr>
        <w:t>d</w:t>
      </w:r>
      <w:r w:rsidRPr="00832072">
        <w:rPr>
          <w:szCs w:val="24"/>
        </w:rPr>
        <w:t xml:space="preserve"> number of low risk </w:t>
      </w:r>
      <w:proofErr w:type="gramStart"/>
      <w:r w:rsidRPr="00832072">
        <w:rPr>
          <w:szCs w:val="24"/>
        </w:rPr>
        <w:t>inspections which</w:t>
      </w:r>
      <w:proofErr w:type="gramEnd"/>
      <w:r w:rsidRPr="00832072">
        <w:rPr>
          <w:szCs w:val="24"/>
        </w:rPr>
        <w:t xml:space="preserve"> </w:t>
      </w:r>
      <w:r w:rsidR="00644CAD" w:rsidRPr="00832072">
        <w:rPr>
          <w:szCs w:val="24"/>
        </w:rPr>
        <w:t>may</w:t>
      </w:r>
      <w:r w:rsidRPr="00832072">
        <w:rPr>
          <w:szCs w:val="24"/>
        </w:rPr>
        <w:t xml:space="preserve"> </w:t>
      </w:r>
      <w:r w:rsidR="00832072" w:rsidRPr="00832072">
        <w:rPr>
          <w:szCs w:val="24"/>
        </w:rPr>
        <w:t>require an adjustment of the PI target</w:t>
      </w:r>
      <w:r w:rsidRPr="00832072">
        <w:rPr>
          <w:szCs w:val="24"/>
        </w:rPr>
        <w:t>.</w:t>
      </w:r>
      <w:r w:rsidR="00644CAD">
        <w:rPr>
          <w:szCs w:val="24"/>
        </w:rPr>
        <w:t xml:space="preserve"> </w:t>
      </w:r>
    </w:p>
    <w:p w14:paraId="3DD828D5" w14:textId="0767B327" w:rsidR="009C7EC4" w:rsidRPr="00A9092B" w:rsidRDefault="009C7EC4" w:rsidP="00C91FB5">
      <w:pPr>
        <w:spacing w:after="120"/>
        <w:rPr>
          <w:szCs w:val="24"/>
        </w:rPr>
      </w:pPr>
      <w:r>
        <w:rPr>
          <w:szCs w:val="24"/>
        </w:rPr>
        <w:t>The revised</w:t>
      </w:r>
      <w:r w:rsidRPr="00A9092B">
        <w:rPr>
          <w:szCs w:val="24"/>
        </w:rPr>
        <w:t xml:space="preserve"> source </w:t>
      </w:r>
      <w:r>
        <w:rPr>
          <w:szCs w:val="24"/>
        </w:rPr>
        <w:t>inspection schedule</w:t>
      </w:r>
      <w:r w:rsidRPr="00A9092B">
        <w:rPr>
          <w:szCs w:val="24"/>
        </w:rPr>
        <w:t xml:space="preserve"> </w:t>
      </w:r>
      <w:r>
        <w:rPr>
          <w:szCs w:val="24"/>
        </w:rPr>
        <w:t>retains the option to undertake</w:t>
      </w:r>
      <w:r w:rsidRPr="00A9092B">
        <w:rPr>
          <w:szCs w:val="24"/>
        </w:rPr>
        <w:t xml:space="preserve"> more inspections when poor safety performance </w:t>
      </w:r>
      <w:proofErr w:type="gramStart"/>
      <w:r w:rsidRPr="00A9092B">
        <w:rPr>
          <w:szCs w:val="24"/>
        </w:rPr>
        <w:t>is identified</w:t>
      </w:r>
      <w:proofErr w:type="gramEnd"/>
      <w:r>
        <w:rPr>
          <w:szCs w:val="24"/>
        </w:rPr>
        <w:t xml:space="preserve">. </w:t>
      </w:r>
      <w:r w:rsidRPr="00A9092B">
        <w:rPr>
          <w:szCs w:val="24"/>
        </w:rPr>
        <w:t>However</w:t>
      </w:r>
      <w:r>
        <w:rPr>
          <w:szCs w:val="24"/>
        </w:rPr>
        <w:t>,</w:t>
      </w:r>
      <w:r w:rsidRPr="00A9092B">
        <w:rPr>
          <w:szCs w:val="24"/>
        </w:rPr>
        <w:t xml:space="preserve"> there is no </w:t>
      </w:r>
      <w:r>
        <w:rPr>
          <w:szCs w:val="24"/>
        </w:rPr>
        <w:t>system in place</w:t>
      </w:r>
      <w:r w:rsidRPr="00A9092B">
        <w:rPr>
          <w:szCs w:val="24"/>
        </w:rPr>
        <w:t xml:space="preserve"> to reward good performance with reduced regulatory oversight</w:t>
      </w:r>
      <w:r>
        <w:rPr>
          <w:szCs w:val="24"/>
        </w:rPr>
        <w:t xml:space="preserve">, in line with the </w:t>
      </w:r>
      <w:r w:rsidR="00A406F0">
        <w:rPr>
          <w:szCs w:val="24"/>
        </w:rPr>
        <w:t>‘</w:t>
      </w:r>
      <w:r>
        <w:rPr>
          <w:szCs w:val="24"/>
        </w:rPr>
        <w:t>earned autonomy approach</w:t>
      </w:r>
      <w:r w:rsidR="00A406F0">
        <w:rPr>
          <w:szCs w:val="24"/>
        </w:rPr>
        <w:t>’</w:t>
      </w:r>
      <w:r>
        <w:rPr>
          <w:szCs w:val="24"/>
        </w:rPr>
        <w:t xml:space="preserve"> </w:t>
      </w:r>
      <w:r w:rsidR="00A406F0">
        <w:rPr>
          <w:szCs w:val="24"/>
        </w:rPr>
        <w:t>described</w:t>
      </w:r>
      <w:r>
        <w:rPr>
          <w:szCs w:val="24"/>
        </w:rPr>
        <w:t xml:space="preserve"> in </w:t>
      </w:r>
      <w:r w:rsidRPr="00A9092B">
        <w:rPr>
          <w:szCs w:val="24"/>
        </w:rPr>
        <w:t>the RPF.</w:t>
      </w:r>
      <w:r>
        <w:rPr>
          <w:szCs w:val="24"/>
        </w:rPr>
        <w:t xml:space="preserve"> Implementing a formal system for source licences may </w:t>
      </w:r>
      <w:r w:rsidR="00A406F0">
        <w:rPr>
          <w:szCs w:val="24"/>
        </w:rPr>
        <w:t xml:space="preserve">result </w:t>
      </w:r>
      <w:r>
        <w:rPr>
          <w:szCs w:val="24"/>
        </w:rPr>
        <w:t xml:space="preserve">in </w:t>
      </w:r>
      <w:r w:rsidR="00A5596F">
        <w:rPr>
          <w:szCs w:val="24"/>
        </w:rPr>
        <w:t xml:space="preserve">more </w:t>
      </w:r>
      <w:r>
        <w:rPr>
          <w:szCs w:val="24"/>
        </w:rPr>
        <w:t>appropriate resource allocation to meet this PI.</w:t>
      </w:r>
    </w:p>
    <w:p w14:paraId="28A3376A" w14:textId="02CDB83A" w:rsidR="009C7EC4" w:rsidRDefault="009C7EC4" w:rsidP="00C91FB5">
      <w:pPr>
        <w:spacing w:after="120"/>
        <w:rPr>
          <w:szCs w:val="24"/>
        </w:rPr>
      </w:pPr>
      <w:r>
        <w:rPr>
          <w:szCs w:val="24"/>
        </w:rPr>
        <w:t>The requirement for r</w:t>
      </w:r>
      <w:r w:rsidRPr="00B7323C">
        <w:rPr>
          <w:szCs w:val="24"/>
        </w:rPr>
        <w:t xml:space="preserve">egular review of monitoring and compliance strategies, including </w:t>
      </w:r>
      <w:r w:rsidR="00A406F0">
        <w:rPr>
          <w:szCs w:val="24"/>
        </w:rPr>
        <w:t>reduced regulatory oversight</w:t>
      </w:r>
      <w:r>
        <w:rPr>
          <w:szCs w:val="24"/>
        </w:rPr>
        <w:t xml:space="preserve"> w</w:t>
      </w:r>
      <w:r w:rsidR="00C663FB">
        <w:rPr>
          <w:szCs w:val="24"/>
        </w:rPr>
        <w:t>h</w:t>
      </w:r>
      <w:r>
        <w:rPr>
          <w:szCs w:val="24"/>
        </w:rPr>
        <w:t>ere app</w:t>
      </w:r>
      <w:r w:rsidR="00A406F0">
        <w:rPr>
          <w:szCs w:val="24"/>
        </w:rPr>
        <w:t>ropriate</w:t>
      </w:r>
      <w:r w:rsidR="00A720EE">
        <w:rPr>
          <w:szCs w:val="24"/>
        </w:rPr>
        <w:t>,</w:t>
      </w:r>
      <w:r>
        <w:rPr>
          <w:szCs w:val="24"/>
        </w:rPr>
        <w:t xml:space="preserve"> </w:t>
      </w:r>
      <w:proofErr w:type="gramStart"/>
      <w:r w:rsidR="00C663FB">
        <w:rPr>
          <w:szCs w:val="24"/>
        </w:rPr>
        <w:t xml:space="preserve">was </w:t>
      </w:r>
      <w:r>
        <w:rPr>
          <w:szCs w:val="24"/>
        </w:rPr>
        <w:t>seen</w:t>
      </w:r>
      <w:proofErr w:type="gramEnd"/>
      <w:r>
        <w:rPr>
          <w:szCs w:val="24"/>
        </w:rPr>
        <w:t xml:space="preserve"> as very positive. However, t</w:t>
      </w:r>
      <w:r w:rsidRPr="00A9092B">
        <w:rPr>
          <w:szCs w:val="24"/>
        </w:rPr>
        <w:t xml:space="preserve">here </w:t>
      </w:r>
      <w:r>
        <w:rPr>
          <w:szCs w:val="24"/>
        </w:rPr>
        <w:t>was</w:t>
      </w:r>
      <w:r w:rsidRPr="00A9092B">
        <w:rPr>
          <w:szCs w:val="24"/>
        </w:rPr>
        <w:t xml:space="preserve"> </w:t>
      </w:r>
      <w:r>
        <w:rPr>
          <w:szCs w:val="24"/>
        </w:rPr>
        <w:t>insufficient</w:t>
      </w:r>
      <w:r w:rsidRPr="00A9092B">
        <w:rPr>
          <w:szCs w:val="24"/>
        </w:rPr>
        <w:t xml:space="preserve"> evidence </w:t>
      </w:r>
      <w:r>
        <w:rPr>
          <w:szCs w:val="24"/>
        </w:rPr>
        <w:t>for the team to determine whether</w:t>
      </w:r>
      <w:r w:rsidRPr="00A9092B">
        <w:rPr>
          <w:szCs w:val="24"/>
        </w:rPr>
        <w:t xml:space="preserve"> </w:t>
      </w:r>
      <w:r w:rsidR="00EC5CB8" w:rsidRPr="00A9092B">
        <w:rPr>
          <w:szCs w:val="24"/>
        </w:rPr>
        <w:t>risk ranking</w:t>
      </w:r>
      <w:r w:rsidR="00EC5CB8">
        <w:rPr>
          <w:szCs w:val="24"/>
        </w:rPr>
        <w:t xml:space="preserve"> of f</w:t>
      </w:r>
      <w:r w:rsidRPr="00A9092B">
        <w:rPr>
          <w:szCs w:val="24"/>
        </w:rPr>
        <w:t>acilit</w:t>
      </w:r>
      <w:r w:rsidR="00EC5CB8">
        <w:rPr>
          <w:szCs w:val="24"/>
        </w:rPr>
        <w:t>ies</w:t>
      </w:r>
      <w:r w:rsidRPr="00A9092B">
        <w:rPr>
          <w:szCs w:val="24"/>
        </w:rPr>
        <w:t xml:space="preserve"> </w:t>
      </w:r>
      <w:r>
        <w:rPr>
          <w:szCs w:val="24"/>
        </w:rPr>
        <w:t xml:space="preserve">and </w:t>
      </w:r>
      <w:r w:rsidR="00EC5CB8">
        <w:rPr>
          <w:szCs w:val="24"/>
        </w:rPr>
        <w:t>s</w:t>
      </w:r>
      <w:r w:rsidRPr="00A9092B">
        <w:rPr>
          <w:szCs w:val="24"/>
        </w:rPr>
        <w:t>ource</w:t>
      </w:r>
      <w:r w:rsidR="00EC5CB8">
        <w:rPr>
          <w:szCs w:val="24"/>
        </w:rPr>
        <w:t>s</w:t>
      </w:r>
      <w:r w:rsidRPr="00A9092B">
        <w:rPr>
          <w:szCs w:val="24"/>
        </w:rPr>
        <w:t xml:space="preserve"> </w:t>
      </w:r>
      <w:proofErr w:type="gramStart"/>
      <w:r w:rsidR="006F278A">
        <w:rPr>
          <w:szCs w:val="24"/>
        </w:rPr>
        <w:t>is</w:t>
      </w:r>
      <w:r w:rsidRPr="00A9092B">
        <w:rPr>
          <w:szCs w:val="24"/>
        </w:rPr>
        <w:t xml:space="preserve"> </w:t>
      </w:r>
      <w:r w:rsidR="006F278A">
        <w:rPr>
          <w:szCs w:val="24"/>
        </w:rPr>
        <w:t xml:space="preserve">being </w:t>
      </w:r>
      <w:r w:rsidRPr="00A9092B">
        <w:rPr>
          <w:szCs w:val="24"/>
        </w:rPr>
        <w:t>consistently reviewed</w:t>
      </w:r>
      <w:proofErr w:type="gramEnd"/>
      <w:r w:rsidR="006F278A">
        <w:rPr>
          <w:szCs w:val="24"/>
        </w:rPr>
        <w:t xml:space="preserve">. </w:t>
      </w:r>
    </w:p>
    <w:p w14:paraId="1891B4A7" w14:textId="42011A15" w:rsidR="009C7EC4" w:rsidRPr="00A9092B" w:rsidRDefault="009C7EC4" w:rsidP="00C91FB5">
      <w:pPr>
        <w:spacing w:after="120"/>
        <w:rPr>
          <w:szCs w:val="24"/>
        </w:rPr>
      </w:pPr>
      <w:r w:rsidRPr="00A9092B">
        <w:rPr>
          <w:szCs w:val="24"/>
        </w:rPr>
        <w:t>In addition</w:t>
      </w:r>
      <w:r w:rsidR="00EE2F32">
        <w:rPr>
          <w:szCs w:val="24"/>
        </w:rPr>
        <w:t>,</w:t>
      </w:r>
      <w:r w:rsidRPr="00A9092B">
        <w:rPr>
          <w:szCs w:val="24"/>
        </w:rPr>
        <w:t xml:space="preserve"> there </w:t>
      </w:r>
      <w:r w:rsidR="00EE2F32">
        <w:rPr>
          <w:szCs w:val="24"/>
        </w:rPr>
        <w:t>wa</w:t>
      </w:r>
      <w:r w:rsidRPr="00A9092B">
        <w:rPr>
          <w:szCs w:val="24"/>
        </w:rPr>
        <w:t xml:space="preserve">s no evidence that </w:t>
      </w:r>
      <w:r w:rsidR="00F22CF3">
        <w:rPr>
          <w:szCs w:val="24"/>
        </w:rPr>
        <w:t>the</w:t>
      </w:r>
      <w:r w:rsidR="00F22CF3" w:rsidRPr="00A9092B">
        <w:rPr>
          <w:szCs w:val="24"/>
        </w:rPr>
        <w:t xml:space="preserve"> </w:t>
      </w:r>
      <w:r w:rsidR="00F22CF3">
        <w:rPr>
          <w:szCs w:val="24"/>
        </w:rPr>
        <w:t xml:space="preserve">inspection schedule </w:t>
      </w:r>
      <w:proofErr w:type="gramStart"/>
      <w:r w:rsidR="00F22CF3">
        <w:rPr>
          <w:szCs w:val="24"/>
        </w:rPr>
        <w:t>was</w:t>
      </w:r>
      <w:r w:rsidR="00F22CF3" w:rsidRPr="00A9092B">
        <w:rPr>
          <w:szCs w:val="24"/>
        </w:rPr>
        <w:t xml:space="preserve"> changed</w:t>
      </w:r>
      <w:proofErr w:type="gramEnd"/>
      <w:r w:rsidR="00F22CF3" w:rsidRPr="00A9092B">
        <w:rPr>
          <w:szCs w:val="24"/>
        </w:rPr>
        <w:t xml:space="preserve"> </w:t>
      </w:r>
      <w:r w:rsidR="00F22CF3">
        <w:rPr>
          <w:szCs w:val="24"/>
        </w:rPr>
        <w:t xml:space="preserve">to reflect changes in </w:t>
      </w:r>
      <w:r w:rsidRPr="00A9092B">
        <w:rPr>
          <w:szCs w:val="24"/>
        </w:rPr>
        <w:t xml:space="preserve">risk ranking. </w:t>
      </w:r>
      <w:r>
        <w:rPr>
          <w:szCs w:val="24"/>
        </w:rPr>
        <w:t xml:space="preserve">The team could not determine if this was due to </w:t>
      </w:r>
      <w:r w:rsidR="00C27A5C">
        <w:rPr>
          <w:szCs w:val="24"/>
        </w:rPr>
        <w:t>poor data recording</w:t>
      </w:r>
      <w:r w:rsidR="00F22CF3">
        <w:rPr>
          <w:szCs w:val="24"/>
        </w:rPr>
        <w:t xml:space="preserve"> </w:t>
      </w:r>
      <w:r w:rsidR="00EE2F32">
        <w:rPr>
          <w:szCs w:val="24"/>
        </w:rPr>
        <w:t>practice</w:t>
      </w:r>
      <w:r w:rsidR="00F22CF3">
        <w:rPr>
          <w:szCs w:val="24"/>
        </w:rPr>
        <w:t>s,</w:t>
      </w:r>
      <w:r>
        <w:rPr>
          <w:szCs w:val="24"/>
        </w:rPr>
        <w:t xml:space="preserve"> or that </w:t>
      </w:r>
      <w:r w:rsidR="00F22CF3">
        <w:rPr>
          <w:szCs w:val="24"/>
        </w:rPr>
        <w:t xml:space="preserve">the </w:t>
      </w:r>
      <w:r>
        <w:rPr>
          <w:szCs w:val="24"/>
        </w:rPr>
        <w:t xml:space="preserve">changes </w:t>
      </w:r>
      <w:proofErr w:type="gramStart"/>
      <w:r w:rsidR="00EE2F32">
        <w:rPr>
          <w:szCs w:val="24"/>
        </w:rPr>
        <w:t xml:space="preserve">had </w:t>
      </w:r>
      <w:r>
        <w:rPr>
          <w:szCs w:val="24"/>
        </w:rPr>
        <w:t xml:space="preserve">not </w:t>
      </w:r>
      <w:r w:rsidR="00EE2F32">
        <w:rPr>
          <w:szCs w:val="24"/>
        </w:rPr>
        <w:t xml:space="preserve">been </w:t>
      </w:r>
      <w:r>
        <w:rPr>
          <w:szCs w:val="24"/>
        </w:rPr>
        <w:t>made</w:t>
      </w:r>
      <w:proofErr w:type="gramEnd"/>
      <w:r>
        <w:rPr>
          <w:szCs w:val="24"/>
        </w:rPr>
        <w:t>.</w:t>
      </w:r>
    </w:p>
    <w:p w14:paraId="28CC27A9" w14:textId="1A73AB0E" w:rsidR="009C7EC4" w:rsidRPr="00F9453F" w:rsidRDefault="009C7EC4" w:rsidP="00C91FB5">
      <w:pPr>
        <w:spacing w:after="120"/>
        <w:rPr>
          <w:szCs w:val="24"/>
        </w:rPr>
      </w:pPr>
      <w:r w:rsidRPr="00B91212">
        <w:rPr>
          <w:b/>
        </w:rPr>
        <w:t>PI 4.2</w:t>
      </w:r>
      <w:r w:rsidRPr="00B91212">
        <w:t xml:space="preserve"> relates</w:t>
      </w:r>
      <w:r w:rsidRPr="00F9453F">
        <w:rPr>
          <w:szCs w:val="24"/>
        </w:rPr>
        <w:t xml:space="preserve"> to initiat</w:t>
      </w:r>
      <w:r w:rsidR="00CF52DE">
        <w:rPr>
          <w:szCs w:val="24"/>
        </w:rPr>
        <w:t>ion of action</w:t>
      </w:r>
      <w:r w:rsidRPr="00F9453F">
        <w:rPr>
          <w:szCs w:val="24"/>
        </w:rPr>
        <w:t xml:space="preserve"> to address a performance deficiency within </w:t>
      </w:r>
      <w:r>
        <w:rPr>
          <w:szCs w:val="24"/>
        </w:rPr>
        <w:t>three</w:t>
      </w:r>
      <w:r w:rsidRPr="00F9453F">
        <w:rPr>
          <w:szCs w:val="24"/>
        </w:rPr>
        <w:t xml:space="preserve"> months. </w:t>
      </w:r>
      <w:r w:rsidR="001B3F78">
        <w:rPr>
          <w:szCs w:val="24"/>
        </w:rPr>
        <w:t xml:space="preserve">The </w:t>
      </w:r>
      <w:r>
        <w:rPr>
          <w:szCs w:val="24"/>
        </w:rPr>
        <w:t xml:space="preserve">PI shows the effectiveness of light touch regulation, allowing </w:t>
      </w:r>
      <w:r w:rsidR="00151F6C">
        <w:rPr>
          <w:szCs w:val="24"/>
        </w:rPr>
        <w:t xml:space="preserve">a </w:t>
      </w:r>
      <w:r w:rsidR="00EE2F32">
        <w:rPr>
          <w:szCs w:val="24"/>
        </w:rPr>
        <w:t>l</w:t>
      </w:r>
      <w:r w:rsidR="001F7A0E">
        <w:rPr>
          <w:szCs w:val="24"/>
        </w:rPr>
        <w:t>icence holder</w:t>
      </w:r>
      <w:r>
        <w:rPr>
          <w:szCs w:val="24"/>
        </w:rPr>
        <w:t xml:space="preserve"> to </w:t>
      </w:r>
      <w:r w:rsidR="004C6D0D">
        <w:rPr>
          <w:szCs w:val="24"/>
        </w:rPr>
        <w:t xml:space="preserve">address </w:t>
      </w:r>
      <w:r>
        <w:rPr>
          <w:szCs w:val="24"/>
        </w:rPr>
        <w:t>issues with reduced regulatory interference.</w:t>
      </w:r>
    </w:p>
    <w:p w14:paraId="3B1A52B1" w14:textId="3814EB7B" w:rsidR="009C7EC4" w:rsidRDefault="009C7EC4" w:rsidP="00C91FB5">
      <w:pPr>
        <w:spacing w:after="120"/>
        <w:rPr>
          <w:szCs w:val="24"/>
        </w:rPr>
      </w:pPr>
      <w:r>
        <w:rPr>
          <w:szCs w:val="24"/>
        </w:rPr>
        <w:t xml:space="preserve">There was some evidence that inspectors may not always follow up </w:t>
      </w:r>
      <w:r w:rsidR="00CF52DE">
        <w:rPr>
          <w:szCs w:val="24"/>
        </w:rPr>
        <w:t xml:space="preserve">on performance deficiencies </w:t>
      </w:r>
      <w:r>
        <w:rPr>
          <w:szCs w:val="24"/>
        </w:rPr>
        <w:t xml:space="preserve">to determine if actions </w:t>
      </w:r>
      <w:proofErr w:type="gramStart"/>
      <w:r>
        <w:rPr>
          <w:szCs w:val="24"/>
        </w:rPr>
        <w:t>are taken</w:t>
      </w:r>
      <w:proofErr w:type="gramEnd"/>
      <w:r>
        <w:rPr>
          <w:szCs w:val="24"/>
        </w:rPr>
        <w:t xml:space="preserve"> in a timely manner. </w:t>
      </w:r>
      <w:r w:rsidR="00BE2296">
        <w:rPr>
          <w:szCs w:val="24"/>
        </w:rPr>
        <w:t>Therefore,</w:t>
      </w:r>
      <w:r>
        <w:rPr>
          <w:szCs w:val="24"/>
        </w:rPr>
        <w:t xml:space="preserve"> the </w:t>
      </w:r>
      <w:r w:rsidR="00CF2C3E">
        <w:rPr>
          <w:szCs w:val="24"/>
        </w:rPr>
        <w:t xml:space="preserve">performance against </w:t>
      </w:r>
      <w:r w:rsidR="00B71959">
        <w:rPr>
          <w:szCs w:val="24"/>
        </w:rPr>
        <w:t xml:space="preserve">this PI </w:t>
      </w:r>
      <w:r w:rsidR="00335C49">
        <w:rPr>
          <w:szCs w:val="24"/>
        </w:rPr>
        <w:t xml:space="preserve">may be </w:t>
      </w:r>
      <w:r w:rsidR="00CF2C3E">
        <w:rPr>
          <w:szCs w:val="24"/>
        </w:rPr>
        <w:t xml:space="preserve">better </w:t>
      </w:r>
      <w:r w:rsidR="00335C49">
        <w:rPr>
          <w:szCs w:val="24"/>
        </w:rPr>
        <w:t xml:space="preserve">than </w:t>
      </w:r>
      <w:r w:rsidR="00E83243">
        <w:rPr>
          <w:szCs w:val="24"/>
        </w:rPr>
        <w:t>t</w:t>
      </w:r>
      <w:r w:rsidR="00335C49">
        <w:rPr>
          <w:szCs w:val="24"/>
        </w:rPr>
        <w:t xml:space="preserve">hat </w:t>
      </w:r>
      <w:r>
        <w:rPr>
          <w:szCs w:val="24"/>
        </w:rPr>
        <w:t xml:space="preserve">recorded. </w:t>
      </w:r>
    </w:p>
    <w:p w14:paraId="7BE31109" w14:textId="22E41728" w:rsidR="009C7EC4" w:rsidRPr="00A9092B" w:rsidRDefault="009C7EC4" w:rsidP="00C91FB5">
      <w:pPr>
        <w:spacing w:after="120"/>
        <w:rPr>
          <w:szCs w:val="24"/>
        </w:rPr>
      </w:pPr>
      <w:r w:rsidRPr="00137A8F">
        <w:rPr>
          <w:szCs w:val="24"/>
        </w:rPr>
        <w:t>There appeared to be some differences in how</w:t>
      </w:r>
      <w:r w:rsidR="0052726A" w:rsidRPr="00137A8F">
        <w:rPr>
          <w:szCs w:val="24"/>
        </w:rPr>
        <w:t xml:space="preserve"> inspectors</w:t>
      </w:r>
      <w:r w:rsidRPr="00137A8F">
        <w:rPr>
          <w:szCs w:val="24"/>
        </w:rPr>
        <w:t xml:space="preserve"> interpreted</w:t>
      </w:r>
      <w:r w:rsidR="0052726A" w:rsidRPr="00137A8F">
        <w:rPr>
          <w:szCs w:val="24"/>
        </w:rPr>
        <w:t xml:space="preserve"> the term</w:t>
      </w:r>
      <w:r w:rsidRPr="00137A8F">
        <w:rPr>
          <w:szCs w:val="24"/>
        </w:rPr>
        <w:t xml:space="preserve"> ‘action </w:t>
      </w:r>
      <w:proofErr w:type="gramStart"/>
      <w:r w:rsidRPr="00137A8F">
        <w:rPr>
          <w:szCs w:val="24"/>
        </w:rPr>
        <w:t>initiated’ which</w:t>
      </w:r>
      <w:proofErr w:type="gramEnd"/>
      <w:r w:rsidRPr="00137A8F">
        <w:rPr>
          <w:szCs w:val="24"/>
        </w:rPr>
        <w:t xml:space="preserve"> may </w:t>
      </w:r>
      <w:r w:rsidR="0052726A" w:rsidRPr="00137A8F">
        <w:rPr>
          <w:szCs w:val="24"/>
        </w:rPr>
        <w:t xml:space="preserve">also </w:t>
      </w:r>
      <w:r w:rsidRPr="00137A8F">
        <w:rPr>
          <w:szCs w:val="24"/>
        </w:rPr>
        <w:t xml:space="preserve">affect the PI. </w:t>
      </w:r>
      <w:r w:rsidR="00B44E8D" w:rsidRPr="00137A8F">
        <w:rPr>
          <w:szCs w:val="24"/>
        </w:rPr>
        <w:t xml:space="preserve">Training was provided on this issue in February </w:t>
      </w:r>
      <w:proofErr w:type="gramStart"/>
      <w:r w:rsidR="00B44E8D" w:rsidRPr="00137A8F">
        <w:rPr>
          <w:szCs w:val="24"/>
        </w:rPr>
        <w:t>2016 which</w:t>
      </w:r>
      <w:proofErr w:type="gramEnd"/>
      <w:r w:rsidR="00B44E8D" w:rsidRPr="00137A8F">
        <w:rPr>
          <w:szCs w:val="24"/>
        </w:rPr>
        <w:t xml:space="preserve"> has helped to clarify the term.</w:t>
      </w:r>
    </w:p>
    <w:p w14:paraId="51118413" w14:textId="109B0961" w:rsidR="009C7EC4" w:rsidRPr="00A9092B" w:rsidRDefault="009C7EC4" w:rsidP="00C91FB5">
      <w:pPr>
        <w:spacing w:after="120"/>
        <w:rPr>
          <w:szCs w:val="24"/>
        </w:rPr>
      </w:pPr>
      <w:r w:rsidRPr="00A9092B">
        <w:rPr>
          <w:szCs w:val="24"/>
        </w:rPr>
        <w:t xml:space="preserve">The use of the term </w:t>
      </w:r>
      <w:r w:rsidR="0052726A">
        <w:rPr>
          <w:szCs w:val="24"/>
        </w:rPr>
        <w:t>‘</w:t>
      </w:r>
      <w:r w:rsidRPr="00A9092B">
        <w:rPr>
          <w:szCs w:val="24"/>
        </w:rPr>
        <w:t>performance deficienc</w:t>
      </w:r>
      <w:r w:rsidR="0052726A">
        <w:rPr>
          <w:szCs w:val="24"/>
        </w:rPr>
        <w:t>y’</w:t>
      </w:r>
      <w:r w:rsidRPr="00A9092B">
        <w:rPr>
          <w:szCs w:val="24"/>
        </w:rPr>
        <w:t xml:space="preserve"> is unpopular among </w:t>
      </w:r>
      <w:r w:rsidR="00151F6C">
        <w:rPr>
          <w:szCs w:val="24"/>
        </w:rPr>
        <w:t>licence holder representatives</w:t>
      </w:r>
      <w:r w:rsidRPr="00A9092B">
        <w:rPr>
          <w:szCs w:val="24"/>
        </w:rPr>
        <w:t xml:space="preserve"> who have indicated that it implies a more severe issue than has </w:t>
      </w:r>
      <w:r w:rsidR="004A1DA4">
        <w:rPr>
          <w:szCs w:val="24"/>
        </w:rPr>
        <w:t xml:space="preserve">often </w:t>
      </w:r>
      <w:r w:rsidRPr="00A9092B">
        <w:rPr>
          <w:szCs w:val="24"/>
        </w:rPr>
        <w:t>been identified.</w:t>
      </w:r>
      <w:r>
        <w:rPr>
          <w:szCs w:val="24"/>
        </w:rPr>
        <w:t xml:space="preserve"> There </w:t>
      </w:r>
      <w:r w:rsidR="0052726A">
        <w:rPr>
          <w:szCs w:val="24"/>
        </w:rPr>
        <w:t xml:space="preserve">were </w:t>
      </w:r>
      <w:r>
        <w:rPr>
          <w:szCs w:val="24"/>
        </w:rPr>
        <w:t xml:space="preserve">also concerns </w:t>
      </w:r>
      <w:proofErr w:type="gramStart"/>
      <w:r>
        <w:rPr>
          <w:szCs w:val="24"/>
        </w:rPr>
        <w:t>raised</w:t>
      </w:r>
      <w:proofErr w:type="gramEnd"/>
      <w:r>
        <w:rPr>
          <w:szCs w:val="24"/>
        </w:rPr>
        <w:t xml:space="preserve"> that there is variation in how individual </w:t>
      </w:r>
      <w:r w:rsidR="00F50188">
        <w:rPr>
          <w:szCs w:val="24"/>
        </w:rPr>
        <w:t xml:space="preserve">inspectors </w:t>
      </w:r>
      <w:r>
        <w:rPr>
          <w:szCs w:val="24"/>
        </w:rPr>
        <w:t xml:space="preserve">find and determine a performance deficiency. It was not clear if this is due to changes in processes or differences </w:t>
      </w:r>
      <w:r w:rsidR="00A720EE">
        <w:rPr>
          <w:szCs w:val="24"/>
        </w:rPr>
        <w:t xml:space="preserve">of approach </w:t>
      </w:r>
      <w:r w:rsidR="00F50188">
        <w:rPr>
          <w:szCs w:val="24"/>
        </w:rPr>
        <w:t xml:space="preserve">between </w:t>
      </w:r>
      <w:r>
        <w:rPr>
          <w:szCs w:val="24"/>
        </w:rPr>
        <w:t xml:space="preserve">inspectors. For example, </w:t>
      </w:r>
      <w:r w:rsidR="009A1BF5">
        <w:rPr>
          <w:szCs w:val="24"/>
        </w:rPr>
        <w:t xml:space="preserve">some </w:t>
      </w:r>
      <w:r w:rsidRPr="00A9092B">
        <w:rPr>
          <w:szCs w:val="24"/>
        </w:rPr>
        <w:t xml:space="preserve">source </w:t>
      </w:r>
      <w:r w:rsidRPr="00A9092B">
        <w:rPr>
          <w:szCs w:val="24"/>
        </w:rPr>
        <w:lastRenderedPageBreak/>
        <w:t xml:space="preserve">inspections </w:t>
      </w:r>
      <w:proofErr w:type="gramStart"/>
      <w:r w:rsidR="00E44096">
        <w:rPr>
          <w:szCs w:val="24"/>
        </w:rPr>
        <w:t>were not based</w:t>
      </w:r>
      <w:proofErr w:type="gramEnd"/>
      <w:r w:rsidR="00E44096">
        <w:rPr>
          <w:szCs w:val="24"/>
        </w:rPr>
        <w:t xml:space="preserve"> on</w:t>
      </w:r>
      <w:r w:rsidRPr="00A9092B">
        <w:rPr>
          <w:szCs w:val="24"/>
        </w:rPr>
        <w:t xml:space="preserve"> the PO</w:t>
      </w:r>
      <w:r w:rsidR="008701BF">
        <w:rPr>
          <w:szCs w:val="24"/>
        </w:rPr>
        <w:t>&amp;</w:t>
      </w:r>
      <w:r w:rsidRPr="00A9092B">
        <w:rPr>
          <w:szCs w:val="24"/>
        </w:rPr>
        <w:t>Cs</w:t>
      </w:r>
      <w:r>
        <w:rPr>
          <w:szCs w:val="24"/>
        </w:rPr>
        <w:t xml:space="preserve">, instead using </w:t>
      </w:r>
      <w:r w:rsidR="00F50188">
        <w:rPr>
          <w:szCs w:val="24"/>
        </w:rPr>
        <w:t xml:space="preserve">internal </w:t>
      </w:r>
      <w:r w:rsidRPr="00A9092B">
        <w:rPr>
          <w:szCs w:val="24"/>
        </w:rPr>
        <w:t xml:space="preserve">checklists </w:t>
      </w:r>
      <w:r w:rsidR="00F50188">
        <w:rPr>
          <w:szCs w:val="24"/>
        </w:rPr>
        <w:t xml:space="preserve">that </w:t>
      </w:r>
      <w:r w:rsidRPr="00A9092B">
        <w:rPr>
          <w:szCs w:val="24"/>
        </w:rPr>
        <w:t xml:space="preserve">are not available to </w:t>
      </w:r>
      <w:r w:rsidR="00151F6C">
        <w:rPr>
          <w:szCs w:val="24"/>
        </w:rPr>
        <w:t xml:space="preserve">a </w:t>
      </w:r>
      <w:r w:rsidR="00F50188">
        <w:rPr>
          <w:szCs w:val="24"/>
        </w:rPr>
        <w:t>l</w:t>
      </w:r>
      <w:r w:rsidR="001F7A0E">
        <w:rPr>
          <w:szCs w:val="24"/>
        </w:rPr>
        <w:t>icence holder</w:t>
      </w:r>
      <w:r w:rsidRPr="00A9092B">
        <w:rPr>
          <w:szCs w:val="24"/>
        </w:rPr>
        <w:t xml:space="preserve">. </w:t>
      </w:r>
    </w:p>
    <w:p w14:paraId="2804A5D8" w14:textId="7FFC19B0" w:rsidR="009C7EC4" w:rsidRPr="00A9092B" w:rsidRDefault="00562BD1" w:rsidP="00C91FB5">
      <w:pPr>
        <w:pStyle w:val="Heading3"/>
        <w:rPr>
          <w:lang w:eastAsia="en-AU"/>
        </w:rPr>
      </w:pPr>
      <w:bookmarkStart w:id="35" w:name="_Toc470173161"/>
      <w:r>
        <w:rPr>
          <w:lang w:eastAsia="en-AU"/>
        </w:rPr>
        <w:t>Self-</w:t>
      </w:r>
      <w:r w:rsidR="009C7EC4" w:rsidRPr="00A9092B">
        <w:rPr>
          <w:lang w:eastAsia="en-AU"/>
        </w:rPr>
        <w:t>assessed rating of performance against KPI 4 – 2015-16</w:t>
      </w:r>
      <w:bookmarkEnd w:id="35"/>
    </w:p>
    <w:tbl>
      <w:tblPr>
        <w:tblStyle w:val="TableGrid"/>
        <w:tblW w:w="9781" w:type="dxa"/>
        <w:tblInd w:w="108" w:type="dxa"/>
        <w:tblLook w:val="04A0" w:firstRow="1" w:lastRow="0" w:firstColumn="1" w:lastColumn="0" w:noHBand="0" w:noVBand="1"/>
        <w:tblDescription w:val="Chapter 2.4.5 table contains a list of performance ratings against Key Performance Indicator (KPI) 4 of the 2015-16 Regulator Performance Framework. "/>
      </w:tblPr>
      <w:tblGrid>
        <w:gridCol w:w="1560"/>
        <w:gridCol w:w="2976"/>
        <w:gridCol w:w="1843"/>
        <w:gridCol w:w="1701"/>
        <w:gridCol w:w="1701"/>
      </w:tblGrid>
      <w:tr w:rsidR="00C872A1" w:rsidRPr="008A5DC7" w14:paraId="0F6D4569" w14:textId="77777777" w:rsidTr="001D1106">
        <w:trPr>
          <w:cantSplit/>
          <w:tblHeader/>
        </w:trPr>
        <w:tc>
          <w:tcPr>
            <w:tcW w:w="1560" w:type="dxa"/>
          </w:tcPr>
          <w:p w14:paraId="555B1A3F"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Excellent</w:t>
            </w:r>
          </w:p>
          <w:p w14:paraId="230AC75E" w14:textId="62CD09CD" w:rsidR="009C7EC4" w:rsidRPr="008A5DC7" w:rsidRDefault="008A5DC7" w:rsidP="00C91FB5">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 xml:space="preserve">Strong </w:t>
            </w:r>
            <w:r w:rsidR="009C7EC4" w:rsidRPr="008A5DC7">
              <w:rPr>
                <w:rFonts w:cs="Times New Roman"/>
                <w:bCs/>
                <w:sz w:val="20"/>
                <w:szCs w:val="20"/>
                <w:lang w:eastAsia="en-AU"/>
              </w:rPr>
              <w:t>performance against all the measures under the KPI</w:t>
            </w:r>
          </w:p>
        </w:tc>
        <w:tc>
          <w:tcPr>
            <w:tcW w:w="2976" w:type="dxa"/>
          </w:tcPr>
          <w:p w14:paraId="6F8F2AE0"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Very Good</w:t>
            </w:r>
          </w:p>
          <w:p w14:paraId="626CC963" w14:textId="41756827" w:rsidR="009C7EC4" w:rsidRPr="008A5DC7" w:rsidRDefault="008A5DC7" w:rsidP="00C91FB5">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 xml:space="preserve">Strong </w:t>
            </w:r>
            <w:r w:rsidR="009C7EC4" w:rsidRPr="008A5DC7">
              <w:rPr>
                <w:rFonts w:cs="Times New Roman"/>
                <w:bCs/>
                <w:sz w:val="20"/>
                <w:szCs w:val="20"/>
                <w:lang w:eastAsia="en-AU"/>
              </w:rPr>
              <w:t>performance against majority of the measures under the KPI and no evidence of negative/poor performance against any measure</w:t>
            </w:r>
          </w:p>
        </w:tc>
        <w:tc>
          <w:tcPr>
            <w:tcW w:w="1843" w:type="dxa"/>
            <w:shd w:val="clear" w:color="auto" w:fill="D6E3BC" w:themeFill="accent3" w:themeFillTint="66"/>
          </w:tcPr>
          <w:p w14:paraId="0276B81B"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Good</w:t>
            </w:r>
          </w:p>
          <w:p w14:paraId="1F818ED2" w14:textId="792B0BD5" w:rsidR="009C7EC4" w:rsidRPr="008A5DC7" w:rsidRDefault="008A5DC7" w:rsidP="00C91FB5">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 xml:space="preserve">Average </w:t>
            </w:r>
            <w:r w:rsidR="009C7EC4" w:rsidRPr="008A5DC7">
              <w:rPr>
                <w:rFonts w:cs="Times New Roman"/>
                <w:bCs/>
                <w:sz w:val="20"/>
                <w:szCs w:val="20"/>
                <w:lang w:eastAsia="en-AU"/>
              </w:rPr>
              <w:t>performance against the measures under the KPI</w:t>
            </w:r>
          </w:p>
        </w:tc>
        <w:tc>
          <w:tcPr>
            <w:tcW w:w="1701" w:type="dxa"/>
            <w:shd w:val="clear" w:color="auto" w:fill="FFFFFF" w:themeFill="background1"/>
          </w:tcPr>
          <w:p w14:paraId="4850CBCF"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Fair</w:t>
            </w:r>
          </w:p>
          <w:p w14:paraId="5EA7938C" w14:textId="77777777" w:rsidR="009C7EC4" w:rsidRPr="008A5DC7" w:rsidRDefault="009C7EC4" w:rsidP="00C91FB5">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Poor performance against some measures under the KPI</w:t>
            </w:r>
          </w:p>
        </w:tc>
        <w:tc>
          <w:tcPr>
            <w:tcW w:w="1701" w:type="dxa"/>
          </w:tcPr>
          <w:p w14:paraId="5DD44969" w14:textId="77777777" w:rsidR="009C7EC4" w:rsidRPr="006D47B2" w:rsidRDefault="009C7EC4" w:rsidP="00C91FB5">
            <w:pPr>
              <w:autoSpaceDE w:val="0"/>
              <w:autoSpaceDN w:val="0"/>
              <w:adjustRightInd w:val="0"/>
              <w:spacing w:before="120" w:after="120"/>
              <w:jc w:val="center"/>
              <w:rPr>
                <w:rStyle w:val="Strong"/>
              </w:rPr>
            </w:pPr>
            <w:r w:rsidRPr="006D47B2">
              <w:rPr>
                <w:rStyle w:val="Strong"/>
              </w:rPr>
              <w:t>Poor</w:t>
            </w:r>
          </w:p>
          <w:p w14:paraId="34111C09" w14:textId="77777777" w:rsidR="009C7EC4" w:rsidRPr="008A5DC7" w:rsidRDefault="009C7EC4" w:rsidP="00C91FB5">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Poor performance against most of the measures under the KPI</w:t>
            </w:r>
          </w:p>
        </w:tc>
      </w:tr>
    </w:tbl>
    <w:p w14:paraId="7378055C" w14:textId="1E055698" w:rsidR="009C7EC4" w:rsidRPr="00A9092B" w:rsidRDefault="009C7EC4" w:rsidP="00C91FB5">
      <w:pPr>
        <w:pStyle w:val="Heading3"/>
        <w:spacing w:before="200"/>
        <w:rPr>
          <w:lang w:eastAsia="en-AU"/>
        </w:rPr>
      </w:pPr>
      <w:bookmarkStart w:id="36" w:name="_Toc470173162"/>
      <w:r w:rsidRPr="00A9092B">
        <w:rPr>
          <w:lang w:eastAsia="en-AU"/>
        </w:rPr>
        <w:t>Actions for improving performance against KPI 4</w:t>
      </w:r>
      <w:bookmarkEnd w:id="36"/>
    </w:p>
    <w:p w14:paraId="5E728199" w14:textId="77777777" w:rsidR="009C7EC4" w:rsidRPr="00A9092B" w:rsidRDefault="009C7EC4" w:rsidP="00C91FB5">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 PI 4</w:t>
      </w:r>
      <w:r w:rsidRPr="00A9092B">
        <w:rPr>
          <w:rFonts w:cs="Arial"/>
          <w:szCs w:val="24"/>
        </w:rPr>
        <w:t>.</w:t>
      </w:r>
      <w:r>
        <w:rPr>
          <w:rFonts w:cs="Arial"/>
          <w:szCs w:val="24"/>
        </w:rPr>
        <w:t>1</w:t>
      </w:r>
      <w:r w:rsidRPr="00A9092B">
        <w:rPr>
          <w:rFonts w:cs="Arial"/>
          <w:szCs w:val="24"/>
        </w:rPr>
        <w:t>:</w:t>
      </w:r>
    </w:p>
    <w:p w14:paraId="69E2A910" w14:textId="20C7324F" w:rsidR="009C7EC4" w:rsidRDefault="009C7EC4" w:rsidP="00C91FB5">
      <w:pPr>
        <w:pStyle w:val="ListParagraph"/>
        <w:numPr>
          <w:ilvl w:val="0"/>
          <w:numId w:val="21"/>
        </w:numPr>
        <w:spacing w:after="120"/>
        <w:ind w:left="714" w:hanging="357"/>
        <w:rPr>
          <w:rFonts w:cs="Arial"/>
          <w:szCs w:val="24"/>
        </w:rPr>
      </w:pPr>
      <w:r>
        <w:rPr>
          <w:rFonts w:cs="Arial"/>
          <w:szCs w:val="24"/>
        </w:rPr>
        <w:t xml:space="preserve">The PI </w:t>
      </w:r>
      <w:proofErr w:type="gramStart"/>
      <w:r>
        <w:rPr>
          <w:rFonts w:cs="Arial"/>
          <w:szCs w:val="24"/>
        </w:rPr>
        <w:t>could be reviewed</w:t>
      </w:r>
      <w:proofErr w:type="gramEnd"/>
      <w:r>
        <w:rPr>
          <w:rFonts w:cs="Arial"/>
          <w:szCs w:val="24"/>
        </w:rPr>
        <w:t xml:space="preserve"> to ensure efficient allocati</w:t>
      </w:r>
      <w:r w:rsidR="00AF743F">
        <w:rPr>
          <w:rFonts w:cs="Arial"/>
          <w:szCs w:val="24"/>
        </w:rPr>
        <w:t>on of</w:t>
      </w:r>
      <w:r>
        <w:rPr>
          <w:rFonts w:cs="Arial"/>
          <w:szCs w:val="24"/>
        </w:rPr>
        <w:t xml:space="preserve"> resources to high and medium risk sources.</w:t>
      </w:r>
    </w:p>
    <w:p w14:paraId="377CCCE4" w14:textId="33A15ED0" w:rsidR="009C7EC4" w:rsidRPr="00A9092B" w:rsidRDefault="009C7EC4" w:rsidP="00C91FB5">
      <w:pPr>
        <w:pStyle w:val="ListParagraph"/>
        <w:numPr>
          <w:ilvl w:val="0"/>
          <w:numId w:val="21"/>
        </w:numPr>
        <w:spacing w:after="120"/>
        <w:ind w:left="714" w:hanging="357"/>
        <w:rPr>
          <w:rFonts w:cs="Arial"/>
          <w:szCs w:val="24"/>
        </w:rPr>
      </w:pPr>
      <w:r w:rsidRPr="00A9092B">
        <w:rPr>
          <w:rFonts w:cs="Arial"/>
          <w:szCs w:val="24"/>
        </w:rPr>
        <w:t>Arrangements around risk ranking</w:t>
      </w:r>
      <w:r>
        <w:rPr>
          <w:rFonts w:cs="Arial"/>
          <w:szCs w:val="24"/>
        </w:rPr>
        <w:t xml:space="preserve"> for source licences</w:t>
      </w:r>
      <w:r w:rsidRPr="00A9092B">
        <w:rPr>
          <w:rFonts w:cs="Arial"/>
          <w:szCs w:val="24"/>
        </w:rPr>
        <w:t xml:space="preserve"> </w:t>
      </w:r>
      <w:proofErr w:type="gramStart"/>
      <w:r>
        <w:rPr>
          <w:rFonts w:cs="Arial"/>
          <w:szCs w:val="24"/>
        </w:rPr>
        <w:t>could</w:t>
      </w:r>
      <w:r w:rsidRPr="00A9092B">
        <w:rPr>
          <w:rFonts w:cs="Arial"/>
          <w:szCs w:val="24"/>
        </w:rPr>
        <w:t xml:space="preserve"> be reviewed</w:t>
      </w:r>
      <w:proofErr w:type="gramEnd"/>
      <w:r w:rsidRPr="00A9092B">
        <w:rPr>
          <w:rFonts w:cs="Arial"/>
          <w:szCs w:val="24"/>
        </w:rPr>
        <w:t xml:space="preserve"> </w:t>
      </w:r>
      <w:r>
        <w:rPr>
          <w:rFonts w:cs="Arial"/>
          <w:szCs w:val="24"/>
        </w:rPr>
        <w:t xml:space="preserve">to ensure that </w:t>
      </w:r>
      <w:r w:rsidRPr="00A9092B">
        <w:rPr>
          <w:rFonts w:cs="Arial"/>
          <w:szCs w:val="24"/>
        </w:rPr>
        <w:t>good performance</w:t>
      </w:r>
      <w:r>
        <w:rPr>
          <w:rFonts w:cs="Arial"/>
          <w:szCs w:val="24"/>
        </w:rPr>
        <w:t xml:space="preserve"> can inf</w:t>
      </w:r>
      <w:r w:rsidR="009A1BF5">
        <w:rPr>
          <w:rFonts w:cs="Arial"/>
          <w:szCs w:val="24"/>
        </w:rPr>
        <w:t>luence</w:t>
      </w:r>
      <w:r>
        <w:rPr>
          <w:rFonts w:cs="Arial"/>
          <w:szCs w:val="24"/>
        </w:rPr>
        <w:t xml:space="preserve"> risk and inspection frequency.</w:t>
      </w:r>
    </w:p>
    <w:p w14:paraId="49CD06E4" w14:textId="77777777" w:rsidR="009C7EC4" w:rsidRPr="00A9092B" w:rsidRDefault="009C7EC4" w:rsidP="00C91FB5">
      <w:pPr>
        <w:pStyle w:val="ListParagraph"/>
        <w:numPr>
          <w:ilvl w:val="0"/>
          <w:numId w:val="21"/>
        </w:numPr>
        <w:spacing w:after="120"/>
        <w:ind w:left="714" w:hanging="357"/>
        <w:rPr>
          <w:rFonts w:cs="Arial"/>
          <w:szCs w:val="24"/>
        </w:rPr>
      </w:pPr>
      <w:r>
        <w:rPr>
          <w:rFonts w:cs="Arial"/>
          <w:szCs w:val="24"/>
        </w:rPr>
        <w:t>Data recording processes</w:t>
      </w:r>
      <w:r w:rsidRPr="00A9092B">
        <w:rPr>
          <w:rFonts w:cs="Arial"/>
          <w:szCs w:val="24"/>
        </w:rPr>
        <w:t xml:space="preserve"> </w:t>
      </w:r>
      <w:proofErr w:type="gramStart"/>
      <w:r>
        <w:rPr>
          <w:rFonts w:cs="Arial"/>
          <w:szCs w:val="24"/>
        </w:rPr>
        <w:t>could</w:t>
      </w:r>
      <w:r w:rsidRPr="00A9092B">
        <w:rPr>
          <w:rFonts w:cs="Arial"/>
          <w:szCs w:val="24"/>
        </w:rPr>
        <w:t xml:space="preserve"> be strengthened</w:t>
      </w:r>
      <w:proofErr w:type="gramEnd"/>
      <w:r w:rsidRPr="00A9092B">
        <w:rPr>
          <w:rFonts w:cs="Arial"/>
          <w:szCs w:val="24"/>
        </w:rPr>
        <w:t xml:space="preserve"> to provide evidence of regular risk ranking review.</w:t>
      </w:r>
    </w:p>
    <w:p w14:paraId="598E3E48" w14:textId="77777777" w:rsidR="009C7EC4" w:rsidRPr="00A9092B" w:rsidRDefault="009C7EC4" w:rsidP="00C91FB5">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 PI 4</w:t>
      </w:r>
      <w:r w:rsidRPr="00A9092B">
        <w:rPr>
          <w:rFonts w:cs="Arial"/>
          <w:szCs w:val="24"/>
        </w:rPr>
        <w:t>.</w:t>
      </w:r>
      <w:r>
        <w:rPr>
          <w:rFonts w:cs="Arial"/>
          <w:szCs w:val="24"/>
        </w:rPr>
        <w:t>2</w:t>
      </w:r>
      <w:r w:rsidRPr="00A9092B">
        <w:rPr>
          <w:rFonts w:cs="Arial"/>
          <w:szCs w:val="24"/>
        </w:rPr>
        <w:t>:</w:t>
      </w:r>
    </w:p>
    <w:p w14:paraId="40F827BF" w14:textId="37B9AB52" w:rsidR="009C7EC4" w:rsidRPr="001E4FFC" w:rsidRDefault="009C7EC4" w:rsidP="00C91FB5">
      <w:pPr>
        <w:pStyle w:val="ListParagraph"/>
        <w:numPr>
          <w:ilvl w:val="0"/>
          <w:numId w:val="27"/>
        </w:numPr>
        <w:spacing w:after="120"/>
        <w:ind w:left="714" w:hanging="357"/>
        <w:rPr>
          <w:rFonts w:cs="Times New Roman"/>
          <w:bCs/>
          <w:szCs w:val="24"/>
          <w:lang w:eastAsia="en-AU"/>
        </w:rPr>
      </w:pPr>
      <w:r>
        <w:rPr>
          <w:rFonts w:cs="Arial"/>
          <w:szCs w:val="24"/>
        </w:rPr>
        <w:t xml:space="preserve">The </w:t>
      </w:r>
      <w:r w:rsidRPr="001E4FFC">
        <w:rPr>
          <w:rFonts w:cs="Arial"/>
          <w:szCs w:val="24"/>
        </w:rPr>
        <w:t>PI may not reflect actual performance</w:t>
      </w:r>
      <w:r>
        <w:rPr>
          <w:rFonts w:cs="Arial"/>
          <w:szCs w:val="24"/>
        </w:rPr>
        <w:t xml:space="preserve">. </w:t>
      </w:r>
      <w:r w:rsidR="008F63EF">
        <w:rPr>
          <w:rFonts w:cs="Arial"/>
          <w:szCs w:val="24"/>
        </w:rPr>
        <w:t xml:space="preserve">Consider </w:t>
      </w:r>
      <w:r w:rsidR="008F63EF">
        <w:rPr>
          <w:rFonts w:cs="Times New Roman"/>
          <w:bCs/>
          <w:szCs w:val="24"/>
          <w:lang w:eastAsia="en-AU"/>
        </w:rPr>
        <w:t>a</w:t>
      </w:r>
      <w:r>
        <w:rPr>
          <w:rFonts w:cs="Times New Roman"/>
          <w:bCs/>
          <w:szCs w:val="24"/>
          <w:lang w:eastAsia="en-AU"/>
        </w:rPr>
        <w:t xml:space="preserve">n increased </w:t>
      </w:r>
      <w:r w:rsidRPr="001E4FFC">
        <w:rPr>
          <w:rFonts w:cs="Times New Roman"/>
          <w:bCs/>
          <w:szCs w:val="24"/>
          <w:lang w:eastAsia="en-AU"/>
        </w:rPr>
        <w:t>focus on ensuring that actions identified are followed</w:t>
      </w:r>
      <w:r w:rsidR="008F63EF">
        <w:rPr>
          <w:rFonts w:cs="Times New Roman"/>
          <w:bCs/>
          <w:szCs w:val="24"/>
          <w:lang w:eastAsia="en-AU"/>
        </w:rPr>
        <w:t>-</w:t>
      </w:r>
      <w:r w:rsidRPr="001E4FFC">
        <w:rPr>
          <w:rFonts w:cs="Times New Roman"/>
          <w:bCs/>
          <w:szCs w:val="24"/>
          <w:lang w:eastAsia="en-AU"/>
        </w:rPr>
        <w:t xml:space="preserve">up. </w:t>
      </w:r>
    </w:p>
    <w:p w14:paraId="0B19B131" w14:textId="68EE49F8" w:rsidR="009C7EC4" w:rsidRDefault="009C7EC4" w:rsidP="00C91FB5">
      <w:pPr>
        <w:pStyle w:val="ListParagraph"/>
        <w:numPr>
          <w:ilvl w:val="0"/>
          <w:numId w:val="27"/>
        </w:numPr>
        <w:spacing w:after="120"/>
        <w:ind w:left="714" w:hanging="357"/>
        <w:rPr>
          <w:rFonts w:cs="Arial"/>
          <w:szCs w:val="24"/>
        </w:rPr>
      </w:pPr>
      <w:r>
        <w:rPr>
          <w:rFonts w:cs="Arial"/>
          <w:szCs w:val="24"/>
        </w:rPr>
        <w:t xml:space="preserve">The system </w:t>
      </w:r>
      <w:r w:rsidRPr="00A9092B">
        <w:rPr>
          <w:rFonts w:cs="Arial"/>
          <w:szCs w:val="24"/>
        </w:rPr>
        <w:t>for</w:t>
      </w:r>
      <w:r>
        <w:rPr>
          <w:rFonts w:cs="Arial"/>
          <w:szCs w:val="24"/>
        </w:rPr>
        <w:t xml:space="preserve"> reporting and</w:t>
      </w:r>
      <w:r w:rsidRPr="00A9092B">
        <w:rPr>
          <w:rFonts w:cs="Arial"/>
          <w:szCs w:val="24"/>
        </w:rPr>
        <w:t xml:space="preserve"> </w:t>
      </w:r>
      <w:r>
        <w:rPr>
          <w:rFonts w:cs="Arial"/>
          <w:szCs w:val="24"/>
        </w:rPr>
        <w:t>recording</w:t>
      </w:r>
      <w:r w:rsidRPr="00A9092B">
        <w:rPr>
          <w:rFonts w:cs="Arial"/>
          <w:szCs w:val="24"/>
        </w:rPr>
        <w:t xml:space="preserve"> that </w:t>
      </w:r>
      <w:r w:rsidR="0057069D">
        <w:rPr>
          <w:rFonts w:cs="Arial"/>
          <w:szCs w:val="24"/>
        </w:rPr>
        <w:t>performance deficiencies</w:t>
      </w:r>
      <w:r w:rsidRPr="00A9092B">
        <w:rPr>
          <w:rFonts w:cs="Arial"/>
          <w:szCs w:val="24"/>
        </w:rPr>
        <w:t xml:space="preserve"> have been actioned </w:t>
      </w:r>
      <w:proofErr w:type="gramStart"/>
      <w:r>
        <w:rPr>
          <w:rFonts w:cs="Arial"/>
          <w:szCs w:val="24"/>
        </w:rPr>
        <w:t>could be clarified</w:t>
      </w:r>
      <w:r w:rsidRPr="00A9092B">
        <w:rPr>
          <w:rFonts w:cs="Arial"/>
          <w:szCs w:val="24"/>
        </w:rPr>
        <w:t xml:space="preserve"> and improve</w:t>
      </w:r>
      <w:r>
        <w:rPr>
          <w:rFonts w:cs="Arial"/>
          <w:szCs w:val="24"/>
        </w:rPr>
        <w:t>d</w:t>
      </w:r>
      <w:proofErr w:type="gramEnd"/>
      <w:r>
        <w:rPr>
          <w:rFonts w:cs="Arial"/>
          <w:szCs w:val="24"/>
        </w:rPr>
        <w:t>.</w:t>
      </w:r>
    </w:p>
    <w:p w14:paraId="503F5045" w14:textId="5C562555" w:rsidR="00562BD1" w:rsidRPr="00562BD1" w:rsidRDefault="009C7EC4" w:rsidP="00C91FB5">
      <w:pPr>
        <w:pStyle w:val="ListParagraph"/>
        <w:numPr>
          <w:ilvl w:val="0"/>
          <w:numId w:val="27"/>
        </w:numPr>
        <w:spacing w:after="120"/>
        <w:ind w:left="714" w:hanging="357"/>
        <w:rPr>
          <w:rFonts w:cs="Arial"/>
          <w:szCs w:val="24"/>
        </w:rPr>
      </w:pPr>
      <w:r w:rsidRPr="002F6397">
        <w:rPr>
          <w:rFonts w:cs="Arial"/>
          <w:szCs w:val="24"/>
        </w:rPr>
        <w:t xml:space="preserve">The term </w:t>
      </w:r>
      <w:r w:rsidR="0057069D">
        <w:rPr>
          <w:rFonts w:cs="Arial"/>
          <w:szCs w:val="24"/>
        </w:rPr>
        <w:t>‘p</w:t>
      </w:r>
      <w:r w:rsidRPr="002F6397">
        <w:rPr>
          <w:rFonts w:cs="Arial"/>
          <w:szCs w:val="24"/>
        </w:rPr>
        <w:t xml:space="preserve">erformance </w:t>
      </w:r>
      <w:r w:rsidR="0057069D">
        <w:rPr>
          <w:rFonts w:cs="Arial"/>
          <w:szCs w:val="24"/>
        </w:rPr>
        <w:t>d</w:t>
      </w:r>
      <w:r w:rsidRPr="002F6397">
        <w:rPr>
          <w:rFonts w:cs="Arial"/>
          <w:szCs w:val="24"/>
        </w:rPr>
        <w:t>eficiency</w:t>
      </w:r>
      <w:r w:rsidR="0057069D">
        <w:rPr>
          <w:rFonts w:cs="Arial"/>
          <w:szCs w:val="24"/>
        </w:rPr>
        <w:t>’</w:t>
      </w:r>
      <w:r w:rsidRPr="002F6397">
        <w:rPr>
          <w:rFonts w:cs="Arial"/>
          <w:szCs w:val="24"/>
        </w:rPr>
        <w:t xml:space="preserve"> </w:t>
      </w:r>
      <w:proofErr w:type="gramStart"/>
      <w:r w:rsidRPr="002F6397">
        <w:rPr>
          <w:rFonts w:cs="Arial"/>
          <w:szCs w:val="24"/>
        </w:rPr>
        <w:t>should be substituted</w:t>
      </w:r>
      <w:proofErr w:type="gramEnd"/>
      <w:r w:rsidRPr="002F6397">
        <w:rPr>
          <w:rFonts w:cs="Arial"/>
          <w:szCs w:val="24"/>
        </w:rPr>
        <w:t xml:space="preserve"> with another term.</w:t>
      </w:r>
    </w:p>
    <w:p w14:paraId="3F0D5DA3" w14:textId="74456F4A" w:rsidR="000E45B8" w:rsidRPr="00A9092B" w:rsidRDefault="000E45B8" w:rsidP="00C91FB5">
      <w:pPr>
        <w:pStyle w:val="Heading2"/>
        <w:spacing w:before="480"/>
        <w:jc w:val="left"/>
        <w:rPr>
          <w:lang w:eastAsia="en-AU"/>
        </w:rPr>
      </w:pPr>
      <w:bookmarkStart w:id="37" w:name="_KPI_5_–"/>
      <w:bookmarkStart w:id="38" w:name="_Toc470173163"/>
      <w:bookmarkEnd w:id="37"/>
      <w:r w:rsidRPr="00A9092B">
        <w:rPr>
          <w:lang w:eastAsia="en-AU"/>
        </w:rPr>
        <w:t xml:space="preserve">KPI 5 </w:t>
      </w:r>
      <w:r w:rsidR="0097349F">
        <w:rPr>
          <w:lang w:eastAsia="en-AU"/>
        </w:rPr>
        <w:t>–</w:t>
      </w:r>
      <w:r w:rsidRPr="00A9092B">
        <w:rPr>
          <w:lang w:eastAsia="en-AU"/>
        </w:rPr>
        <w:t xml:space="preserve"> Regulators are open and transparent in their dealings with regulated entities</w:t>
      </w:r>
      <w:bookmarkEnd w:id="38"/>
    </w:p>
    <w:p w14:paraId="310361B3" w14:textId="613967C6" w:rsidR="007B2409" w:rsidRDefault="007B2409" w:rsidP="00C91FB5">
      <w:pPr>
        <w:autoSpaceDE w:val="0"/>
        <w:autoSpaceDN w:val="0"/>
        <w:adjustRightInd w:val="0"/>
        <w:spacing w:after="120"/>
        <w:rPr>
          <w:rFonts w:cs="Times New Roman"/>
          <w:bCs/>
          <w:szCs w:val="24"/>
          <w:lang w:eastAsia="en-AU"/>
        </w:rPr>
      </w:pPr>
      <w:r>
        <w:rPr>
          <w:rFonts w:cs="Times New Roman"/>
          <w:bCs/>
          <w:szCs w:val="24"/>
          <w:lang w:eastAsia="en-AU"/>
        </w:rPr>
        <w:t xml:space="preserve">ARPANSA has </w:t>
      </w:r>
      <w:r w:rsidR="00846B3D">
        <w:rPr>
          <w:rFonts w:cs="Times New Roman"/>
          <w:bCs/>
          <w:szCs w:val="24"/>
          <w:lang w:eastAsia="en-AU"/>
        </w:rPr>
        <w:t>endeavoured</w:t>
      </w:r>
      <w:r>
        <w:rPr>
          <w:rFonts w:cs="Times New Roman"/>
          <w:bCs/>
          <w:szCs w:val="24"/>
          <w:lang w:eastAsia="en-AU"/>
        </w:rPr>
        <w:t xml:space="preserve"> to become increasingly open and transparent in its approach to regu</w:t>
      </w:r>
      <w:r w:rsidR="0097349F">
        <w:rPr>
          <w:rFonts w:cs="Times New Roman"/>
          <w:bCs/>
          <w:szCs w:val="24"/>
          <w:lang w:eastAsia="en-AU"/>
        </w:rPr>
        <w:t>lation and regulatory outcomes.</w:t>
      </w:r>
      <w:r>
        <w:rPr>
          <w:rFonts w:cs="Times New Roman"/>
          <w:bCs/>
          <w:szCs w:val="24"/>
          <w:lang w:eastAsia="en-AU"/>
        </w:rPr>
        <w:t xml:space="preserve"> This policy is important to promote consistent and high standards </w:t>
      </w:r>
      <w:r w:rsidR="00724B6E">
        <w:rPr>
          <w:rFonts w:cs="Times New Roman"/>
          <w:bCs/>
          <w:szCs w:val="24"/>
          <w:lang w:eastAsia="en-AU"/>
        </w:rPr>
        <w:t>of regulat</w:t>
      </w:r>
      <w:r w:rsidR="00846B3D">
        <w:rPr>
          <w:rFonts w:cs="Times New Roman"/>
          <w:bCs/>
          <w:szCs w:val="24"/>
          <w:lang w:eastAsia="en-AU"/>
        </w:rPr>
        <w:t>ion</w:t>
      </w:r>
      <w:r w:rsidR="00724B6E">
        <w:rPr>
          <w:rFonts w:cs="Times New Roman"/>
          <w:bCs/>
          <w:szCs w:val="24"/>
          <w:lang w:eastAsia="en-AU"/>
        </w:rPr>
        <w:t xml:space="preserve"> and to build trust and mutual respect with </w:t>
      </w:r>
      <w:r w:rsidR="00151F6C">
        <w:rPr>
          <w:rFonts w:cs="Times New Roman"/>
          <w:bCs/>
          <w:szCs w:val="24"/>
          <w:lang w:eastAsia="en-AU"/>
        </w:rPr>
        <w:t xml:space="preserve">a </w:t>
      </w:r>
      <w:r w:rsidR="00724B6E">
        <w:rPr>
          <w:rFonts w:cs="Times New Roman"/>
          <w:bCs/>
          <w:szCs w:val="24"/>
          <w:lang w:eastAsia="en-AU"/>
        </w:rPr>
        <w:t>licen</w:t>
      </w:r>
      <w:r w:rsidR="00151F6C">
        <w:rPr>
          <w:rFonts w:cs="Times New Roman"/>
          <w:bCs/>
          <w:szCs w:val="24"/>
          <w:lang w:eastAsia="en-AU"/>
        </w:rPr>
        <w:t>ce holder</w:t>
      </w:r>
      <w:r w:rsidR="00724B6E">
        <w:rPr>
          <w:rFonts w:cs="Times New Roman"/>
          <w:bCs/>
          <w:szCs w:val="24"/>
          <w:lang w:eastAsia="en-AU"/>
        </w:rPr>
        <w:t xml:space="preserve">. </w:t>
      </w:r>
    </w:p>
    <w:p w14:paraId="2A1A8117" w14:textId="5C998328" w:rsidR="007A713A" w:rsidRPr="00A9092B" w:rsidRDefault="007A713A" w:rsidP="00C91FB5">
      <w:pPr>
        <w:autoSpaceDE w:val="0"/>
        <w:autoSpaceDN w:val="0"/>
        <w:adjustRightInd w:val="0"/>
        <w:spacing w:after="120"/>
        <w:rPr>
          <w:rFonts w:cs="Times New Roman"/>
          <w:bCs/>
          <w:szCs w:val="24"/>
          <w:lang w:eastAsia="en-AU"/>
        </w:rPr>
      </w:pPr>
      <w:r>
        <w:rPr>
          <w:rFonts w:cs="Times New Roman"/>
          <w:bCs/>
          <w:szCs w:val="24"/>
          <w:lang w:eastAsia="en-AU"/>
        </w:rPr>
        <w:t>For the purposes of openness and transparency, ARPANSA has published on its website a range of information on how it implements a risk</w:t>
      </w:r>
      <w:r w:rsidR="00262D7D">
        <w:rPr>
          <w:rFonts w:cs="Times New Roman"/>
          <w:bCs/>
          <w:szCs w:val="24"/>
          <w:lang w:eastAsia="en-AU"/>
        </w:rPr>
        <w:t>-</w:t>
      </w:r>
      <w:r w:rsidR="0097349F">
        <w:rPr>
          <w:rFonts w:cs="Times New Roman"/>
          <w:bCs/>
          <w:szCs w:val="24"/>
          <w:lang w:eastAsia="en-AU"/>
        </w:rPr>
        <w:t xml:space="preserve">based approach to regulation. </w:t>
      </w:r>
      <w:r>
        <w:rPr>
          <w:rFonts w:cs="Times New Roman"/>
          <w:bCs/>
          <w:szCs w:val="24"/>
          <w:lang w:eastAsia="en-AU"/>
        </w:rPr>
        <w:t xml:space="preserve">The </w:t>
      </w:r>
      <w:hyperlink r:id="rId26" w:history="1">
        <w:r w:rsidRPr="007A713A">
          <w:rPr>
            <w:rStyle w:val="Hyperlink"/>
            <w:rFonts w:cs="Times New Roman"/>
            <w:bCs/>
            <w:szCs w:val="24"/>
            <w:lang w:eastAsia="en-AU"/>
          </w:rPr>
          <w:t>Regulation and</w:t>
        </w:r>
        <w:r w:rsidR="00392100">
          <w:rPr>
            <w:rStyle w:val="Hyperlink"/>
            <w:rFonts w:cs="Times New Roman"/>
            <w:bCs/>
            <w:szCs w:val="24"/>
            <w:lang w:eastAsia="en-AU"/>
          </w:rPr>
          <w:t xml:space="preserve"> Licensin</w:t>
        </w:r>
        <w:r w:rsidRPr="007A713A">
          <w:rPr>
            <w:rStyle w:val="Hyperlink"/>
            <w:rFonts w:cs="Times New Roman"/>
            <w:bCs/>
            <w:szCs w:val="24"/>
            <w:lang w:eastAsia="en-AU"/>
          </w:rPr>
          <w:t>g webpages</w:t>
        </w:r>
      </w:hyperlink>
      <w:r>
        <w:rPr>
          <w:rFonts w:cs="Times New Roman"/>
          <w:bCs/>
          <w:szCs w:val="24"/>
          <w:lang w:eastAsia="en-AU"/>
        </w:rPr>
        <w:t xml:space="preserve"> are the starting point for this information. </w:t>
      </w:r>
      <w:r w:rsidR="00262D7D">
        <w:rPr>
          <w:rFonts w:cs="Times New Roman"/>
          <w:bCs/>
          <w:szCs w:val="24"/>
          <w:lang w:eastAsia="en-AU"/>
        </w:rPr>
        <w:t>I</w:t>
      </w:r>
      <w:r>
        <w:rPr>
          <w:rFonts w:cs="Times New Roman"/>
          <w:bCs/>
          <w:szCs w:val="24"/>
          <w:lang w:eastAsia="en-AU"/>
        </w:rPr>
        <w:t xml:space="preserve">nformation </w:t>
      </w:r>
      <w:r w:rsidR="00262D7D">
        <w:rPr>
          <w:rFonts w:cs="Times New Roman"/>
          <w:bCs/>
          <w:szCs w:val="24"/>
          <w:lang w:eastAsia="en-AU"/>
        </w:rPr>
        <w:t>includes</w:t>
      </w:r>
      <w:r>
        <w:rPr>
          <w:rFonts w:cs="Times New Roman"/>
          <w:bCs/>
          <w:szCs w:val="24"/>
          <w:lang w:eastAsia="en-AU"/>
        </w:rPr>
        <w:t xml:space="preserve"> </w:t>
      </w:r>
      <w:r w:rsidR="00262D7D">
        <w:rPr>
          <w:rFonts w:cs="Times New Roman"/>
          <w:bCs/>
          <w:szCs w:val="24"/>
          <w:lang w:eastAsia="en-AU"/>
        </w:rPr>
        <w:t xml:space="preserve">how to apply for a licence; </w:t>
      </w:r>
      <w:r w:rsidR="00975733">
        <w:rPr>
          <w:rFonts w:cs="Times New Roman"/>
          <w:bCs/>
          <w:szCs w:val="24"/>
          <w:lang w:eastAsia="en-AU"/>
        </w:rPr>
        <w:t xml:space="preserve">details </w:t>
      </w:r>
      <w:r w:rsidR="00262D7D">
        <w:rPr>
          <w:rFonts w:cs="Times New Roman"/>
          <w:bCs/>
          <w:szCs w:val="24"/>
          <w:lang w:eastAsia="en-AU"/>
        </w:rPr>
        <w:t xml:space="preserve">about the </w:t>
      </w:r>
      <w:r w:rsidR="00975733">
        <w:rPr>
          <w:rFonts w:cs="Times New Roman"/>
          <w:bCs/>
          <w:szCs w:val="24"/>
          <w:lang w:eastAsia="en-AU"/>
        </w:rPr>
        <w:t>inspection</w:t>
      </w:r>
      <w:r>
        <w:rPr>
          <w:rFonts w:cs="Times New Roman"/>
          <w:bCs/>
          <w:szCs w:val="24"/>
          <w:lang w:eastAsia="en-AU"/>
        </w:rPr>
        <w:t xml:space="preserve"> </w:t>
      </w:r>
      <w:r w:rsidR="00262D7D">
        <w:rPr>
          <w:rFonts w:cs="Times New Roman"/>
          <w:bCs/>
          <w:szCs w:val="24"/>
          <w:lang w:eastAsia="en-AU"/>
        </w:rPr>
        <w:t>program; and the promotion of</w:t>
      </w:r>
      <w:r w:rsidR="00787118">
        <w:rPr>
          <w:rFonts w:cs="Times New Roman"/>
          <w:bCs/>
          <w:szCs w:val="24"/>
          <w:lang w:eastAsia="en-AU"/>
        </w:rPr>
        <w:t xml:space="preserve"> international best practice. ARPANSA publishes </w:t>
      </w:r>
      <w:r w:rsidR="00A5136E">
        <w:rPr>
          <w:rFonts w:cs="Times New Roman"/>
          <w:bCs/>
          <w:szCs w:val="24"/>
          <w:lang w:eastAsia="en-AU"/>
        </w:rPr>
        <w:t xml:space="preserve">the majority </w:t>
      </w:r>
      <w:r w:rsidR="00787118">
        <w:rPr>
          <w:rFonts w:cs="Times New Roman"/>
          <w:bCs/>
          <w:szCs w:val="24"/>
          <w:lang w:eastAsia="en-AU"/>
        </w:rPr>
        <w:t xml:space="preserve">of its </w:t>
      </w:r>
      <w:hyperlink r:id="rId27" w:history="1">
        <w:r w:rsidR="00787118" w:rsidRPr="00846B3D">
          <w:rPr>
            <w:rStyle w:val="Hyperlink"/>
            <w:rFonts w:cs="Times New Roman"/>
            <w:bCs/>
            <w:szCs w:val="24"/>
            <w:lang w:eastAsia="en-AU"/>
          </w:rPr>
          <w:t>inspection reports</w:t>
        </w:r>
      </w:hyperlink>
      <w:r w:rsidR="00A5136E">
        <w:rPr>
          <w:rFonts w:cs="Times New Roman"/>
          <w:bCs/>
          <w:szCs w:val="24"/>
          <w:lang w:eastAsia="en-AU"/>
        </w:rPr>
        <w:t>,</w:t>
      </w:r>
      <w:r w:rsidR="00846B3D">
        <w:rPr>
          <w:rFonts w:cs="Times New Roman"/>
          <w:bCs/>
          <w:szCs w:val="24"/>
          <w:lang w:eastAsia="en-AU"/>
        </w:rPr>
        <w:t xml:space="preserve"> </w:t>
      </w:r>
      <w:r w:rsidR="00A5136E">
        <w:rPr>
          <w:rFonts w:cs="Times New Roman"/>
          <w:bCs/>
          <w:szCs w:val="24"/>
          <w:lang w:eastAsia="en-AU"/>
        </w:rPr>
        <w:t>however c</w:t>
      </w:r>
      <w:r w:rsidR="00A5136E" w:rsidRPr="00A5136E">
        <w:rPr>
          <w:rFonts w:cs="Times New Roman"/>
          <w:bCs/>
          <w:szCs w:val="24"/>
          <w:lang w:eastAsia="en-AU"/>
        </w:rPr>
        <w:t xml:space="preserve">ontent </w:t>
      </w:r>
      <w:proofErr w:type="gramStart"/>
      <w:r w:rsidR="00A5136E" w:rsidRPr="00A5136E">
        <w:rPr>
          <w:rFonts w:cs="Times New Roman"/>
          <w:bCs/>
          <w:szCs w:val="24"/>
          <w:lang w:eastAsia="en-AU"/>
        </w:rPr>
        <w:t>may be redacted</w:t>
      </w:r>
      <w:proofErr w:type="gramEnd"/>
      <w:r w:rsidR="00A5136E" w:rsidRPr="00A5136E">
        <w:rPr>
          <w:rFonts w:cs="Times New Roman"/>
          <w:bCs/>
          <w:szCs w:val="24"/>
          <w:lang w:eastAsia="en-AU"/>
        </w:rPr>
        <w:t xml:space="preserve"> or </w:t>
      </w:r>
      <w:r w:rsidR="00A5136E">
        <w:rPr>
          <w:rFonts w:cs="Times New Roman"/>
          <w:bCs/>
          <w:szCs w:val="24"/>
          <w:lang w:eastAsia="en-AU"/>
        </w:rPr>
        <w:t>a</w:t>
      </w:r>
      <w:r w:rsidR="00A5136E" w:rsidRPr="00A5136E">
        <w:rPr>
          <w:rFonts w:cs="Times New Roman"/>
          <w:bCs/>
          <w:szCs w:val="24"/>
          <w:lang w:eastAsia="en-AU"/>
        </w:rPr>
        <w:t xml:space="preserve"> report withheld for security reasons</w:t>
      </w:r>
      <w:r w:rsidR="00262D7D">
        <w:rPr>
          <w:rFonts w:cs="Times New Roman"/>
          <w:bCs/>
          <w:szCs w:val="24"/>
          <w:lang w:eastAsia="en-AU"/>
        </w:rPr>
        <w:t xml:space="preserve">. </w:t>
      </w:r>
    </w:p>
    <w:p w14:paraId="51243383" w14:textId="162385D8" w:rsidR="00314CDD" w:rsidRDefault="00314CDD" w:rsidP="00C91FB5">
      <w:pPr>
        <w:autoSpaceDE w:val="0"/>
        <w:autoSpaceDN w:val="0"/>
        <w:adjustRightInd w:val="0"/>
        <w:spacing w:after="120"/>
        <w:rPr>
          <w:rFonts w:cs="Times New Roman"/>
          <w:bCs/>
          <w:szCs w:val="24"/>
          <w:lang w:eastAsia="en-AU"/>
        </w:rPr>
      </w:pPr>
      <w:r>
        <w:rPr>
          <w:rFonts w:cs="Times New Roman"/>
          <w:bCs/>
          <w:szCs w:val="24"/>
          <w:lang w:eastAsia="en-AU"/>
        </w:rPr>
        <w:t xml:space="preserve">As discussed </w:t>
      </w:r>
      <w:r w:rsidR="00E162D0">
        <w:rPr>
          <w:rFonts w:cs="Times New Roman"/>
          <w:bCs/>
          <w:szCs w:val="24"/>
          <w:lang w:eastAsia="en-AU"/>
        </w:rPr>
        <w:t>in previous sections</w:t>
      </w:r>
      <w:r>
        <w:rPr>
          <w:rFonts w:cs="Times New Roman"/>
          <w:bCs/>
          <w:szCs w:val="24"/>
          <w:lang w:eastAsia="en-AU"/>
        </w:rPr>
        <w:t xml:space="preserve">, </w:t>
      </w:r>
      <w:r w:rsidRPr="00A9092B">
        <w:rPr>
          <w:rFonts w:cs="Times New Roman"/>
          <w:bCs/>
          <w:szCs w:val="24"/>
          <w:lang w:eastAsia="en-AU"/>
        </w:rPr>
        <w:t xml:space="preserve">ARPANSA publishes guides, codes and standards on a range of regulatory </w:t>
      </w:r>
      <w:r w:rsidR="0044087B" w:rsidRPr="00A9092B">
        <w:rPr>
          <w:rFonts w:cs="Times New Roman"/>
          <w:bCs/>
          <w:szCs w:val="24"/>
          <w:lang w:eastAsia="en-AU"/>
        </w:rPr>
        <w:t>topics that</w:t>
      </w:r>
      <w:r w:rsidRPr="00A9092B">
        <w:rPr>
          <w:rFonts w:cs="Times New Roman"/>
          <w:bCs/>
          <w:szCs w:val="24"/>
          <w:lang w:eastAsia="en-AU"/>
        </w:rPr>
        <w:t xml:space="preserve"> set out expectations for </w:t>
      </w:r>
      <w:r w:rsidR="00151F6C">
        <w:rPr>
          <w:rFonts w:cs="Times New Roman"/>
          <w:bCs/>
          <w:szCs w:val="24"/>
          <w:lang w:eastAsia="en-AU"/>
        </w:rPr>
        <w:t xml:space="preserve">a </w:t>
      </w:r>
      <w:r w:rsidR="00A5136E">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 with respect to safety </w:t>
      </w:r>
      <w:r w:rsidR="00A5136E">
        <w:rPr>
          <w:rFonts w:cs="Times New Roman"/>
          <w:bCs/>
          <w:szCs w:val="24"/>
          <w:lang w:eastAsia="en-AU"/>
        </w:rPr>
        <w:t xml:space="preserve">and security of </w:t>
      </w:r>
      <w:r w:rsidRPr="00A9092B">
        <w:rPr>
          <w:rFonts w:cs="Times New Roman"/>
          <w:bCs/>
          <w:szCs w:val="24"/>
          <w:lang w:eastAsia="en-AU"/>
        </w:rPr>
        <w:t xml:space="preserve">sources and facilities. These guides, codes and standards </w:t>
      </w:r>
      <w:r>
        <w:rPr>
          <w:rFonts w:cs="Times New Roman"/>
          <w:bCs/>
          <w:szCs w:val="24"/>
          <w:lang w:eastAsia="en-AU"/>
        </w:rPr>
        <w:t>reflect</w:t>
      </w:r>
      <w:r w:rsidRPr="00A9092B">
        <w:rPr>
          <w:rFonts w:cs="Times New Roman"/>
          <w:bCs/>
          <w:szCs w:val="24"/>
          <w:lang w:eastAsia="en-AU"/>
        </w:rPr>
        <w:t xml:space="preserve"> international best practice</w:t>
      </w:r>
      <w:r w:rsidR="00A5136E">
        <w:rPr>
          <w:rFonts w:cs="Times New Roman"/>
          <w:bCs/>
          <w:szCs w:val="24"/>
          <w:lang w:eastAsia="en-AU"/>
        </w:rPr>
        <w:t xml:space="preserve">, </w:t>
      </w:r>
      <w:r w:rsidRPr="00A9092B">
        <w:rPr>
          <w:rFonts w:cs="Times New Roman"/>
          <w:bCs/>
          <w:szCs w:val="24"/>
          <w:lang w:eastAsia="en-AU"/>
        </w:rPr>
        <w:t xml:space="preserve">hence their </w:t>
      </w:r>
      <w:r w:rsidR="005F28D4">
        <w:rPr>
          <w:rFonts w:cs="Times New Roman"/>
          <w:bCs/>
          <w:szCs w:val="24"/>
          <w:lang w:eastAsia="en-AU"/>
        </w:rPr>
        <w:t>requirements and expectations are</w:t>
      </w:r>
      <w:r>
        <w:rPr>
          <w:rFonts w:cs="Times New Roman"/>
          <w:bCs/>
          <w:szCs w:val="24"/>
          <w:lang w:eastAsia="en-AU"/>
        </w:rPr>
        <w:t xml:space="preserve"> predictable and in keeping with the international framework for safety</w:t>
      </w:r>
      <w:r w:rsidRPr="00A9092B">
        <w:rPr>
          <w:rFonts w:cs="Times New Roman"/>
          <w:bCs/>
          <w:szCs w:val="24"/>
          <w:lang w:eastAsia="en-AU"/>
        </w:rPr>
        <w:t xml:space="preserve">. Consultation with </w:t>
      </w:r>
      <w:r w:rsidR="00A5136E">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s on </w:t>
      </w:r>
      <w:r w:rsidR="00A5136E">
        <w:rPr>
          <w:rFonts w:cs="Times New Roman"/>
          <w:bCs/>
          <w:szCs w:val="24"/>
          <w:lang w:eastAsia="en-AU"/>
        </w:rPr>
        <w:t xml:space="preserve">the development </w:t>
      </w:r>
      <w:r w:rsidR="00A5136E">
        <w:rPr>
          <w:rFonts w:cs="Times New Roman"/>
          <w:bCs/>
          <w:szCs w:val="24"/>
          <w:lang w:eastAsia="en-AU"/>
        </w:rPr>
        <w:lastRenderedPageBreak/>
        <w:t>of such documents</w:t>
      </w:r>
      <w:r w:rsidRPr="00A9092B">
        <w:rPr>
          <w:rFonts w:cs="Times New Roman"/>
          <w:bCs/>
          <w:szCs w:val="24"/>
          <w:lang w:eastAsia="en-AU"/>
        </w:rPr>
        <w:t xml:space="preserve"> improves transparency in regulation and supports continuous improvement.</w:t>
      </w:r>
    </w:p>
    <w:p w14:paraId="3C900306" w14:textId="3EE6C27C" w:rsidR="002E3DA8" w:rsidRDefault="002E3DA8" w:rsidP="00C91FB5">
      <w:pPr>
        <w:autoSpaceDE w:val="0"/>
        <w:autoSpaceDN w:val="0"/>
        <w:adjustRightInd w:val="0"/>
        <w:spacing w:after="120"/>
        <w:rPr>
          <w:rFonts w:cs="Times New Roman"/>
          <w:bCs/>
          <w:szCs w:val="24"/>
          <w:lang w:eastAsia="en-AU"/>
        </w:rPr>
      </w:pPr>
      <w:r>
        <w:rPr>
          <w:rFonts w:cs="Times New Roman"/>
          <w:bCs/>
          <w:szCs w:val="24"/>
          <w:lang w:eastAsia="en-AU"/>
        </w:rPr>
        <w:t xml:space="preserve">ARPANSA appoints a </w:t>
      </w:r>
      <w:r w:rsidR="00E42BED">
        <w:rPr>
          <w:rFonts w:cs="Times New Roman"/>
          <w:bCs/>
          <w:szCs w:val="24"/>
          <w:lang w:eastAsia="en-AU"/>
        </w:rPr>
        <w:t>‘l</w:t>
      </w:r>
      <w:r>
        <w:rPr>
          <w:rFonts w:cs="Times New Roman"/>
          <w:bCs/>
          <w:szCs w:val="24"/>
          <w:lang w:eastAsia="en-AU"/>
        </w:rPr>
        <w:t xml:space="preserve">ead </w:t>
      </w:r>
      <w:r w:rsidR="00E42BED">
        <w:rPr>
          <w:rFonts w:cs="Times New Roman"/>
          <w:bCs/>
          <w:szCs w:val="24"/>
          <w:lang w:eastAsia="en-AU"/>
        </w:rPr>
        <w:t>i</w:t>
      </w:r>
      <w:r>
        <w:rPr>
          <w:rFonts w:cs="Times New Roman"/>
          <w:bCs/>
          <w:szCs w:val="24"/>
          <w:lang w:eastAsia="en-AU"/>
        </w:rPr>
        <w:t>nspector</w:t>
      </w:r>
      <w:r w:rsidR="00E42BED">
        <w:rPr>
          <w:rFonts w:cs="Times New Roman"/>
          <w:bCs/>
          <w:szCs w:val="24"/>
          <w:lang w:eastAsia="en-AU"/>
        </w:rPr>
        <w:t>’</w:t>
      </w:r>
      <w:r>
        <w:rPr>
          <w:rFonts w:cs="Times New Roman"/>
          <w:bCs/>
          <w:szCs w:val="24"/>
          <w:lang w:eastAsia="en-AU"/>
        </w:rPr>
        <w:t xml:space="preserve"> </w:t>
      </w:r>
      <w:r w:rsidR="00E42BED">
        <w:rPr>
          <w:rFonts w:cs="Times New Roman"/>
          <w:bCs/>
          <w:szCs w:val="24"/>
          <w:lang w:eastAsia="en-AU"/>
        </w:rPr>
        <w:t>for</w:t>
      </w:r>
      <w:r w:rsidR="0097349F">
        <w:rPr>
          <w:rFonts w:cs="Times New Roman"/>
          <w:bCs/>
          <w:szCs w:val="24"/>
          <w:lang w:eastAsia="en-AU"/>
        </w:rPr>
        <w:t xml:space="preserve"> each licence. </w:t>
      </w:r>
      <w:r>
        <w:rPr>
          <w:rFonts w:cs="Times New Roman"/>
          <w:bCs/>
          <w:szCs w:val="24"/>
          <w:lang w:eastAsia="en-AU"/>
        </w:rPr>
        <w:t xml:space="preserve">As the title suggests, the </w:t>
      </w:r>
      <w:r w:rsidR="00E42BED">
        <w:rPr>
          <w:rFonts w:cs="Times New Roman"/>
          <w:bCs/>
          <w:szCs w:val="24"/>
          <w:lang w:eastAsia="en-AU"/>
        </w:rPr>
        <w:t>l</w:t>
      </w:r>
      <w:r>
        <w:rPr>
          <w:rFonts w:cs="Times New Roman"/>
          <w:bCs/>
          <w:szCs w:val="24"/>
          <w:lang w:eastAsia="en-AU"/>
        </w:rPr>
        <w:t xml:space="preserve">ead </w:t>
      </w:r>
      <w:r w:rsidR="00E42BED">
        <w:rPr>
          <w:rFonts w:cs="Times New Roman"/>
          <w:bCs/>
          <w:szCs w:val="24"/>
          <w:lang w:eastAsia="en-AU"/>
        </w:rPr>
        <w:t>i</w:t>
      </w:r>
      <w:r>
        <w:rPr>
          <w:rFonts w:cs="Times New Roman"/>
          <w:bCs/>
          <w:szCs w:val="24"/>
          <w:lang w:eastAsia="en-AU"/>
        </w:rPr>
        <w:t xml:space="preserve">nspector is responsible for co-ordinating inspection and </w:t>
      </w:r>
      <w:r w:rsidR="00E42BED">
        <w:rPr>
          <w:rFonts w:cs="Times New Roman"/>
          <w:bCs/>
          <w:szCs w:val="24"/>
          <w:lang w:eastAsia="en-AU"/>
        </w:rPr>
        <w:t xml:space="preserve">compliance monitoring </w:t>
      </w:r>
      <w:r w:rsidR="0097349F">
        <w:rPr>
          <w:rFonts w:cs="Times New Roman"/>
          <w:bCs/>
          <w:szCs w:val="24"/>
          <w:lang w:eastAsia="en-AU"/>
        </w:rPr>
        <w:t xml:space="preserve">activities. </w:t>
      </w:r>
      <w:r>
        <w:rPr>
          <w:rFonts w:cs="Times New Roman"/>
          <w:bCs/>
          <w:szCs w:val="24"/>
          <w:lang w:eastAsia="en-AU"/>
        </w:rPr>
        <w:t xml:space="preserve">The </w:t>
      </w:r>
      <w:r w:rsidR="008D05D3">
        <w:rPr>
          <w:rFonts w:cs="Times New Roman"/>
          <w:bCs/>
          <w:szCs w:val="24"/>
          <w:lang w:eastAsia="en-AU"/>
        </w:rPr>
        <w:t>l</w:t>
      </w:r>
      <w:r>
        <w:rPr>
          <w:rFonts w:cs="Times New Roman"/>
          <w:bCs/>
          <w:szCs w:val="24"/>
          <w:lang w:eastAsia="en-AU"/>
        </w:rPr>
        <w:t xml:space="preserve">ead </w:t>
      </w:r>
      <w:r w:rsidR="008D05D3">
        <w:rPr>
          <w:rFonts w:cs="Times New Roman"/>
          <w:bCs/>
          <w:szCs w:val="24"/>
          <w:lang w:eastAsia="en-AU"/>
        </w:rPr>
        <w:t>i</w:t>
      </w:r>
      <w:r>
        <w:rPr>
          <w:rFonts w:cs="Times New Roman"/>
          <w:bCs/>
          <w:szCs w:val="24"/>
          <w:lang w:eastAsia="en-AU"/>
        </w:rPr>
        <w:t>nspector is also the main point o</w:t>
      </w:r>
      <w:r w:rsidR="00A720EE">
        <w:rPr>
          <w:rFonts w:cs="Times New Roman"/>
          <w:bCs/>
          <w:szCs w:val="24"/>
          <w:lang w:eastAsia="en-AU"/>
        </w:rPr>
        <w:t>f contact for communication</w:t>
      </w:r>
      <w:r>
        <w:rPr>
          <w:rFonts w:cs="Times New Roman"/>
          <w:bCs/>
          <w:szCs w:val="24"/>
          <w:lang w:eastAsia="en-AU"/>
        </w:rPr>
        <w:t xml:space="preserve"> between ARPANSA and the </w:t>
      </w:r>
      <w:r w:rsidR="008D05D3">
        <w:rPr>
          <w:rFonts w:cs="Times New Roman"/>
          <w:bCs/>
          <w:szCs w:val="24"/>
          <w:lang w:eastAsia="en-AU"/>
        </w:rPr>
        <w:t>l</w:t>
      </w:r>
      <w:r w:rsidR="001F7A0E">
        <w:rPr>
          <w:rFonts w:cs="Times New Roman"/>
          <w:bCs/>
          <w:szCs w:val="24"/>
          <w:lang w:eastAsia="en-AU"/>
        </w:rPr>
        <w:t>icence holder</w:t>
      </w:r>
      <w:r w:rsidR="003B44F2">
        <w:rPr>
          <w:rFonts w:cs="Times New Roman"/>
          <w:bCs/>
          <w:szCs w:val="24"/>
          <w:lang w:eastAsia="en-AU"/>
        </w:rPr>
        <w:t>,</w:t>
      </w:r>
      <w:r>
        <w:rPr>
          <w:rFonts w:cs="Times New Roman"/>
          <w:bCs/>
          <w:szCs w:val="24"/>
          <w:lang w:eastAsia="en-AU"/>
        </w:rPr>
        <w:t xml:space="preserve"> </w:t>
      </w:r>
      <w:r w:rsidRPr="003B44F2">
        <w:rPr>
          <w:rFonts w:cs="Times New Roman"/>
          <w:bCs/>
          <w:szCs w:val="24"/>
          <w:lang w:eastAsia="en-AU"/>
        </w:rPr>
        <w:t xml:space="preserve">and </w:t>
      </w:r>
      <w:r w:rsidR="003B44F2" w:rsidRPr="00452103">
        <w:rPr>
          <w:rFonts w:cs="Times New Roman"/>
          <w:bCs/>
          <w:szCs w:val="24"/>
          <w:lang w:eastAsia="en-AU"/>
        </w:rPr>
        <w:t xml:space="preserve">plays </w:t>
      </w:r>
      <w:r w:rsidRPr="003B44F2">
        <w:rPr>
          <w:rFonts w:cs="Times New Roman"/>
          <w:bCs/>
          <w:szCs w:val="24"/>
          <w:lang w:eastAsia="en-AU"/>
        </w:rPr>
        <w:t xml:space="preserve">an important </w:t>
      </w:r>
      <w:r w:rsidR="003B44F2" w:rsidRPr="00452103">
        <w:rPr>
          <w:rFonts w:cs="Times New Roman"/>
          <w:bCs/>
          <w:szCs w:val="24"/>
          <w:lang w:eastAsia="en-AU"/>
        </w:rPr>
        <w:t>role</w:t>
      </w:r>
      <w:r w:rsidR="003B44F2">
        <w:rPr>
          <w:rFonts w:cs="Times New Roman"/>
          <w:bCs/>
          <w:szCs w:val="24"/>
          <w:lang w:eastAsia="en-AU"/>
        </w:rPr>
        <w:t xml:space="preserve"> </w:t>
      </w:r>
      <w:r w:rsidR="003B44F2" w:rsidRPr="00452103">
        <w:rPr>
          <w:rFonts w:cs="Times New Roman"/>
          <w:bCs/>
          <w:szCs w:val="24"/>
          <w:lang w:eastAsia="en-AU"/>
        </w:rPr>
        <w:t>in</w:t>
      </w:r>
      <w:r w:rsidRPr="003B44F2">
        <w:rPr>
          <w:rFonts w:cs="Times New Roman"/>
          <w:bCs/>
          <w:szCs w:val="24"/>
          <w:lang w:eastAsia="en-AU"/>
        </w:rPr>
        <w:t xml:space="preserve"> ARPANSA’s open and transparent approach to regulated entities.</w:t>
      </w:r>
    </w:p>
    <w:p w14:paraId="1D886E68" w14:textId="34133D34" w:rsidR="00724B6E" w:rsidRDefault="00724B6E" w:rsidP="00C91FB5">
      <w:pPr>
        <w:autoSpaceDE w:val="0"/>
        <w:autoSpaceDN w:val="0"/>
        <w:adjustRightInd w:val="0"/>
        <w:spacing w:after="120"/>
        <w:rPr>
          <w:rFonts w:cs="Times New Roman"/>
          <w:bCs/>
          <w:szCs w:val="24"/>
          <w:lang w:eastAsia="en-AU"/>
        </w:rPr>
      </w:pPr>
      <w:r w:rsidRPr="00A9092B">
        <w:rPr>
          <w:rFonts w:cs="Times New Roman"/>
          <w:bCs/>
          <w:szCs w:val="24"/>
          <w:lang w:eastAsia="en-AU"/>
        </w:rPr>
        <w:t>ARPANSA track</w:t>
      </w:r>
      <w:r w:rsidR="003B44F2">
        <w:rPr>
          <w:rFonts w:cs="Times New Roman"/>
          <w:bCs/>
          <w:szCs w:val="24"/>
          <w:lang w:eastAsia="en-AU"/>
        </w:rPr>
        <w:t>s</w:t>
      </w:r>
      <w:r w:rsidRPr="00A9092B">
        <w:rPr>
          <w:rFonts w:cs="Times New Roman"/>
          <w:bCs/>
          <w:szCs w:val="24"/>
          <w:lang w:eastAsia="en-AU"/>
        </w:rPr>
        <w:t xml:space="preserve"> the amount of time spent on direct regulatory activities attributed to a particular </w:t>
      </w:r>
      <w:r w:rsidR="008D05D3">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Activities include inspections, site visits, compliance monitoring, application assessments</w:t>
      </w:r>
      <w:r w:rsidR="00A720EE">
        <w:rPr>
          <w:rFonts w:cs="Times New Roman"/>
          <w:bCs/>
          <w:szCs w:val="24"/>
          <w:lang w:eastAsia="en-AU"/>
        </w:rPr>
        <w:t>, and</w:t>
      </w:r>
      <w:r w:rsidRPr="00A9092B">
        <w:rPr>
          <w:rFonts w:cs="Times New Roman"/>
          <w:bCs/>
          <w:szCs w:val="24"/>
          <w:lang w:eastAsia="en-AU"/>
        </w:rPr>
        <w:t xml:space="preserve"> enforcement activities. </w:t>
      </w:r>
      <w:r w:rsidRPr="00476F78">
        <w:rPr>
          <w:rFonts w:cs="Times New Roman"/>
          <w:bCs/>
          <w:szCs w:val="24"/>
          <w:lang w:eastAsia="en-AU"/>
        </w:rPr>
        <w:t xml:space="preserve">As regulation is </w:t>
      </w:r>
      <w:r w:rsidR="003331E4" w:rsidRPr="00476F78">
        <w:rPr>
          <w:rFonts w:cs="Times New Roman"/>
          <w:bCs/>
          <w:szCs w:val="24"/>
          <w:lang w:eastAsia="en-AU"/>
        </w:rPr>
        <w:t xml:space="preserve">a </w:t>
      </w:r>
      <w:r w:rsidRPr="00476F78">
        <w:rPr>
          <w:rFonts w:cs="Times New Roman"/>
          <w:bCs/>
          <w:szCs w:val="24"/>
          <w:lang w:eastAsia="en-AU"/>
        </w:rPr>
        <w:t>core business</w:t>
      </w:r>
      <w:r w:rsidR="003331E4" w:rsidRPr="00476F78">
        <w:rPr>
          <w:rFonts w:cs="Times New Roman"/>
          <w:bCs/>
          <w:szCs w:val="24"/>
          <w:lang w:eastAsia="en-AU"/>
        </w:rPr>
        <w:t xml:space="preserve"> activity</w:t>
      </w:r>
      <w:r w:rsidRPr="00476F78">
        <w:rPr>
          <w:rFonts w:cs="Times New Roman"/>
          <w:bCs/>
          <w:szCs w:val="24"/>
          <w:lang w:eastAsia="en-AU"/>
        </w:rPr>
        <w:t xml:space="preserve">, time spent </w:t>
      </w:r>
      <w:r w:rsidR="008D05D3" w:rsidRPr="00476F78">
        <w:rPr>
          <w:rFonts w:cs="Times New Roman"/>
          <w:bCs/>
          <w:szCs w:val="24"/>
          <w:lang w:eastAsia="en-AU"/>
        </w:rPr>
        <w:t>o</w:t>
      </w:r>
      <w:r w:rsidRPr="00476F78">
        <w:rPr>
          <w:rFonts w:cs="Times New Roman"/>
          <w:bCs/>
          <w:szCs w:val="24"/>
          <w:lang w:eastAsia="en-AU"/>
        </w:rPr>
        <w:t xml:space="preserve">n direct regulatory activities is likely to </w:t>
      </w:r>
      <w:r w:rsidR="00424CA5">
        <w:rPr>
          <w:rFonts w:cs="Times New Roman"/>
          <w:bCs/>
          <w:szCs w:val="24"/>
          <w:lang w:eastAsia="en-AU"/>
        </w:rPr>
        <w:t>enhance</w:t>
      </w:r>
      <w:r w:rsidR="009453FB" w:rsidRPr="00424CA5">
        <w:rPr>
          <w:rFonts w:cs="Times New Roman"/>
          <w:bCs/>
          <w:szCs w:val="24"/>
          <w:lang w:eastAsia="en-AU"/>
        </w:rPr>
        <w:t xml:space="preserve"> </w:t>
      </w:r>
      <w:r w:rsidRPr="00476F78">
        <w:rPr>
          <w:rFonts w:cs="Times New Roman"/>
          <w:bCs/>
          <w:szCs w:val="24"/>
          <w:lang w:eastAsia="en-AU"/>
        </w:rPr>
        <w:t xml:space="preserve">ARPANSA’s understanding of </w:t>
      </w:r>
      <w:r w:rsidR="008D05D3" w:rsidRPr="00476F78">
        <w:rPr>
          <w:rFonts w:cs="Times New Roman"/>
          <w:bCs/>
          <w:szCs w:val="24"/>
          <w:lang w:eastAsia="en-AU"/>
        </w:rPr>
        <w:t>l</w:t>
      </w:r>
      <w:r w:rsidR="001F7A0E" w:rsidRPr="00476F78">
        <w:rPr>
          <w:rFonts w:cs="Times New Roman"/>
          <w:bCs/>
          <w:szCs w:val="24"/>
          <w:lang w:eastAsia="en-AU"/>
        </w:rPr>
        <w:t>icence holder</w:t>
      </w:r>
      <w:r w:rsidRPr="00476F78">
        <w:rPr>
          <w:rFonts w:cs="Times New Roman"/>
          <w:bCs/>
          <w:szCs w:val="24"/>
          <w:lang w:eastAsia="en-AU"/>
        </w:rPr>
        <w:t xml:space="preserve"> operations, resulting in better compliance outcomes.</w:t>
      </w:r>
      <w:r w:rsidRPr="00A9092B">
        <w:rPr>
          <w:rFonts w:cs="Times New Roman"/>
          <w:bCs/>
          <w:szCs w:val="24"/>
          <w:lang w:eastAsia="en-AU"/>
        </w:rPr>
        <w:t xml:space="preserve"> </w:t>
      </w:r>
      <w:r>
        <w:rPr>
          <w:rFonts w:cs="Times New Roman"/>
          <w:bCs/>
          <w:szCs w:val="24"/>
          <w:lang w:eastAsia="en-AU"/>
        </w:rPr>
        <w:t>R</w:t>
      </w:r>
      <w:r w:rsidRPr="00A9092B">
        <w:rPr>
          <w:rFonts w:cs="Times New Roman"/>
          <w:bCs/>
          <w:szCs w:val="24"/>
          <w:lang w:eastAsia="en-AU"/>
        </w:rPr>
        <w:t xml:space="preserve">ecording direct regulatory activities </w:t>
      </w:r>
      <w:r>
        <w:rPr>
          <w:rFonts w:cs="Times New Roman"/>
          <w:bCs/>
          <w:szCs w:val="24"/>
          <w:lang w:eastAsia="en-AU"/>
        </w:rPr>
        <w:t xml:space="preserve">increases </w:t>
      </w:r>
      <w:r w:rsidRPr="00A9092B">
        <w:rPr>
          <w:rFonts w:cs="Times New Roman"/>
          <w:bCs/>
          <w:szCs w:val="24"/>
          <w:lang w:eastAsia="en-AU"/>
        </w:rPr>
        <w:t>transparen</w:t>
      </w:r>
      <w:r>
        <w:rPr>
          <w:rFonts w:cs="Times New Roman"/>
          <w:bCs/>
          <w:szCs w:val="24"/>
          <w:lang w:eastAsia="en-AU"/>
        </w:rPr>
        <w:t>cy</w:t>
      </w:r>
      <w:r w:rsidRPr="00A9092B">
        <w:rPr>
          <w:rFonts w:cs="Times New Roman"/>
          <w:bCs/>
          <w:szCs w:val="24"/>
          <w:lang w:eastAsia="en-AU"/>
        </w:rPr>
        <w:t xml:space="preserve">, as it </w:t>
      </w:r>
      <w:r w:rsidR="009453FB">
        <w:rPr>
          <w:rFonts w:cs="Times New Roman"/>
          <w:bCs/>
          <w:szCs w:val="24"/>
          <w:lang w:eastAsia="en-AU"/>
        </w:rPr>
        <w:t xml:space="preserve">provides the </w:t>
      </w:r>
      <w:r w:rsidRPr="00A9092B">
        <w:rPr>
          <w:rFonts w:cs="Times New Roman"/>
          <w:bCs/>
          <w:szCs w:val="24"/>
          <w:lang w:eastAsia="en-AU"/>
        </w:rPr>
        <w:t xml:space="preserve">basis on which licence fees are </w:t>
      </w:r>
      <w:r>
        <w:rPr>
          <w:rFonts w:cs="Times New Roman"/>
          <w:bCs/>
          <w:szCs w:val="24"/>
          <w:lang w:eastAsia="en-AU"/>
        </w:rPr>
        <w:t xml:space="preserve">determined under the cost recovery </w:t>
      </w:r>
      <w:r w:rsidR="00857968">
        <w:rPr>
          <w:rFonts w:cs="Times New Roman"/>
          <w:bCs/>
          <w:szCs w:val="24"/>
          <w:lang w:eastAsia="en-AU"/>
        </w:rPr>
        <w:t>framework</w:t>
      </w:r>
      <w:r w:rsidRPr="00A9092B">
        <w:rPr>
          <w:rFonts w:cs="Times New Roman"/>
          <w:bCs/>
          <w:szCs w:val="24"/>
          <w:lang w:eastAsia="en-AU"/>
        </w:rPr>
        <w:t>.</w:t>
      </w:r>
    </w:p>
    <w:p w14:paraId="74D90D24" w14:textId="2079BE77" w:rsidR="00314CDD" w:rsidRPr="00A9092B" w:rsidRDefault="00314CDD" w:rsidP="00C91FB5">
      <w:pPr>
        <w:pStyle w:val="Heading3"/>
        <w:rPr>
          <w:lang w:eastAsia="en-AU"/>
        </w:rPr>
      </w:pPr>
      <w:bookmarkStart w:id="39" w:name="_Toc470173164"/>
      <w:r w:rsidRPr="00A9092B">
        <w:rPr>
          <w:lang w:eastAsia="en-AU"/>
        </w:rPr>
        <w:t>Measures</w:t>
      </w:r>
      <w:bookmarkEnd w:id="39"/>
    </w:p>
    <w:p w14:paraId="45DA1524" w14:textId="77777777" w:rsidR="00314CDD" w:rsidRPr="0047516F" w:rsidRDefault="00314CDD" w:rsidP="00C91FB5">
      <w:pPr>
        <w:spacing w:after="120"/>
        <w:rPr>
          <w:rFonts w:cs="Times New Roman"/>
        </w:rPr>
      </w:pPr>
      <w:r w:rsidRPr="0047516F">
        <w:rPr>
          <w:rFonts w:cs="Times New Roman"/>
        </w:rPr>
        <w:t>Remain open and transparent in dealings with regulated entities and the public</w:t>
      </w:r>
      <w:r>
        <w:rPr>
          <w:rFonts w:cs="Times New Roman"/>
        </w:rPr>
        <w:t>.</w:t>
      </w:r>
    </w:p>
    <w:p w14:paraId="5A69D1AE" w14:textId="0C3F8176" w:rsidR="00314CDD" w:rsidRPr="00A9092B" w:rsidRDefault="00314CDD" w:rsidP="00C91FB5">
      <w:pPr>
        <w:pStyle w:val="Heading3"/>
        <w:rPr>
          <w:lang w:eastAsia="en-AU"/>
        </w:rPr>
      </w:pPr>
      <w:bookmarkStart w:id="40" w:name="_Toc470173165"/>
      <w:r w:rsidRPr="00A9092B">
        <w:rPr>
          <w:lang w:eastAsia="en-AU"/>
        </w:rPr>
        <w:t>Approved evidence metrics for KPI 5</w:t>
      </w:r>
      <w:bookmarkEnd w:id="40"/>
    </w:p>
    <w:tbl>
      <w:tblPr>
        <w:tblStyle w:val="TableGrid"/>
        <w:tblW w:w="9747" w:type="dxa"/>
        <w:tblLook w:val="04A0" w:firstRow="1" w:lastRow="0" w:firstColumn="1" w:lastColumn="0" w:noHBand="0" w:noVBand="1"/>
        <w:tblDescription w:val="Chapter 2.5.2 table contains a list of evidence metrics against Key Performance Indicator (KPI) 5.  This table contains 3 heading columns 1. Indicators, 2. Evidence and 3. Comment. "/>
      </w:tblPr>
      <w:tblGrid>
        <w:gridCol w:w="3080"/>
        <w:gridCol w:w="2840"/>
        <w:gridCol w:w="3827"/>
      </w:tblGrid>
      <w:tr w:rsidR="00314CDD" w:rsidRPr="008A5DC7" w14:paraId="72A52D69" w14:textId="77777777" w:rsidTr="008A5DC7">
        <w:trPr>
          <w:cantSplit/>
          <w:tblHeader/>
        </w:trPr>
        <w:tc>
          <w:tcPr>
            <w:tcW w:w="3080" w:type="dxa"/>
            <w:vAlign w:val="center"/>
          </w:tcPr>
          <w:p w14:paraId="4C584429" w14:textId="1AADD14F" w:rsidR="00314CDD" w:rsidRPr="008A5DC7" w:rsidRDefault="00314CDD" w:rsidP="006D47B2">
            <w:pPr>
              <w:pStyle w:val="Tableheading"/>
              <w:rPr>
                <w:lang w:eastAsia="en-AU"/>
              </w:rPr>
            </w:pPr>
            <w:r w:rsidRPr="008A5DC7">
              <w:rPr>
                <w:lang w:eastAsia="en-AU"/>
              </w:rPr>
              <w:t>Indicator</w:t>
            </w:r>
          </w:p>
        </w:tc>
        <w:tc>
          <w:tcPr>
            <w:tcW w:w="2840" w:type="dxa"/>
            <w:vAlign w:val="center"/>
          </w:tcPr>
          <w:p w14:paraId="713BACA9" w14:textId="77777777" w:rsidR="00314CDD" w:rsidRPr="008A5DC7" w:rsidRDefault="00314CDD" w:rsidP="006D47B2">
            <w:pPr>
              <w:pStyle w:val="Tableheading"/>
              <w:rPr>
                <w:lang w:eastAsia="en-AU"/>
              </w:rPr>
            </w:pPr>
            <w:r w:rsidRPr="008A5DC7">
              <w:rPr>
                <w:lang w:eastAsia="en-AU"/>
              </w:rPr>
              <w:t>Evidence</w:t>
            </w:r>
          </w:p>
        </w:tc>
        <w:tc>
          <w:tcPr>
            <w:tcW w:w="3827" w:type="dxa"/>
            <w:vAlign w:val="center"/>
          </w:tcPr>
          <w:p w14:paraId="195BD272" w14:textId="77777777" w:rsidR="00314CDD" w:rsidRPr="008A5DC7" w:rsidRDefault="00314CDD" w:rsidP="006D47B2">
            <w:pPr>
              <w:pStyle w:val="Tableheading"/>
              <w:rPr>
                <w:lang w:eastAsia="en-AU"/>
              </w:rPr>
            </w:pPr>
            <w:r w:rsidRPr="008A5DC7">
              <w:rPr>
                <w:lang w:eastAsia="en-AU"/>
              </w:rPr>
              <w:t>Comment</w:t>
            </w:r>
          </w:p>
        </w:tc>
      </w:tr>
      <w:tr w:rsidR="00314CDD" w:rsidRPr="008A5DC7" w14:paraId="3070D731" w14:textId="77777777" w:rsidTr="008A5DC7">
        <w:trPr>
          <w:cantSplit/>
          <w:trHeight w:val="2623"/>
        </w:trPr>
        <w:tc>
          <w:tcPr>
            <w:tcW w:w="3080" w:type="dxa"/>
          </w:tcPr>
          <w:p w14:paraId="45CC18B8" w14:textId="11BE7569" w:rsidR="00314CDD" w:rsidRPr="008A5DC7" w:rsidRDefault="00314CDD" w:rsidP="006D47B2">
            <w:pPr>
              <w:pStyle w:val="Tabletext"/>
              <w:rPr>
                <w:lang w:eastAsia="en-AU"/>
              </w:rPr>
            </w:pPr>
            <w:r w:rsidRPr="008A5DC7">
              <w:rPr>
                <w:lang w:eastAsia="en-AU"/>
              </w:rPr>
              <w:t xml:space="preserve">PI 5.1 </w:t>
            </w:r>
            <w:r w:rsidR="008A5DC7">
              <w:rPr>
                <w:lang w:eastAsia="en-AU"/>
              </w:rPr>
              <w:t>–</w:t>
            </w:r>
            <w:r w:rsidRPr="008A5DC7">
              <w:t xml:space="preserve"> </w:t>
            </w:r>
            <w:r w:rsidR="008A5DC7">
              <w:rPr>
                <w:lang w:eastAsia="en-AU"/>
              </w:rPr>
              <w:t>Percentage of RSB</w:t>
            </w:r>
            <w:r w:rsidRPr="008A5DC7">
              <w:rPr>
                <w:lang w:eastAsia="en-AU"/>
              </w:rPr>
              <w:t xml:space="preserve"> time devoted to regulatory activities (core business efficiency).</w:t>
            </w:r>
          </w:p>
        </w:tc>
        <w:tc>
          <w:tcPr>
            <w:tcW w:w="2840" w:type="dxa"/>
          </w:tcPr>
          <w:p w14:paraId="41DD232F" w14:textId="3E66C507" w:rsidR="00314CDD" w:rsidRPr="008A5DC7" w:rsidRDefault="00314CDD" w:rsidP="006D47B2">
            <w:pPr>
              <w:pStyle w:val="Tabletext"/>
              <w:rPr>
                <w:lang w:eastAsia="en-AU"/>
              </w:rPr>
            </w:pPr>
            <w:r w:rsidRPr="008A5DC7">
              <w:rPr>
                <w:noProof/>
                <w:lang w:eastAsia="en-AU"/>
              </w:rPr>
              <mc:AlternateContent>
                <mc:Choice Requires="wps">
                  <w:drawing>
                    <wp:inline distT="0" distB="0" distL="0" distR="0" wp14:anchorId="5E29BC88" wp14:editId="4E91E11D">
                      <wp:extent cx="101600" cy="118533"/>
                      <wp:effectExtent l="0" t="0" r="12700" b="15240"/>
                      <wp:docPr id="2" name="Oval 2"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" fillcolor="#f79646 [3209]" strokecolor="#974706 [1609]" strokeweight="2pt">
                      <w10:anchorlock/>
                    </v:oval>
                  </w:pict>
                </mc:Fallback>
              </mc:AlternateContent>
            </w:r>
            <w:r w:rsidR="008A5DC7" w:rsidRPr="008A5DC7">
              <w:rPr>
                <w:lang w:eastAsia="en-AU"/>
              </w:rPr>
              <w:t xml:space="preserve"> </w:t>
            </w:r>
            <w:r w:rsidRPr="008A5DC7">
              <w:rPr>
                <w:lang w:eastAsia="en-AU"/>
              </w:rPr>
              <w:t>32% of RSB time spent on regulatory activities – target (60%) not met.</w:t>
            </w:r>
          </w:p>
        </w:tc>
        <w:tc>
          <w:tcPr>
            <w:tcW w:w="3827" w:type="dxa"/>
          </w:tcPr>
          <w:p w14:paraId="5B9BA1D5" w14:textId="7B1EFC21" w:rsidR="00314CDD" w:rsidRPr="008A5DC7" w:rsidRDefault="00314CDD" w:rsidP="006D47B2">
            <w:pPr>
              <w:pStyle w:val="Tabletext"/>
              <w:numPr>
                <w:ilvl w:val="0"/>
                <w:numId w:val="41"/>
              </w:numPr>
              <w:rPr>
                <w:lang w:eastAsia="en-AU"/>
              </w:rPr>
            </w:pPr>
            <w:r w:rsidRPr="008A5DC7">
              <w:rPr>
                <w:lang w:eastAsia="en-AU"/>
              </w:rPr>
              <w:t xml:space="preserve">The PI measures only the time spent working directly on individual licences. It was considered </w:t>
            </w:r>
            <w:proofErr w:type="gramStart"/>
            <w:r w:rsidRPr="008A5DC7">
              <w:rPr>
                <w:lang w:eastAsia="en-AU"/>
              </w:rPr>
              <w:t>to be a</w:t>
            </w:r>
            <w:proofErr w:type="gramEnd"/>
            <w:r w:rsidRPr="008A5DC7">
              <w:rPr>
                <w:lang w:eastAsia="en-AU"/>
              </w:rPr>
              <w:t xml:space="preserve"> good indicator of performance. However, the target may have been set too high.</w:t>
            </w:r>
          </w:p>
          <w:p w14:paraId="7C9C4776" w14:textId="508B9561" w:rsidR="00314CDD" w:rsidRPr="008A5DC7" w:rsidRDefault="00314CDD" w:rsidP="006D47B2">
            <w:pPr>
              <w:pStyle w:val="Tabletext"/>
              <w:numPr>
                <w:ilvl w:val="0"/>
                <w:numId w:val="41"/>
              </w:numPr>
              <w:rPr>
                <w:lang w:eastAsia="en-AU"/>
              </w:rPr>
            </w:pPr>
            <w:r w:rsidRPr="008A5DC7">
              <w:rPr>
                <w:lang w:eastAsia="en-AU"/>
              </w:rPr>
              <w:t xml:space="preserve">The indicator includes all RSB personnel but does not account for all types of regulatory activity or </w:t>
            </w:r>
            <w:proofErr w:type="gramStart"/>
            <w:r w:rsidR="00857968" w:rsidRPr="008A5DC7">
              <w:rPr>
                <w:lang w:eastAsia="en-AU"/>
              </w:rPr>
              <w:t xml:space="preserve">staff </w:t>
            </w:r>
            <w:r w:rsidRPr="008A5DC7">
              <w:rPr>
                <w:lang w:eastAsia="en-AU"/>
              </w:rPr>
              <w:t>leave</w:t>
            </w:r>
            <w:proofErr w:type="gramEnd"/>
            <w:r w:rsidRPr="008A5DC7">
              <w:rPr>
                <w:lang w:eastAsia="en-AU"/>
              </w:rPr>
              <w:t>.</w:t>
            </w:r>
          </w:p>
          <w:p w14:paraId="126E66F7" w14:textId="5B8E7A1F" w:rsidR="00314CDD" w:rsidRPr="008A5DC7" w:rsidRDefault="00314CDD" w:rsidP="006D47B2">
            <w:pPr>
              <w:pStyle w:val="Tabletext"/>
              <w:numPr>
                <w:ilvl w:val="0"/>
                <w:numId w:val="41"/>
              </w:numPr>
              <w:rPr>
                <w:lang w:eastAsia="en-AU"/>
              </w:rPr>
            </w:pPr>
            <w:r w:rsidRPr="008A5DC7">
              <w:rPr>
                <w:lang w:eastAsia="en-AU"/>
              </w:rPr>
              <w:t>This target is a major input into a transparent cost recovery tool, from which the allocation of licence charges can be determined.</w:t>
            </w:r>
          </w:p>
        </w:tc>
      </w:tr>
      <w:tr w:rsidR="00314CDD" w:rsidRPr="008A5DC7" w14:paraId="53C09682" w14:textId="77777777" w:rsidTr="008A5DC7">
        <w:trPr>
          <w:cantSplit/>
          <w:trHeight w:val="2623"/>
        </w:trPr>
        <w:tc>
          <w:tcPr>
            <w:tcW w:w="3080" w:type="dxa"/>
          </w:tcPr>
          <w:p w14:paraId="73FC34E2" w14:textId="35020633" w:rsidR="00314CDD" w:rsidRPr="008A5DC7" w:rsidRDefault="00314CDD" w:rsidP="006D47B2">
            <w:pPr>
              <w:pStyle w:val="Tabletext"/>
              <w:rPr>
                <w:lang w:eastAsia="en-AU"/>
              </w:rPr>
            </w:pPr>
            <w:r w:rsidRPr="008A5DC7">
              <w:rPr>
                <w:lang w:eastAsia="en-AU"/>
              </w:rPr>
              <w:t xml:space="preserve">PI 5.2 </w:t>
            </w:r>
            <w:r w:rsidR="008A5DC7">
              <w:rPr>
                <w:lang w:eastAsia="en-AU"/>
              </w:rPr>
              <w:t>–</w:t>
            </w:r>
            <w:r w:rsidRPr="008A5DC7">
              <w:rPr>
                <w:lang w:eastAsia="en-AU"/>
              </w:rPr>
              <w:t xml:space="preserve"> Percentage of instances in which </w:t>
            </w:r>
            <w:r w:rsidR="001F7A0E" w:rsidRPr="008A5DC7">
              <w:rPr>
                <w:lang w:eastAsia="en-AU"/>
              </w:rPr>
              <w:t>Licence holder</w:t>
            </w:r>
            <w:r w:rsidRPr="008A5DC7">
              <w:rPr>
                <w:lang w:eastAsia="en-AU"/>
              </w:rPr>
              <w:t xml:space="preserve">s </w:t>
            </w:r>
            <w:proofErr w:type="gramStart"/>
            <w:r w:rsidRPr="008A5DC7">
              <w:rPr>
                <w:lang w:eastAsia="en-AU"/>
              </w:rPr>
              <w:t>are consulted</w:t>
            </w:r>
            <w:proofErr w:type="gramEnd"/>
            <w:r w:rsidRPr="008A5DC7">
              <w:rPr>
                <w:lang w:eastAsia="en-AU"/>
              </w:rPr>
              <w:t xml:space="preserve"> on the development of Guides, Codes and Standards (transparent development of standards).</w:t>
            </w:r>
          </w:p>
        </w:tc>
        <w:tc>
          <w:tcPr>
            <w:tcW w:w="2840" w:type="dxa"/>
          </w:tcPr>
          <w:p w14:paraId="2D85CA3F" w14:textId="43E25FB7" w:rsidR="00314CDD" w:rsidRPr="008A5DC7" w:rsidRDefault="00314CDD" w:rsidP="006D47B2">
            <w:pPr>
              <w:pStyle w:val="Tabletext"/>
              <w:rPr>
                <w:color w:val="0070C0"/>
              </w:rPr>
            </w:pPr>
            <w:r w:rsidRPr="008A5DC7">
              <w:rPr>
                <w:noProof/>
                <w:lang w:eastAsia="en-AU"/>
              </w:rPr>
              <mc:AlternateContent>
                <mc:Choice Requires="wps">
                  <w:drawing>
                    <wp:inline distT="0" distB="0" distL="0" distR="0" wp14:anchorId="6C2717C2" wp14:editId="4D760674">
                      <wp:extent cx="101600" cy="118533"/>
                      <wp:effectExtent l="0" t="0" r="12700" b="15240"/>
                      <wp:docPr id="4" name="Oval 4"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" fillcolor="#9bbb59 [3206]" strokecolor="#4e6128 [1606]" strokeweight="2pt">
                      <w10:anchorlock/>
                    </v:oval>
                  </w:pict>
                </mc:Fallback>
              </mc:AlternateContent>
            </w:r>
            <w:r w:rsidRPr="008A5DC7">
              <w:rPr>
                <w:lang w:eastAsia="en-AU"/>
              </w:rPr>
              <w:t xml:space="preserve"> 100% of guides codes and standards consulted on – target (90%) exceeded</w:t>
            </w:r>
            <w:r w:rsidR="0058535A">
              <w:rPr>
                <w:lang w:eastAsia="en-AU"/>
              </w:rPr>
              <w:t>.</w:t>
            </w:r>
          </w:p>
        </w:tc>
        <w:tc>
          <w:tcPr>
            <w:tcW w:w="3827" w:type="dxa"/>
          </w:tcPr>
          <w:p w14:paraId="00ACAE61" w14:textId="22582291" w:rsidR="00314CDD" w:rsidRPr="008A5DC7" w:rsidRDefault="00151F6C" w:rsidP="006D47B2">
            <w:pPr>
              <w:pStyle w:val="Tabletext"/>
              <w:numPr>
                <w:ilvl w:val="0"/>
                <w:numId w:val="41"/>
              </w:numPr>
              <w:rPr>
                <w:lang w:eastAsia="en-AU"/>
              </w:rPr>
            </w:pPr>
            <w:r w:rsidRPr="008A5DC7">
              <w:rPr>
                <w:lang w:eastAsia="en-AU"/>
              </w:rPr>
              <w:t>Licence holder representatives</w:t>
            </w:r>
            <w:r w:rsidR="00314CDD" w:rsidRPr="008A5DC7">
              <w:rPr>
                <w:lang w:eastAsia="en-AU"/>
              </w:rPr>
              <w:t xml:space="preserve"> </w:t>
            </w:r>
            <w:proofErr w:type="gramStart"/>
            <w:r w:rsidR="00314CDD" w:rsidRPr="008A5DC7">
              <w:rPr>
                <w:lang w:eastAsia="en-AU"/>
              </w:rPr>
              <w:t>have sometimes not been consulted on, or informed of, revisions to regulatory guides</w:t>
            </w:r>
            <w:proofErr w:type="gramEnd"/>
            <w:r w:rsidR="00314CDD" w:rsidRPr="008A5DC7">
              <w:rPr>
                <w:lang w:eastAsia="en-AU"/>
              </w:rPr>
              <w:t>.</w:t>
            </w:r>
          </w:p>
          <w:p w14:paraId="7BAA6A65" w14:textId="7D3A638A" w:rsidR="00314CDD" w:rsidRPr="008A5DC7" w:rsidRDefault="00151F6C" w:rsidP="006D47B2">
            <w:pPr>
              <w:pStyle w:val="Tabletext"/>
              <w:numPr>
                <w:ilvl w:val="0"/>
                <w:numId w:val="41"/>
              </w:numPr>
            </w:pPr>
            <w:r w:rsidRPr="008A5DC7">
              <w:rPr>
                <w:lang w:eastAsia="en-AU"/>
              </w:rPr>
              <w:t>Licence holder representatives</w:t>
            </w:r>
            <w:r w:rsidR="00314CDD" w:rsidRPr="008A5DC7">
              <w:rPr>
                <w:lang w:eastAsia="en-AU"/>
              </w:rPr>
              <w:t xml:space="preserve"> do not typically receive explanatory feedback when their comments </w:t>
            </w:r>
            <w:r w:rsidR="008F073C" w:rsidRPr="008A5DC7">
              <w:rPr>
                <w:lang w:eastAsia="en-AU"/>
              </w:rPr>
              <w:t xml:space="preserve">and suggestions </w:t>
            </w:r>
            <w:r w:rsidR="00314CDD" w:rsidRPr="008A5DC7">
              <w:rPr>
                <w:lang w:eastAsia="en-AU"/>
              </w:rPr>
              <w:t>have not been actioned.</w:t>
            </w:r>
          </w:p>
        </w:tc>
      </w:tr>
    </w:tbl>
    <w:p w14:paraId="1E9C36A0" w14:textId="35627709" w:rsidR="00314CDD" w:rsidRPr="00A9092B" w:rsidRDefault="00314CDD" w:rsidP="00C91FB5">
      <w:pPr>
        <w:pStyle w:val="Heading3"/>
        <w:spacing w:before="200"/>
        <w:rPr>
          <w:lang w:eastAsia="en-AU"/>
        </w:rPr>
      </w:pPr>
      <w:bookmarkStart w:id="41" w:name="_Toc470173166"/>
      <w:r w:rsidRPr="00A9092B">
        <w:rPr>
          <w:lang w:eastAsia="en-AU"/>
        </w:rPr>
        <w:t>Other evidence to indicate compliance with KPI 5</w:t>
      </w:r>
      <w:bookmarkEnd w:id="41"/>
    </w:p>
    <w:p w14:paraId="60C20A57" w14:textId="1DD08E7E" w:rsidR="00314CDD" w:rsidRPr="0047516F" w:rsidRDefault="00314CDD" w:rsidP="00C91FB5">
      <w:pPr>
        <w:autoSpaceDE w:val="0"/>
        <w:autoSpaceDN w:val="0"/>
        <w:adjustRightInd w:val="0"/>
        <w:spacing w:after="120"/>
        <w:rPr>
          <w:rFonts w:cs="Arial"/>
          <w:szCs w:val="24"/>
        </w:rPr>
      </w:pPr>
      <w:r>
        <w:rPr>
          <w:rFonts w:cs="Times New Roman"/>
          <w:bCs/>
          <w:szCs w:val="24"/>
          <w:lang w:eastAsia="en-AU"/>
        </w:rPr>
        <w:t>ARPANSA</w:t>
      </w:r>
      <w:r w:rsidRPr="00A9092B">
        <w:rPr>
          <w:rFonts w:cs="Times New Roman"/>
          <w:bCs/>
          <w:szCs w:val="24"/>
          <w:lang w:eastAsia="en-AU"/>
        </w:rPr>
        <w:t xml:space="preserve"> publishe</w:t>
      </w:r>
      <w:r w:rsidR="003331E4">
        <w:rPr>
          <w:rFonts w:cs="Times New Roman"/>
          <w:bCs/>
          <w:szCs w:val="24"/>
          <w:lang w:eastAsia="en-AU"/>
        </w:rPr>
        <w:t>s</w:t>
      </w:r>
      <w:r w:rsidRPr="00A9092B">
        <w:rPr>
          <w:rFonts w:cs="Times New Roman"/>
          <w:bCs/>
          <w:szCs w:val="24"/>
          <w:lang w:eastAsia="en-AU"/>
        </w:rPr>
        <w:t xml:space="preserve"> </w:t>
      </w:r>
      <w:r>
        <w:rPr>
          <w:rFonts w:cs="Times New Roman"/>
          <w:bCs/>
          <w:szCs w:val="24"/>
          <w:lang w:eastAsia="en-AU"/>
        </w:rPr>
        <w:t xml:space="preserve">a large number of </w:t>
      </w:r>
      <w:r w:rsidRPr="00A9092B">
        <w:rPr>
          <w:rFonts w:cs="Times New Roman"/>
          <w:bCs/>
          <w:szCs w:val="24"/>
          <w:lang w:eastAsia="en-AU"/>
        </w:rPr>
        <w:t>reports and guidance on</w:t>
      </w:r>
      <w:r w:rsidR="008258BF">
        <w:rPr>
          <w:rFonts w:cs="Times New Roman"/>
          <w:bCs/>
          <w:szCs w:val="24"/>
          <w:lang w:eastAsia="en-AU"/>
        </w:rPr>
        <w:t xml:space="preserve"> its </w:t>
      </w:r>
      <w:hyperlink r:id="rId28" w:history="1">
        <w:r w:rsidR="008258BF" w:rsidRPr="003331E4">
          <w:rPr>
            <w:rStyle w:val="Hyperlink"/>
            <w:rFonts w:cs="Times New Roman"/>
            <w:bCs/>
            <w:szCs w:val="24"/>
            <w:lang w:eastAsia="en-AU"/>
          </w:rPr>
          <w:t>Regulation and Licensing</w:t>
        </w:r>
      </w:hyperlink>
      <w:r w:rsidR="008258BF">
        <w:rPr>
          <w:rFonts w:cs="Times New Roman"/>
          <w:bCs/>
          <w:szCs w:val="24"/>
          <w:lang w:eastAsia="en-AU"/>
        </w:rPr>
        <w:t xml:space="preserve"> webpage</w:t>
      </w:r>
      <w:r w:rsidR="00857968">
        <w:rPr>
          <w:rFonts w:cs="Times New Roman"/>
          <w:bCs/>
          <w:szCs w:val="24"/>
          <w:lang w:eastAsia="en-AU"/>
        </w:rPr>
        <w:t>s</w:t>
      </w:r>
      <w:r w:rsidR="008258BF">
        <w:rPr>
          <w:rFonts w:cs="Times New Roman"/>
          <w:bCs/>
          <w:szCs w:val="24"/>
          <w:lang w:eastAsia="en-AU"/>
        </w:rPr>
        <w:t>.</w:t>
      </w:r>
    </w:p>
    <w:p w14:paraId="0F1397E1" w14:textId="2EE5FDF9" w:rsidR="00314CDD" w:rsidRDefault="00314CDD" w:rsidP="00C91FB5">
      <w:pPr>
        <w:spacing w:after="120"/>
      </w:pPr>
      <w:r>
        <w:rPr>
          <w:rFonts w:cs="Times New Roman"/>
          <w:bCs/>
          <w:szCs w:val="24"/>
          <w:lang w:eastAsia="en-AU"/>
        </w:rPr>
        <w:lastRenderedPageBreak/>
        <w:t xml:space="preserve">As discussed above, </w:t>
      </w:r>
      <w:r>
        <w:t xml:space="preserve">ARPANSA </w:t>
      </w:r>
      <w:r w:rsidR="00673428">
        <w:t xml:space="preserve">conducts </w:t>
      </w:r>
      <w:r>
        <w:t xml:space="preserve">regular meetings, forums and site visits </w:t>
      </w:r>
      <w:r w:rsidRPr="006A296C">
        <w:t xml:space="preserve">to </w:t>
      </w:r>
      <w:r>
        <w:t>improve transparency of</w:t>
      </w:r>
      <w:r w:rsidRPr="006A296C">
        <w:t xml:space="preserve"> </w:t>
      </w:r>
      <w:r>
        <w:t xml:space="preserve">its regulatory requirements and processes.  Similar opportunities </w:t>
      </w:r>
      <w:proofErr w:type="gramStart"/>
      <w:r>
        <w:t>are provided</w:t>
      </w:r>
      <w:proofErr w:type="gramEnd"/>
      <w:r>
        <w:t xml:space="preserve"> during inspections.</w:t>
      </w:r>
    </w:p>
    <w:p w14:paraId="35B1C2B6" w14:textId="5AAD3E42" w:rsidR="00F8172E" w:rsidRPr="00454CE1" w:rsidRDefault="00857968" w:rsidP="00C91FB5">
      <w:pPr>
        <w:spacing w:after="120"/>
      </w:pPr>
      <w:r>
        <w:t>T</w:t>
      </w:r>
      <w:r w:rsidR="00F8172E">
        <w:t>he Act establishes a Nuclear Safety Committee (NSC) to provide advice</w:t>
      </w:r>
      <w:r w:rsidRPr="00857968">
        <w:t xml:space="preserve"> </w:t>
      </w:r>
      <w:r>
        <w:t>to support the CEO of ARPANSA</w:t>
      </w:r>
      <w:r w:rsidR="00F8172E">
        <w:t xml:space="preserve">. </w:t>
      </w:r>
      <w:proofErr w:type="gramStart"/>
      <w:r w:rsidR="00F8172E">
        <w:t>The NSC in an independent group of senior national experts drawn from nuclear and other high reliability industries and regulator</w:t>
      </w:r>
      <w:r>
        <w:t>y bodies</w:t>
      </w:r>
      <w:r w:rsidR="00F8172E">
        <w:t>.</w:t>
      </w:r>
      <w:proofErr w:type="gramEnd"/>
      <w:r w:rsidR="00F8172E">
        <w:t xml:space="preserve"> </w:t>
      </w:r>
      <w:r w:rsidR="00A720EE">
        <w:t xml:space="preserve">Any </w:t>
      </w:r>
      <w:proofErr w:type="gramStart"/>
      <w:r w:rsidR="00A720EE">
        <w:t xml:space="preserve">matters of interest in </w:t>
      </w:r>
      <w:r w:rsidR="000E7858">
        <w:t>ARPANSA’s</w:t>
      </w:r>
      <w:r w:rsidR="00A720EE">
        <w:t xml:space="preserve"> regulatory environment, its approach to regulation, and its operational performance</w:t>
      </w:r>
      <w:r w:rsidR="000E7858">
        <w:t>,</w:t>
      </w:r>
      <w:r w:rsidR="00A720EE">
        <w:t xml:space="preserve"> </w:t>
      </w:r>
      <w:r w:rsidR="000E7858">
        <w:t>is</w:t>
      </w:r>
      <w:proofErr w:type="gramEnd"/>
      <w:r w:rsidR="000E7858">
        <w:t xml:space="preserve"> </w:t>
      </w:r>
      <w:r w:rsidR="00DF49F6">
        <w:t>refer</w:t>
      </w:r>
      <w:r w:rsidR="000E7858">
        <w:t>red</w:t>
      </w:r>
      <w:r w:rsidR="00DF49F6">
        <w:t xml:space="preserve"> </w:t>
      </w:r>
      <w:r w:rsidR="00F8172E">
        <w:t xml:space="preserve">to the NSC </w:t>
      </w:r>
      <w:r w:rsidR="005C611F">
        <w:t>for information or discussion</w:t>
      </w:r>
      <w:r w:rsidR="00203624">
        <w:t>.</w:t>
      </w:r>
      <w:r w:rsidR="00F8172E">
        <w:t xml:space="preserve"> </w:t>
      </w:r>
      <w:r w:rsidR="00C40F1D">
        <w:t xml:space="preserve">The NSC also reviews any significant guidance </w:t>
      </w:r>
      <w:r w:rsidR="00673428">
        <w:t xml:space="preserve">under </w:t>
      </w:r>
      <w:r w:rsidR="00C40F1D">
        <w:t>develop</w:t>
      </w:r>
      <w:r w:rsidR="00673428">
        <w:t>ment</w:t>
      </w:r>
      <w:r w:rsidR="00C40F1D">
        <w:t>.</w:t>
      </w:r>
    </w:p>
    <w:p w14:paraId="7DB65845" w14:textId="0E5F4D43" w:rsidR="00314CDD" w:rsidRPr="001E2AC2" w:rsidRDefault="00314CDD" w:rsidP="00C91FB5">
      <w:pPr>
        <w:autoSpaceDE w:val="0"/>
        <w:autoSpaceDN w:val="0"/>
        <w:adjustRightInd w:val="0"/>
        <w:spacing w:after="120"/>
        <w:rPr>
          <w:rFonts w:cs="Times New Roman"/>
          <w:bCs/>
          <w:szCs w:val="24"/>
          <w:lang w:eastAsia="en-AU"/>
        </w:rPr>
      </w:pPr>
      <w:r w:rsidRPr="001E2AC2">
        <w:rPr>
          <w:rFonts w:cs="Times New Roman"/>
          <w:bCs/>
          <w:szCs w:val="24"/>
          <w:lang w:eastAsia="en-AU"/>
        </w:rPr>
        <w:t xml:space="preserve">The team that undertook this self-assessment included a representative </w:t>
      </w:r>
      <w:r w:rsidR="00A41E77">
        <w:rPr>
          <w:rFonts w:cs="Times New Roman"/>
          <w:bCs/>
          <w:szCs w:val="24"/>
          <w:lang w:eastAsia="en-AU"/>
        </w:rPr>
        <w:t xml:space="preserve">from </w:t>
      </w:r>
      <w:r w:rsidRPr="001E2AC2">
        <w:rPr>
          <w:rFonts w:cs="Times New Roman"/>
          <w:bCs/>
          <w:szCs w:val="24"/>
          <w:lang w:eastAsia="en-AU"/>
        </w:rPr>
        <w:t xml:space="preserve">a large </w:t>
      </w:r>
      <w:r w:rsidR="00A41E77">
        <w:rPr>
          <w:rFonts w:cs="Times New Roman"/>
          <w:bCs/>
          <w:szCs w:val="24"/>
          <w:lang w:eastAsia="en-AU"/>
        </w:rPr>
        <w:t>l</w:t>
      </w:r>
      <w:r w:rsidR="001F7A0E">
        <w:rPr>
          <w:rFonts w:cs="Times New Roman"/>
          <w:bCs/>
          <w:szCs w:val="24"/>
          <w:lang w:eastAsia="en-AU"/>
        </w:rPr>
        <w:t>icence holder</w:t>
      </w:r>
      <w:r w:rsidRPr="001E2AC2">
        <w:rPr>
          <w:rFonts w:cs="Times New Roman"/>
          <w:bCs/>
          <w:szCs w:val="24"/>
          <w:lang w:eastAsia="en-AU"/>
        </w:rPr>
        <w:t xml:space="preserve"> and another from an international regulator. This is a</w:t>
      </w:r>
      <w:r w:rsidR="00DF49F6">
        <w:rPr>
          <w:rFonts w:cs="Times New Roman"/>
          <w:bCs/>
          <w:szCs w:val="24"/>
          <w:lang w:eastAsia="en-AU"/>
        </w:rPr>
        <w:t>nother</w:t>
      </w:r>
      <w:r w:rsidRPr="001E2AC2">
        <w:rPr>
          <w:rFonts w:cs="Times New Roman"/>
          <w:bCs/>
          <w:szCs w:val="24"/>
          <w:lang w:eastAsia="en-AU"/>
        </w:rPr>
        <w:t xml:space="preserve"> demonstration of</w:t>
      </w:r>
      <w:r w:rsidR="00A41E77">
        <w:rPr>
          <w:rFonts w:cs="Times New Roman"/>
          <w:bCs/>
          <w:szCs w:val="24"/>
          <w:lang w:eastAsia="en-AU"/>
        </w:rPr>
        <w:t xml:space="preserve"> </w:t>
      </w:r>
      <w:r w:rsidRPr="001E2AC2">
        <w:rPr>
          <w:rFonts w:cs="Times New Roman"/>
          <w:bCs/>
          <w:szCs w:val="24"/>
          <w:lang w:eastAsia="en-AU"/>
        </w:rPr>
        <w:t>openness and transparency.</w:t>
      </w:r>
      <w:r>
        <w:rPr>
          <w:rFonts w:cs="Times New Roman"/>
          <w:bCs/>
          <w:szCs w:val="24"/>
          <w:lang w:eastAsia="en-AU"/>
        </w:rPr>
        <w:t xml:space="preserve"> </w:t>
      </w:r>
    </w:p>
    <w:p w14:paraId="57653E7C" w14:textId="7F4DDF2C" w:rsidR="00314CDD" w:rsidRDefault="00314CDD" w:rsidP="00C91FB5">
      <w:pPr>
        <w:pStyle w:val="Heading3"/>
        <w:rPr>
          <w:lang w:eastAsia="en-AU"/>
        </w:rPr>
      </w:pPr>
      <w:bookmarkStart w:id="42" w:name="_Toc470173167"/>
      <w:r w:rsidRPr="00A9092B">
        <w:rPr>
          <w:lang w:eastAsia="en-AU"/>
        </w:rPr>
        <w:t>Analysis of evidence presented</w:t>
      </w:r>
      <w:bookmarkEnd w:id="42"/>
    </w:p>
    <w:p w14:paraId="621AF8C8" w14:textId="70397D0F" w:rsidR="00314CDD" w:rsidRPr="00EA5F4F" w:rsidRDefault="00314CDD" w:rsidP="00C91FB5">
      <w:pPr>
        <w:spacing w:after="120"/>
      </w:pPr>
      <w:r>
        <w:t xml:space="preserve">Overall performance </w:t>
      </w:r>
      <w:r w:rsidR="000E7858">
        <w:t>against</w:t>
      </w:r>
      <w:r w:rsidR="00A41E77">
        <w:t xml:space="preserve"> this KPI </w:t>
      </w:r>
      <w:proofErr w:type="gramStart"/>
      <w:r>
        <w:t>was assessed</w:t>
      </w:r>
      <w:proofErr w:type="gramEnd"/>
      <w:r>
        <w:t xml:space="preserve"> as </w:t>
      </w:r>
      <w:r w:rsidR="00C27FEA">
        <w:t>g</w:t>
      </w:r>
      <w:r>
        <w:t xml:space="preserve">ood. This </w:t>
      </w:r>
      <w:proofErr w:type="gramStart"/>
      <w:r>
        <w:t>is based</w:t>
      </w:r>
      <w:proofErr w:type="gramEnd"/>
      <w:r>
        <w:t xml:space="preserve"> on evidence such as </w:t>
      </w:r>
      <w:r w:rsidR="00A41E77">
        <w:t>the</w:t>
      </w:r>
      <w:r>
        <w:t xml:space="preserve"> amount of information publicly available</w:t>
      </w:r>
      <w:r w:rsidR="00A41E77">
        <w:t xml:space="preserve"> online</w:t>
      </w:r>
      <w:r w:rsidR="00102456">
        <w:t>,</w:t>
      </w:r>
      <w:r>
        <w:t xml:space="preserve"> including the e</w:t>
      </w:r>
      <w:r w:rsidRPr="001C2384">
        <w:t>nforcement strategy and risk approach</w:t>
      </w:r>
      <w:r>
        <w:t>es, regulatory guides,</w:t>
      </w:r>
      <w:r w:rsidRPr="001C2384">
        <w:t xml:space="preserve"> </w:t>
      </w:r>
      <w:r w:rsidR="00A41E77">
        <w:t xml:space="preserve">and </w:t>
      </w:r>
      <w:r>
        <w:t xml:space="preserve">inspection outcomes. </w:t>
      </w:r>
      <w:r w:rsidR="00A41E77">
        <w:t xml:space="preserve">Although </w:t>
      </w:r>
      <w:r>
        <w:t xml:space="preserve">performance against the </w:t>
      </w:r>
      <w:r w:rsidRPr="00A41E77">
        <w:t xml:space="preserve">PIs </w:t>
      </w:r>
      <w:proofErr w:type="gramStart"/>
      <w:r w:rsidRPr="00A41E77">
        <w:t>was</w:t>
      </w:r>
      <w:r>
        <w:t xml:space="preserve"> taken</w:t>
      </w:r>
      <w:proofErr w:type="gramEnd"/>
      <w:r>
        <w:t xml:space="preserve"> into account</w:t>
      </w:r>
      <w:r w:rsidR="001D62BD">
        <w:t>,</w:t>
      </w:r>
      <w:r>
        <w:t xml:space="preserve"> </w:t>
      </w:r>
      <w:r w:rsidR="00D82C38">
        <w:t xml:space="preserve">the team considered that </w:t>
      </w:r>
      <w:r>
        <w:t>they m</w:t>
      </w:r>
      <w:r w:rsidR="00102456">
        <w:t>ight</w:t>
      </w:r>
      <w:r>
        <w:t xml:space="preserve"> not accurately reflect the intent of the KPI.</w:t>
      </w:r>
    </w:p>
    <w:p w14:paraId="19E14807" w14:textId="52AB078C" w:rsidR="001E3A38" w:rsidRDefault="00314CDD" w:rsidP="00C91FB5">
      <w:pPr>
        <w:spacing w:after="120"/>
      </w:pPr>
      <w:r w:rsidRPr="00016703">
        <w:rPr>
          <w:b/>
        </w:rPr>
        <w:t xml:space="preserve">PI 5.1 </w:t>
      </w:r>
      <w:r>
        <w:t xml:space="preserve">is a measure of the proportion of time regulatory </w:t>
      </w:r>
      <w:proofErr w:type="gramStart"/>
      <w:r>
        <w:t>staff spend</w:t>
      </w:r>
      <w:proofErr w:type="gramEnd"/>
      <w:r>
        <w:t xml:space="preserve"> on </w:t>
      </w:r>
      <w:r w:rsidR="00984732">
        <w:t>direct regulatory activities</w:t>
      </w:r>
      <w:r w:rsidRPr="00A9092B">
        <w:t xml:space="preserve">. </w:t>
      </w:r>
      <w:r w:rsidR="00984732">
        <w:t xml:space="preserve">These are activities associated with a specific licence such as application assessments, inspections, compliance monitoring, and enforcement. This </w:t>
      </w:r>
      <w:r w:rsidR="00B6027B">
        <w:t>measure</w:t>
      </w:r>
      <w:r w:rsidR="00984732">
        <w:t xml:space="preserve"> </w:t>
      </w:r>
      <w:proofErr w:type="gramStart"/>
      <w:r w:rsidR="001E3A38">
        <w:t>was primarily introduced</w:t>
      </w:r>
      <w:proofErr w:type="gramEnd"/>
      <w:r w:rsidR="001E3A38">
        <w:t xml:space="preserve"> </w:t>
      </w:r>
      <w:r w:rsidR="001E3A38" w:rsidRPr="00A9092B">
        <w:t xml:space="preserve">to assist the determination of </w:t>
      </w:r>
      <w:r w:rsidR="001E3A38">
        <w:t xml:space="preserve">annual </w:t>
      </w:r>
      <w:r w:rsidR="001E3A38" w:rsidRPr="00A9092B">
        <w:t xml:space="preserve">licence charges. </w:t>
      </w:r>
      <w:r w:rsidR="001E3A38">
        <w:t>However, t</w:t>
      </w:r>
      <w:r w:rsidR="00047983">
        <w:t xml:space="preserve">here is considerable </w:t>
      </w:r>
      <w:r w:rsidRPr="00A9092B">
        <w:t xml:space="preserve">indirect regulatory work </w:t>
      </w:r>
      <w:r w:rsidR="009F34E6">
        <w:t xml:space="preserve">that this </w:t>
      </w:r>
      <w:r w:rsidR="001E3A38">
        <w:t xml:space="preserve">PI does </w:t>
      </w:r>
      <w:r w:rsidR="009F34E6">
        <w:t>not measure</w:t>
      </w:r>
      <w:r w:rsidR="00F220D3">
        <w:t xml:space="preserve">. This should </w:t>
      </w:r>
      <w:r w:rsidR="00E8716B">
        <w:t>be included to make the PI reliable</w:t>
      </w:r>
      <w:r w:rsidR="009F34E6">
        <w:t xml:space="preserve">.  </w:t>
      </w:r>
    </w:p>
    <w:p w14:paraId="68892005" w14:textId="2DE3EEB5" w:rsidR="001D62BD" w:rsidRDefault="009F34E6" w:rsidP="00C91FB5">
      <w:pPr>
        <w:spacing w:after="120"/>
      </w:pPr>
      <w:r>
        <w:t xml:space="preserve">Indirect regulatory work includes </w:t>
      </w:r>
      <w:r w:rsidR="00314CDD">
        <w:t>administration of the licen</w:t>
      </w:r>
      <w:r w:rsidR="00392100">
        <w:t>s</w:t>
      </w:r>
      <w:r w:rsidR="00314CDD">
        <w:t>ing framework</w:t>
      </w:r>
      <w:r>
        <w:t xml:space="preserve">, including the </w:t>
      </w:r>
      <w:r w:rsidR="00314CDD">
        <w:t>database</w:t>
      </w:r>
      <w:r>
        <w:t>;</w:t>
      </w:r>
      <w:r w:rsidR="00314CDD">
        <w:t xml:space="preserve"> </w:t>
      </w:r>
      <w:r>
        <w:t xml:space="preserve">managing the </w:t>
      </w:r>
      <w:r w:rsidR="00314CDD" w:rsidRPr="00A9092B">
        <w:t>development of codes and</w:t>
      </w:r>
      <w:r>
        <w:t xml:space="preserve"> guides;</w:t>
      </w:r>
      <w:r w:rsidR="00314CDD" w:rsidRPr="00A9092B">
        <w:t xml:space="preserve"> promotion of national uniformity</w:t>
      </w:r>
      <w:r w:rsidR="00314CDD">
        <w:t xml:space="preserve">, </w:t>
      </w:r>
      <w:r w:rsidR="001D62BD">
        <w:t xml:space="preserve">education and </w:t>
      </w:r>
      <w:r w:rsidR="00314CDD">
        <w:t>training</w:t>
      </w:r>
      <w:r>
        <w:t>;</w:t>
      </w:r>
      <w:r w:rsidR="00314CDD">
        <w:t xml:space="preserve"> reporting</w:t>
      </w:r>
      <w:r>
        <w:t xml:space="preserve">; implementing </w:t>
      </w:r>
      <w:r w:rsidR="00314CDD" w:rsidRPr="00A9092B">
        <w:t>measures for continuous improvement</w:t>
      </w:r>
      <w:r>
        <w:t>; and managing the regulatory management system</w:t>
      </w:r>
      <w:r w:rsidR="00314CDD" w:rsidRPr="00A9092B">
        <w:t xml:space="preserve">. </w:t>
      </w:r>
      <w:r w:rsidR="001D62BD">
        <w:t xml:space="preserve">Much of this </w:t>
      </w:r>
      <w:r>
        <w:t xml:space="preserve">indirect </w:t>
      </w:r>
      <w:r w:rsidR="001D62BD">
        <w:t xml:space="preserve">regulatory </w:t>
      </w:r>
      <w:r>
        <w:t>work is required to establish and maintain the systems that suppor</w:t>
      </w:r>
      <w:r w:rsidR="008B63CE">
        <w:t>t direct regulatory activities.</w:t>
      </w:r>
      <w:r>
        <w:t xml:space="preserve"> </w:t>
      </w:r>
      <w:r w:rsidR="009C286B">
        <w:t xml:space="preserve">For example, forms and guides </w:t>
      </w:r>
      <w:r w:rsidR="001D62BD">
        <w:t>must be in place before a</w:t>
      </w:r>
      <w:r w:rsidR="009C286B">
        <w:t xml:space="preserve"> licence</w:t>
      </w:r>
      <w:r w:rsidR="001D62BD">
        <w:t xml:space="preserve"> application </w:t>
      </w:r>
      <w:proofErr w:type="gramStart"/>
      <w:r w:rsidR="009C286B">
        <w:t>can be</w:t>
      </w:r>
      <w:r w:rsidR="001D62BD">
        <w:t xml:space="preserve"> made</w:t>
      </w:r>
      <w:proofErr w:type="gramEnd"/>
      <w:r w:rsidR="006B0CD0">
        <w:t xml:space="preserve">. </w:t>
      </w:r>
      <w:r w:rsidR="009C286B">
        <w:t>A</w:t>
      </w:r>
      <w:r w:rsidR="006B0CD0">
        <w:t xml:space="preserve">pplicants </w:t>
      </w:r>
      <w:r w:rsidR="009C286B">
        <w:t xml:space="preserve">must </w:t>
      </w:r>
      <w:r w:rsidR="006B0CD0">
        <w:t>understand the regulatory framework in order to prepare an application</w:t>
      </w:r>
      <w:r w:rsidR="008A5DC7">
        <w:t xml:space="preserve">. </w:t>
      </w:r>
      <w:r w:rsidR="009C286B">
        <w:t xml:space="preserve">After a licence </w:t>
      </w:r>
      <w:proofErr w:type="gramStart"/>
      <w:r w:rsidR="009C286B">
        <w:t>is issued</w:t>
      </w:r>
      <w:proofErr w:type="gramEnd"/>
      <w:r w:rsidR="009C286B">
        <w:t>, licence holders must understand compliance and enforcement.</w:t>
      </w:r>
    </w:p>
    <w:p w14:paraId="0D206179" w14:textId="7C99FDBA" w:rsidR="00491140" w:rsidRDefault="00652458" w:rsidP="00C91FB5">
      <w:pPr>
        <w:spacing w:after="120"/>
      </w:pPr>
      <w:r>
        <w:t>The indirect activities are important to ARPANSA</w:t>
      </w:r>
      <w:r w:rsidR="00470B31">
        <w:t>’</w:t>
      </w:r>
      <w:r>
        <w:t>s approach o</w:t>
      </w:r>
      <w:r w:rsidR="0047533A">
        <w:t>f</w:t>
      </w:r>
      <w:r>
        <w:t xml:space="preserve"> enabl</w:t>
      </w:r>
      <w:r w:rsidR="0047533A">
        <w:t>ing</w:t>
      </w:r>
      <w:r>
        <w:t xml:space="preserve"> and support</w:t>
      </w:r>
      <w:r w:rsidR="0047533A">
        <w:t>ing</w:t>
      </w:r>
      <w:r>
        <w:t xml:space="preserve"> </w:t>
      </w:r>
      <w:r w:rsidR="00491140">
        <w:t>l</w:t>
      </w:r>
      <w:r w:rsidR="001F7A0E">
        <w:t>icence holder</w:t>
      </w:r>
      <w:r>
        <w:t xml:space="preserve"> ownership and management </w:t>
      </w:r>
      <w:r w:rsidR="00470B31">
        <w:t>of safety and security</w:t>
      </w:r>
      <w:r w:rsidR="0047533A">
        <w:t>,</w:t>
      </w:r>
      <w:r w:rsidR="00470B31">
        <w:t xml:space="preserve"> </w:t>
      </w:r>
      <w:r w:rsidR="002722FD">
        <w:t>to avoid direct regulatory intervention.</w:t>
      </w:r>
      <w:r>
        <w:t xml:space="preserve"> </w:t>
      </w:r>
    </w:p>
    <w:p w14:paraId="3FC6F369" w14:textId="4A14B8EC" w:rsidR="00314CDD" w:rsidRPr="00A9092B" w:rsidRDefault="00336322" w:rsidP="00C91FB5">
      <w:pPr>
        <w:spacing w:after="120"/>
      </w:pPr>
      <w:r>
        <w:t>The</w:t>
      </w:r>
      <w:r w:rsidR="00314CDD" w:rsidRPr="00A9092B">
        <w:t xml:space="preserve"> assessment team </w:t>
      </w:r>
      <w:r w:rsidR="00314CDD">
        <w:t xml:space="preserve">recognised ARPANSA’s effort to identify potentially </w:t>
      </w:r>
      <w:r w:rsidR="00314CDD" w:rsidRPr="00A9092B">
        <w:t xml:space="preserve">inefficient regulatory </w:t>
      </w:r>
      <w:r w:rsidR="00314CDD">
        <w:t xml:space="preserve">activities though the tracking and promotion of </w:t>
      </w:r>
      <w:r w:rsidR="00314CDD" w:rsidRPr="00A9092B">
        <w:t>time</w:t>
      </w:r>
      <w:r w:rsidR="00314CDD">
        <w:t xml:space="preserve"> spent</w:t>
      </w:r>
      <w:r w:rsidR="00314CDD" w:rsidRPr="00A9092B">
        <w:t xml:space="preserve"> on direct regulatory work. The team noted that the target for 2016</w:t>
      </w:r>
      <w:r w:rsidR="008A5DC7">
        <w:t>-</w:t>
      </w:r>
      <w:r w:rsidR="00314CDD" w:rsidRPr="00A9092B">
        <w:t xml:space="preserve">17 has been </w:t>
      </w:r>
      <w:r w:rsidR="00314CDD">
        <w:t>revised</w:t>
      </w:r>
      <w:r w:rsidR="00314CDD" w:rsidRPr="00A9092B">
        <w:t xml:space="preserve"> </w:t>
      </w:r>
      <w:r w:rsidR="004F2760">
        <w:t xml:space="preserve">down </w:t>
      </w:r>
      <w:r w:rsidR="00314CDD">
        <w:t>to</w:t>
      </w:r>
      <w:r w:rsidR="00314CDD" w:rsidRPr="00A9092B">
        <w:t xml:space="preserve"> 40</w:t>
      </w:r>
      <w:proofErr w:type="gramStart"/>
      <w:r w:rsidR="00314CDD" w:rsidRPr="00A9092B">
        <w:t xml:space="preserve">% </w:t>
      </w:r>
      <w:r w:rsidR="00314CDD">
        <w:t>which</w:t>
      </w:r>
      <w:proofErr w:type="gramEnd"/>
      <w:r w:rsidR="00314CDD">
        <w:t xml:space="preserve"> is seen to </w:t>
      </w:r>
      <w:r w:rsidR="00314CDD" w:rsidRPr="00A9092B">
        <w:t xml:space="preserve">represent a </w:t>
      </w:r>
      <w:r w:rsidR="00314CDD">
        <w:t>more realistic target</w:t>
      </w:r>
      <w:r w:rsidR="00314CDD" w:rsidRPr="00A9092B">
        <w:t xml:space="preserve"> </w:t>
      </w:r>
      <w:r w:rsidR="00314CDD">
        <w:t xml:space="preserve">based on </w:t>
      </w:r>
      <w:r w:rsidR="00314CDD" w:rsidRPr="00A9092B">
        <w:t>the 2015</w:t>
      </w:r>
      <w:r w:rsidR="008A5DC7">
        <w:t>-</w:t>
      </w:r>
      <w:r w:rsidR="00314CDD" w:rsidRPr="00A9092B">
        <w:t>16 performance</w:t>
      </w:r>
      <w:r w:rsidR="00314CDD">
        <w:t xml:space="preserve"> and </w:t>
      </w:r>
      <w:r w:rsidR="00491140">
        <w:t>tak</w:t>
      </w:r>
      <w:r w:rsidR="001E3A38">
        <w:t>ing</w:t>
      </w:r>
      <w:r w:rsidR="00491140">
        <w:t xml:space="preserve"> into account </w:t>
      </w:r>
      <w:r w:rsidR="00314CDD">
        <w:t xml:space="preserve">the volume of </w:t>
      </w:r>
      <w:r w:rsidR="004F2760">
        <w:t xml:space="preserve">valuable </w:t>
      </w:r>
      <w:r w:rsidR="00314CDD">
        <w:t>indirect regulatory activities</w:t>
      </w:r>
      <w:r w:rsidR="00314CDD" w:rsidRPr="00A9092B">
        <w:t>.</w:t>
      </w:r>
    </w:p>
    <w:p w14:paraId="4E74EC6B" w14:textId="1E641C91" w:rsidR="00314CDD" w:rsidRDefault="00314CDD" w:rsidP="00C91FB5">
      <w:pPr>
        <w:spacing w:after="120"/>
      </w:pPr>
      <w:r w:rsidRPr="00016703">
        <w:rPr>
          <w:b/>
        </w:rPr>
        <w:t>PI 5.2</w:t>
      </w:r>
      <w:r>
        <w:t xml:space="preserve"> relates to the level of consultation with </w:t>
      </w:r>
      <w:r w:rsidR="001E3A38">
        <w:t>l</w:t>
      </w:r>
      <w:r w:rsidR="001F7A0E">
        <w:t>icence holder</w:t>
      </w:r>
      <w:r>
        <w:t>s on the development of ARPANSA’s regulatory guides, codes and standards.</w:t>
      </w:r>
    </w:p>
    <w:p w14:paraId="56FAD88F" w14:textId="5144FC36" w:rsidR="009B60C3" w:rsidRDefault="00151F6C" w:rsidP="00C91FB5">
      <w:pPr>
        <w:spacing w:after="120"/>
      </w:pPr>
      <w:r>
        <w:lastRenderedPageBreak/>
        <w:t>Licence holder representatives</w:t>
      </w:r>
      <w:r w:rsidR="00314CDD" w:rsidRPr="00A9092B">
        <w:t xml:space="preserve"> have indicated that </w:t>
      </w:r>
      <w:r w:rsidR="00314CDD">
        <w:t xml:space="preserve">in the past there have been </w:t>
      </w:r>
      <w:r w:rsidR="00314CDD" w:rsidRPr="00A9092B">
        <w:t>occasion</w:t>
      </w:r>
      <w:r w:rsidR="00314CDD">
        <w:t>s</w:t>
      </w:r>
      <w:r w:rsidR="00314CDD" w:rsidRPr="00A9092B">
        <w:t xml:space="preserve"> </w:t>
      </w:r>
      <w:r w:rsidR="00314CDD">
        <w:t xml:space="preserve">where </w:t>
      </w:r>
      <w:r w:rsidR="00314CDD" w:rsidRPr="00A9092B">
        <w:t xml:space="preserve">they </w:t>
      </w:r>
      <w:r w:rsidR="00314CDD">
        <w:t xml:space="preserve">were not aware of any consultation </w:t>
      </w:r>
      <w:r w:rsidR="00314CDD" w:rsidRPr="00A9092B">
        <w:t>o</w:t>
      </w:r>
      <w:r w:rsidR="001E3A38">
        <w:t>n</w:t>
      </w:r>
      <w:r w:rsidR="00314CDD" w:rsidRPr="00A9092B">
        <w:t xml:space="preserve"> the development of </w:t>
      </w:r>
      <w:r w:rsidR="00314CDD">
        <w:t>a guide,</w:t>
      </w:r>
      <w:r w:rsidR="00314CDD" w:rsidRPr="00A9092B">
        <w:t xml:space="preserve"> code or standard</w:t>
      </w:r>
      <w:r w:rsidR="00314CDD">
        <w:t xml:space="preserve">. </w:t>
      </w:r>
      <w:r w:rsidR="00030CA9">
        <w:t xml:space="preserve">The current consultation arrangements </w:t>
      </w:r>
      <w:r w:rsidR="001E3A38">
        <w:t xml:space="preserve">have </w:t>
      </w:r>
      <w:r w:rsidR="00030CA9">
        <w:t>improved, however some</w:t>
      </w:r>
      <w:r w:rsidR="00314CDD">
        <w:t xml:space="preserve"> </w:t>
      </w:r>
      <w:r>
        <w:t>licence holder representatives</w:t>
      </w:r>
      <w:r w:rsidR="00314CDD">
        <w:t xml:space="preserve"> </w:t>
      </w:r>
      <w:r w:rsidR="00314CDD" w:rsidRPr="00A9092B">
        <w:t>commented</w:t>
      </w:r>
      <w:r w:rsidR="00314CDD">
        <w:t xml:space="preserve"> </w:t>
      </w:r>
      <w:r w:rsidR="00314CDD" w:rsidRPr="00A9092B">
        <w:t xml:space="preserve">that where </w:t>
      </w:r>
      <w:r w:rsidR="00314CDD">
        <w:t xml:space="preserve">feedback </w:t>
      </w:r>
      <w:proofErr w:type="gramStart"/>
      <w:r w:rsidR="00A658BA">
        <w:t xml:space="preserve">has been </w:t>
      </w:r>
      <w:r w:rsidR="00314CDD">
        <w:t>provided</w:t>
      </w:r>
      <w:proofErr w:type="gramEnd"/>
      <w:r w:rsidR="00314CDD">
        <w:t xml:space="preserve"> no advice on how</w:t>
      </w:r>
      <w:r w:rsidR="00314CDD" w:rsidRPr="00A9092B">
        <w:t xml:space="preserve"> the</w:t>
      </w:r>
      <w:r w:rsidR="00A658BA">
        <w:t>ir</w:t>
      </w:r>
      <w:r w:rsidR="00314CDD" w:rsidRPr="00A9092B">
        <w:t xml:space="preserve"> comments </w:t>
      </w:r>
      <w:r w:rsidR="00314CDD">
        <w:t>were considered or addressed</w:t>
      </w:r>
      <w:r w:rsidR="00A658BA">
        <w:t xml:space="preserve"> was provided</w:t>
      </w:r>
      <w:r w:rsidR="00314CDD">
        <w:t>, particularly if no changes to the document</w:t>
      </w:r>
      <w:r w:rsidR="00A658BA">
        <w:t xml:space="preserve"> we</w:t>
      </w:r>
      <w:r w:rsidR="00314CDD">
        <w:t>re deemed necessary</w:t>
      </w:r>
      <w:r w:rsidR="00314CDD" w:rsidRPr="00A9092B">
        <w:t>.</w:t>
      </w:r>
    </w:p>
    <w:p w14:paraId="4636F65E" w14:textId="4620BEB9" w:rsidR="00314CDD" w:rsidRPr="0097349F" w:rsidRDefault="00314CDD" w:rsidP="00C91FB5">
      <w:pPr>
        <w:spacing w:after="120"/>
        <w:rPr>
          <w:b/>
        </w:rPr>
      </w:pPr>
      <w:r w:rsidRPr="0097349F">
        <w:rPr>
          <w:b/>
        </w:rPr>
        <w:t>Other evidence</w:t>
      </w:r>
      <w:r w:rsidR="002C3746" w:rsidRPr="002C3746">
        <w:rPr>
          <w:b/>
        </w:rPr>
        <w:t>:</w:t>
      </w:r>
      <w:r w:rsidR="002C3746">
        <w:t xml:space="preserve"> T</w:t>
      </w:r>
      <w:r w:rsidRPr="0097349F">
        <w:t>wo</w:t>
      </w:r>
      <w:r w:rsidRPr="00A9092B">
        <w:t xml:space="preserve"> significant ARPANSA guides on Regulation 51 and Regulation 54 </w:t>
      </w:r>
      <w:r w:rsidR="00A658BA">
        <w:t xml:space="preserve">identified </w:t>
      </w:r>
      <w:r w:rsidRPr="00A9092B">
        <w:t xml:space="preserve">as </w:t>
      </w:r>
      <w:r w:rsidR="0047533A" w:rsidRPr="00A9092B">
        <w:t>being ambiguous</w:t>
      </w:r>
      <w:r w:rsidR="0047533A" w:rsidRPr="00A9092B" w:rsidDel="00A658BA">
        <w:t xml:space="preserve"> </w:t>
      </w:r>
      <w:r w:rsidR="0047533A">
        <w:t xml:space="preserve">or </w:t>
      </w:r>
      <w:r w:rsidRPr="00A9092B">
        <w:t>provid</w:t>
      </w:r>
      <w:r w:rsidR="00A658BA">
        <w:t>ing</w:t>
      </w:r>
      <w:r w:rsidRPr="00A9092B">
        <w:t xml:space="preserve"> no additional value compared to IAEA </w:t>
      </w:r>
      <w:r w:rsidR="00A658BA">
        <w:t>S</w:t>
      </w:r>
      <w:r w:rsidRPr="00A9092B">
        <w:t xml:space="preserve">afety </w:t>
      </w:r>
      <w:r w:rsidR="00A658BA">
        <w:t>S</w:t>
      </w:r>
      <w:r w:rsidRPr="00A9092B">
        <w:t xml:space="preserve">tandards. </w:t>
      </w:r>
      <w:r w:rsidR="00A658BA">
        <w:t>One l</w:t>
      </w:r>
      <w:r w:rsidR="001F7A0E">
        <w:t>icence holder</w:t>
      </w:r>
      <w:r w:rsidRPr="00A9092B">
        <w:t xml:space="preserve"> reported that it continues to use its own interpretation of Regulation </w:t>
      </w:r>
      <w:r w:rsidR="00A658BA">
        <w:t xml:space="preserve">51 rather than </w:t>
      </w:r>
      <w:r w:rsidRPr="00A9092B">
        <w:t>ARPANSA</w:t>
      </w:r>
      <w:r w:rsidR="00A658BA">
        <w:t>’s</w:t>
      </w:r>
      <w:r w:rsidRPr="00A9092B">
        <w:t xml:space="preserve"> guide. </w:t>
      </w:r>
      <w:r w:rsidR="00A658BA">
        <w:t xml:space="preserve">Both regulatory guides </w:t>
      </w:r>
      <w:r>
        <w:t xml:space="preserve">were </w:t>
      </w:r>
      <w:r w:rsidR="00E1277F">
        <w:t xml:space="preserve">subject to </w:t>
      </w:r>
      <w:r>
        <w:t>consult</w:t>
      </w:r>
      <w:r w:rsidR="00E1277F">
        <w:t>ation</w:t>
      </w:r>
      <w:r w:rsidR="008579DC">
        <w:t xml:space="preserve"> </w:t>
      </w:r>
      <w:r w:rsidR="00A658BA">
        <w:t xml:space="preserve">during development </w:t>
      </w:r>
      <w:r w:rsidR="00B3180A">
        <w:t xml:space="preserve">and </w:t>
      </w:r>
      <w:r w:rsidR="00A658BA">
        <w:t>l</w:t>
      </w:r>
      <w:r w:rsidR="001F7A0E">
        <w:t>icence holder</w:t>
      </w:r>
      <w:r w:rsidR="00B3180A">
        <w:t xml:space="preserve"> views taken into account</w:t>
      </w:r>
      <w:r w:rsidR="0097349F">
        <w:t>.</w:t>
      </w:r>
      <w:r w:rsidR="00B3180A">
        <w:t xml:space="preserve"> </w:t>
      </w:r>
      <w:r w:rsidR="00A658BA">
        <w:t>T</w:t>
      </w:r>
      <w:r>
        <w:t>he review team believes th</w:t>
      </w:r>
      <w:r w:rsidR="007D5A5C">
        <w:t>at</w:t>
      </w:r>
      <w:r>
        <w:t xml:space="preserve"> </w:t>
      </w:r>
      <w:r w:rsidR="007D5A5C">
        <w:t xml:space="preserve">choosing not to use the guides </w:t>
      </w:r>
      <w:r>
        <w:t xml:space="preserve">represents a lack of </w:t>
      </w:r>
      <w:r w:rsidR="00A658BA">
        <w:t>‘</w:t>
      </w:r>
      <w:r>
        <w:t>buy-in</w:t>
      </w:r>
      <w:r w:rsidR="00A658BA">
        <w:t>’</w:t>
      </w:r>
      <w:r>
        <w:t xml:space="preserve"> </w:t>
      </w:r>
      <w:r w:rsidR="007D5A5C">
        <w:t xml:space="preserve">by </w:t>
      </w:r>
      <w:r w:rsidR="00151F6C">
        <w:t>a licence holder</w:t>
      </w:r>
      <w:r w:rsidR="007D5A5C">
        <w:t xml:space="preserve"> </w:t>
      </w:r>
      <w:r>
        <w:t xml:space="preserve">rather than </w:t>
      </w:r>
      <w:r w:rsidR="007D5A5C">
        <w:t>problems with</w:t>
      </w:r>
      <w:r>
        <w:t xml:space="preserve"> the guide</w:t>
      </w:r>
      <w:r w:rsidR="007D5A5C">
        <w:t>s</w:t>
      </w:r>
      <w:r>
        <w:t>. Additional justification and reinforcement of the approach may improve</w:t>
      </w:r>
      <w:r w:rsidR="007D5A5C">
        <w:t xml:space="preserve"> uptake of the guides</w:t>
      </w:r>
      <w:r>
        <w:t>.</w:t>
      </w:r>
    </w:p>
    <w:p w14:paraId="45964A51" w14:textId="2A933B67" w:rsidR="00314CDD" w:rsidRDefault="00314CDD" w:rsidP="00C91FB5">
      <w:pPr>
        <w:spacing w:after="120"/>
      </w:pPr>
      <w:r w:rsidRPr="0080793B">
        <w:t>During the reporting period</w:t>
      </w:r>
      <w:r w:rsidR="007D5A5C">
        <w:t>,</w:t>
      </w:r>
      <w:r w:rsidRPr="0080793B">
        <w:t xml:space="preserve"> ARPANSA </w:t>
      </w:r>
      <w:r w:rsidR="007D5A5C">
        <w:t xml:space="preserve">held </w:t>
      </w:r>
      <w:r w:rsidRPr="0080793B">
        <w:t>25 information</w:t>
      </w:r>
      <w:r w:rsidR="007D5A5C">
        <w:t>-</w:t>
      </w:r>
      <w:r w:rsidRPr="0080793B">
        <w:t xml:space="preserve">sharing meetings and 83 site visits to </w:t>
      </w:r>
      <w:r w:rsidRPr="00454CE1">
        <w:t>promote clarity and transparency.</w:t>
      </w:r>
    </w:p>
    <w:p w14:paraId="31ADDAEC" w14:textId="0FCDAD92" w:rsidR="00314CDD" w:rsidRPr="00A9092B" w:rsidRDefault="00314CDD" w:rsidP="00C91FB5">
      <w:pPr>
        <w:pStyle w:val="Heading3"/>
        <w:rPr>
          <w:lang w:eastAsia="en-AU"/>
        </w:rPr>
      </w:pPr>
      <w:bookmarkStart w:id="43" w:name="_Toc470173168"/>
      <w:r w:rsidRPr="00A9092B">
        <w:rPr>
          <w:lang w:eastAsia="en-AU"/>
        </w:rPr>
        <w:t>Self</w:t>
      </w:r>
      <w:r w:rsidR="008A5DC7">
        <w:rPr>
          <w:lang w:eastAsia="en-AU"/>
        </w:rPr>
        <w:t>-</w:t>
      </w:r>
      <w:r w:rsidRPr="00A9092B">
        <w:rPr>
          <w:lang w:eastAsia="en-AU"/>
        </w:rPr>
        <w:t>assessed rating of performance against KPI 5 – 2015</w:t>
      </w:r>
      <w:r w:rsidR="008B045E">
        <w:rPr>
          <w:lang w:eastAsia="en-AU"/>
        </w:rPr>
        <w:t>-</w:t>
      </w:r>
      <w:r w:rsidRPr="00A9092B">
        <w:rPr>
          <w:lang w:eastAsia="en-AU"/>
        </w:rPr>
        <w:t>16</w:t>
      </w:r>
      <w:bookmarkEnd w:id="43"/>
    </w:p>
    <w:tbl>
      <w:tblPr>
        <w:tblStyle w:val="TableGrid"/>
        <w:tblW w:w="9781" w:type="dxa"/>
        <w:tblInd w:w="108" w:type="dxa"/>
        <w:tblLook w:val="04A0" w:firstRow="1" w:lastRow="0" w:firstColumn="1" w:lastColumn="0" w:noHBand="0" w:noVBand="1"/>
        <w:tblDescription w:val="Chapter 2.5.5 table contains a list of performance ratings against Key Performance Indicator (KPI) 5 of the 2015-16 Regulator Performance Framework. "/>
      </w:tblPr>
      <w:tblGrid>
        <w:gridCol w:w="1560"/>
        <w:gridCol w:w="2976"/>
        <w:gridCol w:w="1843"/>
        <w:gridCol w:w="1701"/>
        <w:gridCol w:w="1701"/>
      </w:tblGrid>
      <w:tr w:rsidR="00C872A1" w:rsidRPr="008A5DC7" w14:paraId="1AAEBD73" w14:textId="77777777" w:rsidTr="001D1106">
        <w:trPr>
          <w:cantSplit/>
          <w:tblHeader/>
        </w:trPr>
        <w:tc>
          <w:tcPr>
            <w:tcW w:w="1560" w:type="dxa"/>
          </w:tcPr>
          <w:p w14:paraId="75B44CDF"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Excellent</w:t>
            </w:r>
          </w:p>
          <w:p w14:paraId="20F60F9C" w14:textId="301752B7" w:rsidR="00314CDD" w:rsidRPr="008A5DC7" w:rsidRDefault="008A5DC7" w:rsidP="00C91FB5">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 xml:space="preserve">Strong </w:t>
            </w:r>
            <w:r w:rsidR="00314CDD" w:rsidRPr="008A5DC7">
              <w:rPr>
                <w:rFonts w:cs="Times New Roman"/>
                <w:bCs/>
                <w:sz w:val="20"/>
                <w:szCs w:val="20"/>
                <w:lang w:eastAsia="en-AU"/>
              </w:rPr>
              <w:t>performance against all the measures under the KPI</w:t>
            </w:r>
          </w:p>
        </w:tc>
        <w:tc>
          <w:tcPr>
            <w:tcW w:w="2976" w:type="dxa"/>
          </w:tcPr>
          <w:p w14:paraId="1AC18C3F"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Very Good</w:t>
            </w:r>
          </w:p>
          <w:p w14:paraId="0E2E05B0" w14:textId="1A28F4C6" w:rsidR="00314CDD" w:rsidRPr="008A5DC7" w:rsidRDefault="008A5DC7" w:rsidP="00C91FB5">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 xml:space="preserve">Strong </w:t>
            </w:r>
            <w:r w:rsidR="00314CDD" w:rsidRPr="008A5DC7">
              <w:rPr>
                <w:rFonts w:cs="Times New Roman"/>
                <w:bCs/>
                <w:sz w:val="20"/>
                <w:szCs w:val="20"/>
                <w:lang w:eastAsia="en-AU"/>
              </w:rPr>
              <w:t>performance against majority of the measures under the KPI and no evidence of negative/poor performance against any measure</w:t>
            </w:r>
          </w:p>
        </w:tc>
        <w:tc>
          <w:tcPr>
            <w:tcW w:w="1843" w:type="dxa"/>
            <w:shd w:val="clear" w:color="auto" w:fill="D6E3BC" w:themeFill="accent3" w:themeFillTint="66"/>
          </w:tcPr>
          <w:p w14:paraId="169CD847"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Good</w:t>
            </w:r>
          </w:p>
          <w:p w14:paraId="1A21DD22" w14:textId="1A0E0E9B" w:rsidR="00314CDD" w:rsidRPr="008A5DC7" w:rsidRDefault="008A5DC7" w:rsidP="00C91FB5">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 xml:space="preserve">Average </w:t>
            </w:r>
            <w:r w:rsidR="00314CDD" w:rsidRPr="008A5DC7">
              <w:rPr>
                <w:rFonts w:cs="Times New Roman"/>
                <w:bCs/>
                <w:sz w:val="20"/>
                <w:szCs w:val="20"/>
                <w:lang w:eastAsia="en-AU"/>
              </w:rPr>
              <w:t>performance against the measures under the KPI</w:t>
            </w:r>
          </w:p>
        </w:tc>
        <w:tc>
          <w:tcPr>
            <w:tcW w:w="1701" w:type="dxa"/>
          </w:tcPr>
          <w:p w14:paraId="202D23D1"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Fair</w:t>
            </w:r>
          </w:p>
          <w:p w14:paraId="7EC3C0D2" w14:textId="77777777" w:rsidR="00314CDD" w:rsidRPr="008A5DC7" w:rsidRDefault="00314CDD" w:rsidP="00C91FB5">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Poor performance against some measures under the KPI</w:t>
            </w:r>
          </w:p>
        </w:tc>
        <w:tc>
          <w:tcPr>
            <w:tcW w:w="1701" w:type="dxa"/>
          </w:tcPr>
          <w:p w14:paraId="36C92576"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Poor</w:t>
            </w:r>
          </w:p>
          <w:p w14:paraId="5DAEEC5E" w14:textId="77777777" w:rsidR="00314CDD" w:rsidRPr="008A5DC7" w:rsidRDefault="00314CDD" w:rsidP="00C91FB5">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Poor performance against most of the measures under the KPI</w:t>
            </w:r>
          </w:p>
        </w:tc>
      </w:tr>
    </w:tbl>
    <w:p w14:paraId="3CA69C73" w14:textId="230D3EFF" w:rsidR="00314CDD" w:rsidRPr="00A9092B" w:rsidRDefault="00314CDD" w:rsidP="00C91FB5">
      <w:pPr>
        <w:pStyle w:val="Heading3"/>
        <w:spacing w:before="200"/>
        <w:rPr>
          <w:lang w:eastAsia="en-AU"/>
        </w:rPr>
      </w:pPr>
      <w:bookmarkStart w:id="44" w:name="_Toc470173169"/>
      <w:r w:rsidRPr="00A9092B">
        <w:rPr>
          <w:lang w:eastAsia="en-AU"/>
        </w:rPr>
        <w:t>Actions for improving performance against KPI 5</w:t>
      </w:r>
      <w:bookmarkEnd w:id="44"/>
    </w:p>
    <w:p w14:paraId="304BB966" w14:textId="0451FEC3" w:rsidR="00335C49" w:rsidRDefault="00314CDD" w:rsidP="00C91FB5">
      <w:pPr>
        <w:autoSpaceDE w:val="0"/>
        <w:autoSpaceDN w:val="0"/>
        <w:adjustRightInd w:val="0"/>
        <w:spacing w:after="120"/>
        <w:rPr>
          <w:rFonts w:cs="Arial"/>
          <w:szCs w:val="24"/>
        </w:rPr>
      </w:pPr>
      <w:r w:rsidRPr="00A9092B">
        <w:rPr>
          <w:rFonts w:cs="Arial"/>
          <w:szCs w:val="24"/>
        </w:rPr>
        <w:t xml:space="preserve">The assessment team did not identify any improvement measures </w:t>
      </w:r>
      <w:r>
        <w:rPr>
          <w:rFonts w:cs="Arial"/>
          <w:szCs w:val="24"/>
        </w:rPr>
        <w:t>for</w:t>
      </w:r>
      <w:r w:rsidRPr="00A9092B">
        <w:rPr>
          <w:rFonts w:cs="Arial"/>
          <w:szCs w:val="24"/>
        </w:rPr>
        <w:t xml:space="preserve"> KPI 5.1</w:t>
      </w:r>
      <w:r>
        <w:rPr>
          <w:rFonts w:cs="Arial"/>
          <w:szCs w:val="24"/>
        </w:rPr>
        <w:t xml:space="preserve">, </w:t>
      </w:r>
      <w:r w:rsidR="00E1277F">
        <w:rPr>
          <w:rFonts w:cs="Arial"/>
          <w:szCs w:val="24"/>
        </w:rPr>
        <w:t xml:space="preserve">but </w:t>
      </w:r>
      <w:r>
        <w:rPr>
          <w:rFonts w:cs="Arial"/>
          <w:szCs w:val="24"/>
        </w:rPr>
        <w:t>not</w:t>
      </w:r>
      <w:r w:rsidR="00E1277F">
        <w:rPr>
          <w:rFonts w:cs="Arial"/>
          <w:szCs w:val="24"/>
        </w:rPr>
        <w:t>ed</w:t>
      </w:r>
      <w:r>
        <w:rPr>
          <w:rFonts w:cs="Arial"/>
          <w:szCs w:val="24"/>
        </w:rPr>
        <w:t xml:space="preserve"> that </w:t>
      </w:r>
      <w:r w:rsidRPr="00A9092B">
        <w:t>the target for 2016</w:t>
      </w:r>
      <w:r w:rsidR="008B045E">
        <w:t>-</w:t>
      </w:r>
      <w:r w:rsidRPr="00A9092B">
        <w:t xml:space="preserve">17 </w:t>
      </w:r>
      <w:r>
        <w:t>ha</w:t>
      </w:r>
      <w:r w:rsidR="00B6027B">
        <w:t>s</w:t>
      </w:r>
      <w:r>
        <w:t xml:space="preserve"> been revised to </w:t>
      </w:r>
      <w:r w:rsidRPr="00A9092B">
        <w:t>40</w:t>
      </w:r>
      <w:proofErr w:type="gramStart"/>
      <w:r w:rsidRPr="00A9092B">
        <w:t>%</w:t>
      </w:r>
      <w:r>
        <w:t xml:space="preserve"> which</w:t>
      </w:r>
      <w:proofErr w:type="gramEnd"/>
      <w:r>
        <w:t xml:space="preserve"> was considered to be more realistic.</w:t>
      </w:r>
      <w:r w:rsidRPr="00A9092B">
        <w:t xml:space="preserve"> </w:t>
      </w:r>
    </w:p>
    <w:p w14:paraId="6FF03EC9" w14:textId="77777777" w:rsidR="00314CDD" w:rsidRPr="00A9092B" w:rsidRDefault="00314CDD" w:rsidP="00C91FB5">
      <w:pPr>
        <w:autoSpaceDE w:val="0"/>
        <w:autoSpaceDN w:val="0"/>
        <w:adjustRightInd w:val="0"/>
        <w:spacing w:after="120"/>
        <w:rPr>
          <w:rFonts w:cs="Arial"/>
          <w:szCs w:val="24"/>
        </w:rPr>
      </w:pPr>
      <w:r w:rsidRPr="00913E55">
        <w:rPr>
          <w:rFonts w:cs="Arial"/>
          <w:szCs w:val="24"/>
        </w:rPr>
        <w:t>The team identified t</w:t>
      </w:r>
      <w:r>
        <w:rPr>
          <w:rFonts w:cs="Arial"/>
          <w:szCs w:val="24"/>
        </w:rPr>
        <w:t>he following AFI related to PI 5.2:</w:t>
      </w:r>
    </w:p>
    <w:p w14:paraId="6EA58839" w14:textId="70085EC3" w:rsidR="00314CDD" w:rsidRPr="0047516F" w:rsidRDefault="00314CDD" w:rsidP="00C91FB5">
      <w:pPr>
        <w:pStyle w:val="ListParagraph"/>
        <w:numPr>
          <w:ilvl w:val="0"/>
          <w:numId w:val="27"/>
        </w:numPr>
        <w:spacing w:after="120"/>
        <w:ind w:left="714" w:hanging="357"/>
        <w:rPr>
          <w:rFonts w:cs="Arial"/>
          <w:szCs w:val="24"/>
        </w:rPr>
      </w:pPr>
      <w:r>
        <w:rPr>
          <w:szCs w:val="24"/>
        </w:rPr>
        <w:t>Consider d</w:t>
      </w:r>
      <w:r w:rsidRPr="00A9092B">
        <w:rPr>
          <w:szCs w:val="24"/>
        </w:rPr>
        <w:t>evelop</w:t>
      </w:r>
      <w:r>
        <w:rPr>
          <w:szCs w:val="24"/>
        </w:rPr>
        <w:t>ing</w:t>
      </w:r>
      <w:r w:rsidRPr="00A9092B">
        <w:rPr>
          <w:szCs w:val="24"/>
        </w:rPr>
        <w:t xml:space="preserve"> this PI to </w:t>
      </w:r>
      <w:r>
        <w:rPr>
          <w:szCs w:val="24"/>
        </w:rPr>
        <w:t xml:space="preserve">include a </w:t>
      </w:r>
      <w:r w:rsidRPr="00A9092B">
        <w:rPr>
          <w:szCs w:val="24"/>
        </w:rPr>
        <w:t xml:space="preserve">measure </w:t>
      </w:r>
      <w:r>
        <w:rPr>
          <w:szCs w:val="24"/>
        </w:rPr>
        <w:t xml:space="preserve">of </w:t>
      </w:r>
      <w:r w:rsidRPr="00A9092B">
        <w:rPr>
          <w:szCs w:val="24"/>
        </w:rPr>
        <w:t xml:space="preserve">the frequency of feedback to </w:t>
      </w:r>
      <w:r w:rsidR="00151F6C">
        <w:rPr>
          <w:szCs w:val="24"/>
        </w:rPr>
        <w:t xml:space="preserve">a </w:t>
      </w:r>
      <w:r w:rsidR="001E6AC3">
        <w:rPr>
          <w:szCs w:val="24"/>
        </w:rPr>
        <w:t>l</w:t>
      </w:r>
      <w:r w:rsidR="001F7A0E">
        <w:rPr>
          <w:szCs w:val="24"/>
        </w:rPr>
        <w:t>icence holder</w:t>
      </w:r>
      <w:r w:rsidRPr="00A9092B">
        <w:rPr>
          <w:szCs w:val="24"/>
        </w:rPr>
        <w:t xml:space="preserve"> on </w:t>
      </w:r>
      <w:r w:rsidR="00151F6C">
        <w:rPr>
          <w:szCs w:val="24"/>
        </w:rPr>
        <w:t>its</w:t>
      </w:r>
      <w:r w:rsidRPr="00A9092B">
        <w:rPr>
          <w:szCs w:val="24"/>
        </w:rPr>
        <w:t xml:space="preserve"> comments.</w:t>
      </w:r>
      <w:r>
        <w:rPr>
          <w:szCs w:val="24"/>
        </w:rPr>
        <w:t xml:space="preserve"> The m</w:t>
      </w:r>
      <w:r w:rsidRPr="00A9092B">
        <w:rPr>
          <w:szCs w:val="24"/>
        </w:rPr>
        <w:t xml:space="preserve">anagement system </w:t>
      </w:r>
      <w:proofErr w:type="gramStart"/>
      <w:r>
        <w:rPr>
          <w:szCs w:val="24"/>
        </w:rPr>
        <w:t>could</w:t>
      </w:r>
      <w:r w:rsidRPr="00A9092B">
        <w:rPr>
          <w:szCs w:val="24"/>
        </w:rPr>
        <w:t xml:space="preserve"> be amended</w:t>
      </w:r>
      <w:proofErr w:type="gramEnd"/>
      <w:r w:rsidRPr="00A9092B">
        <w:rPr>
          <w:szCs w:val="24"/>
        </w:rPr>
        <w:t xml:space="preserve"> to </w:t>
      </w:r>
      <w:r>
        <w:rPr>
          <w:szCs w:val="24"/>
        </w:rPr>
        <w:t>encourage and record two-</w:t>
      </w:r>
      <w:r w:rsidRPr="0047516F">
        <w:rPr>
          <w:rFonts w:cs="Arial"/>
          <w:szCs w:val="24"/>
        </w:rPr>
        <w:t xml:space="preserve">way communication with </w:t>
      </w:r>
      <w:r w:rsidR="00151F6C">
        <w:rPr>
          <w:rFonts w:cs="Arial"/>
          <w:szCs w:val="24"/>
        </w:rPr>
        <w:t xml:space="preserve">a </w:t>
      </w:r>
      <w:r w:rsidR="001E6AC3">
        <w:rPr>
          <w:rFonts w:cs="Arial"/>
          <w:szCs w:val="24"/>
        </w:rPr>
        <w:t>l</w:t>
      </w:r>
      <w:r w:rsidR="001F7A0E">
        <w:rPr>
          <w:rFonts w:cs="Arial"/>
          <w:szCs w:val="24"/>
        </w:rPr>
        <w:t>icence holder</w:t>
      </w:r>
      <w:r w:rsidRPr="0047516F">
        <w:rPr>
          <w:rFonts w:cs="Arial"/>
          <w:szCs w:val="24"/>
        </w:rPr>
        <w:t xml:space="preserve"> during the feedback process.</w:t>
      </w:r>
    </w:p>
    <w:p w14:paraId="15307031" w14:textId="234647B5" w:rsidR="00335C49" w:rsidRPr="00562BD1" w:rsidRDefault="00314CDD" w:rsidP="00C91FB5">
      <w:pPr>
        <w:pStyle w:val="ListParagraph"/>
        <w:numPr>
          <w:ilvl w:val="0"/>
          <w:numId w:val="27"/>
        </w:numPr>
        <w:spacing w:after="120"/>
        <w:ind w:left="714" w:hanging="357"/>
        <w:rPr>
          <w:rFonts w:cs="Arial"/>
          <w:szCs w:val="24"/>
        </w:rPr>
      </w:pPr>
      <w:r w:rsidRPr="0047516F">
        <w:rPr>
          <w:rFonts w:cs="Arial"/>
          <w:szCs w:val="24"/>
        </w:rPr>
        <w:t>A consultative review of guidance could be undertaken to improve understanding and agreement between ARPANSA and its stakeholders</w:t>
      </w:r>
      <w:r>
        <w:rPr>
          <w:rFonts w:cs="Arial"/>
          <w:szCs w:val="24"/>
        </w:rPr>
        <w:t xml:space="preserve">, particularly in relation to </w:t>
      </w:r>
      <w:r>
        <w:t>guidance material</w:t>
      </w:r>
      <w:r w:rsidRPr="00A9092B">
        <w:t xml:space="preserve"> on Regulation</w:t>
      </w:r>
      <w:r>
        <w:t xml:space="preserve">s 51 and </w:t>
      </w:r>
      <w:r w:rsidRPr="00A9092B">
        <w:t>54</w:t>
      </w:r>
      <w:r w:rsidR="00562BD1">
        <w:rPr>
          <w:rFonts w:cs="Arial"/>
          <w:szCs w:val="24"/>
        </w:rPr>
        <w:t>.</w:t>
      </w:r>
    </w:p>
    <w:p w14:paraId="461E9F1D" w14:textId="66D68C02" w:rsidR="00314CDD" w:rsidRPr="00335C49" w:rsidRDefault="00314CDD" w:rsidP="00C91FB5">
      <w:pPr>
        <w:pStyle w:val="Heading2"/>
        <w:spacing w:before="480"/>
        <w:jc w:val="left"/>
        <w:rPr>
          <w:lang w:eastAsia="en-AU"/>
        </w:rPr>
      </w:pPr>
      <w:bookmarkStart w:id="45" w:name="_Toc470173170"/>
      <w:r w:rsidRPr="00335C49">
        <w:rPr>
          <w:lang w:eastAsia="en-AU"/>
        </w:rPr>
        <w:t xml:space="preserve">KPI 6 </w:t>
      </w:r>
      <w:r w:rsidR="008B045E">
        <w:rPr>
          <w:lang w:eastAsia="en-AU"/>
        </w:rPr>
        <w:t>–</w:t>
      </w:r>
      <w:r w:rsidRPr="00335C49">
        <w:rPr>
          <w:lang w:eastAsia="en-AU"/>
        </w:rPr>
        <w:t xml:space="preserve"> Regulators actively contribute to the continuous improvement of regulatory frameworks</w:t>
      </w:r>
      <w:bookmarkEnd w:id="45"/>
    </w:p>
    <w:p w14:paraId="2AADAE16" w14:textId="0E0219AC" w:rsidR="00FB5D93" w:rsidRDefault="004673FE" w:rsidP="00C91FB5">
      <w:pPr>
        <w:autoSpaceDE w:val="0"/>
        <w:autoSpaceDN w:val="0"/>
        <w:adjustRightInd w:val="0"/>
        <w:spacing w:after="120"/>
        <w:rPr>
          <w:rFonts w:cs="Times New Roman"/>
          <w:bCs/>
          <w:szCs w:val="24"/>
          <w:lang w:eastAsia="en-AU"/>
        </w:rPr>
      </w:pPr>
      <w:r>
        <w:rPr>
          <w:rFonts w:cs="Times New Roman"/>
          <w:bCs/>
          <w:szCs w:val="24"/>
          <w:lang w:eastAsia="en-AU"/>
        </w:rPr>
        <w:t xml:space="preserve">ARPANSA operates in a dynamic regulatory environment with many of its </w:t>
      </w:r>
      <w:r w:rsidR="00AB11A3">
        <w:rPr>
          <w:rFonts w:cs="Times New Roman"/>
          <w:bCs/>
          <w:szCs w:val="24"/>
          <w:lang w:eastAsia="en-AU"/>
        </w:rPr>
        <w:t>l</w:t>
      </w:r>
      <w:r w:rsidR="001F7A0E">
        <w:rPr>
          <w:rFonts w:cs="Times New Roman"/>
          <w:bCs/>
          <w:szCs w:val="24"/>
          <w:lang w:eastAsia="en-AU"/>
        </w:rPr>
        <w:t>icence holder</w:t>
      </w:r>
      <w:r>
        <w:rPr>
          <w:rFonts w:cs="Times New Roman"/>
          <w:bCs/>
          <w:szCs w:val="24"/>
          <w:lang w:eastAsia="en-AU"/>
        </w:rPr>
        <w:t xml:space="preserve">s operating at the cutting edge of science and technology. ARPANSA must be adaptable </w:t>
      </w:r>
      <w:r w:rsidR="00F261EC">
        <w:rPr>
          <w:rFonts w:cs="Times New Roman"/>
          <w:bCs/>
          <w:szCs w:val="24"/>
          <w:lang w:eastAsia="en-AU"/>
        </w:rPr>
        <w:t xml:space="preserve">to meet the needs of </w:t>
      </w:r>
      <w:r w:rsidR="00F75F2C">
        <w:rPr>
          <w:rFonts w:cs="Times New Roman"/>
          <w:bCs/>
          <w:szCs w:val="24"/>
          <w:lang w:eastAsia="en-AU"/>
        </w:rPr>
        <w:t>regulated entities</w:t>
      </w:r>
      <w:r w:rsidR="00F261EC">
        <w:rPr>
          <w:rFonts w:cs="Times New Roman"/>
          <w:bCs/>
          <w:szCs w:val="24"/>
          <w:lang w:eastAsia="en-AU"/>
        </w:rPr>
        <w:t xml:space="preserve"> </w:t>
      </w:r>
      <w:r w:rsidR="00E1277F">
        <w:rPr>
          <w:rFonts w:cs="Times New Roman"/>
          <w:bCs/>
          <w:szCs w:val="24"/>
          <w:lang w:eastAsia="en-AU"/>
        </w:rPr>
        <w:t>while</w:t>
      </w:r>
      <w:r w:rsidR="00F261EC">
        <w:rPr>
          <w:rFonts w:cs="Times New Roman"/>
          <w:bCs/>
          <w:szCs w:val="24"/>
          <w:lang w:eastAsia="en-AU"/>
        </w:rPr>
        <w:t xml:space="preserve"> assuring compliance with the Act and </w:t>
      </w:r>
      <w:r w:rsidR="00641367">
        <w:rPr>
          <w:rFonts w:cs="Times New Roman"/>
          <w:bCs/>
          <w:szCs w:val="24"/>
          <w:lang w:eastAsia="en-AU"/>
        </w:rPr>
        <w:t xml:space="preserve">maintaining </w:t>
      </w:r>
      <w:r w:rsidR="00F261EC">
        <w:rPr>
          <w:rFonts w:cs="Times New Roman"/>
          <w:bCs/>
          <w:szCs w:val="24"/>
          <w:lang w:eastAsia="en-AU"/>
        </w:rPr>
        <w:t>high levels of nuclear and radiation safety</w:t>
      </w:r>
      <w:r w:rsidR="00AB11A3">
        <w:rPr>
          <w:rFonts w:cs="Times New Roman"/>
          <w:bCs/>
          <w:szCs w:val="24"/>
          <w:lang w:eastAsia="en-AU"/>
        </w:rPr>
        <w:t xml:space="preserve"> and security</w:t>
      </w:r>
      <w:r w:rsidR="00F261EC">
        <w:rPr>
          <w:rFonts w:cs="Times New Roman"/>
          <w:bCs/>
          <w:szCs w:val="24"/>
          <w:lang w:eastAsia="en-AU"/>
        </w:rPr>
        <w:t xml:space="preserve">. </w:t>
      </w:r>
      <w:r w:rsidR="00641367">
        <w:rPr>
          <w:rFonts w:cs="Times New Roman"/>
          <w:bCs/>
          <w:szCs w:val="24"/>
          <w:lang w:eastAsia="en-AU"/>
        </w:rPr>
        <w:t xml:space="preserve">A </w:t>
      </w:r>
      <w:r w:rsidR="00E23457">
        <w:rPr>
          <w:rFonts w:cs="Times New Roman"/>
          <w:bCs/>
          <w:szCs w:val="24"/>
          <w:lang w:eastAsia="en-AU"/>
        </w:rPr>
        <w:t>program</w:t>
      </w:r>
      <w:r w:rsidR="00641367">
        <w:rPr>
          <w:rFonts w:cs="Times New Roman"/>
          <w:bCs/>
          <w:szCs w:val="24"/>
          <w:lang w:eastAsia="en-AU"/>
        </w:rPr>
        <w:t xml:space="preserve"> of continuous </w:t>
      </w:r>
      <w:r w:rsidR="00641367">
        <w:rPr>
          <w:rFonts w:cs="Times New Roman"/>
          <w:bCs/>
          <w:szCs w:val="24"/>
          <w:lang w:eastAsia="en-AU"/>
        </w:rPr>
        <w:lastRenderedPageBreak/>
        <w:t xml:space="preserve">improvement </w:t>
      </w:r>
      <w:proofErr w:type="gramStart"/>
      <w:r w:rsidR="00641367">
        <w:rPr>
          <w:rFonts w:cs="Times New Roman"/>
          <w:bCs/>
          <w:szCs w:val="24"/>
          <w:lang w:eastAsia="en-AU"/>
        </w:rPr>
        <w:t>is recognised</w:t>
      </w:r>
      <w:proofErr w:type="gramEnd"/>
      <w:r w:rsidR="00641367">
        <w:rPr>
          <w:rFonts w:cs="Times New Roman"/>
          <w:bCs/>
          <w:szCs w:val="24"/>
          <w:lang w:eastAsia="en-AU"/>
        </w:rPr>
        <w:t xml:space="preserve"> as being im</w:t>
      </w:r>
      <w:r w:rsidR="00440982">
        <w:rPr>
          <w:rFonts w:cs="Times New Roman"/>
          <w:bCs/>
          <w:szCs w:val="24"/>
          <w:lang w:eastAsia="en-AU"/>
        </w:rPr>
        <w:t>portant to building a resilient</w:t>
      </w:r>
      <w:r w:rsidR="00641367">
        <w:rPr>
          <w:rFonts w:cs="Times New Roman"/>
          <w:bCs/>
          <w:szCs w:val="24"/>
          <w:lang w:eastAsia="en-AU"/>
        </w:rPr>
        <w:t xml:space="preserve"> regulator that is able to monitor its </w:t>
      </w:r>
      <w:r w:rsidR="00440982">
        <w:rPr>
          <w:rFonts w:cs="Times New Roman"/>
          <w:bCs/>
          <w:szCs w:val="24"/>
          <w:lang w:eastAsia="en-AU"/>
        </w:rPr>
        <w:t>regulatory</w:t>
      </w:r>
      <w:r w:rsidR="00641367">
        <w:rPr>
          <w:rFonts w:cs="Times New Roman"/>
          <w:bCs/>
          <w:szCs w:val="24"/>
          <w:lang w:eastAsia="en-AU"/>
        </w:rPr>
        <w:t xml:space="preserve"> environment</w:t>
      </w:r>
      <w:r w:rsidR="00E21C38">
        <w:rPr>
          <w:rFonts w:cs="Times New Roman"/>
          <w:bCs/>
          <w:szCs w:val="24"/>
          <w:lang w:eastAsia="en-AU"/>
        </w:rPr>
        <w:t xml:space="preserve">, adapt to </w:t>
      </w:r>
      <w:r w:rsidR="007B0435">
        <w:rPr>
          <w:rFonts w:cs="Times New Roman"/>
          <w:bCs/>
          <w:szCs w:val="24"/>
          <w:lang w:eastAsia="en-AU"/>
        </w:rPr>
        <w:t xml:space="preserve">any </w:t>
      </w:r>
      <w:r w:rsidR="00E21C38">
        <w:rPr>
          <w:rFonts w:cs="Times New Roman"/>
          <w:bCs/>
          <w:szCs w:val="24"/>
          <w:lang w:eastAsia="en-AU"/>
        </w:rPr>
        <w:t>challenges</w:t>
      </w:r>
      <w:r w:rsidR="007B0435">
        <w:rPr>
          <w:rFonts w:cs="Times New Roman"/>
          <w:bCs/>
          <w:szCs w:val="24"/>
          <w:lang w:eastAsia="en-AU"/>
        </w:rPr>
        <w:t>, and learn from its experience</w:t>
      </w:r>
      <w:r w:rsidR="00641367">
        <w:rPr>
          <w:rFonts w:cs="Times New Roman"/>
          <w:bCs/>
          <w:szCs w:val="24"/>
          <w:lang w:eastAsia="en-AU"/>
        </w:rPr>
        <w:t xml:space="preserve">. </w:t>
      </w:r>
      <w:r w:rsidR="007B0435">
        <w:rPr>
          <w:rFonts w:cs="Times New Roman"/>
          <w:bCs/>
          <w:szCs w:val="24"/>
          <w:lang w:eastAsia="en-AU"/>
        </w:rPr>
        <w:t xml:space="preserve">To </w:t>
      </w:r>
      <w:r w:rsidR="007365E1">
        <w:rPr>
          <w:rFonts w:cs="Times New Roman"/>
          <w:bCs/>
          <w:szCs w:val="24"/>
          <w:lang w:eastAsia="en-AU"/>
        </w:rPr>
        <w:t xml:space="preserve">help facilitate continuous improvement a restructure of RSB </w:t>
      </w:r>
      <w:proofErr w:type="gramStart"/>
      <w:r w:rsidR="007365E1">
        <w:rPr>
          <w:rFonts w:cs="Times New Roman"/>
          <w:bCs/>
          <w:szCs w:val="24"/>
          <w:lang w:eastAsia="en-AU"/>
        </w:rPr>
        <w:t>was undertaken</w:t>
      </w:r>
      <w:proofErr w:type="gramEnd"/>
      <w:r w:rsidR="007365E1">
        <w:rPr>
          <w:rFonts w:cs="Times New Roman"/>
          <w:bCs/>
          <w:szCs w:val="24"/>
          <w:lang w:eastAsia="en-AU"/>
        </w:rPr>
        <w:t xml:space="preserve"> in mid</w:t>
      </w:r>
      <w:r w:rsidR="007F5AAB">
        <w:rPr>
          <w:rFonts w:cs="Times New Roman"/>
          <w:bCs/>
          <w:szCs w:val="24"/>
          <w:lang w:eastAsia="en-AU"/>
        </w:rPr>
        <w:t>-</w:t>
      </w:r>
      <w:r w:rsidR="007365E1">
        <w:rPr>
          <w:rFonts w:cs="Times New Roman"/>
          <w:bCs/>
          <w:szCs w:val="24"/>
          <w:lang w:eastAsia="en-AU"/>
        </w:rPr>
        <w:t>2015</w:t>
      </w:r>
      <w:r w:rsidR="00FB2C48">
        <w:rPr>
          <w:rFonts w:cs="Times New Roman"/>
          <w:bCs/>
          <w:szCs w:val="24"/>
          <w:lang w:eastAsia="en-AU"/>
        </w:rPr>
        <w:t xml:space="preserve"> crea</w:t>
      </w:r>
      <w:r w:rsidR="00FB5D93">
        <w:rPr>
          <w:rFonts w:cs="Times New Roman"/>
          <w:bCs/>
          <w:szCs w:val="24"/>
          <w:lang w:eastAsia="en-AU"/>
        </w:rPr>
        <w:t>ting a new section to focus on performance monitoring and supporting continuous improvement.</w:t>
      </w:r>
    </w:p>
    <w:p w14:paraId="43F5B046" w14:textId="5F177345" w:rsidR="004F05AE" w:rsidRDefault="00314CDD" w:rsidP="00C91FB5">
      <w:pPr>
        <w:autoSpaceDE w:val="0"/>
        <w:autoSpaceDN w:val="0"/>
        <w:adjustRightInd w:val="0"/>
        <w:spacing w:after="120"/>
        <w:rPr>
          <w:rFonts w:cs="Times New Roman"/>
          <w:bCs/>
          <w:szCs w:val="24"/>
          <w:lang w:eastAsia="en-AU"/>
        </w:rPr>
      </w:pPr>
      <w:r w:rsidRPr="00A9092B">
        <w:rPr>
          <w:rFonts w:cs="Times New Roman"/>
          <w:bCs/>
          <w:szCs w:val="24"/>
          <w:lang w:eastAsia="en-AU"/>
        </w:rPr>
        <w:t xml:space="preserve">Areas for improvement in the regulatory framework </w:t>
      </w:r>
      <w:proofErr w:type="gramStart"/>
      <w:r w:rsidRPr="00A9092B">
        <w:rPr>
          <w:rFonts w:cs="Times New Roman"/>
          <w:bCs/>
          <w:szCs w:val="24"/>
          <w:lang w:eastAsia="en-AU"/>
        </w:rPr>
        <w:t>are identified</w:t>
      </w:r>
      <w:proofErr w:type="gramEnd"/>
      <w:r w:rsidRPr="00A9092B">
        <w:rPr>
          <w:rFonts w:cs="Times New Roman"/>
          <w:bCs/>
          <w:szCs w:val="24"/>
          <w:lang w:eastAsia="en-AU"/>
        </w:rPr>
        <w:t xml:space="preserve"> via various </w:t>
      </w:r>
      <w:r w:rsidR="00AB11A3">
        <w:rPr>
          <w:rFonts w:cs="Times New Roman"/>
          <w:bCs/>
          <w:szCs w:val="24"/>
          <w:lang w:eastAsia="en-AU"/>
        </w:rPr>
        <w:t>methods</w:t>
      </w:r>
      <w:r w:rsidRPr="00A9092B">
        <w:rPr>
          <w:rFonts w:cs="Times New Roman"/>
          <w:bCs/>
          <w:szCs w:val="24"/>
          <w:lang w:eastAsia="en-AU"/>
        </w:rPr>
        <w:t xml:space="preserve"> including this annual self-assessment. Additional opportunities include </w:t>
      </w:r>
      <w:r w:rsidR="00E1277F">
        <w:rPr>
          <w:rFonts w:cs="Times New Roman"/>
          <w:bCs/>
          <w:szCs w:val="24"/>
          <w:lang w:eastAsia="en-AU"/>
        </w:rPr>
        <w:t xml:space="preserve">routine reviews of </w:t>
      </w:r>
      <w:r w:rsidRPr="00A9092B">
        <w:rPr>
          <w:rFonts w:cs="Times New Roman"/>
          <w:bCs/>
          <w:szCs w:val="24"/>
          <w:lang w:eastAsia="en-AU"/>
        </w:rPr>
        <w:t>procedure</w:t>
      </w:r>
      <w:r w:rsidR="00E1277F">
        <w:rPr>
          <w:rFonts w:cs="Times New Roman"/>
          <w:bCs/>
          <w:szCs w:val="24"/>
          <w:lang w:eastAsia="en-AU"/>
        </w:rPr>
        <w:t>s</w:t>
      </w:r>
      <w:r w:rsidRPr="00A9092B">
        <w:rPr>
          <w:rFonts w:cs="Times New Roman"/>
          <w:bCs/>
          <w:szCs w:val="24"/>
          <w:lang w:eastAsia="en-AU"/>
        </w:rPr>
        <w:t xml:space="preserve"> and polic</w:t>
      </w:r>
      <w:r w:rsidR="00E1277F">
        <w:rPr>
          <w:rFonts w:cs="Times New Roman"/>
          <w:bCs/>
          <w:szCs w:val="24"/>
          <w:lang w:eastAsia="en-AU"/>
        </w:rPr>
        <w:t>ies</w:t>
      </w:r>
      <w:r w:rsidRPr="00A9092B">
        <w:rPr>
          <w:rFonts w:cs="Times New Roman"/>
          <w:bCs/>
          <w:szCs w:val="24"/>
          <w:lang w:eastAsia="en-AU"/>
        </w:rPr>
        <w:t xml:space="preserve"> as part of the </w:t>
      </w:r>
      <w:r w:rsidR="00AB11A3">
        <w:rPr>
          <w:rFonts w:cs="Times New Roman"/>
          <w:bCs/>
          <w:szCs w:val="24"/>
          <w:lang w:eastAsia="en-AU"/>
        </w:rPr>
        <w:t xml:space="preserve">regulatory </w:t>
      </w:r>
      <w:r>
        <w:rPr>
          <w:rFonts w:cs="Times New Roman"/>
          <w:bCs/>
          <w:szCs w:val="24"/>
          <w:lang w:eastAsia="en-AU"/>
        </w:rPr>
        <w:t>management system</w:t>
      </w:r>
      <w:r w:rsidRPr="00A9092B">
        <w:rPr>
          <w:rFonts w:cs="Times New Roman"/>
          <w:bCs/>
          <w:szCs w:val="24"/>
          <w:lang w:eastAsia="en-AU"/>
        </w:rPr>
        <w:t>, external audits including peer review missions</w:t>
      </w:r>
      <w:r w:rsidR="008579DC" w:rsidRPr="008579DC">
        <w:rPr>
          <w:rFonts w:cs="Times New Roman"/>
          <w:bCs/>
          <w:szCs w:val="24"/>
          <w:lang w:eastAsia="en-AU"/>
        </w:rPr>
        <w:t xml:space="preserve"> </w:t>
      </w:r>
      <w:r w:rsidR="004F05AE">
        <w:rPr>
          <w:rFonts w:cs="Times New Roman"/>
          <w:bCs/>
          <w:szCs w:val="24"/>
          <w:lang w:eastAsia="en-AU"/>
        </w:rPr>
        <w:t xml:space="preserve">by </w:t>
      </w:r>
      <w:r w:rsidR="008579DC" w:rsidRPr="00A9092B">
        <w:rPr>
          <w:rFonts w:cs="Times New Roman"/>
          <w:bCs/>
          <w:szCs w:val="24"/>
          <w:lang w:eastAsia="en-AU"/>
        </w:rPr>
        <w:t>international</w:t>
      </w:r>
      <w:r w:rsidR="004F05AE">
        <w:rPr>
          <w:rFonts w:cs="Times New Roman"/>
          <w:bCs/>
          <w:szCs w:val="24"/>
          <w:lang w:eastAsia="en-AU"/>
        </w:rPr>
        <w:t xml:space="preserve"> teams of comparable regulators</w:t>
      </w:r>
      <w:r w:rsidRPr="00A9092B">
        <w:rPr>
          <w:rFonts w:cs="Times New Roman"/>
          <w:bCs/>
          <w:szCs w:val="24"/>
          <w:lang w:eastAsia="en-AU"/>
        </w:rPr>
        <w:t xml:space="preserve">, stakeholder feedback from surveys and </w:t>
      </w:r>
      <w:r w:rsidR="00AB11A3">
        <w:rPr>
          <w:rFonts w:cs="Times New Roman"/>
          <w:bCs/>
          <w:szCs w:val="24"/>
          <w:lang w:eastAsia="en-AU"/>
        </w:rPr>
        <w:t>l</w:t>
      </w:r>
      <w:r w:rsidR="001F7A0E">
        <w:rPr>
          <w:rFonts w:cs="Times New Roman"/>
          <w:bCs/>
          <w:szCs w:val="24"/>
          <w:lang w:eastAsia="en-AU"/>
        </w:rPr>
        <w:t>icence holder</w:t>
      </w:r>
      <w:r w:rsidRPr="00A9092B">
        <w:rPr>
          <w:rFonts w:cs="Times New Roman"/>
          <w:bCs/>
          <w:szCs w:val="24"/>
          <w:lang w:eastAsia="en-AU"/>
        </w:rPr>
        <w:t xml:space="preserve"> forums.</w:t>
      </w:r>
    </w:p>
    <w:p w14:paraId="1FCAF753" w14:textId="4FC62422" w:rsidR="00314CDD" w:rsidRPr="00A9092B" w:rsidRDefault="00D93D56" w:rsidP="00C91FB5">
      <w:pPr>
        <w:autoSpaceDE w:val="0"/>
        <w:autoSpaceDN w:val="0"/>
        <w:adjustRightInd w:val="0"/>
        <w:spacing w:after="120"/>
        <w:rPr>
          <w:rFonts w:cs="Times New Roman"/>
          <w:bCs/>
          <w:szCs w:val="24"/>
          <w:lang w:eastAsia="en-AU"/>
        </w:rPr>
      </w:pPr>
      <w:r>
        <w:rPr>
          <w:rFonts w:cs="Times New Roman"/>
          <w:bCs/>
          <w:szCs w:val="24"/>
          <w:lang w:eastAsia="en-AU"/>
        </w:rPr>
        <w:t xml:space="preserve">Effective communication is </w:t>
      </w:r>
      <w:r w:rsidR="00581B20">
        <w:rPr>
          <w:rFonts w:cs="Times New Roman"/>
          <w:bCs/>
          <w:szCs w:val="24"/>
          <w:lang w:eastAsia="en-AU"/>
        </w:rPr>
        <w:t xml:space="preserve">one of the </w:t>
      </w:r>
      <w:r>
        <w:rPr>
          <w:rFonts w:cs="Times New Roman"/>
          <w:bCs/>
          <w:szCs w:val="24"/>
          <w:lang w:eastAsia="en-AU"/>
        </w:rPr>
        <w:t>key</w:t>
      </w:r>
      <w:r w:rsidR="00581B20">
        <w:rPr>
          <w:rFonts w:cs="Times New Roman"/>
          <w:bCs/>
          <w:szCs w:val="24"/>
          <w:lang w:eastAsia="en-AU"/>
        </w:rPr>
        <w:t>s</w:t>
      </w:r>
      <w:r>
        <w:rPr>
          <w:rFonts w:cs="Times New Roman"/>
          <w:bCs/>
          <w:szCs w:val="24"/>
          <w:lang w:eastAsia="en-AU"/>
        </w:rPr>
        <w:t xml:space="preserve"> to continuous improvement</w:t>
      </w:r>
      <w:r w:rsidR="00581B20">
        <w:rPr>
          <w:rFonts w:cs="Times New Roman"/>
          <w:bCs/>
          <w:szCs w:val="24"/>
          <w:lang w:eastAsia="en-AU"/>
        </w:rPr>
        <w:t xml:space="preserve">. </w:t>
      </w:r>
      <w:r>
        <w:rPr>
          <w:rFonts w:cs="Times New Roman"/>
          <w:bCs/>
          <w:szCs w:val="24"/>
          <w:lang w:eastAsia="en-AU"/>
        </w:rPr>
        <w:t>ARPANSA strives for efficient and effective communication internally</w:t>
      </w:r>
      <w:r w:rsidR="00AB11A3">
        <w:rPr>
          <w:rFonts w:cs="Times New Roman"/>
          <w:bCs/>
          <w:szCs w:val="24"/>
          <w:lang w:eastAsia="en-AU"/>
        </w:rPr>
        <w:t xml:space="preserve"> </w:t>
      </w:r>
      <w:r w:rsidR="008F65B2">
        <w:rPr>
          <w:rFonts w:cs="Times New Roman"/>
          <w:bCs/>
          <w:szCs w:val="24"/>
          <w:lang w:eastAsia="en-AU"/>
        </w:rPr>
        <w:t xml:space="preserve">between its staff, and externally with </w:t>
      </w:r>
      <w:r w:rsidR="00151F6C">
        <w:rPr>
          <w:rFonts w:cs="Times New Roman"/>
          <w:bCs/>
          <w:szCs w:val="24"/>
          <w:lang w:eastAsia="en-AU"/>
        </w:rPr>
        <w:t>Licence holder representatives</w:t>
      </w:r>
      <w:r w:rsidR="008F65B2">
        <w:rPr>
          <w:rFonts w:cs="Times New Roman"/>
          <w:bCs/>
          <w:szCs w:val="24"/>
          <w:lang w:eastAsia="en-AU"/>
        </w:rPr>
        <w:t>,</w:t>
      </w:r>
      <w:r>
        <w:rPr>
          <w:rFonts w:cs="Times New Roman"/>
          <w:bCs/>
          <w:szCs w:val="24"/>
          <w:lang w:eastAsia="en-AU"/>
        </w:rPr>
        <w:t xml:space="preserve"> other stakeholders</w:t>
      </w:r>
      <w:r w:rsidR="00AB11A3">
        <w:rPr>
          <w:rFonts w:cs="Times New Roman"/>
          <w:bCs/>
          <w:szCs w:val="24"/>
          <w:lang w:eastAsia="en-AU"/>
        </w:rPr>
        <w:t>,</w:t>
      </w:r>
      <w:r>
        <w:rPr>
          <w:rFonts w:cs="Times New Roman"/>
          <w:bCs/>
          <w:szCs w:val="24"/>
          <w:lang w:eastAsia="en-AU"/>
        </w:rPr>
        <w:t xml:space="preserve"> and the international community. See Section 2.2 for more information on communication.</w:t>
      </w:r>
    </w:p>
    <w:p w14:paraId="487EF22F" w14:textId="5E803603" w:rsidR="00314CDD" w:rsidRPr="00A9092B" w:rsidRDefault="00D93D56" w:rsidP="00C91FB5">
      <w:pPr>
        <w:autoSpaceDE w:val="0"/>
        <w:autoSpaceDN w:val="0"/>
        <w:adjustRightInd w:val="0"/>
        <w:spacing w:after="120"/>
        <w:rPr>
          <w:rFonts w:cs="Times New Roman"/>
          <w:bCs/>
          <w:szCs w:val="24"/>
          <w:lang w:eastAsia="en-AU"/>
        </w:rPr>
      </w:pPr>
      <w:r>
        <w:rPr>
          <w:rFonts w:cs="Times New Roman"/>
          <w:bCs/>
          <w:szCs w:val="24"/>
          <w:lang w:eastAsia="en-AU"/>
        </w:rPr>
        <w:t xml:space="preserve">Opportunities for improvement can </w:t>
      </w:r>
      <w:r w:rsidR="00581B20">
        <w:rPr>
          <w:rFonts w:cs="Times New Roman"/>
          <w:bCs/>
          <w:szCs w:val="24"/>
          <w:lang w:eastAsia="en-AU"/>
        </w:rPr>
        <w:t xml:space="preserve">come from </w:t>
      </w:r>
      <w:r>
        <w:rPr>
          <w:rFonts w:cs="Times New Roman"/>
          <w:bCs/>
          <w:szCs w:val="24"/>
          <w:lang w:eastAsia="en-AU"/>
        </w:rPr>
        <w:t>external</w:t>
      </w:r>
      <w:r w:rsidR="00AB11A3">
        <w:rPr>
          <w:rFonts w:cs="Times New Roman"/>
          <w:bCs/>
          <w:szCs w:val="24"/>
          <w:lang w:eastAsia="en-AU"/>
        </w:rPr>
        <w:t xml:space="preserve"> sources</w:t>
      </w:r>
      <w:r>
        <w:rPr>
          <w:rFonts w:cs="Times New Roman"/>
          <w:bCs/>
          <w:szCs w:val="24"/>
          <w:lang w:eastAsia="en-AU"/>
        </w:rPr>
        <w:t xml:space="preserve">. </w:t>
      </w:r>
      <w:r w:rsidR="00AB11A3">
        <w:rPr>
          <w:rFonts w:cs="Times New Roman"/>
          <w:bCs/>
          <w:szCs w:val="24"/>
          <w:lang w:eastAsia="en-AU"/>
        </w:rPr>
        <w:t>T</w:t>
      </w:r>
      <w:r w:rsidR="00314CDD" w:rsidRPr="00A9092B">
        <w:rPr>
          <w:rFonts w:cs="Times New Roman"/>
          <w:bCs/>
          <w:szCs w:val="24"/>
          <w:lang w:eastAsia="en-AU"/>
        </w:rPr>
        <w:t xml:space="preserve">he inspection </w:t>
      </w:r>
      <w:r w:rsidR="000E7F2E" w:rsidRPr="00A9092B">
        <w:rPr>
          <w:rFonts w:cs="Times New Roman"/>
          <w:bCs/>
          <w:szCs w:val="24"/>
          <w:lang w:eastAsia="en-AU"/>
        </w:rPr>
        <w:t>program</w:t>
      </w:r>
      <w:r w:rsidR="00AB11A3">
        <w:rPr>
          <w:rFonts w:cs="Times New Roman"/>
          <w:bCs/>
          <w:szCs w:val="24"/>
          <w:lang w:eastAsia="en-AU"/>
        </w:rPr>
        <w:t xml:space="preserve"> </w:t>
      </w:r>
      <w:r w:rsidR="00CF0F43">
        <w:rPr>
          <w:rFonts w:cs="Times New Roman"/>
          <w:bCs/>
          <w:szCs w:val="24"/>
          <w:lang w:eastAsia="en-AU"/>
        </w:rPr>
        <w:t xml:space="preserve">uses </w:t>
      </w:r>
      <w:r w:rsidR="00314CDD" w:rsidRPr="00A9092B">
        <w:rPr>
          <w:rFonts w:cs="Times New Roman"/>
          <w:bCs/>
          <w:szCs w:val="24"/>
          <w:lang w:eastAsia="en-AU"/>
        </w:rPr>
        <w:t xml:space="preserve">external experts </w:t>
      </w:r>
      <w:r w:rsidR="00CF0F43">
        <w:rPr>
          <w:rFonts w:cs="Times New Roman"/>
          <w:bCs/>
          <w:szCs w:val="24"/>
          <w:lang w:eastAsia="en-AU"/>
        </w:rPr>
        <w:t xml:space="preserve">with </w:t>
      </w:r>
      <w:r w:rsidR="00314CDD" w:rsidRPr="00A9092B">
        <w:rPr>
          <w:rFonts w:cs="Times New Roman"/>
          <w:bCs/>
          <w:szCs w:val="24"/>
          <w:lang w:eastAsia="en-AU"/>
        </w:rPr>
        <w:t xml:space="preserve">experience in a particular field and/or regulation of particular sources or facilities. Judicious use of certain expertise promotes efficiency and improves regulatory </w:t>
      </w:r>
      <w:r w:rsidR="00581B20">
        <w:rPr>
          <w:rFonts w:cs="Times New Roman"/>
          <w:bCs/>
          <w:szCs w:val="24"/>
          <w:lang w:eastAsia="en-AU"/>
        </w:rPr>
        <w:t>outcomes</w:t>
      </w:r>
      <w:r w:rsidR="00314CDD" w:rsidRPr="00A9092B">
        <w:rPr>
          <w:rFonts w:cs="Times New Roman"/>
          <w:bCs/>
          <w:szCs w:val="24"/>
          <w:lang w:eastAsia="en-AU"/>
        </w:rPr>
        <w:t xml:space="preserve">. The use of external experts provides a valuable source of independent advice in specialised areas </w:t>
      </w:r>
      <w:r w:rsidR="00581B20">
        <w:rPr>
          <w:rFonts w:cs="Times New Roman"/>
          <w:bCs/>
          <w:szCs w:val="24"/>
          <w:lang w:eastAsia="en-AU"/>
        </w:rPr>
        <w:t xml:space="preserve">and </w:t>
      </w:r>
      <w:r w:rsidR="00314CDD" w:rsidRPr="00A9092B">
        <w:rPr>
          <w:rFonts w:cs="Times New Roman"/>
          <w:bCs/>
          <w:szCs w:val="24"/>
          <w:lang w:eastAsia="en-AU"/>
        </w:rPr>
        <w:t xml:space="preserve">can actively contribute to improvements in the regulatory framework. </w:t>
      </w:r>
      <w:r w:rsidR="00951ED1">
        <w:rPr>
          <w:rFonts w:cs="Times New Roman"/>
          <w:bCs/>
          <w:szCs w:val="24"/>
          <w:lang w:eastAsia="en-AU"/>
        </w:rPr>
        <w:br/>
      </w:r>
      <w:r w:rsidR="00314CDD" w:rsidRPr="00A9092B">
        <w:rPr>
          <w:rFonts w:cs="Times New Roman"/>
          <w:bCs/>
          <w:szCs w:val="24"/>
          <w:lang w:eastAsia="en-AU"/>
        </w:rPr>
        <w:t xml:space="preserve">In addition, the use of external personnel </w:t>
      </w:r>
      <w:r w:rsidR="00581B20">
        <w:rPr>
          <w:rFonts w:cs="Times New Roman"/>
          <w:bCs/>
          <w:szCs w:val="24"/>
          <w:lang w:eastAsia="en-AU"/>
        </w:rPr>
        <w:t xml:space="preserve">for inspection of sources and facilities held by </w:t>
      </w:r>
      <w:r w:rsidR="00314CDD" w:rsidRPr="00A9092B">
        <w:rPr>
          <w:rFonts w:cs="Times New Roman"/>
          <w:bCs/>
          <w:szCs w:val="24"/>
          <w:lang w:eastAsia="en-AU"/>
        </w:rPr>
        <w:t>ARPANSA</w:t>
      </w:r>
      <w:r w:rsidR="00CF0F43">
        <w:rPr>
          <w:rFonts w:cs="Times New Roman"/>
          <w:bCs/>
          <w:szCs w:val="24"/>
          <w:lang w:eastAsia="en-AU"/>
        </w:rPr>
        <w:t>’s</w:t>
      </w:r>
      <w:r w:rsidR="00314CDD" w:rsidRPr="00A9092B">
        <w:rPr>
          <w:rFonts w:cs="Times New Roman"/>
          <w:bCs/>
          <w:szCs w:val="24"/>
          <w:lang w:eastAsia="en-AU"/>
        </w:rPr>
        <w:t xml:space="preserve"> </w:t>
      </w:r>
      <w:r w:rsidR="00CA7A4E">
        <w:rPr>
          <w:rFonts w:cs="Times New Roman"/>
          <w:bCs/>
          <w:szCs w:val="24"/>
          <w:lang w:eastAsia="en-AU"/>
        </w:rPr>
        <w:t xml:space="preserve">scientific </w:t>
      </w:r>
      <w:r w:rsidR="00314CDD" w:rsidRPr="00A9092B">
        <w:rPr>
          <w:rFonts w:cs="Times New Roman"/>
          <w:bCs/>
          <w:szCs w:val="24"/>
          <w:lang w:eastAsia="en-AU"/>
        </w:rPr>
        <w:t xml:space="preserve">branches </w:t>
      </w:r>
      <w:r w:rsidR="00314CDD">
        <w:rPr>
          <w:rFonts w:cs="Times New Roman"/>
          <w:bCs/>
          <w:szCs w:val="24"/>
          <w:lang w:eastAsia="en-AU"/>
        </w:rPr>
        <w:t xml:space="preserve">is a means </w:t>
      </w:r>
      <w:r w:rsidR="00CF0F43">
        <w:rPr>
          <w:rFonts w:cs="Times New Roman"/>
          <w:bCs/>
          <w:szCs w:val="24"/>
          <w:lang w:eastAsia="en-AU"/>
        </w:rPr>
        <w:t xml:space="preserve">to </w:t>
      </w:r>
      <w:r w:rsidR="00CB3341">
        <w:rPr>
          <w:rFonts w:cs="Times New Roman"/>
          <w:bCs/>
          <w:szCs w:val="24"/>
          <w:lang w:eastAsia="en-AU"/>
        </w:rPr>
        <w:t xml:space="preserve">maintain impartiality </w:t>
      </w:r>
      <w:r w:rsidR="00581B20">
        <w:rPr>
          <w:rFonts w:cs="Times New Roman"/>
          <w:bCs/>
          <w:szCs w:val="24"/>
          <w:lang w:eastAsia="en-AU"/>
        </w:rPr>
        <w:t xml:space="preserve">and </w:t>
      </w:r>
      <w:r w:rsidR="00CF0F43">
        <w:rPr>
          <w:rFonts w:cs="Times New Roman"/>
          <w:bCs/>
          <w:szCs w:val="24"/>
          <w:lang w:eastAsia="en-AU"/>
        </w:rPr>
        <w:t xml:space="preserve">avoid any </w:t>
      </w:r>
      <w:r w:rsidR="00314CDD" w:rsidRPr="00A9092B">
        <w:rPr>
          <w:rFonts w:cs="Times New Roman"/>
          <w:bCs/>
          <w:szCs w:val="24"/>
          <w:lang w:eastAsia="en-AU"/>
        </w:rPr>
        <w:t>conflict</w:t>
      </w:r>
      <w:r w:rsidR="00581B20">
        <w:rPr>
          <w:rFonts w:cs="Times New Roman"/>
          <w:bCs/>
          <w:szCs w:val="24"/>
          <w:lang w:eastAsia="en-AU"/>
        </w:rPr>
        <w:t>s</w:t>
      </w:r>
      <w:r w:rsidR="00CF0F43">
        <w:rPr>
          <w:rFonts w:cs="Times New Roman"/>
          <w:bCs/>
          <w:szCs w:val="24"/>
          <w:lang w:eastAsia="en-AU"/>
        </w:rPr>
        <w:t xml:space="preserve"> </w:t>
      </w:r>
      <w:r w:rsidR="00314CDD" w:rsidRPr="00A9092B">
        <w:rPr>
          <w:rFonts w:cs="Times New Roman"/>
          <w:bCs/>
          <w:szCs w:val="24"/>
          <w:lang w:eastAsia="en-AU"/>
        </w:rPr>
        <w:t>of</w:t>
      </w:r>
      <w:r w:rsidR="00CF0F43">
        <w:rPr>
          <w:rFonts w:cs="Times New Roman"/>
          <w:bCs/>
          <w:szCs w:val="24"/>
          <w:lang w:eastAsia="en-AU"/>
        </w:rPr>
        <w:t xml:space="preserve"> </w:t>
      </w:r>
      <w:r w:rsidR="00314CDD" w:rsidRPr="00A9092B">
        <w:rPr>
          <w:rFonts w:cs="Times New Roman"/>
          <w:bCs/>
          <w:szCs w:val="24"/>
          <w:lang w:eastAsia="en-AU"/>
        </w:rPr>
        <w:t>interest.</w:t>
      </w:r>
    </w:p>
    <w:p w14:paraId="491DD668" w14:textId="7F650C68" w:rsidR="00314CDD" w:rsidRPr="00A9092B" w:rsidRDefault="00970022" w:rsidP="00C91FB5">
      <w:pPr>
        <w:autoSpaceDE w:val="0"/>
        <w:autoSpaceDN w:val="0"/>
        <w:adjustRightInd w:val="0"/>
        <w:spacing w:after="120"/>
        <w:rPr>
          <w:rFonts w:cs="Times New Roman"/>
          <w:bCs/>
          <w:szCs w:val="24"/>
          <w:lang w:eastAsia="en-AU"/>
        </w:rPr>
      </w:pPr>
      <w:r>
        <w:rPr>
          <w:rFonts w:cs="Times New Roman"/>
          <w:bCs/>
          <w:szCs w:val="24"/>
          <w:lang w:eastAsia="en-AU"/>
        </w:rPr>
        <w:t xml:space="preserve">Members of the Nuclear Safety Committee </w:t>
      </w:r>
      <w:r w:rsidR="001C1A30">
        <w:rPr>
          <w:rFonts w:cs="Times New Roman"/>
          <w:bCs/>
          <w:szCs w:val="24"/>
          <w:lang w:eastAsia="en-AU"/>
        </w:rPr>
        <w:t xml:space="preserve">(NSC) </w:t>
      </w:r>
      <w:r>
        <w:rPr>
          <w:rFonts w:cs="Times New Roman"/>
          <w:bCs/>
          <w:szCs w:val="24"/>
          <w:lang w:eastAsia="en-AU"/>
        </w:rPr>
        <w:t>have divers</w:t>
      </w:r>
      <w:r w:rsidR="00B3180A">
        <w:rPr>
          <w:rFonts w:cs="Times New Roman"/>
          <w:bCs/>
          <w:szCs w:val="24"/>
          <w:lang w:eastAsia="en-AU"/>
        </w:rPr>
        <w:t>e</w:t>
      </w:r>
      <w:r>
        <w:rPr>
          <w:rFonts w:cs="Times New Roman"/>
          <w:bCs/>
          <w:szCs w:val="24"/>
          <w:lang w:eastAsia="en-AU"/>
        </w:rPr>
        <w:t xml:space="preserve"> regulatory experience in high reliability industries, such as aviation, and advise the CEO on such matters. </w:t>
      </w:r>
      <w:r w:rsidR="00314CDD" w:rsidRPr="00A9092B">
        <w:rPr>
          <w:rFonts w:cs="Times New Roman"/>
          <w:bCs/>
          <w:szCs w:val="24"/>
          <w:lang w:eastAsia="en-AU"/>
        </w:rPr>
        <w:t xml:space="preserve">The </w:t>
      </w:r>
      <w:r w:rsidR="001C1A30">
        <w:rPr>
          <w:rFonts w:cs="Times New Roman"/>
          <w:bCs/>
          <w:szCs w:val="24"/>
          <w:lang w:eastAsia="en-AU"/>
        </w:rPr>
        <w:t xml:space="preserve">NSC </w:t>
      </w:r>
      <w:r w:rsidR="00314CDD" w:rsidRPr="00A9092B">
        <w:rPr>
          <w:rFonts w:cs="Times New Roman"/>
          <w:bCs/>
          <w:szCs w:val="24"/>
          <w:lang w:eastAsia="en-AU"/>
        </w:rPr>
        <w:t xml:space="preserve">contributes to </w:t>
      </w:r>
      <w:r w:rsidR="001C1A30">
        <w:rPr>
          <w:rFonts w:cs="Times New Roman"/>
          <w:bCs/>
          <w:szCs w:val="24"/>
          <w:lang w:eastAsia="en-AU"/>
        </w:rPr>
        <w:t xml:space="preserve">the development of </w:t>
      </w:r>
      <w:r w:rsidR="00314CDD" w:rsidRPr="00A9092B">
        <w:rPr>
          <w:rFonts w:cs="Times New Roman"/>
          <w:bCs/>
          <w:szCs w:val="24"/>
          <w:lang w:eastAsia="en-AU"/>
        </w:rPr>
        <w:t>regulatory document</w:t>
      </w:r>
      <w:r w:rsidR="001C1A30">
        <w:rPr>
          <w:rFonts w:cs="Times New Roman"/>
          <w:bCs/>
          <w:szCs w:val="24"/>
          <w:lang w:eastAsia="en-AU"/>
        </w:rPr>
        <w:t>s</w:t>
      </w:r>
      <w:r w:rsidR="00314CDD" w:rsidRPr="00A9092B">
        <w:rPr>
          <w:rFonts w:cs="Times New Roman"/>
          <w:bCs/>
          <w:szCs w:val="24"/>
          <w:lang w:eastAsia="en-AU"/>
        </w:rPr>
        <w:t xml:space="preserve"> such as </w:t>
      </w:r>
      <w:r w:rsidR="001C1A30">
        <w:rPr>
          <w:rFonts w:cs="Times New Roman"/>
          <w:bCs/>
          <w:szCs w:val="24"/>
          <w:lang w:eastAsia="en-AU"/>
        </w:rPr>
        <w:t>c</w:t>
      </w:r>
      <w:r w:rsidR="00314CDD" w:rsidRPr="00A9092B">
        <w:rPr>
          <w:rFonts w:cs="Times New Roman"/>
          <w:bCs/>
          <w:szCs w:val="24"/>
          <w:lang w:eastAsia="en-AU"/>
        </w:rPr>
        <w:t>odes</w:t>
      </w:r>
      <w:r w:rsidR="00314CDD">
        <w:rPr>
          <w:rFonts w:cs="Times New Roman"/>
          <w:bCs/>
          <w:szCs w:val="24"/>
          <w:lang w:eastAsia="en-AU"/>
        </w:rPr>
        <w:t xml:space="preserve">, </w:t>
      </w:r>
      <w:r w:rsidR="001C1A30">
        <w:rPr>
          <w:rFonts w:cs="Times New Roman"/>
          <w:bCs/>
          <w:szCs w:val="24"/>
          <w:lang w:eastAsia="en-AU"/>
        </w:rPr>
        <w:t>s</w:t>
      </w:r>
      <w:r w:rsidR="00314CDD" w:rsidRPr="00A9092B">
        <w:rPr>
          <w:rFonts w:cs="Times New Roman"/>
          <w:bCs/>
          <w:szCs w:val="24"/>
          <w:lang w:eastAsia="en-AU"/>
        </w:rPr>
        <w:t>tandards</w:t>
      </w:r>
      <w:r w:rsidR="001C1A30">
        <w:rPr>
          <w:rFonts w:cs="Times New Roman"/>
          <w:bCs/>
          <w:szCs w:val="24"/>
          <w:lang w:eastAsia="en-AU"/>
        </w:rPr>
        <w:t xml:space="preserve">, guides </w:t>
      </w:r>
      <w:r w:rsidR="00314CDD">
        <w:rPr>
          <w:rFonts w:cs="Times New Roman"/>
          <w:bCs/>
          <w:szCs w:val="24"/>
          <w:lang w:eastAsia="en-AU"/>
        </w:rPr>
        <w:t>and operating procedures</w:t>
      </w:r>
      <w:r w:rsidR="00314CDD" w:rsidRPr="00A9092B">
        <w:rPr>
          <w:rFonts w:cs="Times New Roman"/>
          <w:bCs/>
          <w:szCs w:val="24"/>
          <w:lang w:eastAsia="en-AU"/>
        </w:rPr>
        <w:t xml:space="preserve">. </w:t>
      </w:r>
    </w:p>
    <w:p w14:paraId="1650C619" w14:textId="6EC63FE0" w:rsidR="00335C49" w:rsidRDefault="00314CDD" w:rsidP="00C91FB5">
      <w:pPr>
        <w:autoSpaceDE w:val="0"/>
        <w:autoSpaceDN w:val="0"/>
        <w:adjustRightInd w:val="0"/>
        <w:spacing w:after="120"/>
        <w:rPr>
          <w:rFonts w:cs="Times New Roman"/>
          <w:bCs/>
          <w:szCs w:val="24"/>
          <w:lang w:eastAsia="en-AU"/>
        </w:rPr>
      </w:pPr>
      <w:r>
        <w:rPr>
          <w:rFonts w:cs="Times New Roman"/>
          <w:bCs/>
          <w:szCs w:val="24"/>
          <w:lang w:eastAsia="en-AU"/>
        </w:rPr>
        <w:t>ARPANSA</w:t>
      </w:r>
      <w:r w:rsidRPr="00A9092B">
        <w:rPr>
          <w:rFonts w:cs="Times New Roman"/>
          <w:bCs/>
          <w:szCs w:val="24"/>
          <w:lang w:eastAsia="en-AU"/>
        </w:rPr>
        <w:t xml:space="preserve"> is active in international standards development through the IAEA</w:t>
      </w:r>
      <w:r>
        <w:rPr>
          <w:rFonts w:cs="Times New Roman"/>
          <w:bCs/>
          <w:szCs w:val="24"/>
          <w:lang w:eastAsia="en-AU"/>
        </w:rPr>
        <w:t xml:space="preserve">. </w:t>
      </w:r>
      <w:r w:rsidRPr="00A9092B">
        <w:rPr>
          <w:rFonts w:cs="Times New Roman"/>
          <w:bCs/>
          <w:szCs w:val="24"/>
          <w:lang w:eastAsia="en-AU"/>
        </w:rPr>
        <w:t xml:space="preserve">This is part of ARPANSA’s </w:t>
      </w:r>
      <w:r>
        <w:rPr>
          <w:rFonts w:cs="Times New Roman"/>
          <w:bCs/>
          <w:szCs w:val="24"/>
          <w:lang w:eastAsia="en-AU"/>
        </w:rPr>
        <w:t>work to promote the use</w:t>
      </w:r>
      <w:r w:rsidRPr="00A9092B">
        <w:rPr>
          <w:rFonts w:cs="Times New Roman"/>
          <w:bCs/>
          <w:szCs w:val="24"/>
          <w:lang w:eastAsia="en-AU"/>
        </w:rPr>
        <w:t xml:space="preserve"> </w:t>
      </w:r>
      <w:r w:rsidR="00335733">
        <w:rPr>
          <w:rFonts w:cs="Times New Roman"/>
          <w:bCs/>
          <w:szCs w:val="24"/>
          <w:lang w:eastAsia="en-AU"/>
        </w:rPr>
        <w:t xml:space="preserve">of </w:t>
      </w:r>
      <w:r w:rsidRPr="00A9092B">
        <w:rPr>
          <w:rFonts w:cs="Times New Roman"/>
          <w:bCs/>
          <w:szCs w:val="24"/>
          <w:lang w:eastAsia="en-AU"/>
        </w:rPr>
        <w:t>trusted international standards</w:t>
      </w:r>
      <w:r>
        <w:rPr>
          <w:rFonts w:cs="Times New Roman"/>
          <w:bCs/>
          <w:szCs w:val="24"/>
          <w:lang w:eastAsia="en-AU"/>
        </w:rPr>
        <w:t xml:space="preserve"> where possible, </w:t>
      </w:r>
      <w:r w:rsidRPr="00A9092B">
        <w:rPr>
          <w:rFonts w:cs="Times New Roman"/>
          <w:bCs/>
          <w:szCs w:val="24"/>
          <w:lang w:eastAsia="en-AU"/>
        </w:rPr>
        <w:t xml:space="preserve">rather than </w:t>
      </w:r>
      <w:r>
        <w:rPr>
          <w:rFonts w:cs="Times New Roman"/>
          <w:bCs/>
          <w:szCs w:val="24"/>
          <w:lang w:eastAsia="en-AU"/>
        </w:rPr>
        <w:t xml:space="preserve">developing </w:t>
      </w:r>
      <w:r w:rsidR="00335C49">
        <w:rPr>
          <w:rFonts w:cs="Times New Roman"/>
          <w:bCs/>
          <w:szCs w:val="24"/>
          <w:lang w:eastAsia="en-AU"/>
        </w:rPr>
        <w:t xml:space="preserve">local </w:t>
      </w:r>
      <w:r w:rsidR="008F65B2">
        <w:rPr>
          <w:rFonts w:cs="Times New Roman"/>
          <w:bCs/>
          <w:szCs w:val="24"/>
          <w:lang w:eastAsia="en-AU"/>
        </w:rPr>
        <w:t>documents</w:t>
      </w:r>
      <w:r w:rsidR="00951ED1">
        <w:rPr>
          <w:rFonts w:cs="Times New Roman"/>
          <w:bCs/>
          <w:szCs w:val="24"/>
          <w:lang w:eastAsia="en-AU"/>
        </w:rPr>
        <w:t>.</w:t>
      </w:r>
    </w:p>
    <w:p w14:paraId="5A166A72" w14:textId="3826F359" w:rsidR="00314CDD" w:rsidRPr="00A9092B" w:rsidRDefault="00314CDD" w:rsidP="00C91FB5">
      <w:pPr>
        <w:pStyle w:val="Heading3"/>
        <w:rPr>
          <w:lang w:eastAsia="en-AU"/>
        </w:rPr>
      </w:pPr>
      <w:bookmarkStart w:id="46" w:name="_Toc470173171"/>
      <w:r w:rsidRPr="00A9092B">
        <w:rPr>
          <w:lang w:eastAsia="en-AU"/>
        </w:rPr>
        <w:t>Measures</w:t>
      </w:r>
      <w:bookmarkEnd w:id="46"/>
    </w:p>
    <w:p w14:paraId="28FE82A3" w14:textId="77777777" w:rsidR="00314CDD" w:rsidRDefault="00314CDD" w:rsidP="00C91FB5">
      <w:pPr>
        <w:spacing w:after="120"/>
        <w:rPr>
          <w:rFonts w:cs="Times New Roman"/>
        </w:rPr>
      </w:pPr>
      <w:r w:rsidRPr="0047516F">
        <w:rPr>
          <w:rFonts w:cs="Times New Roman"/>
        </w:rPr>
        <w:t>Perform frequent self-assessments in order</w:t>
      </w:r>
      <w:r>
        <w:rPr>
          <w:rFonts w:cs="Times New Roman"/>
        </w:rPr>
        <w:t xml:space="preserve"> to improve our delivery model.</w:t>
      </w:r>
    </w:p>
    <w:p w14:paraId="13876C8C" w14:textId="2E13E9DA" w:rsidR="00314CDD" w:rsidRPr="00A9092B" w:rsidRDefault="00314CDD" w:rsidP="00C91FB5">
      <w:pPr>
        <w:pStyle w:val="Heading3"/>
        <w:rPr>
          <w:lang w:eastAsia="en-AU"/>
        </w:rPr>
      </w:pPr>
      <w:bookmarkStart w:id="47" w:name="_Toc470173172"/>
      <w:r w:rsidRPr="00A9092B">
        <w:rPr>
          <w:lang w:eastAsia="en-AU"/>
        </w:rPr>
        <w:t>Approved evidence metrics for KPI 6</w:t>
      </w:r>
      <w:bookmarkEnd w:id="47"/>
    </w:p>
    <w:tbl>
      <w:tblPr>
        <w:tblStyle w:val="TableGrid"/>
        <w:tblW w:w="9747" w:type="dxa"/>
        <w:tblLook w:val="04A0" w:firstRow="1" w:lastRow="0" w:firstColumn="1" w:lastColumn="0" w:noHBand="0" w:noVBand="1"/>
        <w:tblDescription w:val="Chapter 2.6.2 table contains a list of evidence metrics against Key Performance Indicator (KPI) 6.  This table contains 3 heading columns 1. Indicators, 2. Evidence and 3. Comment. "/>
      </w:tblPr>
      <w:tblGrid>
        <w:gridCol w:w="3080"/>
        <w:gridCol w:w="3407"/>
        <w:gridCol w:w="3260"/>
      </w:tblGrid>
      <w:tr w:rsidR="00314CDD" w:rsidRPr="00951ED1" w14:paraId="4B773CE6" w14:textId="77777777" w:rsidTr="001D1106">
        <w:trPr>
          <w:tblHeader/>
        </w:trPr>
        <w:tc>
          <w:tcPr>
            <w:tcW w:w="3080" w:type="dxa"/>
            <w:vAlign w:val="center"/>
          </w:tcPr>
          <w:p w14:paraId="5A03195F" w14:textId="00B87F84" w:rsidR="00314CDD" w:rsidRPr="00951ED1" w:rsidRDefault="00314CDD" w:rsidP="006D47B2">
            <w:pPr>
              <w:pStyle w:val="Tableheading"/>
              <w:rPr>
                <w:lang w:eastAsia="en-AU"/>
              </w:rPr>
            </w:pPr>
            <w:r w:rsidRPr="00951ED1">
              <w:rPr>
                <w:lang w:eastAsia="en-AU"/>
              </w:rPr>
              <w:t>Indicator</w:t>
            </w:r>
          </w:p>
        </w:tc>
        <w:tc>
          <w:tcPr>
            <w:tcW w:w="3407" w:type="dxa"/>
            <w:vAlign w:val="center"/>
          </w:tcPr>
          <w:p w14:paraId="43F12C7A" w14:textId="77777777" w:rsidR="00314CDD" w:rsidRPr="00951ED1" w:rsidRDefault="00314CDD" w:rsidP="006D47B2">
            <w:pPr>
              <w:pStyle w:val="Tableheading"/>
              <w:rPr>
                <w:lang w:eastAsia="en-AU"/>
              </w:rPr>
            </w:pPr>
            <w:r w:rsidRPr="00951ED1">
              <w:rPr>
                <w:lang w:eastAsia="en-AU"/>
              </w:rPr>
              <w:t>Evidence</w:t>
            </w:r>
          </w:p>
        </w:tc>
        <w:tc>
          <w:tcPr>
            <w:tcW w:w="3260" w:type="dxa"/>
            <w:vAlign w:val="center"/>
          </w:tcPr>
          <w:p w14:paraId="16440B6E" w14:textId="77777777" w:rsidR="00314CDD" w:rsidRPr="00951ED1" w:rsidRDefault="00314CDD" w:rsidP="006D47B2">
            <w:pPr>
              <w:pStyle w:val="Tableheading"/>
              <w:rPr>
                <w:lang w:eastAsia="en-AU"/>
              </w:rPr>
            </w:pPr>
            <w:r w:rsidRPr="00951ED1">
              <w:rPr>
                <w:lang w:eastAsia="en-AU"/>
              </w:rPr>
              <w:t>Comment</w:t>
            </w:r>
          </w:p>
        </w:tc>
      </w:tr>
      <w:tr w:rsidR="00314CDD" w:rsidRPr="00951ED1" w14:paraId="3592A65A" w14:textId="77777777" w:rsidTr="007F5AAB">
        <w:trPr>
          <w:trHeight w:val="2623"/>
        </w:trPr>
        <w:tc>
          <w:tcPr>
            <w:tcW w:w="3080" w:type="dxa"/>
          </w:tcPr>
          <w:p w14:paraId="38681766" w14:textId="666F79B9" w:rsidR="00314CDD" w:rsidRPr="00951ED1" w:rsidRDefault="00314CDD" w:rsidP="006D47B2">
            <w:pPr>
              <w:pStyle w:val="Tabletext"/>
              <w:rPr>
                <w:lang w:eastAsia="en-AU"/>
              </w:rPr>
            </w:pPr>
            <w:r w:rsidRPr="00951ED1">
              <w:rPr>
                <w:lang w:eastAsia="en-AU"/>
              </w:rPr>
              <w:t xml:space="preserve">PI 6.1 </w:t>
            </w:r>
            <w:r w:rsidR="00951ED1">
              <w:rPr>
                <w:lang w:eastAsia="en-AU"/>
              </w:rPr>
              <w:t>–</w:t>
            </w:r>
            <w:r w:rsidRPr="00951ED1">
              <w:rPr>
                <w:lang w:eastAsia="en-AU"/>
              </w:rPr>
              <w:t xml:space="preserve"> Number of improvements, identified through self-assessment or external reviews, that were implemented (continuous improvement)</w:t>
            </w:r>
            <w:r w:rsidR="0058535A">
              <w:rPr>
                <w:lang w:eastAsia="en-AU"/>
              </w:rPr>
              <w:t>.</w:t>
            </w:r>
          </w:p>
        </w:tc>
        <w:tc>
          <w:tcPr>
            <w:tcW w:w="3407" w:type="dxa"/>
          </w:tcPr>
          <w:p w14:paraId="0C5687B6" w14:textId="4BD2B4F0" w:rsidR="00314CDD" w:rsidRPr="00951ED1" w:rsidRDefault="00314CDD" w:rsidP="006D47B2">
            <w:pPr>
              <w:pStyle w:val="Tabletext"/>
              <w:rPr>
                <w:lang w:eastAsia="en-AU"/>
              </w:rPr>
            </w:pPr>
            <w:r w:rsidRPr="00951ED1">
              <w:rPr>
                <w:noProof/>
                <w:lang w:eastAsia="en-AU"/>
              </w:rPr>
              <mc:AlternateContent>
                <mc:Choice Requires="wps">
                  <w:drawing>
                    <wp:inline distT="0" distB="0" distL="0" distR="0" wp14:anchorId="23C28330" wp14:editId="5E7EC592">
                      <wp:extent cx="101600" cy="118533"/>
                      <wp:effectExtent l="0" t="0" r="12700" b="15240"/>
                      <wp:docPr id="5" name="Oval 5"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5"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" fillcolor="#9bbb59 [3206]" strokecolor="#4e6128 [1606]" strokeweight="2pt">
                      <w10:anchorlock/>
                    </v:oval>
                  </w:pict>
                </mc:Fallback>
              </mc:AlternateContent>
            </w:r>
            <w:r w:rsidR="00951ED1" w:rsidRPr="00951ED1">
              <w:rPr>
                <w:lang w:eastAsia="en-AU"/>
              </w:rPr>
              <w:t xml:space="preserve"> </w:t>
            </w:r>
            <w:r w:rsidRPr="00951ED1">
              <w:rPr>
                <w:lang w:eastAsia="en-AU"/>
              </w:rPr>
              <w:t>4 improvements identified – target (3) exceeded.</w:t>
            </w:r>
          </w:p>
        </w:tc>
        <w:tc>
          <w:tcPr>
            <w:tcW w:w="3260" w:type="dxa"/>
          </w:tcPr>
          <w:p w14:paraId="6EA11AEB" w14:textId="52BC700D" w:rsidR="00314CDD" w:rsidRPr="00951ED1" w:rsidRDefault="00314CDD" w:rsidP="006D47B2">
            <w:pPr>
              <w:pStyle w:val="Tabletext"/>
              <w:numPr>
                <w:ilvl w:val="0"/>
                <w:numId w:val="42"/>
              </w:numPr>
              <w:ind w:left="353"/>
              <w:rPr>
                <w:lang w:eastAsia="en-AU"/>
              </w:rPr>
            </w:pPr>
            <w:r w:rsidRPr="00951ED1">
              <w:rPr>
                <w:lang w:eastAsia="en-AU"/>
              </w:rPr>
              <w:t>It is evident that innovation and continuous improvement are highly valued and promoted.</w:t>
            </w:r>
          </w:p>
        </w:tc>
      </w:tr>
      <w:tr w:rsidR="00314CDD" w:rsidRPr="00951ED1" w14:paraId="0626B7D9" w14:textId="77777777" w:rsidTr="007F5AAB">
        <w:trPr>
          <w:trHeight w:val="2258"/>
        </w:trPr>
        <w:tc>
          <w:tcPr>
            <w:tcW w:w="3080" w:type="dxa"/>
          </w:tcPr>
          <w:p w14:paraId="5604A3A2" w14:textId="5D9D9010" w:rsidR="00314CDD" w:rsidRPr="00951ED1" w:rsidRDefault="00314CDD" w:rsidP="006D47B2">
            <w:pPr>
              <w:pStyle w:val="Tabletext"/>
              <w:rPr>
                <w:lang w:eastAsia="en-AU"/>
              </w:rPr>
            </w:pPr>
            <w:r w:rsidRPr="00951ED1">
              <w:rPr>
                <w:lang w:eastAsia="en-AU"/>
              </w:rPr>
              <w:lastRenderedPageBreak/>
              <w:t xml:space="preserve">PI 6.2 </w:t>
            </w:r>
            <w:r w:rsidR="00951ED1">
              <w:rPr>
                <w:lang w:eastAsia="en-AU"/>
              </w:rPr>
              <w:t>–</w:t>
            </w:r>
            <w:r w:rsidRPr="00951ED1">
              <w:rPr>
                <w:lang w:eastAsia="en-AU"/>
              </w:rPr>
              <w:t xml:space="preserve"> Percentage of facility inspections in which expertise external to RSB was utilised (judicious use of regulatory expertise)</w:t>
            </w:r>
            <w:r w:rsidR="0058535A">
              <w:rPr>
                <w:lang w:eastAsia="en-AU"/>
              </w:rPr>
              <w:t>.</w:t>
            </w:r>
          </w:p>
        </w:tc>
        <w:tc>
          <w:tcPr>
            <w:tcW w:w="3407" w:type="dxa"/>
          </w:tcPr>
          <w:p w14:paraId="0B066EFF" w14:textId="77777777" w:rsidR="00314CDD" w:rsidRPr="00951ED1" w:rsidRDefault="00314CDD" w:rsidP="006D47B2">
            <w:pPr>
              <w:pStyle w:val="Tabletext"/>
              <w:rPr>
                <w:lang w:eastAsia="en-AU"/>
              </w:rPr>
            </w:pPr>
            <w:r w:rsidRPr="00951ED1">
              <w:rPr>
                <w:noProof/>
                <w:lang w:eastAsia="en-AU"/>
              </w:rPr>
              <mc:AlternateContent>
                <mc:Choice Requires="wps">
                  <w:drawing>
                    <wp:inline distT="0" distB="0" distL="0" distR="0" wp14:anchorId="51E523D7" wp14:editId="406E66ED">
                      <wp:extent cx="101600" cy="118533"/>
                      <wp:effectExtent l="0" t="0" r="12700" b="15240"/>
                      <wp:docPr id="6" name="Oval 6" descr="&quot; &quot;"/>
                      <wp:cNvGraphicFramePr/>
                      <a:graphic xmlns:a="http://schemas.openxmlformats.org/drawingml/2006/main">
                        <a:graphicData uri="http://schemas.microsoft.com/office/word/2010/wordprocessingShape">
                          <wps:wsp>
                            <wps:cNvSpPr/>
                            <wps:spPr>
                              <a:xfrm>
                                <a:off x="0" y="0"/>
                                <a:ext cx="101600" cy="118533"/>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 o:spid="_x0000_s1026" alt="&quot; &quot;" style="width:8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" fillcolor="#f79646 [3209]" strokecolor="#974706 [1609]" strokeweight="2pt">
                      <w10:anchorlock/>
                    </v:oval>
                  </w:pict>
                </mc:Fallback>
              </mc:AlternateContent>
            </w:r>
            <w:r w:rsidRPr="00951ED1">
              <w:rPr>
                <w:lang w:eastAsia="en-AU"/>
              </w:rPr>
              <w:t xml:space="preserve"> 23% of facility inspections conducted with external expertise – target (30%) not met.</w:t>
            </w:r>
          </w:p>
        </w:tc>
        <w:tc>
          <w:tcPr>
            <w:tcW w:w="3260" w:type="dxa"/>
          </w:tcPr>
          <w:p w14:paraId="10DCEAC1" w14:textId="4620D57A" w:rsidR="00314CDD" w:rsidRPr="00951ED1" w:rsidRDefault="00314CDD" w:rsidP="006D47B2">
            <w:pPr>
              <w:pStyle w:val="Tabletext"/>
              <w:numPr>
                <w:ilvl w:val="0"/>
                <w:numId w:val="42"/>
              </w:numPr>
              <w:ind w:left="353"/>
              <w:rPr>
                <w:lang w:eastAsia="en-AU"/>
              </w:rPr>
            </w:pPr>
            <w:r w:rsidRPr="00951ED1">
              <w:rPr>
                <w:lang w:eastAsia="en-AU"/>
              </w:rPr>
              <w:t xml:space="preserve">This target </w:t>
            </w:r>
            <w:proofErr w:type="gramStart"/>
            <w:r w:rsidRPr="00951ED1">
              <w:rPr>
                <w:lang w:eastAsia="en-AU"/>
              </w:rPr>
              <w:t>was not reached</w:t>
            </w:r>
            <w:proofErr w:type="gramEnd"/>
            <w:r w:rsidRPr="00951ED1">
              <w:rPr>
                <w:lang w:eastAsia="en-AU"/>
              </w:rPr>
              <w:t xml:space="preserve"> due to lower performance during initial implementation </w:t>
            </w:r>
            <w:r w:rsidR="008F65B2" w:rsidRPr="00951ED1">
              <w:rPr>
                <w:lang w:eastAsia="en-AU"/>
              </w:rPr>
              <w:t xml:space="preserve">in </w:t>
            </w:r>
            <w:r w:rsidRPr="00951ED1">
              <w:rPr>
                <w:lang w:eastAsia="en-AU"/>
              </w:rPr>
              <w:t xml:space="preserve">the first quarter. A renewed focus resulted in the target </w:t>
            </w:r>
            <w:proofErr w:type="gramStart"/>
            <w:r w:rsidRPr="00951ED1">
              <w:rPr>
                <w:lang w:eastAsia="en-AU"/>
              </w:rPr>
              <w:t>being exceeded</w:t>
            </w:r>
            <w:proofErr w:type="gramEnd"/>
            <w:r w:rsidRPr="00951ED1">
              <w:rPr>
                <w:lang w:eastAsia="en-AU"/>
              </w:rPr>
              <w:t xml:space="preserve"> in the next two quarters (33%, 43%) and close in the last quarter (25%).</w:t>
            </w:r>
          </w:p>
        </w:tc>
      </w:tr>
    </w:tbl>
    <w:p w14:paraId="21CFC0F6" w14:textId="5B1C5D39" w:rsidR="00314CDD" w:rsidRPr="00A9092B" w:rsidRDefault="00314CDD" w:rsidP="00C91FB5">
      <w:pPr>
        <w:pStyle w:val="Heading3"/>
        <w:spacing w:before="200"/>
        <w:rPr>
          <w:lang w:eastAsia="en-AU"/>
        </w:rPr>
      </w:pPr>
      <w:bookmarkStart w:id="48" w:name="_Toc470173173"/>
      <w:r w:rsidRPr="00A9092B">
        <w:rPr>
          <w:lang w:eastAsia="en-AU"/>
        </w:rPr>
        <w:t>Other evidence to indicate compliance with KPI 6</w:t>
      </w:r>
      <w:bookmarkEnd w:id="48"/>
    </w:p>
    <w:p w14:paraId="3A2A67C6" w14:textId="3A9352CE" w:rsidR="00314CDD" w:rsidRDefault="00314CDD" w:rsidP="00C91FB5">
      <w:pPr>
        <w:spacing w:after="120"/>
      </w:pPr>
      <w:r w:rsidRPr="00A9092B">
        <w:t>ARPANSA</w:t>
      </w:r>
      <w:r w:rsidR="00145D96">
        <w:t xml:space="preserve"> </w:t>
      </w:r>
      <w:r w:rsidRPr="00A9092B">
        <w:t>participates</w:t>
      </w:r>
      <w:r w:rsidR="00D8087A">
        <w:t>, and is frequently a driver,</w:t>
      </w:r>
      <w:r w:rsidRPr="00A9092B">
        <w:t xml:space="preserve"> in the development </w:t>
      </w:r>
      <w:r w:rsidR="00145D96">
        <w:t xml:space="preserve">and promotion </w:t>
      </w:r>
      <w:r w:rsidRPr="00A9092B">
        <w:t xml:space="preserve">of </w:t>
      </w:r>
      <w:r w:rsidR="00145D96">
        <w:t xml:space="preserve">national </w:t>
      </w:r>
      <w:r w:rsidRPr="00A9092B">
        <w:t xml:space="preserve">and international codes and standards </w:t>
      </w:r>
      <w:r w:rsidR="00AB47FA">
        <w:t>covering radiation protection, nuclear safety</w:t>
      </w:r>
      <w:r w:rsidR="006F27EE">
        <w:t xml:space="preserve"> and security</w:t>
      </w:r>
      <w:r w:rsidR="00AB47FA">
        <w:t>, transport of radioactive material</w:t>
      </w:r>
      <w:r w:rsidR="00145D96">
        <w:t>,</w:t>
      </w:r>
      <w:r w:rsidR="00AB47FA">
        <w:t xml:space="preserve"> and management of radioactive waste.</w:t>
      </w:r>
      <w:r>
        <w:t xml:space="preserve"> </w:t>
      </w:r>
      <w:r w:rsidR="00AB47FA">
        <w:t>An example is</w:t>
      </w:r>
      <w:r>
        <w:t xml:space="preserve"> the new </w:t>
      </w:r>
      <w:r w:rsidR="00145D96">
        <w:t>‘</w:t>
      </w:r>
      <w:r w:rsidRPr="00105186">
        <w:t>Code for Radiation Protection in Planned Exposure Situations</w:t>
      </w:r>
      <w:r w:rsidR="00C62510">
        <w:t xml:space="preserve"> </w:t>
      </w:r>
      <w:r w:rsidR="00951ED1">
        <w:br/>
      </w:r>
      <w:r w:rsidR="00C62510">
        <w:t>(RPS C-1)</w:t>
      </w:r>
      <w:r w:rsidR="00145D96">
        <w:t>’</w:t>
      </w:r>
      <w:r w:rsidR="008B045E">
        <w:t>.</w:t>
      </w:r>
    </w:p>
    <w:p w14:paraId="07DBD892" w14:textId="63691CBB" w:rsidR="00314CDD" w:rsidRPr="00A9092B" w:rsidRDefault="00314CDD" w:rsidP="00C91FB5">
      <w:pPr>
        <w:spacing w:after="120"/>
      </w:pPr>
      <w:r>
        <w:t xml:space="preserve">ARPANSA also </w:t>
      </w:r>
      <w:r w:rsidR="00504549">
        <w:t xml:space="preserve">promotes </w:t>
      </w:r>
      <w:r w:rsidRPr="00A9092B">
        <w:t>national uniformity</w:t>
      </w:r>
      <w:r>
        <w:t xml:space="preserve"> of radiation regulation </w:t>
      </w:r>
      <w:r w:rsidR="00504549">
        <w:t xml:space="preserve">through </w:t>
      </w:r>
      <w:r>
        <w:t xml:space="preserve">the </w:t>
      </w:r>
      <w:r w:rsidRPr="00A9092B">
        <w:t>Radiation Health Committee</w:t>
      </w:r>
      <w:r w:rsidR="00951ED1">
        <w:t>.</w:t>
      </w:r>
    </w:p>
    <w:p w14:paraId="18101103" w14:textId="3F7F9490" w:rsidR="00314CDD" w:rsidRPr="00A9092B" w:rsidRDefault="00314CDD" w:rsidP="00C91FB5">
      <w:pPr>
        <w:pStyle w:val="Heading3"/>
        <w:rPr>
          <w:lang w:eastAsia="en-AU"/>
        </w:rPr>
      </w:pPr>
      <w:bookmarkStart w:id="49" w:name="_Toc470173174"/>
      <w:r w:rsidRPr="00A9092B">
        <w:rPr>
          <w:lang w:eastAsia="en-AU"/>
        </w:rPr>
        <w:t>Analysis of evidence presented</w:t>
      </w:r>
      <w:bookmarkEnd w:id="49"/>
    </w:p>
    <w:p w14:paraId="3B696DDE" w14:textId="15B23835" w:rsidR="00314CDD" w:rsidRDefault="00314CDD" w:rsidP="00C91FB5">
      <w:pPr>
        <w:spacing w:after="120"/>
        <w:rPr>
          <w:szCs w:val="24"/>
          <w:lang w:eastAsia="en-AU"/>
        </w:rPr>
      </w:pPr>
      <w:r w:rsidRPr="00A9092B">
        <w:rPr>
          <w:b/>
          <w:szCs w:val="24"/>
          <w:lang w:eastAsia="en-AU"/>
        </w:rPr>
        <w:t>PI 6.1</w:t>
      </w:r>
      <w:r w:rsidRPr="00A9092B">
        <w:rPr>
          <w:szCs w:val="24"/>
          <w:lang w:eastAsia="en-AU"/>
        </w:rPr>
        <w:t xml:space="preserve"> </w:t>
      </w:r>
      <w:r>
        <w:rPr>
          <w:szCs w:val="24"/>
          <w:lang w:eastAsia="en-AU"/>
        </w:rPr>
        <w:t xml:space="preserve">represents the number of improvements formally identified and implemented. The target was exceeded </w:t>
      </w:r>
      <w:r w:rsidR="000717E4">
        <w:rPr>
          <w:szCs w:val="24"/>
          <w:lang w:eastAsia="en-AU"/>
        </w:rPr>
        <w:t>indicating</w:t>
      </w:r>
      <w:r>
        <w:rPr>
          <w:szCs w:val="24"/>
          <w:lang w:eastAsia="en-AU"/>
        </w:rPr>
        <w:t xml:space="preserve"> strong performance in this area.</w:t>
      </w:r>
      <w:r w:rsidR="00014328">
        <w:rPr>
          <w:szCs w:val="24"/>
          <w:lang w:eastAsia="en-AU"/>
        </w:rPr>
        <w:t xml:space="preserve"> </w:t>
      </w:r>
      <w:r w:rsidR="000717E4">
        <w:rPr>
          <w:szCs w:val="24"/>
          <w:lang w:eastAsia="en-AU"/>
        </w:rPr>
        <w:t xml:space="preserve">More improvements </w:t>
      </w:r>
      <w:proofErr w:type="gramStart"/>
      <w:r w:rsidR="000717E4">
        <w:rPr>
          <w:szCs w:val="24"/>
          <w:lang w:eastAsia="en-AU"/>
        </w:rPr>
        <w:t xml:space="preserve">are </w:t>
      </w:r>
      <w:r w:rsidR="00014328">
        <w:rPr>
          <w:szCs w:val="24"/>
          <w:lang w:eastAsia="en-AU"/>
        </w:rPr>
        <w:t>anticipated</w:t>
      </w:r>
      <w:proofErr w:type="gramEnd"/>
      <w:r w:rsidR="00014328">
        <w:rPr>
          <w:szCs w:val="24"/>
          <w:lang w:eastAsia="en-AU"/>
        </w:rPr>
        <w:t xml:space="preserve"> during 2016</w:t>
      </w:r>
      <w:r w:rsidR="00951ED1">
        <w:rPr>
          <w:szCs w:val="24"/>
          <w:lang w:eastAsia="en-AU"/>
        </w:rPr>
        <w:t>-</w:t>
      </w:r>
      <w:r w:rsidR="00014328">
        <w:rPr>
          <w:szCs w:val="24"/>
          <w:lang w:eastAsia="en-AU"/>
        </w:rPr>
        <w:t>17 as areas for improvement identified by this self-assessment are implemented.</w:t>
      </w:r>
    </w:p>
    <w:p w14:paraId="56A8A5F4" w14:textId="6834CD5C" w:rsidR="00314CDD" w:rsidRPr="00A9092B" w:rsidRDefault="00314CDD" w:rsidP="00C91FB5">
      <w:pPr>
        <w:spacing w:after="120"/>
        <w:rPr>
          <w:rFonts w:cs="Arial"/>
          <w:szCs w:val="24"/>
        </w:rPr>
      </w:pPr>
      <w:r w:rsidRPr="00A9092B">
        <w:rPr>
          <w:rFonts w:cs="Arial"/>
          <w:szCs w:val="24"/>
        </w:rPr>
        <w:t xml:space="preserve">The reporting and assessment of </w:t>
      </w:r>
      <w:r w:rsidR="00BF2742">
        <w:rPr>
          <w:rFonts w:cs="Arial"/>
          <w:szCs w:val="24"/>
        </w:rPr>
        <w:t>RSB</w:t>
      </w:r>
      <w:r w:rsidRPr="00A9092B">
        <w:rPr>
          <w:rFonts w:cs="Arial"/>
          <w:szCs w:val="24"/>
        </w:rPr>
        <w:t xml:space="preserve"> performance indicators </w:t>
      </w:r>
      <w:r w:rsidR="00BF2742">
        <w:rPr>
          <w:rFonts w:cs="Arial"/>
          <w:szCs w:val="24"/>
        </w:rPr>
        <w:t>are</w:t>
      </w:r>
      <w:r w:rsidRPr="00A9092B">
        <w:rPr>
          <w:rFonts w:cs="Arial"/>
          <w:szCs w:val="24"/>
        </w:rPr>
        <w:t xml:space="preserve"> integral to the continuous improvement objective of the branch</w:t>
      </w:r>
      <w:r>
        <w:rPr>
          <w:rFonts w:cs="Arial"/>
          <w:szCs w:val="24"/>
        </w:rPr>
        <w:t xml:space="preserve">. </w:t>
      </w:r>
      <w:r w:rsidRPr="00A9092B">
        <w:rPr>
          <w:rFonts w:cs="Arial"/>
          <w:szCs w:val="24"/>
        </w:rPr>
        <w:t>A continuous improvement agenda that is based on accurate, complete and timely data supports recommendations that will lead to improved branch and inspector performance.</w:t>
      </w:r>
      <w:r>
        <w:rPr>
          <w:rFonts w:cs="Arial"/>
          <w:szCs w:val="24"/>
        </w:rPr>
        <w:t xml:space="preserve"> However, t</w:t>
      </w:r>
      <w:r w:rsidRPr="00A9092B">
        <w:rPr>
          <w:rFonts w:cs="Arial"/>
          <w:szCs w:val="24"/>
        </w:rPr>
        <w:t>hrough the interview and data-gathering process, it became evident that the</w:t>
      </w:r>
      <w:r>
        <w:rPr>
          <w:rFonts w:cs="Arial"/>
          <w:szCs w:val="24"/>
        </w:rPr>
        <w:t>re</w:t>
      </w:r>
      <w:r w:rsidRPr="00A9092B">
        <w:rPr>
          <w:rFonts w:cs="Arial"/>
          <w:szCs w:val="24"/>
        </w:rPr>
        <w:t xml:space="preserve"> </w:t>
      </w:r>
      <w:r>
        <w:rPr>
          <w:rFonts w:cs="Arial"/>
          <w:szCs w:val="24"/>
        </w:rPr>
        <w:t xml:space="preserve">are issues with </w:t>
      </w:r>
      <w:r w:rsidR="00BF2742">
        <w:rPr>
          <w:rFonts w:cs="Arial"/>
          <w:szCs w:val="24"/>
        </w:rPr>
        <w:t xml:space="preserve">data </w:t>
      </w:r>
      <w:r w:rsidRPr="00A9092B">
        <w:rPr>
          <w:rFonts w:cs="Arial"/>
          <w:szCs w:val="24"/>
        </w:rPr>
        <w:t>recording</w:t>
      </w:r>
      <w:r>
        <w:rPr>
          <w:rFonts w:cs="Arial"/>
          <w:szCs w:val="24"/>
        </w:rPr>
        <w:t xml:space="preserve"> in</w:t>
      </w:r>
      <w:r w:rsidR="00BF2742">
        <w:rPr>
          <w:rFonts w:cs="Arial"/>
          <w:szCs w:val="24"/>
        </w:rPr>
        <w:t xml:space="preserve"> the </w:t>
      </w:r>
      <w:r>
        <w:rPr>
          <w:rFonts w:cs="Arial"/>
          <w:szCs w:val="24"/>
        </w:rPr>
        <w:t xml:space="preserve">Licence Administration Database (LAD). While LAD is an effective tool for the management of licence information, </w:t>
      </w:r>
      <w:r w:rsidR="00183714">
        <w:rPr>
          <w:rFonts w:cs="Arial"/>
          <w:szCs w:val="24"/>
        </w:rPr>
        <w:t xml:space="preserve">it is lacking </w:t>
      </w:r>
      <w:r>
        <w:rPr>
          <w:rFonts w:cs="Arial"/>
          <w:szCs w:val="24"/>
        </w:rPr>
        <w:t xml:space="preserve">a number of </w:t>
      </w:r>
      <w:r w:rsidR="006F27EE">
        <w:rPr>
          <w:rFonts w:cs="Arial"/>
          <w:szCs w:val="24"/>
        </w:rPr>
        <w:t>necessary</w:t>
      </w:r>
      <w:r w:rsidR="00183714">
        <w:rPr>
          <w:rFonts w:cs="Arial"/>
          <w:szCs w:val="24"/>
        </w:rPr>
        <w:t xml:space="preserve"> </w:t>
      </w:r>
      <w:r>
        <w:rPr>
          <w:rFonts w:cs="Arial"/>
          <w:szCs w:val="24"/>
        </w:rPr>
        <w:t>features</w:t>
      </w:r>
      <w:r w:rsidR="00DB02C2">
        <w:rPr>
          <w:rFonts w:cs="Arial"/>
          <w:szCs w:val="24"/>
        </w:rPr>
        <w:t>,</w:t>
      </w:r>
      <w:r w:rsidR="00DB02C2" w:rsidRPr="00DB02C2">
        <w:rPr>
          <w:rFonts w:cs="Arial"/>
          <w:szCs w:val="24"/>
        </w:rPr>
        <w:t xml:space="preserve"> </w:t>
      </w:r>
      <w:r w:rsidR="00DB02C2">
        <w:rPr>
          <w:rFonts w:cs="Arial"/>
          <w:szCs w:val="24"/>
        </w:rPr>
        <w:t xml:space="preserve">as its development is </w:t>
      </w:r>
      <w:r w:rsidR="006F27EE">
        <w:rPr>
          <w:rFonts w:cs="Arial"/>
          <w:szCs w:val="24"/>
        </w:rPr>
        <w:t xml:space="preserve">still </w:t>
      </w:r>
      <w:r w:rsidR="00DB02C2">
        <w:rPr>
          <w:rFonts w:cs="Arial"/>
          <w:szCs w:val="24"/>
        </w:rPr>
        <w:t>incomplete</w:t>
      </w:r>
      <w:r>
        <w:rPr>
          <w:rFonts w:cs="Arial"/>
          <w:szCs w:val="24"/>
        </w:rPr>
        <w:t xml:space="preserve">. Due to </w:t>
      </w:r>
      <w:r w:rsidR="00DB02C2">
        <w:rPr>
          <w:rFonts w:cs="Arial"/>
          <w:szCs w:val="24"/>
        </w:rPr>
        <w:t xml:space="preserve">the current </w:t>
      </w:r>
      <w:r>
        <w:rPr>
          <w:rFonts w:cs="Arial"/>
          <w:szCs w:val="24"/>
        </w:rPr>
        <w:t>limitations</w:t>
      </w:r>
      <w:r w:rsidR="00DB02C2">
        <w:rPr>
          <w:rFonts w:cs="Arial"/>
          <w:szCs w:val="24"/>
        </w:rPr>
        <w:t xml:space="preserve"> of LAD</w:t>
      </w:r>
      <w:r>
        <w:rPr>
          <w:rFonts w:cs="Arial"/>
          <w:szCs w:val="24"/>
        </w:rPr>
        <w:t xml:space="preserve">, </w:t>
      </w:r>
      <w:r w:rsidR="00BF2742">
        <w:rPr>
          <w:rFonts w:cs="Arial"/>
          <w:szCs w:val="24"/>
        </w:rPr>
        <w:t>spreadsheets</w:t>
      </w:r>
      <w:r w:rsidR="006F27EE" w:rsidRPr="006F27EE">
        <w:rPr>
          <w:rFonts w:cs="Arial"/>
          <w:szCs w:val="24"/>
        </w:rPr>
        <w:t xml:space="preserve"> </w:t>
      </w:r>
      <w:proofErr w:type="gramStart"/>
      <w:r w:rsidR="006F27EE">
        <w:rPr>
          <w:rFonts w:cs="Arial"/>
          <w:szCs w:val="24"/>
        </w:rPr>
        <w:t>are used</w:t>
      </w:r>
      <w:proofErr w:type="gramEnd"/>
      <w:r w:rsidR="006F27EE">
        <w:rPr>
          <w:rFonts w:cs="Arial"/>
          <w:szCs w:val="24"/>
        </w:rPr>
        <w:t xml:space="preserve"> to record data</w:t>
      </w:r>
      <w:r w:rsidR="00DB02C2">
        <w:rPr>
          <w:rFonts w:cs="Arial"/>
          <w:szCs w:val="24"/>
        </w:rPr>
        <w:t xml:space="preserve">. This </w:t>
      </w:r>
      <w:r>
        <w:rPr>
          <w:rFonts w:cs="Arial"/>
          <w:szCs w:val="24"/>
        </w:rPr>
        <w:t xml:space="preserve">can </w:t>
      </w:r>
      <w:r w:rsidR="00DB02C2">
        <w:rPr>
          <w:rFonts w:cs="Arial"/>
          <w:szCs w:val="24"/>
        </w:rPr>
        <w:t>sometime</w:t>
      </w:r>
      <w:r w:rsidR="006F27EE">
        <w:rPr>
          <w:rFonts w:cs="Arial"/>
          <w:szCs w:val="24"/>
        </w:rPr>
        <w:t>s</w:t>
      </w:r>
      <w:r w:rsidR="00DB02C2">
        <w:rPr>
          <w:rFonts w:cs="Arial"/>
          <w:szCs w:val="24"/>
        </w:rPr>
        <w:t xml:space="preserve"> </w:t>
      </w:r>
      <w:r w:rsidR="00BF2742">
        <w:rPr>
          <w:rFonts w:cs="Arial"/>
          <w:szCs w:val="24"/>
        </w:rPr>
        <w:t xml:space="preserve">create </w:t>
      </w:r>
      <w:r>
        <w:rPr>
          <w:rFonts w:cs="Arial"/>
          <w:szCs w:val="24"/>
        </w:rPr>
        <w:t>conflict</w:t>
      </w:r>
      <w:r w:rsidR="00DB02C2">
        <w:rPr>
          <w:rFonts w:cs="Arial"/>
          <w:szCs w:val="24"/>
        </w:rPr>
        <w:t xml:space="preserve"> </w:t>
      </w:r>
      <w:r w:rsidR="006F27EE">
        <w:rPr>
          <w:rFonts w:cs="Arial"/>
          <w:szCs w:val="24"/>
        </w:rPr>
        <w:t xml:space="preserve">when </w:t>
      </w:r>
      <w:r w:rsidR="00DB02C2">
        <w:rPr>
          <w:rFonts w:cs="Arial"/>
          <w:szCs w:val="24"/>
        </w:rPr>
        <w:t>collatin</w:t>
      </w:r>
      <w:r w:rsidR="006F27EE">
        <w:rPr>
          <w:rFonts w:cs="Arial"/>
          <w:szCs w:val="24"/>
        </w:rPr>
        <w:t>g</w:t>
      </w:r>
      <w:r w:rsidR="00DB02C2">
        <w:rPr>
          <w:rFonts w:cs="Arial"/>
          <w:szCs w:val="24"/>
        </w:rPr>
        <w:t xml:space="preserve"> information</w:t>
      </w:r>
      <w:r w:rsidR="00183714">
        <w:rPr>
          <w:rFonts w:cs="Arial"/>
          <w:szCs w:val="24"/>
        </w:rPr>
        <w:t xml:space="preserve"> </w:t>
      </w:r>
      <w:r>
        <w:rPr>
          <w:rFonts w:cs="Arial"/>
          <w:szCs w:val="24"/>
        </w:rPr>
        <w:t xml:space="preserve">and </w:t>
      </w:r>
      <w:r w:rsidR="00183714">
        <w:rPr>
          <w:rFonts w:cs="Arial"/>
          <w:szCs w:val="24"/>
        </w:rPr>
        <w:t>makes</w:t>
      </w:r>
      <w:r w:rsidR="00BF2742">
        <w:rPr>
          <w:rFonts w:cs="Arial"/>
          <w:szCs w:val="24"/>
        </w:rPr>
        <w:t xml:space="preserve"> management </w:t>
      </w:r>
      <w:r>
        <w:rPr>
          <w:rFonts w:cs="Arial"/>
          <w:szCs w:val="24"/>
        </w:rPr>
        <w:t>oversight</w:t>
      </w:r>
      <w:r w:rsidR="00183714">
        <w:rPr>
          <w:rFonts w:cs="Arial"/>
          <w:szCs w:val="24"/>
        </w:rPr>
        <w:t xml:space="preserve"> more difficult</w:t>
      </w:r>
      <w:r>
        <w:rPr>
          <w:rFonts w:cs="Arial"/>
          <w:szCs w:val="24"/>
        </w:rPr>
        <w:t>.</w:t>
      </w:r>
    </w:p>
    <w:p w14:paraId="1EF36659" w14:textId="1D354D3E" w:rsidR="00314CDD" w:rsidRDefault="00314CDD" w:rsidP="00C91FB5">
      <w:pPr>
        <w:spacing w:after="120"/>
        <w:rPr>
          <w:szCs w:val="24"/>
        </w:rPr>
      </w:pPr>
      <w:r w:rsidRPr="00C74FE4">
        <w:rPr>
          <w:b/>
          <w:szCs w:val="24"/>
        </w:rPr>
        <w:t>PI 6.2</w:t>
      </w:r>
      <w:r w:rsidRPr="00A9092B">
        <w:rPr>
          <w:szCs w:val="24"/>
        </w:rPr>
        <w:t xml:space="preserve"> relates to the number of facility inspections where a consultant external to ARPANSA was included on the inspection team. </w:t>
      </w:r>
      <w:r w:rsidR="00DB02C2">
        <w:rPr>
          <w:szCs w:val="24"/>
        </w:rPr>
        <w:t>No</w:t>
      </w:r>
      <w:r w:rsidR="00C872A1">
        <w:rPr>
          <w:szCs w:val="24"/>
        </w:rPr>
        <w:t xml:space="preserve"> </w:t>
      </w:r>
      <w:r w:rsidRPr="00C872A1">
        <w:rPr>
          <w:szCs w:val="24"/>
        </w:rPr>
        <w:t xml:space="preserve">issues </w:t>
      </w:r>
      <w:proofErr w:type="gramStart"/>
      <w:r w:rsidRPr="00C872A1">
        <w:rPr>
          <w:szCs w:val="24"/>
        </w:rPr>
        <w:t>were found</w:t>
      </w:r>
      <w:proofErr w:type="gramEnd"/>
      <w:r w:rsidRPr="00C872A1">
        <w:rPr>
          <w:szCs w:val="24"/>
        </w:rPr>
        <w:t xml:space="preserve"> with this KPI or ARPANSA</w:t>
      </w:r>
      <w:r w:rsidR="00DB02C2">
        <w:rPr>
          <w:szCs w:val="24"/>
        </w:rPr>
        <w:t>’s</w:t>
      </w:r>
      <w:r w:rsidRPr="00C872A1">
        <w:rPr>
          <w:szCs w:val="24"/>
        </w:rPr>
        <w:t xml:space="preserve"> performance in this area.</w:t>
      </w:r>
    </w:p>
    <w:p w14:paraId="6B182998" w14:textId="78463359" w:rsidR="00314CDD" w:rsidRDefault="00314CDD" w:rsidP="00C91FB5">
      <w:pPr>
        <w:spacing w:after="120"/>
      </w:pPr>
      <w:r w:rsidRPr="00454CE1">
        <w:rPr>
          <w:b/>
          <w:szCs w:val="24"/>
        </w:rPr>
        <w:t>Other evidence</w:t>
      </w:r>
      <w:r w:rsidR="002C3746">
        <w:rPr>
          <w:b/>
          <w:szCs w:val="24"/>
        </w:rPr>
        <w:t>:</w:t>
      </w:r>
      <w:r w:rsidR="008B045E">
        <w:rPr>
          <w:rFonts w:cs="Times New Roman"/>
          <w:sz w:val="32"/>
          <w:szCs w:val="32"/>
        </w:rPr>
        <w:t xml:space="preserve"> </w:t>
      </w:r>
      <w:r w:rsidR="002C3746">
        <w:rPr>
          <w:rFonts w:cs="Times New Roman"/>
          <w:szCs w:val="24"/>
        </w:rPr>
        <w:t>To</w:t>
      </w:r>
      <w:r>
        <w:t xml:space="preserve"> driv</w:t>
      </w:r>
      <w:r w:rsidR="002C3746">
        <w:t xml:space="preserve">e </w:t>
      </w:r>
      <w:r>
        <w:t>continuous improvement</w:t>
      </w:r>
      <w:r w:rsidR="002C3746">
        <w:t xml:space="preserve">, </w:t>
      </w:r>
      <w:r>
        <w:t>ARPANSA benchmarks its performance against comparable regulatory agencies through external audits including international peer reviews.</w:t>
      </w:r>
    </w:p>
    <w:p w14:paraId="19008A8E" w14:textId="2AB9F1AA" w:rsidR="00314CDD" w:rsidRPr="002A5DFD" w:rsidRDefault="00851C51" w:rsidP="00C91FB5">
      <w:pPr>
        <w:spacing w:after="120"/>
      </w:pPr>
      <w:r>
        <w:t>P</w:t>
      </w:r>
      <w:r w:rsidR="00314CDD">
        <w:t xml:space="preserve">erformance against the PIs was taken into </w:t>
      </w:r>
      <w:proofErr w:type="gramStart"/>
      <w:r w:rsidR="00314CDD">
        <w:t>account</w:t>
      </w:r>
      <w:r w:rsidR="008B045E">
        <w:t>,</w:t>
      </w:r>
      <w:proofErr w:type="gramEnd"/>
      <w:r>
        <w:t xml:space="preserve"> however</w:t>
      </w:r>
      <w:r w:rsidR="008B045E">
        <w:t>,</w:t>
      </w:r>
      <w:r>
        <w:t xml:space="preserve"> they</w:t>
      </w:r>
      <w:r w:rsidR="00314CDD">
        <w:t xml:space="preserve"> may not accurately reflect the </w:t>
      </w:r>
      <w:r w:rsidR="00314CDD" w:rsidRPr="002A5DFD">
        <w:t>intent of the KPI.</w:t>
      </w:r>
    </w:p>
    <w:p w14:paraId="02EB92F7" w14:textId="40D2A73B" w:rsidR="00314CDD" w:rsidRPr="000D50DD" w:rsidRDefault="00314CDD" w:rsidP="00C91FB5">
      <w:pPr>
        <w:spacing w:after="120"/>
      </w:pPr>
      <w:r w:rsidRPr="00D8087A">
        <w:t>The team observed ARPANSA</w:t>
      </w:r>
      <w:r w:rsidR="00851C51">
        <w:t>’s</w:t>
      </w:r>
      <w:r w:rsidRPr="00D8087A">
        <w:t xml:space="preserve"> commitment to continuous improvement</w:t>
      </w:r>
      <w:r w:rsidR="00851C51">
        <w:t>,</w:t>
      </w:r>
      <w:r w:rsidRPr="00D8087A">
        <w:t xml:space="preserve"> which fit</w:t>
      </w:r>
      <w:r w:rsidR="006F27EE">
        <w:t>s</w:t>
      </w:r>
      <w:r w:rsidRPr="00D8087A">
        <w:t xml:space="preserve"> well with the aims expressed in the RPF. Importantly the team noted that without exception, </w:t>
      </w:r>
      <w:r w:rsidR="00851C51">
        <w:lastRenderedPageBreak/>
        <w:t>l</w:t>
      </w:r>
      <w:r w:rsidR="001F7A0E">
        <w:t>icence holder</w:t>
      </w:r>
      <w:r w:rsidRPr="00B01BC4">
        <w:t xml:space="preserve"> representatives consider that ARPANSA’s performance has improved</w:t>
      </w:r>
      <w:r w:rsidRPr="00FF5E57">
        <w:t>.</w:t>
      </w:r>
      <w:r w:rsidR="00C62510">
        <w:t xml:space="preserve"> </w:t>
      </w:r>
      <w:r w:rsidR="00151F6C">
        <w:t>Licence holder representatives</w:t>
      </w:r>
      <w:r w:rsidRPr="00FF5E57">
        <w:t xml:space="preserve"> and ARPANSA staff reported that over the previous 18 months, </w:t>
      </w:r>
      <w:r w:rsidR="00D33395">
        <w:t xml:space="preserve">RSB has </w:t>
      </w:r>
      <w:r w:rsidRPr="00FF5E57">
        <w:t xml:space="preserve">become more transparent and consistent in its approach to regulatory activities. This corresponds with the introduction of a new </w:t>
      </w:r>
      <w:hyperlink r:id="rId29" w:history="1">
        <w:r w:rsidR="00711707" w:rsidRPr="00547029">
          <w:t xml:space="preserve">regulatory </w:t>
        </w:r>
        <w:r w:rsidRPr="00547029">
          <w:t>delivery model</w:t>
        </w:r>
      </w:hyperlink>
      <w:r w:rsidRPr="00D8087A">
        <w:t xml:space="preserve"> </w:t>
      </w:r>
      <w:r w:rsidR="00D33395">
        <w:t>in December 2014</w:t>
      </w:r>
      <w:r w:rsidRPr="000D50DD">
        <w:t>. This delivery model emphasised openness, clarity, reliability, and efficien</w:t>
      </w:r>
      <w:r w:rsidR="00D33395">
        <w:t>c</w:t>
      </w:r>
      <w:r w:rsidRPr="000D50DD">
        <w:t>y</w:t>
      </w:r>
      <w:r w:rsidR="006F27EE">
        <w:t>,</w:t>
      </w:r>
      <w:r w:rsidRPr="000D50DD">
        <w:t xml:space="preserve"> and </w:t>
      </w:r>
      <w:proofErr w:type="gramStart"/>
      <w:r w:rsidRPr="000D50DD">
        <w:t>was designed</w:t>
      </w:r>
      <w:proofErr w:type="gramEnd"/>
      <w:r w:rsidRPr="000D50DD">
        <w:t xml:space="preserve"> to meet the requirements of the RPF. </w:t>
      </w:r>
    </w:p>
    <w:p w14:paraId="2271C7F4" w14:textId="5F726A8D" w:rsidR="00314CDD" w:rsidRPr="00FF5E57" w:rsidRDefault="00314CDD" w:rsidP="00C91FB5">
      <w:pPr>
        <w:spacing w:after="120"/>
      </w:pPr>
      <w:r w:rsidRPr="00FC124B">
        <w:t xml:space="preserve">The assessment team noted that the approach to both source and facility </w:t>
      </w:r>
      <w:r w:rsidR="00711707" w:rsidRPr="00B01BC4">
        <w:t>inspection</w:t>
      </w:r>
      <w:r w:rsidR="00D33395">
        <w:t>s</w:t>
      </w:r>
      <w:r w:rsidRPr="00B01BC4">
        <w:t xml:space="preserve"> was professional and mindful of the </w:t>
      </w:r>
      <w:r w:rsidR="00D33395">
        <w:t>l</w:t>
      </w:r>
      <w:r w:rsidR="001F7A0E">
        <w:t>icence holder</w:t>
      </w:r>
      <w:r w:rsidRPr="00FF5E57">
        <w:t>’s time</w:t>
      </w:r>
      <w:r w:rsidR="00B3180A" w:rsidRPr="00FF5E57">
        <w:t xml:space="preserve"> and operations</w:t>
      </w:r>
      <w:r w:rsidRPr="00FF5E57">
        <w:t xml:space="preserve">. The assessment noted that the ARPANSA staff interviewed displayed a strong regulatory culture and were committed to continuous improvement. The team noted that there had been </w:t>
      </w:r>
      <w:proofErr w:type="gramStart"/>
      <w:r w:rsidRPr="00FF5E57">
        <w:t>no unexplained</w:t>
      </w:r>
      <w:proofErr w:type="gramEnd"/>
      <w:r w:rsidRPr="00FF5E57">
        <w:t xml:space="preserve"> deviation from the inspection schedule</w:t>
      </w:r>
      <w:r w:rsidR="00D33395">
        <w:t>s</w:t>
      </w:r>
      <w:r w:rsidRPr="00FF5E57">
        <w:t xml:space="preserve"> </w:t>
      </w:r>
      <w:r w:rsidR="00507409">
        <w:t>during</w:t>
      </w:r>
      <w:r w:rsidR="00507409" w:rsidRPr="00FF5E57">
        <w:t xml:space="preserve"> </w:t>
      </w:r>
      <w:r w:rsidRPr="00FF5E57">
        <w:t xml:space="preserve">the review period. This </w:t>
      </w:r>
      <w:r w:rsidR="00B3580A">
        <w:t xml:space="preserve">contributes to </w:t>
      </w:r>
      <w:r w:rsidRPr="00FF5E57">
        <w:t>transparency and clear communication.</w:t>
      </w:r>
    </w:p>
    <w:p w14:paraId="0210944B" w14:textId="77777777" w:rsidR="00314CDD" w:rsidRDefault="00314CDD" w:rsidP="00C91FB5">
      <w:pPr>
        <w:pStyle w:val="Heading3"/>
      </w:pPr>
      <w:bookmarkStart w:id="50" w:name="_Toc470173175"/>
      <w:r w:rsidRPr="00454CE1">
        <w:t>Conclusions</w:t>
      </w:r>
      <w:bookmarkEnd w:id="50"/>
    </w:p>
    <w:p w14:paraId="5115B1A6" w14:textId="2FE45493" w:rsidR="00314CDD" w:rsidRPr="00454CE1" w:rsidRDefault="00314CDD" w:rsidP="00C91FB5">
      <w:pPr>
        <w:spacing w:after="120"/>
        <w:rPr>
          <w:rFonts w:cs="Times New Roman"/>
          <w:b/>
          <w:szCs w:val="24"/>
        </w:rPr>
      </w:pPr>
      <w:r>
        <w:t xml:space="preserve">Overall performance </w:t>
      </w:r>
      <w:r w:rsidR="00B3580A">
        <w:t>against</w:t>
      </w:r>
      <w:r w:rsidR="00B91E8F">
        <w:t xml:space="preserve"> this KPI </w:t>
      </w:r>
      <w:proofErr w:type="gramStart"/>
      <w:r w:rsidR="00B3580A">
        <w:t>was</w:t>
      </w:r>
      <w:r>
        <w:t xml:space="preserve"> assessed</w:t>
      </w:r>
      <w:proofErr w:type="gramEnd"/>
      <w:r>
        <w:t xml:space="preserve"> as </w:t>
      </w:r>
      <w:r w:rsidR="00C27FEA">
        <w:t>v</w:t>
      </w:r>
      <w:r>
        <w:t xml:space="preserve">ery </w:t>
      </w:r>
      <w:r w:rsidR="00C27FEA">
        <w:t>g</w:t>
      </w:r>
      <w:r>
        <w:t xml:space="preserve">ood. This </w:t>
      </w:r>
      <w:proofErr w:type="gramStart"/>
      <w:r>
        <w:t>is based</w:t>
      </w:r>
      <w:proofErr w:type="gramEnd"/>
      <w:r>
        <w:t xml:space="preserve"> on </w:t>
      </w:r>
      <w:r w:rsidR="00B91E8F">
        <w:t xml:space="preserve">the </w:t>
      </w:r>
      <w:r>
        <w:t>evidence</w:t>
      </w:r>
      <w:r w:rsidR="00B91E8F">
        <w:t xml:space="preserve"> presented</w:t>
      </w:r>
      <w:r>
        <w:t xml:space="preserve"> including </w:t>
      </w:r>
      <w:r w:rsidR="00B91E8F">
        <w:t xml:space="preserve">a </w:t>
      </w:r>
      <w:r>
        <w:t>high level of involvement in the development of documentation and regulatory frameworks, the n</w:t>
      </w:r>
      <w:r w:rsidRPr="00C47F67">
        <w:t>umber of stakeholder events</w:t>
      </w:r>
      <w:r>
        <w:t xml:space="preserve">, the frequent interactions with </w:t>
      </w:r>
      <w:r w:rsidR="00151F6C">
        <w:t>Licence holder representatives</w:t>
      </w:r>
      <w:r w:rsidR="0009683A">
        <w:t>, and inputs from external experience and expertise</w:t>
      </w:r>
      <w:r>
        <w:t>.</w:t>
      </w:r>
    </w:p>
    <w:p w14:paraId="484D142F" w14:textId="00BF3B10" w:rsidR="00314CDD" w:rsidRPr="00A9092B" w:rsidRDefault="00314CDD" w:rsidP="00C91FB5">
      <w:pPr>
        <w:pStyle w:val="Heading3"/>
        <w:rPr>
          <w:lang w:eastAsia="en-AU"/>
        </w:rPr>
      </w:pPr>
      <w:bookmarkStart w:id="51" w:name="_Toc470173176"/>
      <w:r w:rsidRPr="00A9092B">
        <w:rPr>
          <w:lang w:eastAsia="en-AU"/>
        </w:rPr>
        <w:t>Self</w:t>
      </w:r>
      <w:r w:rsidR="0058535A">
        <w:rPr>
          <w:lang w:eastAsia="en-AU"/>
        </w:rPr>
        <w:t>-</w:t>
      </w:r>
      <w:r w:rsidRPr="00A9092B">
        <w:rPr>
          <w:lang w:eastAsia="en-AU"/>
        </w:rPr>
        <w:t>assessed rating of performance against KPI 6 – 2015-16</w:t>
      </w:r>
      <w:bookmarkEnd w:id="51"/>
    </w:p>
    <w:tbl>
      <w:tblPr>
        <w:tblStyle w:val="TableGrid"/>
        <w:tblW w:w="9781" w:type="dxa"/>
        <w:tblInd w:w="108" w:type="dxa"/>
        <w:tblLook w:val="04A0" w:firstRow="1" w:lastRow="0" w:firstColumn="1" w:lastColumn="0" w:noHBand="0" w:noVBand="1"/>
        <w:tblDescription w:val="Chapter 2.6.6 table contains a list of performance ratings against Key Performance Indicator (KPI) 6 of the 2015-16 Regulator Performance Framework. "/>
      </w:tblPr>
      <w:tblGrid>
        <w:gridCol w:w="1736"/>
        <w:gridCol w:w="2942"/>
        <w:gridCol w:w="1701"/>
        <w:gridCol w:w="1701"/>
        <w:gridCol w:w="1701"/>
      </w:tblGrid>
      <w:tr w:rsidR="00314CDD" w:rsidRPr="00951ED1" w14:paraId="0246D9F0" w14:textId="77777777" w:rsidTr="001D1106">
        <w:trPr>
          <w:cantSplit/>
          <w:tblHeader/>
        </w:trPr>
        <w:tc>
          <w:tcPr>
            <w:tcW w:w="1736" w:type="dxa"/>
          </w:tcPr>
          <w:p w14:paraId="500C289D"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Excellent</w:t>
            </w:r>
          </w:p>
          <w:p w14:paraId="7D7EEB32" w14:textId="2B1AC6FA" w:rsidR="00314CDD" w:rsidRPr="00951ED1" w:rsidRDefault="00951ED1" w:rsidP="00C91FB5">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 xml:space="preserve">Strong </w:t>
            </w:r>
            <w:r w:rsidR="00314CDD" w:rsidRPr="00951ED1">
              <w:rPr>
                <w:rFonts w:cs="Times New Roman"/>
                <w:bCs/>
                <w:sz w:val="20"/>
                <w:szCs w:val="20"/>
                <w:lang w:eastAsia="en-AU"/>
              </w:rPr>
              <w:t>performance against all the measures under the KPI</w:t>
            </w:r>
          </w:p>
        </w:tc>
        <w:tc>
          <w:tcPr>
            <w:tcW w:w="2942" w:type="dxa"/>
            <w:shd w:val="clear" w:color="auto" w:fill="D6E3BC" w:themeFill="accent3" w:themeFillTint="66"/>
          </w:tcPr>
          <w:p w14:paraId="0911C70B"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Very Good</w:t>
            </w:r>
          </w:p>
          <w:p w14:paraId="0A0D9770" w14:textId="46A0F7AF" w:rsidR="00314CDD" w:rsidRPr="00951ED1" w:rsidRDefault="00951ED1" w:rsidP="00C91FB5">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 xml:space="preserve">Strong </w:t>
            </w:r>
            <w:r w:rsidR="00314CDD" w:rsidRPr="00951ED1">
              <w:rPr>
                <w:rFonts w:cs="Times New Roman"/>
                <w:bCs/>
                <w:sz w:val="20"/>
                <w:szCs w:val="20"/>
                <w:lang w:eastAsia="en-AU"/>
              </w:rPr>
              <w:t>performance against majority of the measures under the KPI and no evidence of negative/poor performance against any measure</w:t>
            </w:r>
          </w:p>
        </w:tc>
        <w:tc>
          <w:tcPr>
            <w:tcW w:w="1701" w:type="dxa"/>
          </w:tcPr>
          <w:p w14:paraId="46775E22"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Good</w:t>
            </w:r>
          </w:p>
          <w:p w14:paraId="6C630BE6" w14:textId="592566F2" w:rsidR="00314CDD" w:rsidRPr="00951ED1" w:rsidRDefault="00951ED1" w:rsidP="00C91FB5">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 xml:space="preserve">Average </w:t>
            </w:r>
            <w:r w:rsidR="00314CDD" w:rsidRPr="00951ED1">
              <w:rPr>
                <w:rFonts w:cs="Times New Roman"/>
                <w:bCs/>
                <w:sz w:val="20"/>
                <w:szCs w:val="20"/>
                <w:lang w:eastAsia="en-AU"/>
              </w:rPr>
              <w:t>performance against the measures under the KPI</w:t>
            </w:r>
          </w:p>
        </w:tc>
        <w:tc>
          <w:tcPr>
            <w:tcW w:w="1701" w:type="dxa"/>
          </w:tcPr>
          <w:p w14:paraId="2ECC76AF"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Fair</w:t>
            </w:r>
          </w:p>
          <w:p w14:paraId="74F1E26D" w14:textId="77777777" w:rsidR="00314CDD" w:rsidRPr="00951ED1" w:rsidRDefault="00314CDD" w:rsidP="00C91FB5">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Poor performance against some measures under the KPI</w:t>
            </w:r>
          </w:p>
        </w:tc>
        <w:tc>
          <w:tcPr>
            <w:tcW w:w="1701" w:type="dxa"/>
          </w:tcPr>
          <w:p w14:paraId="7E885B0B" w14:textId="77777777" w:rsidR="00314CDD" w:rsidRPr="006D47B2" w:rsidRDefault="00314CDD" w:rsidP="00C91FB5">
            <w:pPr>
              <w:autoSpaceDE w:val="0"/>
              <w:autoSpaceDN w:val="0"/>
              <w:adjustRightInd w:val="0"/>
              <w:spacing w:before="120" w:after="120"/>
              <w:jc w:val="center"/>
              <w:rPr>
                <w:rStyle w:val="Strong"/>
              </w:rPr>
            </w:pPr>
            <w:r w:rsidRPr="006D47B2">
              <w:rPr>
                <w:rStyle w:val="Strong"/>
              </w:rPr>
              <w:t>Poor</w:t>
            </w:r>
          </w:p>
          <w:p w14:paraId="5019A11E" w14:textId="77777777" w:rsidR="00314CDD" w:rsidRPr="00951ED1" w:rsidRDefault="00314CDD" w:rsidP="00C91FB5">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Poor performance against most of the measures under the KPI</w:t>
            </w:r>
          </w:p>
        </w:tc>
      </w:tr>
    </w:tbl>
    <w:p w14:paraId="33A91126" w14:textId="450A0912" w:rsidR="00314CDD" w:rsidRPr="00A9092B" w:rsidRDefault="00314CDD" w:rsidP="00C91FB5">
      <w:pPr>
        <w:pStyle w:val="Heading3"/>
        <w:spacing w:before="200"/>
        <w:rPr>
          <w:lang w:eastAsia="en-AU"/>
        </w:rPr>
      </w:pPr>
      <w:bookmarkStart w:id="52" w:name="_Toc470173177"/>
      <w:r w:rsidRPr="00A9092B">
        <w:rPr>
          <w:lang w:eastAsia="en-AU"/>
        </w:rPr>
        <w:t>Actions for improving performance against KPI 6</w:t>
      </w:r>
      <w:bookmarkEnd w:id="52"/>
    </w:p>
    <w:p w14:paraId="7803B2A5" w14:textId="77777777" w:rsidR="00314CDD" w:rsidRPr="00A9092B" w:rsidRDefault="00314CDD" w:rsidP="00C91FB5">
      <w:pPr>
        <w:autoSpaceDE w:val="0"/>
        <w:autoSpaceDN w:val="0"/>
        <w:adjustRightInd w:val="0"/>
        <w:spacing w:before="120"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 PI 6.1</w:t>
      </w:r>
      <w:r w:rsidRPr="00A9092B">
        <w:rPr>
          <w:rFonts w:cs="Arial"/>
          <w:szCs w:val="24"/>
        </w:rPr>
        <w:t>:</w:t>
      </w:r>
    </w:p>
    <w:p w14:paraId="40E96DF6" w14:textId="44EF691B" w:rsidR="00314CDD" w:rsidRPr="00A9092B" w:rsidRDefault="00314CDD" w:rsidP="00C91FB5">
      <w:pPr>
        <w:pStyle w:val="ListParagraph"/>
        <w:numPr>
          <w:ilvl w:val="0"/>
          <w:numId w:val="27"/>
        </w:numPr>
        <w:spacing w:after="120"/>
        <w:ind w:left="714" w:hanging="357"/>
        <w:rPr>
          <w:rFonts w:cs="Arial"/>
          <w:szCs w:val="24"/>
        </w:rPr>
      </w:pPr>
      <w:r>
        <w:rPr>
          <w:rFonts w:cs="Arial"/>
          <w:szCs w:val="24"/>
        </w:rPr>
        <w:t>T</w:t>
      </w:r>
      <w:r w:rsidRPr="00A9092B">
        <w:rPr>
          <w:rFonts w:cs="Arial"/>
          <w:szCs w:val="24"/>
        </w:rPr>
        <w:t xml:space="preserve">he scope of the next stage of enhancements to LAD </w:t>
      </w:r>
      <w:r>
        <w:rPr>
          <w:rFonts w:cs="Arial"/>
          <w:szCs w:val="24"/>
        </w:rPr>
        <w:t>should be workshopped, and</w:t>
      </w:r>
      <w:r w:rsidRPr="00A9092B">
        <w:rPr>
          <w:rFonts w:cs="Arial"/>
          <w:szCs w:val="24"/>
        </w:rPr>
        <w:t xml:space="preserve"> </w:t>
      </w:r>
      <w:r>
        <w:rPr>
          <w:rFonts w:cs="Arial"/>
          <w:szCs w:val="24"/>
        </w:rPr>
        <w:t>business requirement specifications developed. This will help to identify additional learning</w:t>
      </w:r>
      <w:r w:rsidR="00B91E8F">
        <w:rPr>
          <w:rFonts w:cs="Arial"/>
          <w:szCs w:val="24"/>
        </w:rPr>
        <w:t xml:space="preserve"> opportunities</w:t>
      </w:r>
      <w:r>
        <w:rPr>
          <w:rFonts w:cs="Arial"/>
          <w:szCs w:val="24"/>
        </w:rPr>
        <w:t xml:space="preserve"> and improve workflow. For example, </w:t>
      </w:r>
      <w:r w:rsidRPr="00A9092B">
        <w:rPr>
          <w:rFonts w:cs="Arial"/>
          <w:szCs w:val="24"/>
        </w:rPr>
        <w:t xml:space="preserve">LAD </w:t>
      </w:r>
      <w:r>
        <w:rPr>
          <w:rFonts w:cs="Arial"/>
          <w:szCs w:val="24"/>
        </w:rPr>
        <w:t>could</w:t>
      </w:r>
      <w:r w:rsidRPr="00A9092B">
        <w:rPr>
          <w:rFonts w:cs="Arial"/>
          <w:szCs w:val="24"/>
        </w:rPr>
        <w:t xml:space="preserve"> benefit from the introduction of</w:t>
      </w:r>
      <w:r>
        <w:rPr>
          <w:rFonts w:cs="Arial"/>
          <w:szCs w:val="24"/>
        </w:rPr>
        <w:t xml:space="preserve"> improved reporting or reminder</w:t>
      </w:r>
      <w:r w:rsidRPr="00A9092B">
        <w:rPr>
          <w:rFonts w:cs="Arial"/>
          <w:szCs w:val="24"/>
        </w:rPr>
        <w:t xml:space="preserve"> prompts</w:t>
      </w:r>
      <w:r>
        <w:rPr>
          <w:rFonts w:cs="Arial"/>
          <w:szCs w:val="24"/>
        </w:rPr>
        <w:t xml:space="preserve"> for </w:t>
      </w:r>
      <w:r w:rsidRPr="00A9092B">
        <w:rPr>
          <w:rFonts w:cs="Arial"/>
          <w:szCs w:val="24"/>
        </w:rPr>
        <w:t>key tasks</w:t>
      </w:r>
      <w:r>
        <w:rPr>
          <w:rFonts w:cs="Arial"/>
          <w:szCs w:val="24"/>
        </w:rPr>
        <w:t xml:space="preserve"> such as</w:t>
      </w:r>
      <w:r w:rsidRPr="00A9092B">
        <w:rPr>
          <w:rFonts w:cs="Arial"/>
          <w:szCs w:val="24"/>
        </w:rPr>
        <w:t xml:space="preserve"> Reg</w:t>
      </w:r>
      <w:r w:rsidR="00B91E8F">
        <w:rPr>
          <w:rFonts w:cs="Arial"/>
          <w:szCs w:val="24"/>
        </w:rPr>
        <w:t>ulation</w:t>
      </w:r>
      <w:r w:rsidRPr="00A9092B">
        <w:rPr>
          <w:rFonts w:cs="Arial"/>
          <w:szCs w:val="24"/>
        </w:rPr>
        <w:t xml:space="preserve"> 51 </w:t>
      </w:r>
      <w:r w:rsidR="00B91E8F">
        <w:rPr>
          <w:rFonts w:cs="Arial"/>
          <w:szCs w:val="24"/>
        </w:rPr>
        <w:t xml:space="preserve">assessment </w:t>
      </w:r>
      <w:r>
        <w:rPr>
          <w:rFonts w:cs="Arial"/>
          <w:szCs w:val="24"/>
        </w:rPr>
        <w:t>status.</w:t>
      </w:r>
    </w:p>
    <w:p w14:paraId="562C4052" w14:textId="2FA00F12" w:rsidR="00314CDD" w:rsidRPr="00A9092B" w:rsidRDefault="00314CDD" w:rsidP="00C91FB5">
      <w:pPr>
        <w:pStyle w:val="ListParagraph"/>
        <w:numPr>
          <w:ilvl w:val="0"/>
          <w:numId w:val="27"/>
        </w:numPr>
        <w:spacing w:after="120"/>
        <w:ind w:left="714" w:hanging="357"/>
        <w:rPr>
          <w:rFonts w:cs="Arial"/>
          <w:szCs w:val="24"/>
        </w:rPr>
      </w:pPr>
      <w:r>
        <w:rPr>
          <w:rFonts w:cs="Arial"/>
          <w:szCs w:val="24"/>
        </w:rPr>
        <w:t xml:space="preserve">While using the </w:t>
      </w:r>
      <w:r w:rsidRPr="00A9092B">
        <w:rPr>
          <w:rFonts w:cs="Arial"/>
          <w:szCs w:val="24"/>
        </w:rPr>
        <w:t>existing systems</w:t>
      </w:r>
      <w:r w:rsidR="00B91E8F">
        <w:rPr>
          <w:rFonts w:cs="Arial"/>
          <w:szCs w:val="24"/>
        </w:rPr>
        <w:t xml:space="preserve"> external to LAD</w:t>
      </w:r>
      <w:r>
        <w:rPr>
          <w:rFonts w:cs="Arial"/>
          <w:szCs w:val="24"/>
        </w:rPr>
        <w:t xml:space="preserve">, </w:t>
      </w:r>
      <w:r w:rsidRPr="00A9092B">
        <w:rPr>
          <w:rFonts w:cs="Arial"/>
          <w:szCs w:val="24"/>
        </w:rPr>
        <w:t xml:space="preserve">a process map </w:t>
      </w:r>
      <w:r>
        <w:rPr>
          <w:rFonts w:cs="Arial"/>
          <w:szCs w:val="24"/>
        </w:rPr>
        <w:t xml:space="preserve">could be created </w:t>
      </w:r>
      <w:r w:rsidRPr="00A9092B">
        <w:rPr>
          <w:rFonts w:cs="Arial"/>
          <w:szCs w:val="24"/>
        </w:rPr>
        <w:t xml:space="preserve">that links the data required by a branch performance indicator to </w:t>
      </w:r>
      <w:r>
        <w:rPr>
          <w:rFonts w:cs="Arial"/>
          <w:szCs w:val="24"/>
        </w:rPr>
        <w:t xml:space="preserve">the </w:t>
      </w:r>
      <w:r w:rsidRPr="00A9092B">
        <w:rPr>
          <w:rFonts w:cs="Arial"/>
          <w:szCs w:val="24"/>
        </w:rPr>
        <w:t xml:space="preserve">data </w:t>
      </w:r>
      <w:r>
        <w:rPr>
          <w:rFonts w:cs="Arial"/>
          <w:szCs w:val="24"/>
        </w:rPr>
        <w:t xml:space="preserve">location </w:t>
      </w:r>
      <w:r w:rsidRPr="00A9092B">
        <w:rPr>
          <w:rFonts w:cs="Arial"/>
          <w:szCs w:val="24"/>
        </w:rPr>
        <w:t>(</w:t>
      </w:r>
      <w:r>
        <w:rPr>
          <w:rFonts w:cs="Arial"/>
          <w:szCs w:val="24"/>
        </w:rPr>
        <w:t xml:space="preserve">database </w:t>
      </w:r>
      <w:r w:rsidRPr="00A9092B">
        <w:rPr>
          <w:rFonts w:cs="Arial"/>
          <w:szCs w:val="24"/>
        </w:rPr>
        <w:t>field, screen, file name etc.)</w:t>
      </w:r>
      <w:r w:rsidR="00B91E8F">
        <w:rPr>
          <w:rFonts w:cs="Arial"/>
          <w:szCs w:val="24"/>
        </w:rPr>
        <w:t>.</w:t>
      </w:r>
    </w:p>
    <w:p w14:paraId="6F45240F" w14:textId="65B11D9E" w:rsidR="00562BD1" w:rsidRDefault="00314CDD" w:rsidP="00C91FB5">
      <w:pPr>
        <w:pStyle w:val="ListParagraph"/>
        <w:numPr>
          <w:ilvl w:val="0"/>
          <w:numId w:val="27"/>
        </w:numPr>
        <w:spacing w:after="120"/>
        <w:ind w:left="714" w:hanging="357"/>
        <w:rPr>
          <w:rFonts w:cs="Arial"/>
          <w:szCs w:val="24"/>
        </w:rPr>
      </w:pPr>
      <w:r>
        <w:rPr>
          <w:rFonts w:cs="Arial"/>
          <w:szCs w:val="24"/>
        </w:rPr>
        <w:t>Evaluate</w:t>
      </w:r>
      <w:r w:rsidRPr="00A9092B">
        <w:rPr>
          <w:rFonts w:cs="Arial"/>
          <w:szCs w:val="24"/>
        </w:rPr>
        <w:t xml:space="preserve"> the roles and responsibilities of administration officers to support data entry into the LAD</w:t>
      </w:r>
      <w:r>
        <w:rPr>
          <w:rFonts w:cs="Arial"/>
          <w:szCs w:val="24"/>
        </w:rPr>
        <w:t>, including functions such as quality assurance</w:t>
      </w:r>
      <w:r w:rsidRPr="00A9092B">
        <w:rPr>
          <w:rFonts w:cs="Arial"/>
          <w:szCs w:val="24"/>
        </w:rPr>
        <w:t>.</w:t>
      </w:r>
    </w:p>
    <w:p w14:paraId="56CA35ED" w14:textId="77777777" w:rsidR="00562BD1" w:rsidRDefault="00562BD1" w:rsidP="00C91FB5">
      <w:pPr>
        <w:rPr>
          <w:rFonts w:cs="Arial"/>
          <w:szCs w:val="24"/>
        </w:rPr>
      </w:pPr>
      <w:r>
        <w:rPr>
          <w:rFonts w:cs="Arial"/>
          <w:szCs w:val="24"/>
        </w:rPr>
        <w:br w:type="page"/>
      </w:r>
    </w:p>
    <w:p w14:paraId="1F586AE2" w14:textId="77777777" w:rsidR="00314CDD" w:rsidRPr="00A9092B" w:rsidRDefault="00314CDD" w:rsidP="006E61F1">
      <w:pPr>
        <w:pStyle w:val="Heading1"/>
        <w:rPr>
          <w:lang w:eastAsia="en-AU"/>
        </w:rPr>
      </w:pPr>
      <w:bookmarkStart w:id="53" w:name="_Toc470173178"/>
      <w:r w:rsidRPr="00A9092B">
        <w:rPr>
          <w:lang w:eastAsia="en-AU"/>
        </w:rPr>
        <w:lastRenderedPageBreak/>
        <w:t>Overall Assessment</w:t>
      </w:r>
      <w:bookmarkEnd w:id="53"/>
    </w:p>
    <w:p w14:paraId="1E0935F9" w14:textId="0E40CA20" w:rsidR="00314CDD" w:rsidRPr="00A9092B" w:rsidRDefault="00314CDD" w:rsidP="006E61F1">
      <w:pPr>
        <w:pStyle w:val="Heading2"/>
        <w:rPr>
          <w:lang w:eastAsia="en-AU"/>
        </w:rPr>
      </w:pPr>
      <w:bookmarkStart w:id="54" w:name="_Toc470173179"/>
      <w:r w:rsidRPr="00A9092B">
        <w:rPr>
          <w:lang w:eastAsia="en-AU"/>
        </w:rPr>
        <w:t>Analysis of evidence</w:t>
      </w:r>
      <w:bookmarkEnd w:id="54"/>
      <w:r w:rsidRPr="00A9092B">
        <w:rPr>
          <w:lang w:eastAsia="en-AU"/>
        </w:rPr>
        <w:t xml:space="preserve"> </w:t>
      </w:r>
    </w:p>
    <w:p w14:paraId="56150BE4" w14:textId="38A9AA78" w:rsidR="00314CDD" w:rsidRPr="00FF5E57" w:rsidRDefault="00314CDD" w:rsidP="006E61F1">
      <w:pPr>
        <w:spacing w:after="120"/>
      </w:pPr>
      <w:r w:rsidRPr="000D50DD">
        <w:t xml:space="preserve">This review assessed regulatory performance against previously agreed metrics as well as established processes, procedures and </w:t>
      </w:r>
      <w:r w:rsidRPr="00FC124B">
        <w:t>through discussions with staff and stakeholders. I</w:t>
      </w:r>
      <w:r w:rsidR="006B297C">
        <w:t xml:space="preserve">n </w:t>
      </w:r>
      <w:r w:rsidRPr="00B01BC4">
        <w:t xml:space="preserve">some </w:t>
      </w:r>
      <w:proofErr w:type="gramStart"/>
      <w:r w:rsidR="006B297C">
        <w:t>cases</w:t>
      </w:r>
      <w:proofErr w:type="gramEnd"/>
      <w:r w:rsidR="006B297C">
        <w:t xml:space="preserve"> </w:t>
      </w:r>
      <w:r w:rsidR="00507409">
        <w:t xml:space="preserve">it was noted that </w:t>
      </w:r>
      <w:r w:rsidRPr="00B01BC4">
        <w:t>the metrics did not closely align with the intention of the KPI. However, the team found that the use of the current metrics has led to performance improvement that is consistent with the aims of the RPF. Improvements to data collect</w:t>
      </w:r>
      <w:r w:rsidR="006B297C">
        <w:t>ion</w:t>
      </w:r>
      <w:r w:rsidRPr="00B01BC4">
        <w:t xml:space="preserve"> </w:t>
      </w:r>
      <w:proofErr w:type="gramStart"/>
      <w:r w:rsidRPr="00B01BC4">
        <w:t>could be made</w:t>
      </w:r>
      <w:proofErr w:type="gramEnd"/>
      <w:r w:rsidRPr="00B01BC4">
        <w:t xml:space="preserve"> in some </w:t>
      </w:r>
      <w:r w:rsidR="00507409">
        <w:t>areas</w:t>
      </w:r>
      <w:r w:rsidR="006B297C">
        <w:t>,</w:t>
      </w:r>
      <w:r w:rsidRPr="00B01BC4">
        <w:t xml:space="preserve"> such as agree</w:t>
      </w:r>
      <w:r w:rsidRPr="00FF5E57">
        <w:t>d timeframes for assessment and follow up on performance deficiencies.</w:t>
      </w:r>
    </w:p>
    <w:p w14:paraId="46E80072" w14:textId="2BFB461B" w:rsidR="00411D72" w:rsidRDefault="00411D72" w:rsidP="006E61F1">
      <w:pPr>
        <w:pStyle w:val="Heading2"/>
        <w:rPr>
          <w:lang w:eastAsia="en-AU"/>
        </w:rPr>
      </w:pPr>
      <w:bookmarkStart w:id="55" w:name="_Toc470173180"/>
      <w:r>
        <w:rPr>
          <w:lang w:eastAsia="en-AU"/>
        </w:rPr>
        <w:t xml:space="preserve">Overall </w:t>
      </w:r>
      <w:r w:rsidR="00562BD1" w:rsidRPr="00A9092B">
        <w:rPr>
          <w:lang w:eastAsia="en-AU"/>
        </w:rPr>
        <w:t>self</w:t>
      </w:r>
      <w:r w:rsidR="00951ED1">
        <w:rPr>
          <w:lang w:eastAsia="en-AU"/>
        </w:rPr>
        <w:t>-</w:t>
      </w:r>
      <w:r w:rsidRPr="00A9092B">
        <w:rPr>
          <w:lang w:eastAsia="en-AU"/>
        </w:rPr>
        <w:t>assessed rating of performance – 2015-16</w:t>
      </w:r>
      <w:bookmarkEnd w:id="55"/>
    </w:p>
    <w:p w14:paraId="4E632577" w14:textId="71D65869" w:rsidR="00411D72" w:rsidRPr="00A9092B" w:rsidRDefault="00C01B32" w:rsidP="006E61F1">
      <w:pPr>
        <w:spacing w:after="120"/>
        <w:rPr>
          <w:rFonts w:cs="Times New Roman"/>
          <w:b/>
          <w:bCs/>
          <w:szCs w:val="24"/>
          <w:lang w:eastAsia="en-AU"/>
        </w:rPr>
      </w:pPr>
      <w:r w:rsidRPr="00A9092B">
        <w:rPr>
          <w:rFonts w:cs="Arial"/>
          <w:szCs w:val="24"/>
        </w:rPr>
        <w:t xml:space="preserve">This review assessed </w:t>
      </w:r>
      <w:r>
        <w:rPr>
          <w:rFonts w:cs="Arial"/>
          <w:szCs w:val="24"/>
        </w:rPr>
        <w:t xml:space="preserve">overall </w:t>
      </w:r>
      <w:r w:rsidRPr="00A9092B">
        <w:rPr>
          <w:rFonts w:cs="Arial"/>
          <w:szCs w:val="24"/>
        </w:rPr>
        <w:t xml:space="preserve">performance </w:t>
      </w:r>
      <w:r>
        <w:rPr>
          <w:rFonts w:cs="Arial"/>
          <w:szCs w:val="24"/>
        </w:rPr>
        <w:t>a</w:t>
      </w:r>
      <w:r w:rsidR="00D022C7">
        <w:rPr>
          <w:rFonts w:cs="Arial"/>
          <w:szCs w:val="24"/>
        </w:rPr>
        <w:t xml:space="preserve">gainst agreed metrics as good. </w:t>
      </w:r>
      <w:r>
        <w:rPr>
          <w:rFonts w:cs="Arial"/>
          <w:szCs w:val="24"/>
        </w:rPr>
        <w:t xml:space="preserve">However, it </w:t>
      </w:r>
      <w:proofErr w:type="gramStart"/>
      <w:r>
        <w:rPr>
          <w:rFonts w:cs="Arial"/>
          <w:szCs w:val="24"/>
        </w:rPr>
        <w:t>is</w:t>
      </w:r>
      <w:r w:rsidR="006B297C">
        <w:rPr>
          <w:rFonts w:cs="Arial"/>
          <w:szCs w:val="24"/>
        </w:rPr>
        <w:t xml:space="preserve"> </w:t>
      </w:r>
      <w:r w:rsidR="00507409">
        <w:rPr>
          <w:rFonts w:cs="Arial"/>
          <w:szCs w:val="24"/>
        </w:rPr>
        <w:t>acknowledged</w:t>
      </w:r>
      <w:proofErr w:type="gramEnd"/>
      <w:r w:rsidR="00507409">
        <w:rPr>
          <w:rFonts w:cs="Arial"/>
          <w:szCs w:val="24"/>
        </w:rPr>
        <w:t xml:space="preserve"> </w:t>
      </w:r>
      <w:r>
        <w:rPr>
          <w:rFonts w:cs="Arial"/>
          <w:szCs w:val="24"/>
        </w:rPr>
        <w:t>that problems associated with the PIs and PI alignment to KPIs undervalues ARPANSA’s regulatory performance against the aims of the RPF.</w:t>
      </w:r>
    </w:p>
    <w:tbl>
      <w:tblPr>
        <w:tblStyle w:val="TableGrid"/>
        <w:tblW w:w="9781" w:type="dxa"/>
        <w:tblInd w:w="108" w:type="dxa"/>
        <w:tblLook w:val="04A0" w:firstRow="1" w:lastRow="0" w:firstColumn="1" w:lastColumn="0" w:noHBand="0" w:noVBand="1"/>
        <w:tblDescription w:val="Chapter 3.2 table contains a list of performance ratings against all Key Performance Indicators (KPIs) of the 2015-16 Regulator Performance Framework. "/>
      </w:tblPr>
      <w:tblGrid>
        <w:gridCol w:w="1736"/>
        <w:gridCol w:w="2942"/>
        <w:gridCol w:w="1701"/>
        <w:gridCol w:w="1701"/>
        <w:gridCol w:w="1701"/>
      </w:tblGrid>
      <w:tr w:rsidR="00411D72" w:rsidRPr="00951ED1" w14:paraId="2D227986" w14:textId="77777777" w:rsidTr="001D1106">
        <w:trPr>
          <w:cantSplit/>
          <w:tblHeader/>
        </w:trPr>
        <w:tc>
          <w:tcPr>
            <w:tcW w:w="1736" w:type="dxa"/>
          </w:tcPr>
          <w:p w14:paraId="4D65E690" w14:textId="77777777" w:rsidR="00411D72" w:rsidRPr="006D47B2" w:rsidRDefault="00411D72" w:rsidP="006E61F1">
            <w:pPr>
              <w:autoSpaceDE w:val="0"/>
              <w:autoSpaceDN w:val="0"/>
              <w:adjustRightInd w:val="0"/>
              <w:spacing w:before="120" w:after="120"/>
              <w:jc w:val="center"/>
              <w:rPr>
                <w:rStyle w:val="Strong"/>
              </w:rPr>
            </w:pPr>
            <w:r w:rsidRPr="006D47B2">
              <w:rPr>
                <w:rStyle w:val="Strong"/>
              </w:rPr>
              <w:t>Excellent</w:t>
            </w:r>
          </w:p>
          <w:p w14:paraId="594AF149" w14:textId="1D5916C2" w:rsidR="00411D72" w:rsidRPr="00951ED1" w:rsidRDefault="00951ED1" w:rsidP="006E61F1">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 xml:space="preserve">Strong </w:t>
            </w:r>
            <w:r w:rsidR="00411D72" w:rsidRPr="00951ED1">
              <w:rPr>
                <w:rFonts w:cs="Times New Roman"/>
                <w:bCs/>
                <w:sz w:val="20"/>
                <w:szCs w:val="20"/>
                <w:lang w:eastAsia="en-AU"/>
              </w:rPr>
              <w:t>performance against all the measures under the KPI</w:t>
            </w:r>
          </w:p>
        </w:tc>
        <w:tc>
          <w:tcPr>
            <w:tcW w:w="2942" w:type="dxa"/>
            <w:shd w:val="clear" w:color="auto" w:fill="auto"/>
          </w:tcPr>
          <w:p w14:paraId="2B176898" w14:textId="77777777" w:rsidR="00411D72" w:rsidRPr="006D47B2" w:rsidRDefault="00411D72" w:rsidP="006E61F1">
            <w:pPr>
              <w:autoSpaceDE w:val="0"/>
              <w:autoSpaceDN w:val="0"/>
              <w:adjustRightInd w:val="0"/>
              <w:spacing w:before="120" w:after="120"/>
              <w:jc w:val="center"/>
              <w:rPr>
                <w:rStyle w:val="Strong"/>
              </w:rPr>
            </w:pPr>
            <w:r w:rsidRPr="006D47B2">
              <w:rPr>
                <w:rStyle w:val="Strong"/>
              </w:rPr>
              <w:t>Very Good</w:t>
            </w:r>
          </w:p>
          <w:p w14:paraId="3C145859" w14:textId="6A868E60" w:rsidR="00411D72" w:rsidRPr="00951ED1" w:rsidRDefault="00951ED1" w:rsidP="006E61F1">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 xml:space="preserve">Strong </w:t>
            </w:r>
            <w:r w:rsidR="00411D72" w:rsidRPr="00951ED1">
              <w:rPr>
                <w:rFonts w:cs="Times New Roman"/>
                <w:bCs/>
                <w:sz w:val="20"/>
                <w:szCs w:val="20"/>
                <w:lang w:eastAsia="en-AU"/>
              </w:rPr>
              <w:t>performance against majority of the measures under the KPI and no evidence of negative/poor performance against any measure</w:t>
            </w:r>
          </w:p>
        </w:tc>
        <w:tc>
          <w:tcPr>
            <w:tcW w:w="1701" w:type="dxa"/>
            <w:shd w:val="clear" w:color="auto" w:fill="D6E3BC" w:themeFill="accent3" w:themeFillTint="66"/>
          </w:tcPr>
          <w:p w14:paraId="738E32F5" w14:textId="77777777" w:rsidR="00411D72" w:rsidRPr="006D47B2" w:rsidRDefault="00411D72" w:rsidP="006E61F1">
            <w:pPr>
              <w:autoSpaceDE w:val="0"/>
              <w:autoSpaceDN w:val="0"/>
              <w:adjustRightInd w:val="0"/>
              <w:spacing w:before="120" w:after="120"/>
              <w:jc w:val="center"/>
              <w:rPr>
                <w:rStyle w:val="Strong"/>
              </w:rPr>
            </w:pPr>
            <w:r w:rsidRPr="006D47B2">
              <w:rPr>
                <w:rStyle w:val="Strong"/>
              </w:rPr>
              <w:t>Good</w:t>
            </w:r>
          </w:p>
          <w:p w14:paraId="3145DF09" w14:textId="6D53726C" w:rsidR="00411D72" w:rsidRPr="00951ED1" w:rsidRDefault="00951ED1" w:rsidP="006E61F1">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 xml:space="preserve">Average </w:t>
            </w:r>
            <w:r w:rsidR="00411D72" w:rsidRPr="00951ED1">
              <w:rPr>
                <w:rFonts w:cs="Times New Roman"/>
                <w:bCs/>
                <w:sz w:val="20"/>
                <w:szCs w:val="20"/>
                <w:lang w:eastAsia="en-AU"/>
              </w:rPr>
              <w:t>performance against the measures under the KPI</w:t>
            </w:r>
          </w:p>
        </w:tc>
        <w:tc>
          <w:tcPr>
            <w:tcW w:w="1701" w:type="dxa"/>
          </w:tcPr>
          <w:p w14:paraId="608A23D3" w14:textId="77777777" w:rsidR="00411D72" w:rsidRPr="006D47B2" w:rsidRDefault="00411D72" w:rsidP="006E61F1">
            <w:pPr>
              <w:autoSpaceDE w:val="0"/>
              <w:autoSpaceDN w:val="0"/>
              <w:adjustRightInd w:val="0"/>
              <w:spacing w:before="120" w:after="120"/>
              <w:jc w:val="center"/>
              <w:rPr>
                <w:rStyle w:val="Strong"/>
              </w:rPr>
            </w:pPr>
            <w:r w:rsidRPr="006D47B2">
              <w:rPr>
                <w:rStyle w:val="Strong"/>
              </w:rPr>
              <w:t>Fair</w:t>
            </w:r>
          </w:p>
          <w:p w14:paraId="2E8D4167" w14:textId="77777777" w:rsidR="00411D72" w:rsidRPr="00951ED1" w:rsidRDefault="00411D72" w:rsidP="006E61F1">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Poor performance against some measures under the KPI</w:t>
            </w:r>
          </w:p>
        </w:tc>
        <w:tc>
          <w:tcPr>
            <w:tcW w:w="1701" w:type="dxa"/>
          </w:tcPr>
          <w:p w14:paraId="7C12C788" w14:textId="77777777" w:rsidR="00411D72" w:rsidRPr="006D47B2" w:rsidRDefault="00411D72" w:rsidP="006E61F1">
            <w:pPr>
              <w:autoSpaceDE w:val="0"/>
              <w:autoSpaceDN w:val="0"/>
              <w:adjustRightInd w:val="0"/>
              <w:spacing w:before="120" w:after="120"/>
              <w:jc w:val="center"/>
              <w:rPr>
                <w:rStyle w:val="Strong"/>
              </w:rPr>
            </w:pPr>
            <w:r w:rsidRPr="006D47B2">
              <w:rPr>
                <w:rStyle w:val="Strong"/>
              </w:rPr>
              <w:t>Poor</w:t>
            </w:r>
          </w:p>
          <w:p w14:paraId="777DB8AB" w14:textId="77777777" w:rsidR="00411D72" w:rsidRPr="00951ED1" w:rsidRDefault="00411D72" w:rsidP="006E61F1">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Poor performance against most of the measures under the KPI</w:t>
            </w:r>
          </w:p>
        </w:tc>
      </w:tr>
    </w:tbl>
    <w:p w14:paraId="00760A91" w14:textId="4A0B145F" w:rsidR="00314CDD" w:rsidRPr="00A9092B" w:rsidRDefault="00314CDD" w:rsidP="006E61F1">
      <w:pPr>
        <w:pStyle w:val="Heading2"/>
        <w:spacing w:before="200"/>
        <w:rPr>
          <w:lang w:eastAsia="en-AU"/>
        </w:rPr>
      </w:pPr>
      <w:bookmarkStart w:id="56" w:name="_Toc470173181"/>
      <w:r w:rsidRPr="00A9092B">
        <w:rPr>
          <w:lang w:eastAsia="en-AU"/>
        </w:rPr>
        <w:t xml:space="preserve">Performance </w:t>
      </w:r>
      <w:r w:rsidR="00562BD1" w:rsidRPr="00A9092B">
        <w:rPr>
          <w:lang w:eastAsia="en-AU"/>
        </w:rPr>
        <w:t>improvement actions identified</w:t>
      </w:r>
      <w:bookmarkEnd w:id="56"/>
    </w:p>
    <w:p w14:paraId="4B7FFCE5" w14:textId="23CF3770" w:rsidR="00314CDD" w:rsidRDefault="00314CDD" w:rsidP="006E61F1">
      <w:pPr>
        <w:spacing w:after="120"/>
        <w:rPr>
          <w:b/>
          <w:i/>
        </w:rPr>
      </w:pPr>
      <w:r>
        <w:rPr>
          <w:rFonts w:cs="Times New Roman"/>
          <w:bCs/>
          <w:szCs w:val="24"/>
          <w:lang w:eastAsia="en-AU"/>
        </w:rPr>
        <w:t xml:space="preserve">The review highlighted a number of potential improvements </w:t>
      </w:r>
      <w:r w:rsidR="006B297C">
        <w:rPr>
          <w:rFonts w:cs="Times New Roman"/>
          <w:bCs/>
          <w:szCs w:val="24"/>
          <w:lang w:eastAsia="en-AU"/>
        </w:rPr>
        <w:t xml:space="preserve">that </w:t>
      </w:r>
      <w:r>
        <w:rPr>
          <w:rFonts w:cs="Times New Roman"/>
          <w:bCs/>
          <w:szCs w:val="24"/>
          <w:lang w:eastAsia="en-AU"/>
        </w:rPr>
        <w:t>could enhance regulator</w:t>
      </w:r>
      <w:r w:rsidR="006B297C">
        <w:rPr>
          <w:rFonts w:cs="Times New Roman"/>
          <w:bCs/>
          <w:szCs w:val="24"/>
          <w:lang w:eastAsia="en-AU"/>
        </w:rPr>
        <w:t>y</w:t>
      </w:r>
      <w:r>
        <w:rPr>
          <w:rFonts w:cs="Times New Roman"/>
          <w:bCs/>
          <w:szCs w:val="24"/>
          <w:lang w:eastAsia="en-AU"/>
        </w:rPr>
        <w:t xml:space="preserve"> performance or </w:t>
      </w:r>
      <w:r w:rsidR="006B297C">
        <w:rPr>
          <w:rFonts w:cs="Times New Roman"/>
          <w:bCs/>
          <w:szCs w:val="24"/>
          <w:lang w:eastAsia="en-AU"/>
        </w:rPr>
        <w:t xml:space="preserve">the </w:t>
      </w:r>
      <w:r>
        <w:rPr>
          <w:rFonts w:cs="Times New Roman"/>
          <w:bCs/>
          <w:szCs w:val="24"/>
          <w:lang w:eastAsia="en-AU"/>
        </w:rPr>
        <w:t xml:space="preserve">assessment of performance. </w:t>
      </w:r>
      <w:r w:rsidR="002E0F02">
        <w:rPr>
          <w:rFonts w:cs="Times New Roman"/>
          <w:bCs/>
          <w:szCs w:val="24"/>
          <w:lang w:eastAsia="en-AU"/>
        </w:rPr>
        <w:t xml:space="preserve">These areas for improvement </w:t>
      </w:r>
      <w:proofErr w:type="gramStart"/>
      <w:r w:rsidR="002E0F02">
        <w:rPr>
          <w:rFonts w:cs="Times New Roman"/>
          <w:bCs/>
          <w:szCs w:val="24"/>
          <w:lang w:eastAsia="en-AU"/>
        </w:rPr>
        <w:t>are listed</w:t>
      </w:r>
      <w:proofErr w:type="gramEnd"/>
      <w:r w:rsidR="002E0F02">
        <w:rPr>
          <w:rFonts w:cs="Times New Roman"/>
          <w:bCs/>
          <w:szCs w:val="24"/>
          <w:lang w:eastAsia="en-AU"/>
        </w:rPr>
        <w:t xml:space="preserve"> throughout section 2 of this report. </w:t>
      </w:r>
      <w:r>
        <w:rPr>
          <w:rFonts w:cs="Times New Roman"/>
          <w:bCs/>
          <w:szCs w:val="24"/>
          <w:lang w:eastAsia="en-AU"/>
        </w:rPr>
        <w:t xml:space="preserve">The key areas for improvement </w:t>
      </w:r>
      <w:proofErr w:type="gramStart"/>
      <w:r>
        <w:rPr>
          <w:rFonts w:cs="Times New Roman"/>
          <w:bCs/>
          <w:szCs w:val="24"/>
          <w:lang w:eastAsia="en-AU"/>
        </w:rPr>
        <w:t xml:space="preserve">are </w:t>
      </w:r>
      <w:r w:rsidR="006B297C">
        <w:rPr>
          <w:rFonts w:cs="Times New Roman"/>
          <w:bCs/>
          <w:szCs w:val="24"/>
          <w:lang w:eastAsia="en-AU"/>
        </w:rPr>
        <w:t>summarised</w:t>
      </w:r>
      <w:proofErr w:type="gramEnd"/>
      <w:r w:rsidR="006B297C">
        <w:rPr>
          <w:rFonts w:cs="Times New Roman"/>
          <w:bCs/>
          <w:szCs w:val="24"/>
          <w:lang w:eastAsia="en-AU"/>
        </w:rPr>
        <w:t xml:space="preserve"> </w:t>
      </w:r>
      <w:r>
        <w:rPr>
          <w:rFonts w:cs="Times New Roman"/>
          <w:bCs/>
          <w:szCs w:val="24"/>
          <w:lang w:eastAsia="en-AU"/>
        </w:rPr>
        <w:t>below.</w:t>
      </w:r>
    </w:p>
    <w:p w14:paraId="0815BB15" w14:textId="5F8E9342" w:rsidR="00314CDD" w:rsidRPr="006D47B2" w:rsidRDefault="00314CDD" w:rsidP="006E61F1">
      <w:pPr>
        <w:spacing w:after="120"/>
        <w:rPr>
          <w:rStyle w:val="IntenseEmphasis"/>
        </w:rPr>
      </w:pPr>
      <w:r w:rsidRPr="006D47B2">
        <w:rPr>
          <w:rStyle w:val="IntenseEmphasis"/>
        </w:rPr>
        <w:t xml:space="preserve">Review the ARPANSA’s Performance Indicators (PI) targets to ensure that goals are achievable, realistic, and align with the </w:t>
      </w:r>
      <w:r w:rsidR="002E0F02" w:rsidRPr="006D47B2">
        <w:rPr>
          <w:rStyle w:val="IntenseEmphasis"/>
        </w:rPr>
        <w:t xml:space="preserve">RPF </w:t>
      </w:r>
      <w:r w:rsidRPr="006D47B2">
        <w:rPr>
          <w:rStyle w:val="IntenseEmphasis"/>
        </w:rPr>
        <w:t>KPI</w:t>
      </w:r>
    </w:p>
    <w:p w14:paraId="44B6C40F" w14:textId="6DC64544" w:rsidR="00314CDD" w:rsidRPr="00A9092B" w:rsidRDefault="00314CDD" w:rsidP="006E61F1">
      <w:pPr>
        <w:spacing w:after="120"/>
        <w:rPr>
          <w:rFonts w:cs="Times New Roman"/>
          <w:bCs/>
          <w:szCs w:val="24"/>
          <w:lang w:eastAsia="en-AU"/>
        </w:rPr>
      </w:pPr>
      <w:r w:rsidRPr="00A9092B">
        <w:rPr>
          <w:rFonts w:cs="Times New Roman"/>
          <w:bCs/>
          <w:szCs w:val="24"/>
          <w:lang w:eastAsia="en-AU"/>
        </w:rPr>
        <w:t xml:space="preserve">Some targets </w:t>
      </w:r>
      <w:r>
        <w:rPr>
          <w:rFonts w:cs="Times New Roman"/>
          <w:bCs/>
          <w:szCs w:val="24"/>
          <w:lang w:eastAsia="en-AU"/>
        </w:rPr>
        <w:t xml:space="preserve">may not be realistic as they were </w:t>
      </w:r>
      <w:r w:rsidRPr="00A9092B">
        <w:rPr>
          <w:rFonts w:cs="Times New Roman"/>
          <w:bCs/>
          <w:szCs w:val="24"/>
          <w:lang w:eastAsia="en-AU"/>
        </w:rPr>
        <w:t xml:space="preserve">exceeded by a large margin, for </w:t>
      </w:r>
      <w:proofErr w:type="gramStart"/>
      <w:r w:rsidRPr="00A9092B">
        <w:rPr>
          <w:rFonts w:cs="Times New Roman"/>
          <w:bCs/>
          <w:szCs w:val="24"/>
          <w:lang w:eastAsia="en-AU"/>
        </w:rPr>
        <w:t>example</w:t>
      </w:r>
      <w:proofErr w:type="gramEnd"/>
      <w:r w:rsidRPr="00A9092B">
        <w:rPr>
          <w:rFonts w:cs="Times New Roman"/>
          <w:bCs/>
          <w:szCs w:val="24"/>
          <w:lang w:eastAsia="en-AU"/>
        </w:rPr>
        <w:t xml:space="preserve"> PI 3.1 was 840% of the target. </w:t>
      </w:r>
      <w:r>
        <w:rPr>
          <w:rFonts w:cs="Times New Roman"/>
          <w:bCs/>
          <w:szCs w:val="24"/>
          <w:lang w:eastAsia="en-AU"/>
        </w:rPr>
        <w:t>Conversely</w:t>
      </w:r>
      <w:r w:rsidR="00E43C3A">
        <w:rPr>
          <w:rFonts w:cs="Times New Roman"/>
          <w:bCs/>
          <w:szCs w:val="24"/>
          <w:lang w:eastAsia="en-AU"/>
        </w:rPr>
        <w:t>,</w:t>
      </w:r>
      <w:r>
        <w:rPr>
          <w:rFonts w:cs="Times New Roman"/>
          <w:bCs/>
          <w:szCs w:val="24"/>
          <w:lang w:eastAsia="en-AU"/>
        </w:rPr>
        <w:t xml:space="preserve"> s</w:t>
      </w:r>
      <w:r w:rsidRPr="00A9092B">
        <w:rPr>
          <w:rFonts w:cs="Times New Roman"/>
          <w:bCs/>
          <w:szCs w:val="24"/>
          <w:lang w:eastAsia="en-AU"/>
        </w:rPr>
        <w:t xml:space="preserve">ome targets may </w:t>
      </w:r>
      <w:r>
        <w:rPr>
          <w:rFonts w:cs="Times New Roman"/>
          <w:bCs/>
          <w:szCs w:val="24"/>
          <w:lang w:eastAsia="en-AU"/>
        </w:rPr>
        <w:t>not be achievable</w:t>
      </w:r>
      <w:r w:rsidRPr="00A9092B">
        <w:rPr>
          <w:rFonts w:cs="Times New Roman"/>
          <w:bCs/>
          <w:szCs w:val="24"/>
          <w:lang w:eastAsia="en-AU"/>
        </w:rPr>
        <w:t>, such as PI</w:t>
      </w:r>
      <w:r w:rsidR="00547190">
        <w:rPr>
          <w:rFonts w:cs="Times New Roman"/>
          <w:bCs/>
          <w:szCs w:val="24"/>
          <w:lang w:eastAsia="en-AU"/>
        </w:rPr>
        <w:t xml:space="preserve"> </w:t>
      </w:r>
      <w:proofErr w:type="gramStart"/>
      <w:r w:rsidRPr="00A9092B">
        <w:rPr>
          <w:rFonts w:cs="Times New Roman"/>
          <w:bCs/>
          <w:szCs w:val="24"/>
          <w:lang w:eastAsia="en-AU"/>
        </w:rPr>
        <w:t>5.1 which</w:t>
      </w:r>
      <w:proofErr w:type="gramEnd"/>
      <w:r w:rsidRPr="00A9092B">
        <w:rPr>
          <w:rFonts w:cs="Times New Roman"/>
          <w:bCs/>
          <w:szCs w:val="24"/>
          <w:lang w:eastAsia="en-AU"/>
        </w:rPr>
        <w:t xml:space="preserve"> was half of the target</w:t>
      </w:r>
      <w:r>
        <w:rPr>
          <w:rFonts w:cs="Times New Roman"/>
          <w:bCs/>
          <w:szCs w:val="24"/>
          <w:lang w:eastAsia="en-AU"/>
        </w:rPr>
        <w:t>. To meet PI 5.1 ARPANSA</w:t>
      </w:r>
      <w:r w:rsidRPr="00A9092B">
        <w:rPr>
          <w:rFonts w:cs="Times New Roman"/>
          <w:bCs/>
          <w:szCs w:val="24"/>
          <w:lang w:eastAsia="en-AU"/>
        </w:rPr>
        <w:t xml:space="preserve"> would </w:t>
      </w:r>
      <w:r>
        <w:rPr>
          <w:rFonts w:cs="Times New Roman"/>
          <w:bCs/>
          <w:szCs w:val="24"/>
          <w:lang w:eastAsia="en-AU"/>
        </w:rPr>
        <w:t>need</w:t>
      </w:r>
      <w:r w:rsidRPr="00A9092B">
        <w:rPr>
          <w:rFonts w:cs="Times New Roman"/>
          <w:bCs/>
          <w:szCs w:val="24"/>
          <w:lang w:eastAsia="en-AU"/>
        </w:rPr>
        <w:t xml:space="preserve"> </w:t>
      </w:r>
      <w:r>
        <w:rPr>
          <w:rFonts w:cs="Times New Roman"/>
          <w:bCs/>
          <w:szCs w:val="24"/>
          <w:lang w:eastAsia="en-AU"/>
        </w:rPr>
        <w:t>to</w:t>
      </w:r>
      <w:r w:rsidRPr="00A9092B">
        <w:rPr>
          <w:rFonts w:cs="Times New Roman"/>
          <w:bCs/>
          <w:szCs w:val="24"/>
          <w:lang w:eastAsia="en-AU"/>
        </w:rPr>
        <w:t xml:space="preserve"> </w:t>
      </w:r>
      <w:r>
        <w:rPr>
          <w:rFonts w:cs="Times New Roman"/>
          <w:bCs/>
          <w:szCs w:val="24"/>
          <w:lang w:eastAsia="en-AU"/>
        </w:rPr>
        <w:t>double</w:t>
      </w:r>
      <w:r w:rsidRPr="00A9092B">
        <w:rPr>
          <w:rFonts w:cs="Times New Roman"/>
          <w:bCs/>
          <w:szCs w:val="24"/>
          <w:lang w:eastAsia="en-AU"/>
        </w:rPr>
        <w:t xml:space="preserve"> </w:t>
      </w:r>
      <w:r>
        <w:rPr>
          <w:rFonts w:cs="Times New Roman"/>
          <w:bCs/>
          <w:szCs w:val="24"/>
          <w:lang w:eastAsia="en-AU"/>
        </w:rPr>
        <w:t xml:space="preserve">the amount of time </w:t>
      </w:r>
      <w:r w:rsidRPr="00A9092B">
        <w:rPr>
          <w:rFonts w:cs="Times New Roman"/>
          <w:bCs/>
          <w:szCs w:val="24"/>
          <w:lang w:eastAsia="en-AU"/>
        </w:rPr>
        <w:t xml:space="preserve">spent on </w:t>
      </w:r>
      <w:r>
        <w:rPr>
          <w:rFonts w:cs="Times New Roman"/>
          <w:bCs/>
          <w:szCs w:val="24"/>
          <w:lang w:eastAsia="en-AU"/>
        </w:rPr>
        <w:t xml:space="preserve">direct </w:t>
      </w:r>
      <w:r w:rsidRPr="00A9092B">
        <w:rPr>
          <w:rFonts w:cs="Times New Roman"/>
          <w:bCs/>
          <w:szCs w:val="24"/>
          <w:lang w:eastAsia="en-AU"/>
        </w:rPr>
        <w:t xml:space="preserve">regulatory activities, which </w:t>
      </w:r>
      <w:r w:rsidR="00E43C3A">
        <w:rPr>
          <w:rFonts w:cs="Times New Roman"/>
          <w:bCs/>
          <w:szCs w:val="24"/>
          <w:lang w:eastAsia="en-AU"/>
        </w:rPr>
        <w:t xml:space="preserve">is neither realistic nor practical and </w:t>
      </w:r>
      <w:r w:rsidR="00BF391F">
        <w:rPr>
          <w:rFonts w:cs="Times New Roman"/>
          <w:bCs/>
          <w:szCs w:val="24"/>
          <w:lang w:eastAsia="en-AU"/>
        </w:rPr>
        <w:t xml:space="preserve">would negatively </w:t>
      </w:r>
      <w:proofErr w:type="gramStart"/>
      <w:r w:rsidR="00BF391F">
        <w:rPr>
          <w:rFonts w:cs="Times New Roman"/>
          <w:bCs/>
          <w:szCs w:val="24"/>
          <w:lang w:eastAsia="en-AU"/>
        </w:rPr>
        <w:t>impact</w:t>
      </w:r>
      <w:proofErr w:type="gramEnd"/>
      <w:r w:rsidR="00BF391F">
        <w:rPr>
          <w:rFonts w:cs="Times New Roman"/>
          <w:bCs/>
          <w:szCs w:val="24"/>
          <w:lang w:eastAsia="en-AU"/>
        </w:rPr>
        <w:t xml:space="preserve"> the indirect regulatory activities which are </w:t>
      </w:r>
      <w:r w:rsidR="00E43C3A">
        <w:rPr>
          <w:rFonts w:cs="Times New Roman"/>
          <w:bCs/>
          <w:szCs w:val="24"/>
          <w:lang w:eastAsia="en-AU"/>
        </w:rPr>
        <w:t xml:space="preserve">necessary and </w:t>
      </w:r>
      <w:r w:rsidR="00BF391F">
        <w:rPr>
          <w:rFonts w:cs="Times New Roman"/>
          <w:bCs/>
          <w:szCs w:val="24"/>
          <w:lang w:eastAsia="en-AU"/>
        </w:rPr>
        <w:t>important to establish standards and operator ownership for safety</w:t>
      </w:r>
      <w:r w:rsidR="00E43C3A">
        <w:rPr>
          <w:rFonts w:cs="Times New Roman"/>
          <w:bCs/>
          <w:szCs w:val="24"/>
          <w:lang w:eastAsia="en-AU"/>
        </w:rPr>
        <w:t xml:space="preserve"> and security</w:t>
      </w:r>
      <w:r w:rsidRPr="00A9092B">
        <w:rPr>
          <w:rFonts w:cs="Times New Roman"/>
          <w:bCs/>
          <w:szCs w:val="24"/>
          <w:lang w:eastAsia="en-AU"/>
        </w:rPr>
        <w:t xml:space="preserve">. </w:t>
      </w:r>
    </w:p>
    <w:p w14:paraId="328C4C77" w14:textId="35599731" w:rsidR="00314CDD" w:rsidRDefault="00314CDD" w:rsidP="006E61F1">
      <w:pPr>
        <w:spacing w:after="120"/>
        <w:rPr>
          <w:rFonts w:cs="Times New Roman"/>
          <w:bCs/>
          <w:szCs w:val="24"/>
          <w:lang w:eastAsia="en-AU"/>
        </w:rPr>
      </w:pPr>
      <w:r w:rsidRPr="00A9092B">
        <w:rPr>
          <w:rFonts w:cs="Times New Roman"/>
          <w:bCs/>
          <w:szCs w:val="24"/>
          <w:lang w:eastAsia="en-AU"/>
        </w:rPr>
        <w:t xml:space="preserve">Some PIs may not align well with the KPIs. For </w:t>
      </w:r>
      <w:proofErr w:type="gramStart"/>
      <w:r w:rsidRPr="00A9092B">
        <w:rPr>
          <w:rFonts w:cs="Times New Roman"/>
          <w:bCs/>
          <w:szCs w:val="24"/>
          <w:lang w:eastAsia="en-AU"/>
        </w:rPr>
        <w:t>example</w:t>
      </w:r>
      <w:proofErr w:type="gramEnd"/>
      <w:r w:rsidRPr="00A9092B">
        <w:rPr>
          <w:rFonts w:cs="Times New Roman"/>
          <w:bCs/>
          <w:szCs w:val="24"/>
          <w:lang w:eastAsia="en-AU"/>
        </w:rPr>
        <w:t xml:space="preserve"> KPI 3.1, the proportion of </w:t>
      </w:r>
      <w:r w:rsidR="00E43C3A">
        <w:rPr>
          <w:rFonts w:cs="Times New Roman"/>
          <w:bCs/>
          <w:szCs w:val="24"/>
          <w:lang w:eastAsia="en-AU"/>
        </w:rPr>
        <w:t>performance deficiencies</w:t>
      </w:r>
      <w:r>
        <w:rPr>
          <w:rFonts w:cs="Times New Roman"/>
          <w:bCs/>
          <w:szCs w:val="24"/>
          <w:lang w:eastAsia="en-AU"/>
        </w:rPr>
        <w:t xml:space="preserve"> to non-compliances</w:t>
      </w:r>
      <w:r w:rsidRPr="00A9092B">
        <w:rPr>
          <w:rFonts w:cs="Times New Roman"/>
          <w:bCs/>
          <w:szCs w:val="24"/>
          <w:lang w:eastAsia="en-AU"/>
        </w:rPr>
        <w:t xml:space="preserve"> may not be a good indicator of how a graded approach is applied. </w:t>
      </w:r>
      <w:r w:rsidR="00E43C3A">
        <w:rPr>
          <w:rFonts w:cs="Times New Roman"/>
          <w:bCs/>
          <w:szCs w:val="24"/>
          <w:lang w:eastAsia="en-AU"/>
        </w:rPr>
        <w:t>In addition, the ‘</w:t>
      </w:r>
      <w:r w:rsidRPr="00A9092B">
        <w:rPr>
          <w:rFonts w:cs="Times New Roman"/>
          <w:bCs/>
          <w:szCs w:val="24"/>
          <w:lang w:eastAsia="en-AU"/>
        </w:rPr>
        <w:t>Percentage of inspections o</w:t>
      </w:r>
      <w:r w:rsidR="00E43C3A">
        <w:rPr>
          <w:rFonts w:cs="Times New Roman"/>
          <w:bCs/>
          <w:szCs w:val="24"/>
          <w:lang w:eastAsia="en-AU"/>
        </w:rPr>
        <w:t>f l</w:t>
      </w:r>
      <w:r w:rsidR="001F7A0E">
        <w:rPr>
          <w:rFonts w:cs="Times New Roman"/>
          <w:bCs/>
          <w:szCs w:val="24"/>
          <w:lang w:eastAsia="en-AU"/>
        </w:rPr>
        <w:t>icence holder</w:t>
      </w:r>
      <w:r w:rsidRPr="00A9092B">
        <w:rPr>
          <w:rFonts w:cs="Times New Roman"/>
          <w:bCs/>
          <w:szCs w:val="24"/>
          <w:lang w:eastAsia="en-AU"/>
        </w:rPr>
        <w:t>s with a medium to high risk ranking (risk informed regulation)</w:t>
      </w:r>
      <w:r w:rsidR="00E43C3A">
        <w:rPr>
          <w:rFonts w:cs="Times New Roman"/>
          <w:bCs/>
          <w:szCs w:val="24"/>
          <w:lang w:eastAsia="en-AU"/>
        </w:rPr>
        <w:t>’</w:t>
      </w:r>
      <w:r w:rsidRPr="00A9092B">
        <w:rPr>
          <w:rFonts w:cs="Times New Roman"/>
          <w:bCs/>
          <w:szCs w:val="24"/>
          <w:lang w:eastAsia="en-AU"/>
        </w:rPr>
        <w:t xml:space="preserve"> may more closely align with KPI 3 (Actions undertaken by regulators are proportionate to the regulatory risk being managed) than KPI 4 (Compliance and monitoring approaches are streamlined and co-ordinated).</w:t>
      </w:r>
    </w:p>
    <w:p w14:paraId="4B5E42FA" w14:textId="552D5072" w:rsidR="00314CDD" w:rsidRPr="00A9092B" w:rsidRDefault="00314CDD" w:rsidP="006E61F1">
      <w:pPr>
        <w:spacing w:after="120"/>
        <w:rPr>
          <w:rFonts w:cs="Times New Roman"/>
          <w:bCs/>
          <w:szCs w:val="24"/>
          <w:lang w:eastAsia="en-AU"/>
        </w:rPr>
      </w:pPr>
      <w:r>
        <w:rPr>
          <w:rFonts w:cs="Times New Roman"/>
          <w:bCs/>
          <w:szCs w:val="24"/>
          <w:lang w:eastAsia="en-AU"/>
        </w:rPr>
        <w:t>Th</w:t>
      </w:r>
      <w:r w:rsidR="009E503F">
        <w:rPr>
          <w:rFonts w:cs="Times New Roman"/>
          <w:bCs/>
          <w:szCs w:val="24"/>
          <w:lang w:eastAsia="en-AU"/>
        </w:rPr>
        <w:t>e</w:t>
      </w:r>
      <w:r>
        <w:rPr>
          <w:rFonts w:cs="Times New Roman"/>
          <w:bCs/>
          <w:szCs w:val="24"/>
          <w:lang w:eastAsia="en-AU"/>
        </w:rPr>
        <w:t xml:space="preserve"> process should also map how performance data </w:t>
      </w:r>
      <w:proofErr w:type="gramStart"/>
      <w:r>
        <w:rPr>
          <w:rFonts w:cs="Times New Roman"/>
          <w:bCs/>
          <w:szCs w:val="24"/>
          <w:lang w:eastAsia="en-AU"/>
        </w:rPr>
        <w:t>is captured, stored</w:t>
      </w:r>
      <w:r w:rsidR="009E503F">
        <w:rPr>
          <w:rFonts w:cs="Times New Roman"/>
          <w:bCs/>
          <w:szCs w:val="24"/>
          <w:lang w:eastAsia="en-AU"/>
        </w:rPr>
        <w:t>,</w:t>
      </w:r>
      <w:r>
        <w:rPr>
          <w:rFonts w:cs="Times New Roman"/>
          <w:bCs/>
          <w:szCs w:val="24"/>
          <w:lang w:eastAsia="en-AU"/>
        </w:rPr>
        <w:t xml:space="preserve"> and reported</w:t>
      </w:r>
      <w:proofErr w:type="gramEnd"/>
      <w:r>
        <w:rPr>
          <w:rFonts w:cs="Times New Roman"/>
          <w:bCs/>
          <w:szCs w:val="24"/>
          <w:lang w:eastAsia="en-AU"/>
        </w:rPr>
        <w:t>.</w:t>
      </w:r>
    </w:p>
    <w:p w14:paraId="7A3C512D" w14:textId="46741309" w:rsidR="00314CDD" w:rsidRPr="00A9092B" w:rsidRDefault="00314CDD" w:rsidP="006E61F1">
      <w:pPr>
        <w:spacing w:after="120"/>
        <w:rPr>
          <w:rFonts w:cs="Times New Roman"/>
          <w:b/>
          <w:bCs/>
          <w:i/>
          <w:szCs w:val="24"/>
          <w:lang w:eastAsia="en-AU"/>
        </w:rPr>
      </w:pPr>
      <w:r w:rsidRPr="00A9092B">
        <w:rPr>
          <w:b/>
          <w:i/>
        </w:rPr>
        <w:t xml:space="preserve">Improve communication with </w:t>
      </w:r>
      <w:r w:rsidR="009E503F">
        <w:rPr>
          <w:b/>
          <w:i/>
        </w:rPr>
        <w:t>l</w:t>
      </w:r>
      <w:r w:rsidR="001F7A0E">
        <w:rPr>
          <w:b/>
          <w:i/>
        </w:rPr>
        <w:t>icence holder</w:t>
      </w:r>
      <w:r w:rsidRPr="00A9092B">
        <w:rPr>
          <w:b/>
          <w:i/>
        </w:rPr>
        <w:t>s through increased feedback and improved guidance material</w:t>
      </w:r>
    </w:p>
    <w:p w14:paraId="77031BD0" w14:textId="7A126000" w:rsidR="00314CDD" w:rsidRPr="00A9092B" w:rsidRDefault="009E503F" w:rsidP="006E61F1">
      <w:pPr>
        <w:spacing w:after="120"/>
      </w:pPr>
      <w:r>
        <w:lastRenderedPageBreak/>
        <w:t>In g</w:t>
      </w:r>
      <w:r w:rsidR="002E0F02">
        <w:t>eneral</w:t>
      </w:r>
      <w:r>
        <w:t>,</w:t>
      </w:r>
      <w:r w:rsidR="002E0F02">
        <w:t xml:space="preserve"> ARPANSA has very effective </w:t>
      </w:r>
      <w:proofErr w:type="gramStart"/>
      <w:r w:rsidR="002E0F02">
        <w:t>communications</w:t>
      </w:r>
      <w:r w:rsidR="00D022C7">
        <w:t>,</w:t>
      </w:r>
      <w:proofErr w:type="gramEnd"/>
      <w:r w:rsidR="002E0F02">
        <w:t xml:space="preserve"> however</w:t>
      </w:r>
      <w:r w:rsidR="00151F6C">
        <w:t>,</w:t>
      </w:r>
      <w:r w:rsidR="002E0F02">
        <w:t xml:space="preserve"> a</w:t>
      </w:r>
      <w:r w:rsidR="00314CDD" w:rsidRPr="00A9092B">
        <w:t xml:space="preserve"> number of issues were identified where </w:t>
      </w:r>
      <w:r w:rsidR="00151F6C">
        <w:t>Licence holder representatives</w:t>
      </w:r>
      <w:r w:rsidR="00314CDD" w:rsidRPr="00A9092B">
        <w:t xml:space="preserve"> felt </w:t>
      </w:r>
      <w:r>
        <w:t xml:space="preserve">improvement </w:t>
      </w:r>
      <w:r w:rsidR="00314CDD" w:rsidRPr="00A9092B">
        <w:t>was desired</w:t>
      </w:r>
      <w:r w:rsidR="00314CDD">
        <w:t xml:space="preserve">. This includes </w:t>
      </w:r>
      <w:r w:rsidR="00314CDD" w:rsidRPr="00A9092B">
        <w:t xml:space="preserve">inspection timeframes, </w:t>
      </w:r>
      <w:r w:rsidR="00246530">
        <w:t xml:space="preserve">recognition of </w:t>
      </w:r>
      <w:r w:rsidR="00314CDD">
        <w:t>feedback</w:t>
      </w:r>
      <w:r w:rsidR="00246530">
        <w:t xml:space="preserve"> from consultation</w:t>
      </w:r>
      <w:r>
        <w:t>s such as</w:t>
      </w:r>
      <w:r w:rsidR="00314CDD">
        <w:t xml:space="preserve"> survey results,</w:t>
      </w:r>
      <w:r w:rsidR="00314CDD" w:rsidRPr="001D6776">
        <w:t xml:space="preserve"> </w:t>
      </w:r>
      <w:r w:rsidR="00314CDD">
        <w:t>the website</w:t>
      </w:r>
      <w:r>
        <w:t>,</w:t>
      </w:r>
      <w:r w:rsidR="00314CDD">
        <w:t xml:space="preserve"> and </w:t>
      </w:r>
      <w:r w:rsidR="00314CDD" w:rsidRPr="00A9092B">
        <w:t>regulatory guides</w:t>
      </w:r>
      <w:r w:rsidR="00314CDD">
        <w:t>.</w:t>
      </w:r>
    </w:p>
    <w:p w14:paraId="4D4EED21" w14:textId="4B9B2D14" w:rsidR="00314CDD" w:rsidRPr="00A9092B" w:rsidRDefault="00314CDD" w:rsidP="006E61F1">
      <w:pPr>
        <w:spacing w:after="120"/>
        <w:rPr>
          <w:b/>
          <w:i/>
        </w:rPr>
      </w:pPr>
      <w:r w:rsidRPr="00A9092B">
        <w:rPr>
          <w:b/>
          <w:i/>
        </w:rPr>
        <w:t>Improve standardisation of inspections, outcomes and approaches</w:t>
      </w:r>
    </w:p>
    <w:p w14:paraId="3018B93F" w14:textId="3F876A99" w:rsidR="0019338F" w:rsidRDefault="00314CDD" w:rsidP="006E61F1">
      <w:pPr>
        <w:spacing w:after="120"/>
      </w:pPr>
      <w:r w:rsidRPr="00A9092B">
        <w:t xml:space="preserve">A number of </w:t>
      </w:r>
      <w:r w:rsidR="00FB2757">
        <w:t xml:space="preserve">inconsistencies </w:t>
      </w:r>
      <w:proofErr w:type="gramStart"/>
      <w:r w:rsidR="00FB2757">
        <w:t>were identified</w:t>
      </w:r>
      <w:proofErr w:type="gramEnd"/>
      <w:r w:rsidR="00FB2757">
        <w:t xml:space="preserve"> </w:t>
      </w:r>
      <w:r w:rsidRPr="00A9092B">
        <w:t xml:space="preserve">in the approach </w:t>
      </w:r>
      <w:r w:rsidR="00FB2757">
        <w:t xml:space="preserve">of </w:t>
      </w:r>
      <w:r w:rsidRPr="00A9092B">
        <w:t>inspectors</w:t>
      </w:r>
      <w:r w:rsidR="002E0F02">
        <w:t xml:space="preserve"> and in the categorisation of inspection outcomes</w:t>
      </w:r>
      <w:r w:rsidRPr="00A9092B">
        <w:t xml:space="preserve">. Training and improved inspector guidance/teamwork approaches may </w:t>
      </w:r>
      <w:r>
        <w:t>improve</w:t>
      </w:r>
      <w:r w:rsidRPr="00A9092B">
        <w:t xml:space="preserve"> </w:t>
      </w:r>
      <w:r>
        <w:t>consistency</w:t>
      </w:r>
      <w:r w:rsidRPr="00A9092B">
        <w:t>.</w:t>
      </w:r>
      <w:r>
        <w:t xml:space="preserve"> This could include training on performance deficiencies, actions taken, data recording, and information sharing strategies.</w:t>
      </w:r>
      <w:r w:rsidR="0019338F">
        <w:br w:type="page"/>
      </w:r>
    </w:p>
    <w:p w14:paraId="499B4C34" w14:textId="77777777" w:rsidR="00931A13" w:rsidRPr="008B045E" w:rsidRDefault="00931A13" w:rsidP="006E61F1">
      <w:pPr>
        <w:pStyle w:val="Heading1"/>
        <w:spacing w:before="480"/>
      </w:pPr>
      <w:bookmarkStart w:id="57" w:name="_Toc470173182"/>
      <w:r w:rsidRPr="008B045E">
        <w:lastRenderedPageBreak/>
        <w:t>Concluding remarks</w:t>
      </w:r>
      <w:bookmarkEnd w:id="57"/>
    </w:p>
    <w:p w14:paraId="23220864" w14:textId="5A2D1D7B" w:rsidR="00D711AF" w:rsidRPr="00093209" w:rsidRDefault="00D711AF" w:rsidP="006E61F1">
      <w:pPr>
        <w:autoSpaceDE w:val="0"/>
        <w:autoSpaceDN w:val="0"/>
        <w:adjustRightInd w:val="0"/>
        <w:spacing w:after="120"/>
        <w:rPr>
          <w:rFonts w:cs="Times New Roman"/>
          <w:bCs/>
          <w:szCs w:val="24"/>
          <w:lang w:eastAsia="en-AU"/>
        </w:rPr>
      </w:pPr>
      <w:r w:rsidRPr="00170EBF">
        <w:rPr>
          <w:rFonts w:cs="Times New Roman"/>
          <w:bCs/>
          <w:szCs w:val="24"/>
          <w:lang w:eastAsia="en-AU"/>
        </w:rPr>
        <w:t xml:space="preserve">This </w:t>
      </w:r>
      <w:r w:rsidR="0035292F">
        <w:rPr>
          <w:rFonts w:cs="Times New Roman"/>
          <w:bCs/>
          <w:szCs w:val="24"/>
          <w:lang w:eastAsia="en-AU"/>
        </w:rPr>
        <w:t xml:space="preserve">was the first </w:t>
      </w:r>
      <w:r w:rsidRPr="00170EBF">
        <w:rPr>
          <w:rFonts w:cs="Times New Roman"/>
          <w:bCs/>
          <w:szCs w:val="24"/>
          <w:lang w:eastAsia="en-AU"/>
        </w:rPr>
        <w:t xml:space="preserve">self-assessment </w:t>
      </w:r>
      <w:r w:rsidR="0035292F">
        <w:rPr>
          <w:rFonts w:cs="Times New Roman"/>
          <w:bCs/>
          <w:szCs w:val="24"/>
          <w:lang w:eastAsia="en-AU"/>
        </w:rPr>
        <w:t xml:space="preserve">performed </w:t>
      </w:r>
      <w:r w:rsidRPr="00170EBF">
        <w:rPr>
          <w:rFonts w:cs="Times New Roman"/>
          <w:bCs/>
          <w:szCs w:val="24"/>
          <w:lang w:eastAsia="en-AU"/>
        </w:rPr>
        <w:t>under the Government Reg</w:t>
      </w:r>
      <w:r w:rsidR="00D022C7">
        <w:rPr>
          <w:rFonts w:cs="Times New Roman"/>
          <w:bCs/>
          <w:szCs w:val="24"/>
          <w:lang w:eastAsia="en-AU"/>
        </w:rPr>
        <w:t xml:space="preserve">ulatory Performance Framework. </w:t>
      </w:r>
      <w:r w:rsidRPr="00170EBF">
        <w:rPr>
          <w:rFonts w:cs="Times New Roman"/>
          <w:bCs/>
          <w:szCs w:val="24"/>
          <w:lang w:eastAsia="en-AU"/>
        </w:rPr>
        <w:t xml:space="preserve">It was undertaken shortly after </w:t>
      </w:r>
      <w:r w:rsidR="0035292F">
        <w:rPr>
          <w:rFonts w:cs="Times New Roman"/>
          <w:bCs/>
          <w:szCs w:val="24"/>
          <w:lang w:eastAsia="en-AU"/>
        </w:rPr>
        <w:t xml:space="preserve">a </w:t>
      </w:r>
      <w:r w:rsidRPr="00170EBF">
        <w:rPr>
          <w:rFonts w:cs="Times New Roman"/>
          <w:bCs/>
          <w:szCs w:val="24"/>
          <w:lang w:eastAsia="en-AU"/>
        </w:rPr>
        <w:t xml:space="preserve">major restructure of the Regulatory Services Branch and </w:t>
      </w:r>
      <w:r w:rsidR="00B51815">
        <w:rPr>
          <w:rFonts w:cs="Times New Roman"/>
          <w:bCs/>
          <w:szCs w:val="24"/>
          <w:lang w:eastAsia="en-AU"/>
        </w:rPr>
        <w:t xml:space="preserve">recent </w:t>
      </w:r>
      <w:r w:rsidR="0035292F">
        <w:rPr>
          <w:rFonts w:cs="Times New Roman"/>
          <w:bCs/>
          <w:szCs w:val="24"/>
          <w:lang w:eastAsia="en-AU"/>
        </w:rPr>
        <w:t xml:space="preserve">changes </w:t>
      </w:r>
      <w:r w:rsidRPr="00170EBF">
        <w:rPr>
          <w:rFonts w:cs="Times New Roman"/>
          <w:bCs/>
          <w:szCs w:val="24"/>
          <w:lang w:eastAsia="en-AU"/>
        </w:rPr>
        <w:t>to regulatory functions, partic</w:t>
      </w:r>
      <w:r w:rsidR="00D022C7">
        <w:rPr>
          <w:rFonts w:cs="Times New Roman"/>
          <w:bCs/>
          <w:szCs w:val="24"/>
          <w:lang w:eastAsia="en-AU"/>
        </w:rPr>
        <w:t xml:space="preserve">ularly the inspection process. </w:t>
      </w:r>
      <w:r w:rsidR="00550FAB">
        <w:rPr>
          <w:rFonts w:cs="Times New Roman"/>
          <w:bCs/>
          <w:szCs w:val="24"/>
          <w:lang w:eastAsia="en-AU"/>
        </w:rPr>
        <w:t xml:space="preserve">The team </w:t>
      </w:r>
      <w:r w:rsidR="00B51815">
        <w:rPr>
          <w:rFonts w:cs="Times New Roman"/>
          <w:bCs/>
          <w:szCs w:val="24"/>
          <w:lang w:eastAsia="en-AU"/>
        </w:rPr>
        <w:t>acknowledge</w:t>
      </w:r>
      <w:r w:rsidR="00550FAB">
        <w:rPr>
          <w:rFonts w:cs="Times New Roman"/>
          <w:bCs/>
          <w:szCs w:val="24"/>
          <w:lang w:eastAsia="en-AU"/>
        </w:rPr>
        <w:t>d</w:t>
      </w:r>
      <w:r w:rsidR="00B51815">
        <w:rPr>
          <w:rFonts w:cs="Times New Roman"/>
          <w:bCs/>
          <w:szCs w:val="24"/>
          <w:lang w:eastAsia="en-AU"/>
        </w:rPr>
        <w:t xml:space="preserve"> that the </w:t>
      </w:r>
      <w:r w:rsidRPr="00170EBF">
        <w:rPr>
          <w:rFonts w:cs="Times New Roman"/>
          <w:bCs/>
          <w:szCs w:val="24"/>
          <w:lang w:eastAsia="en-AU"/>
        </w:rPr>
        <w:t>new arrangements we</w:t>
      </w:r>
      <w:r w:rsidR="00C01B32" w:rsidRPr="00170EBF">
        <w:rPr>
          <w:rFonts w:cs="Times New Roman"/>
          <w:bCs/>
          <w:szCs w:val="24"/>
          <w:lang w:eastAsia="en-AU"/>
        </w:rPr>
        <w:t>re</w:t>
      </w:r>
      <w:r w:rsidRPr="00170EBF">
        <w:rPr>
          <w:rFonts w:cs="Times New Roman"/>
          <w:bCs/>
          <w:szCs w:val="24"/>
          <w:lang w:eastAsia="en-AU"/>
        </w:rPr>
        <w:t xml:space="preserve"> being </w:t>
      </w:r>
      <w:r w:rsidR="00B51815">
        <w:rPr>
          <w:rFonts w:cs="Times New Roman"/>
          <w:bCs/>
          <w:szCs w:val="24"/>
          <w:lang w:eastAsia="en-AU"/>
        </w:rPr>
        <w:t>‘</w:t>
      </w:r>
      <w:r w:rsidRPr="00170EBF">
        <w:rPr>
          <w:rFonts w:cs="Times New Roman"/>
          <w:bCs/>
          <w:szCs w:val="24"/>
          <w:lang w:eastAsia="en-AU"/>
        </w:rPr>
        <w:t>bedded-in</w:t>
      </w:r>
      <w:r w:rsidR="00B51815">
        <w:rPr>
          <w:rFonts w:cs="Times New Roman"/>
          <w:bCs/>
          <w:szCs w:val="24"/>
          <w:lang w:eastAsia="en-AU"/>
        </w:rPr>
        <w:t>’</w:t>
      </w:r>
      <w:r w:rsidRPr="00170EBF">
        <w:rPr>
          <w:rFonts w:cs="Times New Roman"/>
          <w:bCs/>
          <w:szCs w:val="24"/>
          <w:lang w:eastAsia="en-AU"/>
        </w:rPr>
        <w:t xml:space="preserve"> during the </w:t>
      </w:r>
      <w:r w:rsidRPr="00093209">
        <w:rPr>
          <w:rFonts w:cs="Times New Roman"/>
          <w:bCs/>
          <w:szCs w:val="24"/>
          <w:lang w:eastAsia="en-AU"/>
        </w:rPr>
        <w:t>reporting period.</w:t>
      </w:r>
    </w:p>
    <w:p w14:paraId="272DC191" w14:textId="48CA01CD" w:rsidR="004F3D0F" w:rsidRPr="00093209" w:rsidRDefault="004F3D0F" w:rsidP="006E61F1">
      <w:pPr>
        <w:autoSpaceDE w:val="0"/>
        <w:autoSpaceDN w:val="0"/>
        <w:adjustRightInd w:val="0"/>
        <w:spacing w:after="120"/>
        <w:rPr>
          <w:rFonts w:cs="Times New Roman"/>
          <w:bCs/>
          <w:szCs w:val="24"/>
          <w:lang w:eastAsia="en-AU"/>
        </w:rPr>
      </w:pPr>
      <w:r w:rsidRPr="00093209">
        <w:rPr>
          <w:rFonts w:cs="Times New Roman"/>
          <w:bCs/>
          <w:szCs w:val="24"/>
          <w:lang w:eastAsia="en-AU"/>
        </w:rPr>
        <w:t>Th</w:t>
      </w:r>
      <w:r w:rsidR="00550FAB">
        <w:rPr>
          <w:rFonts w:cs="Times New Roman"/>
          <w:bCs/>
          <w:szCs w:val="24"/>
          <w:lang w:eastAsia="en-AU"/>
        </w:rPr>
        <w:t>e</w:t>
      </w:r>
      <w:r w:rsidRPr="00093209">
        <w:rPr>
          <w:rFonts w:cs="Times New Roman"/>
          <w:bCs/>
          <w:szCs w:val="24"/>
          <w:lang w:eastAsia="en-AU"/>
        </w:rPr>
        <w:t xml:space="preserve"> self-assessment represents a thorough </w:t>
      </w:r>
      <w:r w:rsidR="00473F30" w:rsidRPr="00093209">
        <w:rPr>
          <w:rFonts w:cs="Times New Roman"/>
          <w:bCs/>
          <w:szCs w:val="24"/>
          <w:lang w:eastAsia="en-AU"/>
        </w:rPr>
        <w:t>and robust</w:t>
      </w:r>
      <w:r w:rsidRPr="00093209">
        <w:rPr>
          <w:rFonts w:cs="Times New Roman"/>
          <w:bCs/>
          <w:szCs w:val="24"/>
          <w:lang w:eastAsia="en-AU"/>
        </w:rPr>
        <w:t xml:space="preserve"> examination of </w:t>
      </w:r>
      <w:r w:rsidR="00473F30" w:rsidRPr="00093209">
        <w:rPr>
          <w:rFonts w:cs="Times New Roman"/>
          <w:bCs/>
          <w:szCs w:val="24"/>
          <w:lang w:eastAsia="en-AU"/>
        </w:rPr>
        <w:t>regulatory</w:t>
      </w:r>
      <w:r w:rsidRPr="00093209">
        <w:rPr>
          <w:rFonts w:cs="Times New Roman"/>
          <w:bCs/>
          <w:szCs w:val="24"/>
          <w:lang w:eastAsia="en-AU"/>
        </w:rPr>
        <w:t xml:space="preserve"> performance f</w:t>
      </w:r>
      <w:r w:rsidR="001778AB">
        <w:rPr>
          <w:rFonts w:cs="Times New Roman"/>
          <w:bCs/>
          <w:szCs w:val="24"/>
          <w:lang w:eastAsia="en-AU"/>
        </w:rPr>
        <w:t>or</w:t>
      </w:r>
      <w:r w:rsidRPr="00093209">
        <w:rPr>
          <w:rFonts w:cs="Times New Roman"/>
          <w:bCs/>
          <w:szCs w:val="24"/>
          <w:lang w:eastAsia="en-AU"/>
        </w:rPr>
        <w:t xml:space="preserve"> the period 1 July 2015 to 30 June 2016</w:t>
      </w:r>
      <w:r w:rsidR="00C74FE4" w:rsidRPr="00093209">
        <w:rPr>
          <w:rFonts w:cs="Times New Roman"/>
          <w:bCs/>
          <w:szCs w:val="24"/>
          <w:lang w:eastAsia="en-AU"/>
        </w:rPr>
        <w:t xml:space="preserve">. </w:t>
      </w:r>
      <w:r w:rsidRPr="00093209">
        <w:rPr>
          <w:rFonts w:cs="Times New Roman"/>
          <w:bCs/>
          <w:szCs w:val="24"/>
          <w:lang w:eastAsia="en-AU"/>
        </w:rPr>
        <w:t>In the interest of openness and transparency</w:t>
      </w:r>
      <w:r w:rsidR="000B27B4" w:rsidRPr="00093209">
        <w:rPr>
          <w:rFonts w:cs="Times New Roman"/>
          <w:bCs/>
          <w:szCs w:val="24"/>
          <w:lang w:eastAsia="en-AU"/>
        </w:rPr>
        <w:t>,</w:t>
      </w:r>
      <w:r w:rsidRPr="00093209">
        <w:rPr>
          <w:rFonts w:cs="Times New Roman"/>
          <w:bCs/>
          <w:szCs w:val="24"/>
          <w:lang w:eastAsia="en-AU"/>
        </w:rPr>
        <w:t xml:space="preserve"> the self-assessment team included a representative </w:t>
      </w:r>
      <w:r w:rsidR="00923AC9">
        <w:rPr>
          <w:rFonts w:cs="Times New Roman"/>
          <w:bCs/>
          <w:szCs w:val="24"/>
          <w:lang w:eastAsia="en-AU"/>
        </w:rPr>
        <w:t xml:space="preserve">from </w:t>
      </w:r>
      <w:r w:rsidRPr="00093209">
        <w:rPr>
          <w:rFonts w:cs="Times New Roman"/>
          <w:bCs/>
          <w:szCs w:val="24"/>
          <w:lang w:eastAsia="en-AU"/>
        </w:rPr>
        <w:t>a</w:t>
      </w:r>
      <w:r w:rsidR="00923AC9">
        <w:rPr>
          <w:rFonts w:cs="Times New Roman"/>
          <w:bCs/>
          <w:szCs w:val="24"/>
          <w:lang w:eastAsia="en-AU"/>
        </w:rPr>
        <w:t>n</w:t>
      </w:r>
      <w:r w:rsidRPr="00093209">
        <w:rPr>
          <w:rFonts w:cs="Times New Roman"/>
          <w:bCs/>
          <w:szCs w:val="24"/>
          <w:lang w:eastAsia="en-AU"/>
        </w:rPr>
        <w:t xml:space="preserve"> ARPANSA </w:t>
      </w:r>
      <w:r w:rsidR="00923AC9">
        <w:rPr>
          <w:rFonts w:cs="Times New Roman"/>
          <w:bCs/>
          <w:szCs w:val="24"/>
          <w:lang w:eastAsia="en-AU"/>
        </w:rPr>
        <w:t>l</w:t>
      </w:r>
      <w:r w:rsidR="001F7A0E">
        <w:rPr>
          <w:rFonts w:cs="Times New Roman"/>
          <w:bCs/>
          <w:szCs w:val="24"/>
          <w:lang w:eastAsia="en-AU"/>
        </w:rPr>
        <w:t>icence holder</w:t>
      </w:r>
      <w:r w:rsidRPr="00093209">
        <w:rPr>
          <w:rFonts w:cs="Times New Roman"/>
          <w:bCs/>
          <w:szCs w:val="24"/>
          <w:lang w:eastAsia="en-AU"/>
        </w:rPr>
        <w:t xml:space="preserve"> </w:t>
      </w:r>
      <w:r w:rsidR="000B27B4" w:rsidRPr="00093209">
        <w:rPr>
          <w:rFonts w:cs="Times New Roman"/>
          <w:bCs/>
          <w:szCs w:val="24"/>
          <w:lang w:eastAsia="en-AU"/>
        </w:rPr>
        <w:t>(</w:t>
      </w:r>
      <w:r w:rsidR="00461CA0" w:rsidRPr="00093209">
        <w:rPr>
          <w:rFonts w:cs="Times New Roman"/>
          <w:bCs/>
          <w:szCs w:val="24"/>
          <w:lang w:eastAsia="en-AU"/>
        </w:rPr>
        <w:t>ANSTO</w:t>
      </w:r>
      <w:r w:rsidR="000B27B4" w:rsidRPr="00093209">
        <w:rPr>
          <w:rFonts w:cs="Times New Roman"/>
          <w:bCs/>
          <w:szCs w:val="24"/>
          <w:lang w:eastAsia="en-AU"/>
        </w:rPr>
        <w:t>)</w:t>
      </w:r>
      <w:r w:rsidR="00461CA0" w:rsidRPr="00093209">
        <w:rPr>
          <w:rFonts w:cs="Times New Roman"/>
          <w:bCs/>
          <w:szCs w:val="24"/>
          <w:lang w:eastAsia="en-AU"/>
        </w:rPr>
        <w:t>.</w:t>
      </w:r>
      <w:r w:rsidR="00473F30" w:rsidRPr="00093209">
        <w:rPr>
          <w:rFonts w:cs="Times New Roman"/>
          <w:bCs/>
          <w:szCs w:val="24"/>
          <w:lang w:eastAsia="en-AU"/>
        </w:rPr>
        <w:t xml:space="preserve"> </w:t>
      </w:r>
      <w:r w:rsidR="00461CA0" w:rsidRPr="00093209">
        <w:rPr>
          <w:rFonts w:cs="Times New Roman"/>
          <w:bCs/>
          <w:szCs w:val="24"/>
          <w:lang w:eastAsia="en-AU"/>
        </w:rPr>
        <w:t>T</w:t>
      </w:r>
      <w:r w:rsidR="00473F30" w:rsidRPr="00093209">
        <w:rPr>
          <w:rFonts w:cs="Times New Roman"/>
          <w:bCs/>
          <w:szCs w:val="24"/>
          <w:lang w:eastAsia="en-AU"/>
        </w:rPr>
        <w:t>o promote international best practice</w:t>
      </w:r>
      <w:r w:rsidR="00461CA0" w:rsidRPr="00093209">
        <w:rPr>
          <w:rFonts w:cs="Times New Roman"/>
          <w:bCs/>
          <w:szCs w:val="24"/>
          <w:lang w:eastAsia="en-AU"/>
        </w:rPr>
        <w:t>, the team included</w:t>
      </w:r>
      <w:r w:rsidR="00473F30" w:rsidRPr="00093209">
        <w:rPr>
          <w:rFonts w:cs="Times New Roman"/>
          <w:bCs/>
          <w:szCs w:val="24"/>
          <w:lang w:eastAsia="en-AU"/>
        </w:rPr>
        <w:t xml:space="preserve"> a</w:t>
      </w:r>
      <w:r w:rsidRPr="00093209">
        <w:rPr>
          <w:rFonts w:cs="Times New Roman"/>
          <w:bCs/>
          <w:szCs w:val="24"/>
          <w:lang w:eastAsia="en-AU"/>
        </w:rPr>
        <w:t xml:space="preserve"> senior manager from an international counterpart organisation (U.S. Nuclear Regulatory Commission).</w:t>
      </w:r>
    </w:p>
    <w:p w14:paraId="2167951F" w14:textId="0C35C51B" w:rsidR="004F3D0F" w:rsidRPr="00093209" w:rsidRDefault="004F3D0F" w:rsidP="006E61F1">
      <w:pPr>
        <w:autoSpaceDE w:val="0"/>
        <w:autoSpaceDN w:val="0"/>
        <w:adjustRightInd w:val="0"/>
        <w:spacing w:after="120"/>
        <w:rPr>
          <w:rFonts w:cs="Times New Roman"/>
          <w:bCs/>
          <w:szCs w:val="24"/>
          <w:lang w:eastAsia="en-AU"/>
        </w:rPr>
      </w:pPr>
      <w:r w:rsidRPr="00093209">
        <w:rPr>
          <w:rFonts w:cs="Times New Roman"/>
          <w:bCs/>
          <w:szCs w:val="24"/>
          <w:lang w:eastAsia="en-AU"/>
        </w:rPr>
        <w:t>The team set out to review current regulatory performance against previously agreed metrics</w:t>
      </w:r>
      <w:r w:rsidR="00923AC9">
        <w:rPr>
          <w:rFonts w:cs="Times New Roman"/>
          <w:bCs/>
          <w:szCs w:val="24"/>
          <w:lang w:eastAsia="en-AU"/>
        </w:rPr>
        <w:t>.</w:t>
      </w:r>
      <w:r w:rsidRPr="00093209">
        <w:rPr>
          <w:rFonts w:cs="Times New Roman"/>
          <w:bCs/>
          <w:szCs w:val="24"/>
          <w:lang w:eastAsia="en-AU"/>
        </w:rPr>
        <w:t xml:space="preserve"> </w:t>
      </w:r>
      <w:r w:rsidR="00923AC9">
        <w:rPr>
          <w:rFonts w:cs="Times New Roman"/>
          <w:bCs/>
          <w:szCs w:val="24"/>
          <w:lang w:eastAsia="en-AU"/>
        </w:rPr>
        <w:t xml:space="preserve">They </w:t>
      </w:r>
      <w:r w:rsidRPr="00093209">
        <w:rPr>
          <w:rFonts w:cs="Times New Roman"/>
          <w:bCs/>
          <w:szCs w:val="24"/>
          <w:lang w:eastAsia="en-AU"/>
        </w:rPr>
        <w:t>undert</w:t>
      </w:r>
      <w:r w:rsidR="00923AC9">
        <w:rPr>
          <w:rFonts w:cs="Times New Roman"/>
          <w:bCs/>
          <w:szCs w:val="24"/>
          <w:lang w:eastAsia="en-AU"/>
        </w:rPr>
        <w:t>ook</w:t>
      </w:r>
      <w:r w:rsidRPr="00093209">
        <w:rPr>
          <w:rFonts w:cs="Times New Roman"/>
          <w:bCs/>
          <w:szCs w:val="24"/>
          <w:lang w:eastAsia="en-AU"/>
        </w:rPr>
        <w:t xml:space="preserve"> a qualitative review based on established processes, procedures, </w:t>
      </w:r>
      <w:r w:rsidR="009401F9">
        <w:rPr>
          <w:rFonts w:cs="Times New Roman"/>
          <w:bCs/>
          <w:szCs w:val="24"/>
          <w:lang w:eastAsia="en-AU"/>
        </w:rPr>
        <w:t xml:space="preserve">and </w:t>
      </w:r>
      <w:r w:rsidRPr="00093209">
        <w:rPr>
          <w:rFonts w:cs="Times New Roman"/>
          <w:bCs/>
          <w:szCs w:val="24"/>
          <w:lang w:eastAsia="en-AU"/>
        </w:rPr>
        <w:t>data</w:t>
      </w:r>
      <w:r w:rsidR="00C74FE4" w:rsidRPr="00093209">
        <w:rPr>
          <w:rFonts w:cs="Times New Roman"/>
          <w:bCs/>
          <w:szCs w:val="24"/>
          <w:lang w:eastAsia="en-AU"/>
        </w:rPr>
        <w:t xml:space="preserve">. </w:t>
      </w:r>
      <w:r w:rsidRPr="00093209">
        <w:rPr>
          <w:rFonts w:cs="Times New Roman"/>
          <w:bCs/>
          <w:szCs w:val="24"/>
          <w:lang w:eastAsia="en-AU"/>
        </w:rPr>
        <w:t xml:space="preserve">Interviews and discussions </w:t>
      </w:r>
      <w:proofErr w:type="gramStart"/>
      <w:r w:rsidRPr="00093209">
        <w:rPr>
          <w:rFonts w:cs="Times New Roman"/>
          <w:bCs/>
          <w:szCs w:val="24"/>
          <w:lang w:eastAsia="en-AU"/>
        </w:rPr>
        <w:t>were held</w:t>
      </w:r>
      <w:proofErr w:type="gramEnd"/>
      <w:r w:rsidRPr="00093209">
        <w:rPr>
          <w:rFonts w:cs="Times New Roman"/>
          <w:bCs/>
          <w:szCs w:val="24"/>
          <w:lang w:eastAsia="en-AU"/>
        </w:rPr>
        <w:t xml:space="preserve"> with more than </w:t>
      </w:r>
      <w:r w:rsidR="003E48CD" w:rsidRPr="00093209">
        <w:rPr>
          <w:rFonts w:cs="Times New Roman"/>
          <w:bCs/>
          <w:szCs w:val="24"/>
          <w:lang w:eastAsia="en-AU"/>
        </w:rPr>
        <w:t>half the</w:t>
      </w:r>
      <w:r w:rsidRPr="00093209">
        <w:rPr>
          <w:rFonts w:cs="Times New Roman"/>
          <w:bCs/>
          <w:szCs w:val="24"/>
          <w:lang w:eastAsia="en-AU"/>
        </w:rPr>
        <w:t xml:space="preserve"> </w:t>
      </w:r>
      <w:r w:rsidR="009401F9">
        <w:rPr>
          <w:rFonts w:cs="Times New Roman"/>
          <w:bCs/>
          <w:szCs w:val="24"/>
          <w:lang w:eastAsia="en-AU"/>
        </w:rPr>
        <w:t xml:space="preserve">RSB </w:t>
      </w:r>
      <w:r w:rsidRPr="00093209">
        <w:rPr>
          <w:rFonts w:cs="Times New Roman"/>
          <w:bCs/>
          <w:szCs w:val="24"/>
          <w:lang w:eastAsia="en-AU"/>
        </w:rPr>
        <w:t xml:space="preserve">staff and managers, </w:t>
      </w:r>
      <w:r w:rsidR="00547E7B" w:rsidRPr="00093209">
        <w:rPr>
          <w:rFonts w:cs="Times New Roman"/>
          <w:bCs/>
          <w:szCs w:val="24"/>
          <w:lang w:eastAsia="en-AU"/>
        </w:rPr>
        <w:t xml:space="preserve">and </w:t>
      </w:r>
      <w:r w:rsidR="00151F6C">
        <w:rPr>
          <w:rFonts w:cs="Times New Roman"/>
          <w:bCs/>
          <w:szCs w:val="24"/>
          <w:lang w:eastAsia="en-AU"/>
        </w:rPr>
        <w:t>twelve</w:t>
      </w:r>
      <w:r w:rsidRPr="00093209">
        <w:rPr>
          <w:rFonts w:cs="Times New Roman"/>
          <w:bCs/>
          <w:szCs w:val="24"/>
          <w:lang w:eastAsia="en-AU"/>
        </w:rPr>
        <w:t xml:space="preserve"> staff and managers from two major </w:t>
      </w:r>
      <w:r w:rsidR="00923AC9">
        <w:rPr>
          <w:rFonts w:cs="Times New Roman"/>
          <w:bCs/>
          <w:szCs w:val="24"/>
          <w:lang w:eastAsia="en-AU"/>
        </w:rPr>
        <w:t>l</w:t>
      </w:r>
      <w:r w:rsidR="001F7A0E">
        <w:rPr>
          <w:rFonts w:cs="Times New Roman"/>
          <w:bCs/>
          <w:szCs w:val="24"/>
          <w:lang w:eastAsia="en-AU"/>
        </w:rPr>
        <w:t>icence holder</w:t>
      </w:r>
      <w:r w:rsidRPr="00093209">
        <w:rPr>
          <w:rFonts w:cs="Times New Roman"/>
          <w:bCs/>
          <w:szCs w:val="24"/>
          <w:lang w:eastAsia="en-AU"/>
        </w:rPr>
        <w:t>s.</w:t>
      </w:r>
    </w:p>
    <w:p w14:paraId="1DD077A4" w14:textId="5881792C" w:rsidR="003E48CD" w:rsidRPr="00093209" w:rsidRDefault="003E48CD" w:rsidP="006E61F1">
      <w:pPr>
        <w:autoSpaceDE w:val="0"/>
        <w:autoSpaceDN w:val="0"/>
        <w:adjustRightInd w:val="0"/>
        <w:spacing w:after="120"/>
        <w:rPr>
          <w:rFonts w:cs="Times New Roman"/>
          <w:bCs/>
          <w:szCs w:val="24"/>
          <w:lang w:eastAsia="en-AU"/>
        </w:rPr>
      </w:pPr>
      <w:r w:rsidRPr="00093209">
        <w:rPr>
          <w:rFonts w:cs="Times New Roman"/>
          <w:bCs/>
          <w:szCs w:val="24"/>
          <w:lang w:eastAsia="en-AU"/>
        </w:rPr>
        <w:t xml:space="preserve">The team found that use of the current metrics </w:t>
      </w:r>
      <w:r w:rsidRPr="00CE7333">
        <w:rPr>
          <w:rFonts w:cs="Times New Roman"/>
          <w:bCs/>
          <w:szCs w:val="24"/>
          <w:lang w:eastAsia="en-AU"/>
        </w:rPr>
        <w:t xml:space="preserve">has led to </w:t>
      </w:r>
      <w:r w:rsidRPr="00093209">
        <w:rPr>
          <w:rFonts w:cs="Times New Roman"/>
          <w:bCs/>
          <w:szCs w:val="24"/>
          <w:lang w:eastAsia="en-AU"/>
        </w:rPr>
        <w:t>performance improvement consistent with the aims of the RPF</w:t>
      </w:r>
      <w:r w:rsidR="00C74FE4" w:rsidRPr="00093209">
        <w:rPr>
          <w:rFonts w:cs="Times New Roman"/>
          <w:bCs/>
          <w:szCs w:val="24"/>
          <w:lang w:eastAsia="en-AU"/>
        </w:rPr>
        <w:t xml:space="preserve">. </w:t>
      </w:r>
      <w:r w:rsidR="00726E9A">
        <w:rPr>
          <w:rFonts w:cs="Times New Roman"/>
          <w:bCs/>
          <w:szCs w:val="24"/>
          <w:lang w:eastAsia="en-AU"/>
        </w:rPr>
        <w:t>S</w:t>
      </w:r>
      <w:r w:rsidRPr="00093209">
        <w:rPr>
          <w:rFonts w:cs="Times New Roman"/>
          <w:bCs/>
          <w:szCs w:val="24"/>
          <w:lang w:eastAsia="en-AU"/>
        </w:rPr>
        <w:t xml:space="preserve">ome metrics need to be </w:t>
      </w:r>
      <w:r w:rsidR="009401F9">
        <w:rPr>
          <w:rFonts w:cs="Times New Roman"/>
          <w:bCs/>
          <w:szCs w:val="24"/>
          <w:lang w:eastAsia="en-AU"/>
        </w:rPr>
        <w:t xml:space="preserve">further </w:t>
      </w:r>
      <w:r w:rsidRPr="00093209">
        <w:rPr>
          <w:rFonts w:cs="Times New Roman"/>
          <w:bCs/>
          <w:szCs w:val="24"/>
          <w:lang w:eastAsia="en-AU"/>
        </w:rPr>
        <w:t xml:space="preserve">developed and a number of targets adjusted to present realistic </w:t>
      </w:r>
      <w:r w:rsidR="009401F9">
        <w:rPr>
          <w:rFonts w:cs="Times New Roman"/>
          <w:bCs/>
          <w:szCs w:val="24"/>
          <w:lang w:eastAsia="en-AU"/>
        </w:rPr>
        <w:t>targets for 201</w:t>
      </w:r>
      <w:r w:rsidR="00171035">
        <w:rPr>
          <w:rFonts w:cs="Times New Roman"/>
          <w:bCs/>
          <w:szCs w:val="24"/>
          <w:lang w:eastAsia="en-AU"/>
        </w:rPr>
        <w:t>6</w:t>
      </w:r>
      <w:r w:rsidR="00D022C7">
        <w:rPr>
          <w:rFonts w:cs="Times New Roman"/>
          <w:bCs/>
          <w:szCs w:val="24"/>
          <w:lang w:eastAsia="en-AU"/>
        </w:rPr>
        <w:t>-</w:t>
      </w:r>
      <w:r w:rsidR="009401F9">
        <w:rPr>
          <w:rFonts w:cs="Times New Roman"/>
          <w:bCs/>
          <w:szCs w:val="24"/>
          <w:lang w:eastAsia="en-AU"/>
        </w:rPr>
        <w:t>1</w:t>
      </w:r>
      <w:r w:rsidR="00171035">
        <w:rPr>
          <w:rFonts w:cs="Times New Roman"/>
          <w:bCs/>
          <w:szCs w:val="24"/>
          <w:lang w:eastAsia="en-AU"/>
        </w:rPr>
        <w:t>7</w:t>
      </w:r>
      <w:r w:rsidRPr="00093209">
        <w:rPr>
          <w:rFonts w:cs="Times New Roman"/>
          <w:bCs/>
          <w:szCs w:val="24"/>
          <w:lang w:eastAsia="en-AU"/>
        </w:rPr>
        <w:t>.</w:t>
      </w:r>
    </w:p>
    <w:p w14:paraId="618A9CF4" w14:textId="05D766FE" w:rsidR="004F3D0F" w:rsidRPr="00CE7333" w:rsidRDefault="004F3D0F" w:rsidP="006E61F1">
      <w:pPr>
        <w:autoSpaceDE w:val="0"/>
        <w:autoSpaceDN w:val="0"/>
        <w:adjustRightInd w:val="0"/>
        <w:spacing w:after="120"/>
        <w:rPr>
          <w:rFonts w:cs="Times New Roman"/>
          <w:bCs/>
          <w:szCs w:val="24"/>
          <w:lang w:eastAsia="en-AU"/>
        </w:rPr>
      </w:pPr>
      <w:r w:rsidRPr="00093209">
        <w:rPr>
          <w:rFonts w:cs="Times New Roman"/>
          <w:bCs/>
          <w:szCs w:val="24"/>
          <w:lang w:eastAsia="en-AU"/>
        </w:rPr>
        <w:t xml:space="preserve">The assessment team concluded that </w:t>
      </w:r>
      <w:r w:rsidR="00150491" w:rsidRPr="004C4E05">
        <w:rPr>
          <w:rFonts w:cs="Times New Roman"/>
          <w:bCs/>
          <w:szCs w:val="24"/>
          <w:lang w:eastAsia="en-AU"/>
        </w:rPr>
        <w:t>ARPANSA</w:t>
      </w:r>
      <w:r w:rsidRPr="00093209">
        <w:rPr>
          <w:rFonts w:cs="Times New Roman"/>
          <w:bCs/>
          <w:szCs w:val="24"/>
          <w:lang w:eastAsia="en-AU"/>
        </w:rPr>
        <w:t xml:space="preserve"> has been </w:t>
      </w:r>
      <w:r w:rsidR="004C4E05" w:rsidRPr="00093209">
        <w:rPr>
          <w:rFonts w:cs="Times New Roman"/>
          <w:bCs/>
          <w:szCs w:val="24"/>
          <w:lang w:eastAsia="en-AU"/>
        </w:rPr>
        <w:t xml:space="preserve">an </w:t>
      </w:r>
      <w:r w:rsidRPr="00093209">
        <w:rPr>
          <w:rFonts w:cs="Times New Roman"/>
          <w:bCs/>
          <w:szCs w:val="24"/>
          <w:lang w:eastAsia="en-AU"/>
        </w:rPr>
        <w:t xml:space="preserve">effective </w:t>
      </w:r>
      <w:r w:rsidR="004C4E05">
        <w:rPr>
          <w:rFonts w:cs="Times New Roman"/>
          <w:bCs/>
          <w:szCs w:val="24"/>
          <w:lang w:eastAsia="en-AU"/>
        </w:rPr>
        <w:t xml:space="preserve">regulator </w:t>
      </w:r>
      <w:r w:rsidR="001778AB">
        <w:rPr>
          <w:rFonts w:cs="Times New Roman"/>
          <w:bCs/>
          <w:szCs w:val="24"/>
          <w:lang w:eastAsia="en-AU"/>
        </w:rPr>
        <w:t>during</w:t>
      </w:r>
      <w:r w:rsidR="001778AB" w:rsidRPr="00093209">
        <w:rPr>
          <w:rFonts w:cs="Times New Roman"/>
          <w:bCs/>
          <w:szCs w:val="24"/>
          <w:lang w:eastAsia="en-AU"/>
        </w:rPr>
        <w:t xml:space="preserve"> </w:t>
      </w:r>
      <w:r w:rsidRPr="00093209">
        <w:rPr>
          <w:rFonts w:cs="Times New Roman"/>
          <w:bCs/>
          <w:szCs w:val="24"/>
          <w:lang w:eastAsia="en-AU"/>
        </w:rPr>
        <w:t xml:space="preserve">the </w:t>
      </w:r>
      <w:r w:rsidR="001778AB">
        <w:rPr>
          <w:rFonts w:cs="Times New Roman"/>
          <w:bCs/>
          <w:szCs w:val="24"/>
          <w:lang w:eastAsia="en-AU"/>
        </w:rPr>
        <w:t xml:space="preserve">reporting </w:t>
      </w:r>
      <w:r w:rsidRPr="00093209">
        <w:rPr>
          <w:rFonts w:cs="Times New Roman"/>
          <w:bCs/>
          <w:szCs w:val="24"/>
          <w:lang w:eastAsia="en-AU"/>
        </w:rPr>
        <w:t>period and that the structure and consistency of its service</w:t>
      </w:r>
      <w:r w:rsidR="004C4E05">
        <w:rPr>
          <w:rFonts w:cs="Times New Roman"/>
          <w:bCs/>
          <w:szCs w:val="24"/>
          <w:lang w:eastAsia="en-AU"/>
        </w:rPr>
        <w:t>s</w:t>
      </w:r>
      <w:r w:rsidRPr="00093209">
        <w:rPr>
          <w:rFonts w:cs="Times New Roman"/>
          <w:bCs/>
          <w:szCs w:val="24"/>
          <w:lang w:eastAsia="en-AU"/>
        </w:rPr>
        <w:t xml:space="preserve"> has improved. The team found that </w:t>
      </w:r>
      <w:r w:rsidR="003B553A" w:rsidRPr="00093209">
        <w:rPr>
          <w:rFonts w:cs="Times New Roman"/>
          <w:bCs/>
          <w:szCs w:val="24"/>
          <w:lang w:eastAsia="en-AU"/>
        </w:rPr>
        <w:t>ARPANSA</w:t>
      </w:r>
      <w:r w:rsidRPr="00093209">
        <w:rPr>
          <w:rFonts w:cs="Times New Roman"/>
          <w:bCs/>
          <w:szCs w:val="24"/>
          <w:lang w:eastAsia="en-AU"/>
        </w:rPr>
        <w:t xml:space="preserve"> has a good regulatory culture </w:t>
      </w:r>
      <w:r w:rsidR="004C4E05">
        <w:rPr>
          <w:rFonts w:cs="Times New Roman"/>
          <w:bCs/>
          <w:szCs w:val="24"/>
          <w:lang w:eastAsia="en-AU"/>
        </w:rPr>
        <w:t xml:space="preserve">with </w:t>
      </w:r>
      <w:r w:rsidRPr="00093209">
        <w:rPr>
          <w:rFonts w:cs="Times New Roman"/>
          <w:bCs/>
          <w:szCs w:val="24"/>
          <w:lang w:eastAsia="en-AU"/>
        </w:rPr>
        <w:t xml:space="preserve">appropriate responsibilities and accountabilities. </w:t>
      </w:r>
      <w:r w:rsidR="001778AB">
        <w:rPr>
          <w:rFonts w:cs="Times New Roman"/>
          <w:bCs/>
          <w:szCs w:val="24"/>
          <w:lang w:eastAsia="en-AU"/>
        </w:rPr>
        <w:t xml:space="preserve">Staff </w:t>
      </w:r>
      <w:r w:rsidR="004C4E05">
        <w:rPr>
          <w:rFonts w:cs="Times New Roman"/>
          <w:bCs/>
          <w:szCs w:val="24"/>
          <w:lang w:eastAsia="en-AU"/>
        </w:rPr>
        <w:t xml:space="preserve">demonstrated </w:t>
      </w:r>
      <w:r w:rsidR="001778AB">
        <w:rPr>
          <w:rFonts w:cs="Times New Roman"/>
          <w:bCs/>
          <w:szCs w:val="24"/>
          <w:lang w:eastAsia="en-AU"/>
        </w:rPr>
        <w:t xml:space="preserve">a </w:t>
      </w:r>
      <w:r w:rsidRPr="00093209">
        <w:rPr>
          <w:rFonts w:cs="Times New Roman"/>
          <w:bCs/>
          <w:szCs w:val="24"/>
          <w:lang w:eastAsia="en-AU"/>
        </w:rPr>
        <w:t xml:space="preserve">commitment to continuous improvement </w:t>
      </w:r>
      <w:r w:rsidR="004C4E05">
        <w:rPr>
          <w:rFonts w:cs="Times New Roman"/>
          <w:bCs/>
          <w:szCs w:val="24"/>
          <w:lang w:eastAsia="en-AU"/>
        </w:rPr>
        <w:t xml:space="preserve">consistent with the </w:t>
      </w:r>
      <w:r w:rsidRPr="00093209">
        <w:rPr>
          <w:rFonts w:cs="Times New Roman"/>
          <w:bCs/>
          <w:szCs w:val="24"/>
          <w:lang w:eastAsia="en-AU"/>
        </w:rPr>
        <w:t>aims ex</w:t>
      </w:r>
      <w:r w:rsidRPr="00CE7333">
        <w:rPr>
          <w:rFonts w:cs="Times New Roman"/>
          <w:bCs/>
          <w:szCs w:val="24"/>
          <w:lang w:eastAsia="en-AU"/>
        </w:rPr>
        <w:t>pressed in the RPF</w:t>
      </w:r>
      <w:r w:rsidR="00C74FE4" w:rsidRPr="00CE7333">
        <w:rPr>
          <w:rFonts w:cs="Times New Roman"/>
          <w:bCs/>
          <w:szCs w:val="24"/>
          <w:lang w:eastAsia="en-AU"/>
        </w:rPr>
        <w:t xml:space="preserve">. </w:t>
      </w:r>
      <w:r w:rsidRPr="00CE7333">
        <w:rPr>
          <w:rFonts w:cs="Times New Roman"/>
          <w:bCs/>
          <w:szCs w:val="24"/>
          <w:lang w:eastAsia="en-AU"/>
        </w:rPr>
        <w:t>Importantly</w:t>
      </w:r>
      <w:r w:rsidR="004C4E05">
        <w:rPr>
          <w:rFonts w:cs="Times New Roman"/>
          <w:bCs/>
          <w:szCs w:val="24"/>
          <w:lang w:eastAsia="en-AU"/>
        </w:rPr>
        <w:t>,</w:t>
      </w:r>
      <w:r w:rsidRPr="00CE7333">
        <w:rPr>
          <w:rFonts w:cs="Times New Roman"/>
          <w:bCs/>
          <w:szCs w:val="24"/>
          <w:lang w:eastAsia="en-AU"/>
        </w:rPr>
        <w:t xml:space="preserve"> the team noted that without exception, </w:t>
      </w:r>
      <w:r w:rsidR="004C4E05">
        <w:rPr>
          <w:rFonts w:cs="Times New Roman"/>
          <w:bCs/>
          <w:szCs w:val="24"/>
          <w:lang w:eastAsia="en-AU"/>
        </w:rPr>
        <w:t>l</w:t>
      </w:r>
      <w:r w:rsidR="001F7A0E" w:rsidRPr="00126004">
        <w:rPr>
          <w:rFonts w:cs="Times New Roman"/>
          <w:bCs/>
          <w:szCs w:val="24"/>
          <w:lang w:eastAsia="en-AU"/>
        </w:rPr>
        <w:t>icence holder</w:t>
      </w:r>
      <w:r w:rsidRPr="00CE7333">
        <w:rPr>
          <w:rFonts w:cs="Times New Roman"/>
          <w:bCs/>
          <w:szCs w:val="24"/>
          <w:lang w:eastAsia="en-AU"/>
        </w:rPr>
        <w:t xml:space="preserve"> representatives also consider that </w:t>
      </w:r>
      <w:r w:rsidR="003B553A" w:rsidRPr="00CE7333">
        <w:rPr>
          <w:rFonts w:cs="Times New Roman"/>
          <w:bCs/>
          <w:szCs w:val="24"/>
          <w:lang w:eastAsia="en-AU"/>
        </w:rPr>
        <w:t>A</w:t>
      </w:r>
      <w:r w:rsidR="003B553A" w:rsidRPr="00093209">
        <w:rPr>
          <w:rFonts w:cs="Times New Roman"/>
          <w:bCs/>
          <w:szCs w:val="24"/>
          <w:lang w:eastAsia="en-AU"/>
        </w:rPr>
        <w:t xml:space="preserve">RPANSA’s </w:t>
      </w:r>
      <w:r w:rsidRPr="00093209">
        <w:rPr>
          <w:rFonts w:cs="Times New Roman"/>
          <w:bCs/>
          <w:szCs w:val="24"/>
          <w:lang w:eastAsia="en-AU"/>
        </w:rPr>
        <w:t>perfo</w:t>
      </w:r>
      <w:r w:rsidRPr="00CE7333">
        <w:rPr>
          <w:rFonts w:cs="Times New Roman"/>
          <w:bCs/>
          <w:szCs w:val="24"/>
          <w:lang w:eastAsia="en-AU"/>
        </w:rPr>
        <w:t>rmance has improved</w:t>
      </w:r>
      <w:r w:rsidR="001778AB">
        <w:rPr>
          <w:rFonts w:cs="Times New Roman"/>
          <w:bCs/>
          <w:szCs w:val="24"/>
          <w:lang w:eastAsia="en-AU"/>
        </w:rPr>
        <w:t>,</w:t>
      </w:r>
      <w:r w:rsidRPr="00CE7333">
        <w:rPr>
          <w:rFonts w:cs="Times New Roman"/>
          <w:bCs/>
          <w:szCs w:val="24"/>
          <w:lang w:eastAsia="en-AU"/>
        </w:rPr>
        <w:t xml:space="preserve"> </w:t>
      </w:r>
      <w:r w:rsidR="004C4E05">
        <w:rPr>
          <w:rFonts w:cs="Times New Roman"/>
          <w:bCs/>
          <w:szCs w:val="24"/>
          <w:lang w:eastAsia="en-AU"/>
        </w:rPr>
        <w:t xml:space="preserve">particularly </w:t>
      </w:r>
      <w:r w:rsidR="00D24C87">
        <w:rPr>
          <w:rFonts w:cs="Times New Roman"/>
          <w:bCs/>
          <w:szCs w:val="24"/>
          <w:lang w:eastAsia="en-AU"/>
        </w:rPr>
        <w:t>in it</w:t>
      </w:r>
      <w:r w:rsidR="004C4E05">
        <w:rPr>
          <w:rFonts w:cs="Times New Roman"/>
          <w:bCs/>
          <w:szCs w:val="24"/>
          <w:lang w:eastAsia="en-AU"/>
        </w:rPr>
        <w:t xml:space="preserve">s </w:t>
      </w:r>
      <w:r w:rsidRPr="00CE7333">
        <w:rPr>
          <w:rFonts w:cs="Times New Roman"/>
          <w:bCs/>
          <w:szCs w:val="24"/>
          <w:lang w:eastAsia="en-AU"/>
        </w:rPr>
        <w:t>openness, transparency and graded approach to regulation.</w:t>
      </w:r>
    </w:p>
    <w:p w14:paraId="574E5F37" w14:textId="69F72C56" w:rsidR="002D1A41" w:rsidRDefault="004F3D0F" w:rsidP="006E61F1">
      <w:pPr>
        <w:autoSpaceDE w:val="0"/>
        <w:autoSpaceDN w:val="0"/>
        <w:adjustRightInd w:val="0"/>
        <w:spacing w:after="120"/>
        <w:rPr>
          <w:rFonts w:cs="Times New Roman"/>
          <w:bCs/>
          <w:szCs w:val="24"/>
          <w:lang w:eastAsia="en-AU"/>
        </w:rPr>
      </w:pPr>
      <w:r w:rsidRPr="00CE7333">
        <w:rPr>
          <w:rFonts w:cs="Times New Roman"/>
          <w:bCs/>
          <w:szCs w:val="24"/>
          <w:lang w:eastAsia="en-AU"/>
        </w:rPr>
        <w:t xml:space="preserve">However, the team did identify </w:t>
      </w:r>
      <w:r w:rsidR="00E66AF3">
        <w:rPr>
          <w:rFonts w:cs="Times New Roman"/>
          <w:bCs/>
          <w:szCs w:val="24"/>
          <w:lang w:eastAsia="en-AU"/>
        </w:rPr>
        <w:t xml:space="preserve">several </w:t>
      </w:r>
      <w:r w:rsidRPr="00CE7333">
        <w:rPr>
          <w:rFonts w:cs="Times New Roman"/>
          <w:bCs/>
          <w:szCs w:val="24"/>
          <w:lang w:eastAsia="en-AU"/>
        </w:rPr>
        <w:t>areas for improvement</w:t>
      </w:r>
      <w:r w:rsidR="00C74FE4" w:rsidRPr="00CE7333">
        <w:rPr>
          <w:rFonts w:cs="Times New Roman"/>
          <w:bCs/>
          <w:szCs w:val="24"/>
          <w:lang w:eastAsia="en-AU"/>
        </w:rPr>
        <w:t xml:space="preserve">. </w:t>
      </w:r>
      <w:r w:rsidRPr="00CE7333">
        <w:rPr>
          <w:rFonts w:cs="Times New Roman"/>
          <w:bCs/>
          <w:szCs w:val="24"/>
          <w:lang w:eastAsia="en-AU"/>
        </w:rPr>
        <w:t>The assessment team has not set out to direct these improvements but ha</w:t>
      </w:r>
      <w:r w:rsidR="000317E9">
        <w:rPr>
          <w:rFonts w:cs="Times New Roman"/>
          <w:bCs/>
          <w:szCs w:val="24"/>
          <w:lang w:eastAsia="en-AU"/>
        </w:rPr>
        <w:t>s</w:t>
      </w:r>
      <w:r w:rsidRPr="00CE7333">
        <w:rPr>
          <w:rFonts w:cs="Times New Roman"/>
          <w:bCs/>
          <w:szCs w:val="24"/>
          <w:lang w:eastAsia="en-AU"/>
        </w:rPr>
        <w:t xml:space="preserve"> made a number of suggestions to consider</w:t>
      </w:r>
      <w:r w:rsidR="00C74FE4" w:rsidRPr="001939E1">
        <w:rPr>
          <w:rFonts w:cs="Arial"/>
          <w:szCs w:val="24"/>
        </w:rPr>
        <w:t xml:space="preserve">. </w:t>
      </w:r>
      <w:r w:rsidRPr="001939E1">
        <w:rPr>
          <w:rFonts w:cs="Arial"/>
          <w:szCs w:val="24"/>
        </w:rPr>
        <w:t>Addressing the issues will significantly improve branch performance</w:t>
      </w:r>
      <w:r w:rsidR="00F45927">
        <w:rPr>
          <w:rFonts w:cs="Arial"/>
          <w:szCs w:val="24"/>
        </w:rPr>
        <w:t xml:space="preserve">. The team </w:t>
      </w:r>
      <w:r w:rsidRPr="00CE7333">
        <w:rPr>
          <w:rFonts w:cs="Times New Roman"/>
          <w:bCs/>
          <w:szCs w:val="24"/>
          <w:lang w:eastAsia="en-AU"/>
        </w:rPr>
        <w:t>recommend</w:t>
      </w:r>
      <w:r w:rsidR="00F45927">
        <w:rPr>
          <w:rFonts w:cs="Times New Roman"/>
          <w:bCs/>
          <w:szCs w:val="24"/>
          <w:lang w:eastAsia="en-AU"/>
        </w:rPr>
        <w:t>ed</w:t>
      </w:r>
      <w:r w:rsidRPr="00CE7333">
        <w:rPr>
          <w:rFonts w:cs="Times New Roman"/>
          <w:bCs/>
          <w:szCs w:val="24"/>
          <w:lang w:eastAsia="en-AU"/>
        </w:rPr>
        <w:t xml:space="preserve"> that a corrective action </w:t>
      </w:r>
      <w:r w:rsidR="00E23457">
        <w:rPr>
          <w:rFonts w:cs="Times New Roman"/>
          <w:bCs/>
          <w:szCs w:val="24"/>
          <w:lang w:eastAsia="en-AU"/>
        </w:rPr>
        <w:t>program</w:t>
      </w:r>
      <w:r w:rsidRPr="00CE7333">
        <w:rPr>
          <w:rFonts w:cs="Times New Roman"/>
          <w:bCs/>
          <w:szCs w:val="24"/>
          <w:lang w:eastAsia="en-AU"/>
        </w:rPr>
        <w:t xml:space="preserve"> </w:t>
      </w:r>
      <w:proofErr w:type="gramStart"/>
      <w:r w:rsidR="002D1A41">
        <w:rPr>
          <w:rFonts w:cs="Times New Roman"/>
          <w:bCs/>
          <w:szCs w:val="24"/>
          <w:lang w:eastAsia="en-AU"/>
        </w:rPr>
        <w:t xml:space="preserve">be </w:t>
      </w:r>
      <w:r w:rsidRPr="00CE7333">
        <w:rPr>
          <w:rFonts w:cs="Times New Roman"/>
          <w:bCs/>
          <w:szCs w:val="24"/>
          <w:lang w:eastAsia="en-AU"/>
        </w:rPr>
        <w:t>established</w:t>
      </w:r>
      <w:proofErr w:type="gramEnd"/>
      <w:r w:rsidRPr="00CE7333">
        <w:rPr>
          <w:rFonts w:cs="Times New Roman"/>
          <w:bCs/>
          <w:szCs w:val="24"/>
          <w:lang w:eastAsia="en-AU"/>
        </w:rPr>
        <w:t xml:space="preserve"> for this purpose</w:t>
      </w:r>
      <w:r w:rsidR="00C74FE4" w:rsidRPr="00CE7333">
        <w:rPr>
          <w:rFonts w:cs="Times New Roman"/>
          <w:bCs/>
          <w:szCs w:val="24"/>
          <w:lang w:eastAsia="en-AU"/>
        </w:rPr>
        <w:t xml:space="preserve">. </w:t>
      </w:r>
    </w:p>
    <w:p w14:paraId="6D0B2EAA" w14:textId="34B982BF" w:rsidR="00D10825" w:rsidRPr="00CE7333" w:rsidRDefault="003303B9" w:rsidP="006E61F1">
      <w:pPr>
        <w:autoSpaceDE w:val="0"/>
        <w:autoSpaceDN w:val="0"/>
        <w:adjustRightInd w:val="0"/>
        <w:spacing w:after="120"/>
        <w:rPr>
          <w:rFonts w:cs="Times New Roman"/>
          <w:bCs/>
          <w:szCs w:val="24"/>
          <w:lang w:eastAsia="en-AU"/>
        </w:rPr>
      </w:pPr>
      <w:r>
        <w:rPr>
          <w:rFonts w:cs="Times New Roman"/>
          <w:bCs/>
          <w:szCs w:val="24"/>
          <w:lang w:eastAsia="en-AU"/>
        </w:rPr>
        <w:t>T</w:t>
      </w:r>
      <w:r w:rsidR="004F3D0F" w:rsidRPr="00CE7333">
        <w:rPr>
          <w:rFonts w:cs="Times New Roman"/>
          <w:bCs/>
          <w:szCs w:val="24"/>
          <w:lang w:eastAsia="en-AU"/>
        </w:rPr>
        <w:t xml:space="preserve">hroughout the self-assessment, the team found </w:t>
      </w:r>
      <w:r w:rsidR="00547E7B" w:rsidRPr="00CE7333">
        <w:rPr>
          <w:rFonts w:cs="Times New Roman"/>
          <w:bCs/>
          <w:szCs w:val="24"/>
          <w:lang w:eastAsia="en-AU"/>
        </w:rPr>
        <w:t xml:space="preserve">RSB </w:t>
      </w:r>
      <w:r w:rsidR="004F3D0F" w:rsidRPr="00CE7333">
        <w:rPr>
          <w:rFonts w:cs="Times New Roman"/>
          <w:bCs/>
          <w:szCs w:val="24"/>
          <w:lang w:eastAsia="en-AU"/>
        </w:rPr>
        <w:t>staff to be op</w:t>
      </w:r>
      <w:r w:rsidR="004F3D0F" w:rsidRPr="000367DF">
        <w:rPr>
          <w:rFonts w:cs="Times New Roman"/>
          <w:bCs/>
          <w:szCs w:val="24"/>
          <w:lang w:eastAsia="en-AU"/>
        </w:rPr>
        <w:t>en and responsive</w:t>
      </w:r>
      <w:r w:rsidR="00C74FE4" w:rsidRPr="000367DF">
        <w:rPr>
          <w:rFonts w:cs="Times New Roman"/>
          <w:bCs/>
          <w:szCs w:val="24"/>
          <w:lang w:eastAsia="en-AU"/>
        </w:rPr>
        <w:t xml:space="preserve">. </w:t>
      </w:r>
      <w:r w:rsidR="004F3D0F" w:rsidRPr="000367DF">
        <w:rPr>
          <w:rFonts w:cs="Times New Roman"/>
          <w:bCs/>
          <w:szCs w:val="24"/>
          <w:lang w:eastAsia="en-AU"/>
        </w:rPr>
        <w:t xml:space="preserve">This was an indication that </w:t>
      </w:r>
      <w:proofErr w:type="gramStart"/>
      <w:r w:rsidR="004F3D0F" w:rsidRPr="000367DF">
        <w:rPr>
          <w:rFonts w:cs="Times New Roman"/>
          <w:bCs/>
          <w:szCs w:val="24"/>
          <w:lang w:eastAsia="en-AU"/>
        </w:rPr>
        <w:t xml:space="preserve">staff </w:t>
      </w:r>
      <w:r w:rsidR="00C81E47" w:rsidRPr="000367DF">
        <w:rPr>
          <w:rFonts w:cs="Times New Roman"/>
          <w:bCs/>
          <w:szCs w:val="24"/>
          <w:lang w:eastAsia="en-AU"/>
        </w:rPr>
        <w:t>are</w:t>
      </w:r>
      <w:proofErr w:type="gramEnd"/>
      <w:r w:rsidR="004F3D0F" w:rsidRPr="000367DF">
        <w:rPr>
          <w:rFonts w:cs="Times New Roman"/>
          <w:bCs/>
          <w:szCs w:val="24"/>
          <w:lang w:eastAsia="en-AU"/>
        </w:rPr>
        <w:t xml:space="preserve"> engaged in the process of continuous improvement </w:t>
      </w:r>
      <w:r w:rsidR="00831B9D" w:rsidRPr="000367DF">
        <w:rPr>
          <w:rFonts w:cs="Times New Roman"/>
          <w:bCs/>
          <w:szCs w:val="24"/>
          <w:lang w:eastAsia="en-AU"/>
        </w:rPr>
        <w:t xml:space="preserve">which </w:t>
      </w:r>
      <w:r w:rsidR="004F3D0F" w:rsidRPr="000367DF">
        <w:rPr>
          <w:rFonts w:cs="Times New Roman"/>
          <w:bCs/>
          <w:szCs w:val="24"/>
          <w:lang w:eastAsia="en-AU"/>
        </w:rPr>
        <w:t>is commendable.</w:t>
      </w:r>
      <w:r w:rsidR="00D10825" w:rsidRPr="00CE7333">
        <w:rPr>
          <w:rFonts w:cs="Times New Roman"/>
          <w:bCs/>
          <w:szCs w:val="24"/>
          <w:lang w:eastAsia="en-AU"/>
        </w:rPr>
        <w:br w:type="page"/>
      </w:r>
    </w:p>
    <w:p w14:paraId="43962C47" w14:textId="4D004A3C" w:rsidR="00102A25" w:rsidRPr="00A9092B" w:rsidRDefault="00102A25" w:rsidP="006D47B2">
      <w:pPr>
        <w:pStyle w:val="Heading1"/>
        <w:numPr>
          <w:ilvl w:val="0"/>
          <w:numId w:val="0"/>
        </w:numPr>
        <w:ind w:left="431" w:hanging="431"/>
      </w:pPr>
      <w:bookmarkStart w:id="58" w:name="_Toc470173183"/>
      <w:r w:rsidRPr="00A9092B">
        <w:lastRenderedPageBreak/>
        <w:t>Appendix A</w:t>
      </w:r>
      <w:bookmarkEnd w:id="58"/>
    </w:p>
    <w:p w14:paraId="732D88EA" w14:textId="6960E20E" w:rsidR="00102A25" w:rsidRPr="00C95C08" w:rsidRDefault="00F56FCF" w:rsidP="006E61F1">
      <w:pPr>
        <w:spacing w:after="120"/>
        <w:rPr>
          <w:rFonts w:cs="Times New Roman"/>
        </w:rPr>
      </w:pPr>
      <w:r w:rsidRPr="00C95C08">
        <w:rPr>
          <w:rFonts w:cs="Times New Roman"/>
        </w:rPr>
        <w:t>ARPANSA Licen</w:t>
      </w:r>
      <w:r w:rsidR="00C635D0" w:rsidRPr="00C95C08">
        <w:rPr>
          <w:rFonts w:cs="Times New Roman"/>
        </w:rPr>
        <w:t>s</w:t>
      </w:r>
      <w:r w:rsidRPr="00C95C08">
        <w:rPr>
          <w:rFonts w:cs="Times New Roman"/>
        </w:rPr>
        <w:t>e</w:t>
      </w:r>
      <w:r w:rsidR="00C22F82" w:rsidRPr="00C95C08">
        <w:rPr>
          <w:rFonts w:cs="Times New Roman"/>
        </w:rPr>
        <w:t>d</w:t>
      </w:r>
      <w:r w:rsidRPr="00C95C08">
        <w:rPr>
          <w:rFonts w:cs="Times New Roman"/>
        </w:rPr>
        <w:t xml:space="preserve"> </w:t>
      </w:r>
      <w:r w:rsidR="00C22F82" w:rsidRPr="00C95C08">
        <w:rPr>
          <w:rFonts w:cs="Times New Roman"/>
        </w:rPr>
        <w:t xml:space="preserve">Entities </w:t>
      </w:r>
      <w:r w:rsidRPr="00C95C08">
        <w:rPr>
          <w:rFonts w:cs="Times New Roman"/>
        </w:rPr>
        <w:t xml:space="preserve">as at 30 June </w:t>
      </w:r>
      <w:r w:rsidR="00ED0A26" w:rsidRPr="00C95C08">
        <w:rPr>
          <w:rFonts w:cs="Times New Roman"/>
        </w:rPr>
        <w:t>2016</w:t>
      </w:r>
    </w:p>
    <w:p w14:paraId="34EA7324" w14:textId="44CD1D69" w:rsidR="00E30F6E" w:rsidRPr="006D47B2" w:rsidRDefault="00E30F6E" w:rsidP="006D47B2">
      <w:pPr>
        <w:pStyle w:val="Heading2"/>
        <w:numPr>
          <w:ilvl w:val="0"/>
          <w:numId w:val="0"/>
        </w:numPr>
        <w:ind w:left="578" w:hanging="578"/>
        <w:rPr>
          <w:rStyle w:val="Strong"/>
        </w:rPr>
      </w:pPr>
      <w:bookmarkStart w:id="59" w:name="_Toc470173184"/>
      <w:r w:rsidRPr="006D47B2">
        <w:rPr>
          <w:rStyle w:val="Strong"/>
        </w:rPr>
        <w:t>Facility licence</w:t>
      </w:r>
      <w:r w:rsidR="00726E9A" w:rsidRPr="006D47B2">
        <w:rPr>
          <w:rStyle w:val="Strong"/>
        </w:rPr>
        <w:t xml:space="preserve"> holders</w:t>
      </w:r>
      <w:r w:rsidR="0083038E" w:rsidRPr="006D47B2">
        <w:rPr>
          <w:rStyle w:val="Strong"/>
        </w:rPr>
        <w:t>:</w:t>
      </w:r>
      <w:bookmarkEnd w:id="59"/>
    </w:p>
    <w:p w14:paraId="0E82B16E" w14:textId="77777777" w:rsidR="001443B3" w:rsidRPr="00951ED1" w:rsidRDefault="001443B3" w:rsidP="006E61F1">
      <w:pPr>
        <w:autoSpaceDE w:val="0"/>
        <w:autoSpaceDN w:val="0"/>
        <w:adjustRightInd w:val="0"/>
        <w:spacing w:after="120"/>
        <w:contextualSpacing/>
        <w:rPr>
          <w:rFonts w:cs="Times New Roman"/>
          <w:szCs w:val="24"/>
        </w:rPr>
      </w:pPr>
      <w:r w:rsidRPr="00951ED1">
        <w:rPr>
          <w:rFonts w:cs="Times New Roman"/>
          <w:szCs w:val="24"/>
        </w:rPr>
        <w:t>Australian Defence Force /Department of Defence</w:t>
      </w:r>
    </w:p>
    <w:p w14:paraId="742747B3" w14:textId="77777777" w:rsidR="001443B3" w:rsidRPr="00951ED1" w:rsidRDefault="001443B3" w:rsidP="006E61F1">
      <w:pPr>
        <w:autoSpaceDE w:val="0"/>
        <w:autoSpaceDN w:val="0"/>
        <w:adjustRightInd w:val="0"/>
        <w:spacing w:after="120"/>
        <w:contextualSpacing/>
        <w:rPr>
          <w:rFonts w:cs="Times New Roman"/>
          <w:szCs w:val="24"/>
        </w:rPr>
      </w:pPr>
      <w:r w:rsidRPr="00951ED1">
        <w:rPr>
          <w:rFonts w:cs="Times New Roman"/>
          <w:szCs w:val="24"/>
        </w:rPr>
        <w:t>Australian National University</w:t>
      </w:r>
    </w:p>
    <w:p w14:paraId="215008EB" w14:textId="6DCD4122" w:rsidR="00E30F6E" w:rsidRPr="00951ED1" w:rsidRDefault="00E30F6E" w:rsidP="006E61F1">
      <w:pPr>
        <w:autoSpaceDE w:val="0"/>
        <w:autoSpaceDN w:val="0"/>
        <w:adjustRightInd w:val="0"/>
        <w:spacing w:after="120"/>
        <w:contextualSpacing/>
        <w:rPr>
          <w:rFonts w:cs="Times New Roman"/>
          <w:szCs w:val="24"/>
        </w:rPr>
      </w:pPr>
      <w:r w:rsidRPr="00951ED1">
        <w:rPr>
          <w:rFonts w:cs="Times New Roman"/>
          <w:szCs w:val="24"/>
        </w:rPr>
        <w:t xml:space="preserve">Australian Nuclear Science and </w:t>
      </w:r>
      <w:r w:rsidR="00C95C08" w:rsidRPr="00951ED1">
        <w:rPr>
          <w:rFonts w:cs="Times New Roman"/>
          <w:szCs w:val="24"/>
        </w:rPr>
        <w:t>Technology Organisation (ANSTO)</w:t>
      </w:r>
    </w:p>
    <w:p w14:paraId="46FB8391" w14:textId="5E21FDA4" w:rsidR="001443B3" w:rsidRPr="00951ED1" w:rsidRDefault="001443B3" w:rsidP="006E61F1">
      <w:pPr>
        <w:autoSpaceDE w:val="0"/>
        <w:autoSpaceDN w:val="0"/>
        <w:adjustRightInd w:val="0"/>
        <w:spacing w:after="120"/>
        <w:contextualSpacing/>
        <w:rPr>
          <w:rFonts w:cs="Times New Roman"/>
          <w:szCs w:val="24"/>
        </w:rPr>
      </w:pPr>
      <w:r w:rsidRPr="00951ED1">
        <w:rPr>
          <w:rFonts w:cs="Times New Roman"/>
          <w:szCs w:val="24"/>
        </w:rPr>
        <w:t xml:space="preserve">Australian Radiation Protection and </w:t>
      </w:r>
      <w:r w:rsidR="00C95C08" w:rsidRPr="00951ED1">
        <w:rPr>
          <w:rFonts w:cs="Times New Roman"/>
          <w:szCs w:val="24"/>
        </w:rPr>
        <w:t>Nuclear Safety Agency (ARPANSA)</w:t>
      </w:r>
    </w:p>
    <w:p w14:paraId="0DB1E800" w14:textId="590C57EA" w:rsidR="001D3422" w:rsidRPr="00951ED1" w:rsidRDefault="008C3C74" w:rsidP="006E61F1">
      <w:pPr>
        <w:autoSpaceDE w:val="0"/>
        <w:autoSpaceDN w:val="0"/>
        <w:adjustRightInd w:val="0"/>
        <w:spacing w:after="120"/>
        <w:contextualSpacing/>
        <w:rPr>
          <w:rFonts w:cs="Times New Roman"/>
          <w:szCs w:val="24"/>
        </w:rPr>
      </w:pPr>
      <w:r w:rsidRPr="00951ED1">
        <w:rPr>
          <w:rFonts w:cs="Times New Roman"/>
          <w:szCs w:val="24"/>
        </w:rPr>
        <w:t>Department of Immigration and Border Protection</w:t>
      </w:r>
    </w:p>
    <w:p w14:paraId="797E77D1" w14:textId="77777777" w:rsidR="00E30F6E" w:rsidRPr="00951ED1" w:rsidRDefault="00E30F6E" w:rsidP="006E61F1">
      <w:pPr>
        <w:autoSpaceDE w:val="0"/>
        <w:autoSpaceDN w:val="0"/>
        <w:adjustRightInd w:val="0"/>
        <w:spacing w:after="120"/>
        <w:rPr>
          <w:rFonts w:cs="Times New Roman"/>
          <w:szCs w:val="24"/>
        </w:rPr>
      </w:pPr>
      <w:r w:rsidRPr="00951ED1">
        <w:rPr>
          <w:rFonts w:cs="Times New Roman"/>
          <w:szCs w:val="24"/>
        </w:rPr>
        <w:t>Department of the Environment – Parks Australia</w:t>
      </w:r>
    </w:p>
    <w:p w14:paraId="03C79261" w14:textId="47B4ABE7" w:rsidR="00F56FCF" w:rsidRPr="006D47B2" w:rsidRDefault="00F56FCF" w:rsidP="006D47B2">
      <w:pPr>
        <w:pStyle w:val="Heading2"/>
        <w:numPr>
          <w:ilvl w:val="0"/>
          <w:numId w:val="0"/>
        </w:numPr>
        <w:ind w:left="578" w:hanging="578"/>
        <w:rPr>
          <w:rStyle w:val="Strong"/>
        </w:rPr>
      </w:pPr>
      <w:bookmarkStart w:id="60" w:name="_Toc470173185"/>
      <w:r w:rsidRPr="006D47B2">
        <w:rPr>
          <w:rStyle w:val="Strong"/>
        </w:rPr>
        <w:t>Source licence</w:t>
      </w:r>
      <w:r w:rsidR="00726E9A" w:rsidRPr="006D47B2">
        <w:rPr>
          <w:rStyle w:val="Strong"/>
        </w:rPr>
        <w:t xml:space="preserve"> holders</w:t>
      </w:r>
      <w:r w:rsidR="0083038E" w:rsidRPr="006D47B2">
        <w:rPr>
          <w:rStyle w:val="Strong"/>
        </w:rPr>
        <w:t>:</w:t>
      </w:r>
      <w:bookmarkEnd w:id="60"/>
    </w:p>
    <w:p w14:paraId="1A4733AF" w14:textId="77777777" w:rsidR="008C3C74" w:rsidRPr="00C95C08" w:rsidRDefault="008C3C74" w:rsidP="006E61F1">
      <w:pPr>
        <w:autoSpaceDE w:val="0"/>
        <w:autoSpaceDN w:val="0"/>
        <w:adjustRightInd w:val="0"/>
        <w:spacing w:after="0"/>
        <w:rPr>
          <w:rFonts w:cs="Times New Roman"/>
          <w:szCs w:val="24"/>
        </w:rPr>
      </w:pPr>
      <w:r w:rsidRPr="00C95C08">
        <w:rPr>
          <w:rFonts w:cs="Times New Roman"/>
          <w:szCs w:val="24"/>
        </w:rPr>
        <w:t>ASC Pty Ltd</w:t>
      </w:r>
    </w:p>
    <w:p w14:paraId="38968D00" w14:textId="77777777" w:rsidR="008C3C74" w:rsidRPr="00C95C08" w:rsidRDefault="008C3C74" w:rsidP="006E61F1">
      <w:pPr>
        <w:autoSpaceDE w:val="0"/>
        <w:autoSpaceDN w:val="0"/>
        <w:adjustRightInd w:val="0"/>
        <w:spacing w:after="0"/>
        <w:rPr>
          <w:rFonts w:cs="Times New Roman"/>
          <w:szCs w:val="24"/>
        </w:rPr>
      </w:pPr>
      <w:r w:rsidRPr="00C95C08">
        <w:rPr>
          <w:rFonts w:cs="Times New Roman"/>
          <w:szCs w:val="24"/>
        </w:rPr>
        <w:t>Attorney-General’s Department</w:t>
      </w:r>
    </w:p>
    <w:p w14:paraId="02AC1D55"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Crime Commission</w:t>
      </w:r>
    </w:p>
    <w:p w14:paraId="1FEE01AD"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Defence Force /Department of Defence</w:t>
      </w:r>
    </w:p>
    <w:p w14:paraId="08C2FB62"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Federal Police</w:t>
      </w:r>
    </w:p>
    <w:p w14:paraId="3B328531"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Institute of Marine Science</w:t>
      </w:r>
    </w:p>
    <w:p w14:paraId="1C2C712F"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National University</w:t>
      </w:r>
    </w:p>
    <w:p w14:paraId="6FFEDD61"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National University Enterprise Pty Ltd</w:t>
      </w:r>
    </w:p>
    <w:p w14:paraId="1F7FD31E"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Nuclear Science and Technology Organisation</w:t>
      </w:r>
    </w:p>
    <w:p w14:paraId="05D2E990"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Postal Corporation</w:t>
      </w:r>
    </w:p>
    <w:p w14:paraId="0756ED9E"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Radiation Protection and Nuclear Safety Agency</w:t>
      </w:r>
    </w:p>
    <w:p w14:paraId="2CE671A2"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Securities and Investments Commission</w:t>
      </w:r>
    </w:p>
    <w:p w14:paraId="1FA22646"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Sports Commission</w:t>
      </w:r>
    </w:p>
    <w:p w14:paraId="2AA31DC7"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Trade Commission</w:t>
      </w:r>
    </w:p>
    <w:p w14:paraId="4EBA26AC"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Transaction Reports and Analysis Centre</w:t>
      </w:r>
    </w:p>
    <w:p w14:paraId="566A63FB"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Australian War Memorial</w:t>
      </w:r>
    </w:p>
    <w:p w14:paraId="4A8A89AC"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Bureau of Meteorology – Cape Grim</w:t>
      </w:r>
    </w:p>
    <w:p w14:paraId="3FD05E21"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Commonwealth Scientific and Industrial Research Organisation</w:t>
      </w:r>
    </w:p>
    <w:p w14:paraId="37B7FF3E" w14:textId="77777777" w:rsidR="008C3C74" w:rsidRPr="00C95C08" w:rsidRDefault="008C3C74" w:rsidP="006E61F1">
      <w:pPr>
        <w:widowControl w:val="0"/>
        <w:autoSpaceDE w:val="0"/>
        <w:autoSpaceDN w:val="0"/>
        <w:adjustRightInd w:val="0"/>
        <w:spacing w:after="0"/>
        <w:rPr>
          <w:rFonts w:cs="Times New Roman"/>
          <w:szCs w:val="24"/>
        </w:rPr>
      </w:pPr>
      <w:proofErr w:type="spellStart"/>
      <w:r w:rsidRPr="00C95C08">
        <w:rPr>
          <w:rFonts w:cs="Times New Roman"/>
          <w:szCs w:val="24"/>
        </w:rPr>
        <w:t>Decipha</w:t>
      </w:r>
      <w:proofErr w:type="spellEnd"/>
      <w:r w:rsidRPr="00C95C08">
        <w:rPr>
          <w:rFonts w:cs="Times New Roman"/>
          <w:szCs w:val="24"/>
        </w:rPr>
        <w:t xml:space="preserve"> Pty Ltd</w:t>
      </w:r>
    </w:p>
    <w:p w14:paraId="28C7AC8A"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Agriculture and Water Resources</w:t>
      </w:r>
    </w:p>
    <w:p w14:paraId="0F32FAC2"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Foreign Affairs and Trade</w:t>
      </w:r>
    </w:p>
    <w:p w14:paraId="31CAA90A"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Immigration and Border Protection</w:t>
      </w:r>
    </w:p>
    <w:p w14:paraId="46C39FD3"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Industry, Innovation and Science</w:t>
      </w:r>
    </w:p>
    <w:p w14:paraId="59D74E86"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Industry, Innovation and Science – Geodesy and Seismic Monitoring Branch, Geoscience Australia</w:t>
      </w:r>
    </w:p>
    <w:p w14:paraId="33EC4199"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Industry, Innovation and Science – Geoscience Australia</w:t>
      </w:r>
    </w:p>
    <w:p w14:paraId="099D5909"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Industry, Innovation and Science – National Measurement Institute</w:t>
      </w:r>
    </w:p>
    <w:p w14:paraId="746D6890"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Infrastructure and Regional Development</w:t>
      </w:r>
    </w:p>
    <w:p w14:paraId="2451424B"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Parliamentary Services</w:t>
      </w:r>
    </w:p>
    <w:p w14:paraId="5C68F2F6"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Regional Australia, Regional Development and Local Government – Indian Ocean Territories Health Service</w:t>
      </w:r>
    </w:p>
    <w:p w14:paraId="413DBEA7"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the Environment – Australian Antarctic Division</w:t>
      </w:r>
    </w:p>
    <w:p w14:paraId="78C7ED19"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the Environment – Australian Antarctic Division, Polar Medicine</w:t>
      </w:r>
    </w:p>
    <w:p w14:paraId="28DFCF85"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lastRenderedPageBreak/>
        <w:t>Department of the Environment – Supervising Scientist</w:t>
      </w:r>
    </w:p>
    <w:p w14:paraId="2D28E979"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Department of the Prime Minister and Cabinet</w:t>
      </w:r>
    </w:p>
    <w:p w14:paraId="15919DBA"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Family Court of Australia</w:t>
      </w:r>
    </w:p>
    <w:p w14:paraId="0E5CA916"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Federal Court of Australia</w:t>
      </w:r>
    </w:p>
    <w:p w14:paraId="13CF7388"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High Court of Australia</w:t>
      </w:r>
    </w:p>
    <w:p w14:paraId="188FE746"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 xml:space="preserve">Law Courts Limited </w:t>
      </w:r>
    </w:p>
    <w:p w14:paraId="63A82B1D"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National Archives of Australia</w:t>
      </w:r>
    </w:p>
    <w:p w14:paraId="458AEAB3"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National Gallery of Australia</w:t>
      </w:r>
    </w:p>
    <w:p w14:paraId="7D5AB5D5"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National Museum of Australia</w:t>
      </w:r>
    </w:p>
    <w:p w14:paraId="1BFEA04C"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Note Printing Australia</w:t>
      </w:r>
    </w:p>
    <w:p w14:paraId="12583717"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Reserve Bank of Australia</w:t>
      </w:r>
    </w:p>
    <w:p w14:paraId="5D4618AA" w14:textId="77777777" w:rsidR="008C3C74" w:rsidRPr="00C95C08" w:rsidRDefault="008C3C74" w:rsidP="006E61F1">
      <w:pPr>
        <w:widowControl w:val="0"/>
        <w:autoSpaceDE w:val="0"/>
        <w:autoSpaceDN w:val="0"/>
        <w:adjustRightInd w:val="0"/>
        <w:spacing w:after="0"/>
        <w:rPr>
          <w:rFonts w:cs="Times New Roman"/>
          <w:szCs w:val="24"/>
        </w:rPr>
      </w:pPr>
      <w:r w:rsidRPr="00C95C08">
        <w:rPr>
          <w:rFonts w:cs="Times New Roman"/>
          <w:szCs w:val="24"/>
        </w:rPr>
        <w:t>Royal Australian Mint</w:t>
      </w:r>
    </w:p>
    <w:p w14:paraId="29423C4A" w14:textId="77777777" w:rsidR="00D11DD2" w:rsidRDefault="0019338F" w:rsidP="006E61F1">
      <w:pPr>
        <w:widowControl w:val="0"/>
        <w:autoSpaceDE w:val="0"/>
        <w:autoSpaceDN w:val="0"/>
        <w:adjustRightInd w:val="0"/>
        <w:spacing w:after="0"/>
        <w:rPr>
          <w:rFonts w:cs="Times New Roman"/>
          <w:szCs w:val="24"/>
        </w:rPr>
      </w:pPr>
      <w:proofErr w:type="spellStart"/>
      <w:r>
        <w:rPr>
          <w:rFonts w:cs="Times New Roman"/>
          <w:szCs w:val="24"/>
        </w:rPr>
        <w:t>Silex</w:t>
      </w:r>
      <w:proofErr w:type="spellEnd"/>
      <w:r>
        <w:rPr>
          <w:rFonts w:cs="Times New Roman"/>
          <w:szCs w:val="24"/>
        </w:rPr>
        <w:t xml:space="preserve"> Systems Ltd</w:t>
      </w:r>
    </w:p>
    <w:p w14:paraId="0C117F09" w14:textId="6D0FB6BA" w:rsidR="00102A25" w:rsidRPr="0019338F" w:rsidRDefault="00102A25" w:rsidP="006E61F1">
      <w:pPr>
        <w:widowControl w:val="0"/>
        <w:autoSpaceDE w:val="0"/>
        <w:autoSpaceDN w:val="0"/>
        <w:adjustRightInd w:val="0"/>
        <w:spacing w:after="0"/>
        <w:rPr>
          <w:rFonts w:cs="Times New Roman"/>
          <w:szCs w:val="24"/>
        </w:rPr>
      </w:pPr>
      <w:r w:rsidRPr="00E30F6E">
        <w:rPr>
          <w:rFonts w:cs="Times New Roman"/>
        </w:rPr>
        <w:br w:type="page"/>
      </w:r>
    </w:p>
    <w:p w14:paraId="164321A9" w14:textId="77777777" w:rsidR="00CB613D" w:rsidRPr="00A9092B" w:rsidRDefault="00102A25" w:rsidP="00D11DD2">
      <w:pPr>
        <w:pStyle w:val="Heading1"/>
        <w:numPr>
          <w:ilvl w:val="0"/>
          <w:numId w:val="0"/>
        </w:numPr>
        <w:ind w:left="431" w:hanging="431"/>
      </w:pPr>
      <w:bookmarkStart w:id="61" w:name="_Toc470173186"/>
      <w:r>
        <w:lastRenderedPageBreak/>
        <w:t>Appendix B</w:t>
      </w:r>
      <w:bookmarkEnd w:id="61"/>
    </w:p>
    <w:p w14:paraId="286F1C60" w14:textId="44C4CCF7" w:rsidR="00CB613D" w:rsidRPr="00A9092B" w:rsidRDefault="00CB613D" w:rsidP="006E61F1">
      <w:pPr>
        <w:widowControl w:val="0"/>
        <w:spacing w:after="120"/>
        <w:rPr>
          <w:rFonts w:cs="Times New Roman"/>
        </w:rPr>
      </w:pPr>
      <w:r w:rsidRPr="00A9092B">
        <w:rPr>
          <w:rFonts w:cs="Times New Roman"/>
        </w:rPr>
        <w:t>Information sources and documents provided to the assessment team</w:t>
      </w:r>
      <w:r w:rsidR="007761D2">
        <w:rPr>
          <w:rFonts w:cs="Times New Roman"/>
        </w:rPr>
        <w:t>.</w:t>
      </w:r>
    </w:p>
    <w:p w14:paraId="36A5F943" w14:textId="499595F5" w:rsidR="00E43559" w:rsidRPr="00A9092B" w:rsidRDefault="00E43559" w:rsidP="006E61F1">
      <w:pPr>
        <w:pStyle w:val="ListParagraph"/>
        <w:widowControl w:val="0"/>
        <w:numPr>
          <w:ilvl w:val="0"/>
          <w:numId w:val="19"/>
        </w:numPr>
        <w:rPr>
          <w:rFonts w:cs="Times New Roman"/>
        </w:rPr>
      </w:pPr>
      <w:r w:rsidRPr="00A9092B">
        <w:rPr>
          <w:rFonts w:cs="Times New Roman"/>
        </w:rPr>
        <w:t xml:space="preserve">KPI Data </w:t>
      </w:r>
      <w:r w:rsidR="007761D2">
        <w:rPr>
          <w:rFonts w:cs="Times New Roman"/>
        </w:rPr>
        <w:t>–</w:t>
      </w:r>
      <w:r w:rsidRPr="00A9092B">
        <w:rPr>
          <w:rFonts w:cs="Times New Roman"/>
        </w:rPr>
        <w:t xml:space="preserve"> TRIM document R16/03919 and TRIM document R16/01258</w:t>
      </w:r>
    </w:p>
    <w:p w14:paraId="18584A6C" w14:textId="6DBE8B55" w:rsidR="00E43559" w:rsidRPr="00A9092B" w:rsidRDefault="00E43559" w:rsidP="006E61F1">
      <w:pPr>
        <w:pStyle w:val="ListParagraph"/>
        <w:widowControl w:val="0"/>
        <w:numPr>
          <w:ilvl w:val="0"/>
          <w:numId w:val="19"/>
        </w:numPr>
        <w:ind w:left="714" w:hanging="357"/>
        <w:rPr>
          <w:rFonts w:cs="Times New Roman"/>
        </w:rPr>
      </w:pPr>
      <w:r w:rsidRPr="00A9092B">
        <w:rPr>
          <w:rFonts w:cs="Times New Roman"/>
        </w:rPr>
        <w:t>The Auditor-General Audit Report No.29 2013</w:t>
      </w:r>
      <w:r w:rsidR="0019338F">
        <w:rPr>
          <w:rFonts w:cs="Times New Roman"/>
        </w:rPr>
        <w:t>-</w:t>
      </w:r>
      <w:r w:rsidRPr="00A9092B">
        <w:rPr>
          <w:rFonts w:cs="Times New Roman"/>
        </w:rPr>
        <w:t>14 Per</w:t>
      </w:r>
      <w:r w:rsidR="007761D2">
        <w:rPr>
          <w:rFonts w:cs="Times New Roman"/>
        </w:rPr>
        <w:t xml:space="preserve">formance Report </w:t>
      </w:r>
      <w:r w:rsidR="00C95C08">
        <w:rPr>
          <w:rFonts w:cs="Times New Roman"/>
        </w:rPr>
        <w:br/>
      </w:r>
      <w:r w:rsidR="007761D2">
        <w:rPr>
          <w:rFonts w:cs="Times New Roman"/>
        </w:rPr>
        <w:t>No.29 2013</w:t>
      </w:r>
      <w:r w:rsidR="0019338F">
        <w:rPr>
          <w:rFonts w:cs="Times New Roman"/>
        </w:rPr>
        <w:t>-</w:t>
      </w:r>
      <w:r w:rsidR="007761D2">
        <w:rPr>
          <w:rFonts w:cs="Times New Roman"/>
        </w:rPr>
        <w:t>14</w:t>
      </w:r>
    </w:p>
    <w:p w14:paraId="0E2BC4DD" w14:textId="47C62E31" w:rsidR="00E43559" w:rsidRPr="00A9092B" w:rsidRDefault="00E43559" w:rsidP="006E61F1">
      <w:pPr>
        <w:pStyle w:val="ListParagraph"/>
        <w:widowControl w:val="0"/>
        <w:numPr>
          <w:ilvl w:val="0"/>
          <w:numId w:val="19"/>
        </w:numPr>
        <w:ind w:left="714" w:hanging="357"/>
        <w:rPr>
          <w:rFonts w:cs="Times New Roman"/>
        </w:rPr>
      </w:pPr>
      <w:r w:rsidRPr="00A9092B">
        <w:rPr>
          <w:rFonts w:cs="Times New Roman"/>
        </w:rPr>
        <w:t>ARPANSA Closure Report of ANAO Aud</w:t>
      </w:r>
      <w:r w:rsidR="007761D2">
        <w:rPr>
          <w:rFonts w:cs="Times New Roman"/>
        </w:rPr>
        <w:t>it No.29 2013</w:t>
      </w:r>
      <w:r w:rsidR="0019338F">
        <w:rPr>
          <w:rFonts w:cs="Times New Roman"/>
        </w:rPr>
        <w:t>-</w:t>
      </w:r>
      <w:r w:rsidR="007761D2">
        <w:rPr>
          <w:rFonts w:cs="Times New Roman"/>
        </w:rPr>
        <w:t>14, February 2015</w:t>
      </w:r>
    </w:p>
    <w:p w14:paraId="402C0B88" w14:textId="6CF5C431" w:rsidR="00E43559" w:rsidRPr="00A9092B" w:rsidRDefault="00E43559" w:rsidP="006E61F1">
      <w:pPr>
        <w:pStyle w:val="ListParagraph"/>
        <w:widowControl w:val="0"/>
        <w:numPr>
          <w:ilvl w:val="0"/>
          <w:numId w:val="19"/>
        </w:numPr>
        <w:ind w:left="714" w:hanging="357"/>
        <w:rPr>
          <w:rFonts w:cs="Times New Roman"/>
        </w:rPr>
      </w:pPr>
      <w:r w:rsidRPr="00A9092B">
        <w:rPr>
          <w:rFonts w:cs="Times New Roman"/>
        </w:rPr>
        <w:t xml:space="preserve">NEA/CNRA/R(2014)3 </w:t>
      </w:r>
      <w:r w:rsidR="007761D2">
        <w:rPr>
          <w:rFonts w:cs="Times New Roman"/>
        </w:rPr>
        <w:t>–</w:t>
      </w:r>
      <w:r w:rsidRPr="00A9092B">
        <w:rPr>
          <w:rFonts w:cs="Times New Roman"/>
        </w:rPr>
        <w:t xml:space="preserve"> The Characteristics of an Effective Nuclear Regulator OECD 2014</w:t>
      </w:r>
    </w:p>
    <w:p w14:paraId="74C3318D" w14:textId="2B746BC9" w:rsidR="00E43559" w:rsidRPr="00A9092B" w:rsidRDefault="00E43559" w:rsidP="006E61F1">
      <w:pPr>
        <w:pStyle w:val="ListParagraph"/>
        <w:widowControl w:val="0"/>
        <w:numPr>
          <w:ilvl w:val="0"/>
          <w:numId w:val="19"/>
        </w:numPr>
        <w:ind w:left="714" w:hanging="357"/>
        <w:rPr>
          <w:rFonts w:cs="Times New Roman"/>
        </w:rPr>
      </w:pPr>
      <w:r w:rsidRPr="00A9092B">
        <w:rPr>
          <w:rFonts w:cs="Times New Roman"/>
        </w:rPr>
        <w:t>ARPANSA P</w:t>
      </w:r>
      <w:r w:rsidR="00F9224E">
        <w:rPr>
          <w:rFonts w:cs="Times New Roman"/>
        </w:rPr>
        <w:t xml:space="preserve">erformance </w:t>
      </w:r>
      <w:r w:rsidRPr="00A9092B">
        <w:rPr>
          <w:rFonts w:cs="Times New Roman"/>
        </w:rPr>
        <w:t>O</w:t>
      </w:r>
      <w:r w:rsidR="00F9224E">
        <w:rPr>
          <w:rFonts w:cs="Times New Roman"/>
        </w:rPr>
        <w:t>bjectives and Criteria</w:t>
      </w:r>
    </w:p>
    <w:p w14:paraId="7F50E38F" w14:textId="2C57CBB9" w:rsidR="00E43559" w:rsidRPr="00A9092B" w:rsidRDefault="00092E48" w:rsidP="006E61F1">
      <w:pPr>
        <w:pStyle w:val="ListParagraph"/>
        <w:widowControl w:val="0"/>
        <w:numPr>
          <w:ilvl w:val="0"/>
          <w:numId w:val="19"/>
        </w:numPr>
        <w:ind w:left="714" w:hanging="357"/>
        <w:rPr>
          <w:rFonts w:cs="Times New Roman"/>
        </w:rPr>
      </w:pPr>
      <w:r>
        <w:rPr>
          <w:rFonts w:cs="Times New Roman"/>
        </w:rPr>
        <w:t>Post-</w:t>
      </w:r>
      <w:r w:rsidR="00E43559" w:rsidRPr="00A9092B">
        <w:rPr>
          <w:rFonts w:cs="Times New Roman"/>
        </w:rPr>
        <w:t>Inspection Surveys</w:t>
      </w:r>
      <w:r w:rsidR="00F9224E">
        <w:rPr>
          <w:rFonts w:cs="Times New Roman"/>
        </w:rPr>
        <w:t xml:space="preserve">, </w:t>
      </w:r>
      <w:r w:rsidR="00E43559" w:rsidRPr="00A9092B">
        <w:rPr>
          <w:rFonts w:cs="Times New Roman"/>
        </w:rPr>
        <w:t>2015</w:t>
      </w:r>
      <w:r w:rsidR="007761D2">
        <w:rPr>
          <w:rFonts w:cs="Times New Roman"/>
        </w:rPr>
        <w:t>-</w:t>
      </w:r>
      <w:r w:rsidR="00E43559" w:rsidRPr="00A9092B">
        <w:rPr>
          <w:rFonts w:cs="Times New Roman"/>
        </w:rPr>
        <w:t>2016</w:t>
      </w:r>
    </w:p>
    <w:p w14:paraId="5D36D02C" w14:textId="3F2F398B" w:rsidR="00E43559" w:rsidRPr="00A9092B" w:rsidRDefault="00E43559" w:rsidP="006E61F1">
      <w:pPr>
        <w:pStyle w:val="ListParagraph"/>
        <w:widowControl w:val="0"/>
        <w:numPr>
          <w:ilvl w:val="0"/>
          <w:numId w:val="19"/>
        </w:numPr>
        <w:ind w:left="714" w:hanging="357"/>
        <w:rPr>
          <w:rFonts w:cs="Times New Roman"/>
        </w:rPr>
      </w:pPr>
      <w:r w:rsidRPr="00A9092B">
        <w:rPr>
          <w:rFonts w:cs="Times New Roman"/>
        </w:rPr>
        <w:t>Internal employee surveys</w:t>
      </w:r>
      <w:r w:rsidR="00F9224E">
        <w:rPr>
          <w:rFonts w:cs="Times New Roman"/>
        </w:rPr>
        <w:t>,</w:t>
      </w:r>
      <w:r w:rsidRPr="00A9092B">
        <w:rPr>
          <w:rFonts w:cs="Times New Roman"/>
        </w:rPr>
        <w:t xml:space="preserve"> 2015</w:t>
      </w:r>
    </w:p>
    <w:p w14:paraId="1ADCFF21" w14:textId="7891920C" w:rsidR="00E43559" w:rsidRPr="00A9092B" w:rsidRDefault="00E43559" w:rsidP="006E61F1">
      <w:pPr>
        <w:pStyle w:val="ListParagraph"/>
        <w:widowControl w:val="0"/>
        <w:numPr>
          <w:ilvl w:val="0"/>
          <w:numId w:val="19"/>
        </w:numPr>
        <w:rPr>
          <w:rFonts w:cs="Times New Roman"/>
        </w:rPr>
      </w:pPr>
      <w:r w:rsidRPr="00A9092B">
        <w:rPr>
          <w:rFonts w:cs="Times New Roman"/>
        </w:rPr>
        <w:t>Report to the Australian Communications and Media Authority on the Regulatory Performance Framework (RPF)</w:t>
      </w:r>
      <w:r w:rsidR="00F9224E">
        <w:rPr>
          <w:rFonts w:cs="Times New Roman"/>
        </w:rPr>
        <w:t xml:space="preserve">, </w:t>
      </w:r>
      <w:r w:rsidR="00C95C08">
        <w:rPr>
          <w:rFonts w:cs="Times New Roman"/>
        </w:rPr>
        <w:t>June 2015</w:t>
      </w:r>
    </w:p>
    <w:p w14:paraId="2B3451FB" w14:textId="300604E9" w:rsidR="00E43559" w:rsidRPr="00A9092B" w:rsidRDefault="00E43559" w:rsidP="006E61F1">
      <w:pPr>
        <w:pStyle w:val="ListParagraph"/>
        <w:widowControl w:val="0"/>
        <w:numPr>
          <w:ilvl w:val="0"/>
          <w:numId w:val="19"/>
        </w:numPr>
        <w:rPr>
          <w:rFonts w:cs="Times New Roman"/>
        </w:rPr>
      </w:pPr>
      <w:r w:rsidRPr="00A9092B">
        <w:rPr>
          <w:rFonts w:cs="Times New Roman"/>
        </w:rPr>
        <w:t>Regulator Performance F</w:t>
      </w:r>
      <w:r w:rsidR="00C95C08">
        <w:rPr>
          <w:rFonts w:cs="Times New Roman"/>
        </w:rPr>
        <w:t>ramework ISBN 978-1-925237-08-5</w:t>
      </w:r>
    </w:p>
    <w:p w14:paraId="1139DE7B" w14:textId="79601895" w:rsidR="00E43559" w:rsidRPr="00A9092B" w:rsidRDefault="00E43559" w:rsidP="006E61F1">
      <w:pPr>
        <w:pStyle w:val="ListParagraph"/>
        <w:widowControl w:val="0"/>
        <w:numPr>
          <w:ilvl w:val="0"/>
          <w:numId w:val="19"/>
        </w:numPr>
        <w:rPr>
          <w:rFonts w:cs="Times New Roman"/>
        </w:rPr>
      </w:pPr>
      <w:r w:rsidRPr="00A9092B">
        <w:rPr>
          <w:rFonts w:cs="Times New Roman"/>
        </w:rPr>
        <w:t xml:space="preserve"> Inspection </w:t>
      </w:r>
      <w:r w:rsidR="007761D2">
        <w:rPr>
          <w:rFonts w:cs="Times New Roman"/>
        </w:rPr>
        <w:t xml:space="preserve">reports </w:t>
      </w:r>
      <w:r w:rsidR="0019338F">
        <w:rPr>
          <w:rFonts w:cs="Times New Roman"/>
        </w:rPr>
        <w:t>–</w:t>
      </w:r>
      <w:r w:rsidR="007761D2">
        <w:rPr>
          <w:rFonts w:cs="Times New Roman"/>
        </w:rPr>
        <w:t xml:space="preserve"> March 2015 to present</w:t>
      </w:r>
    </w:p>
    <w:p w14:paraId="7418D56B" w14:textId="311CC2CD" w:rsidR="00E43559" w:rsidRPr="00A9092B" w:rsidRDefault="00F9224E" w:rsidP="006E61F1">
      <w:pPr>
        <w:pStyle w:val="ListParagraph"/>
        <w:widowControl w:val="0"/>
        <w:numPr>
          <w:ilvl w:val="0"/>
          <w:numId w:val="19"/>
        </w:numPr>
        <w:rPr>
          <w:rFonts w:cs="Times New Roman"/>
        </w:rPr>
      </w:pPr>
      <w:r>
        <w:rPr>
          <w:rFonts w:cs="Times New Roman"/>
        </w:rPr>
        <w:t>Three</w:t>
      </w:r>
      <w:r w:rsidR="00E43559" w:rsidRPr="00A9092B">
        <w:rPr>
          <w:rFonts w:cs="Times New Roman"/>
        </w:rPr>
        <w:t xml:space="preserve"> year facility and </w:t>
      </w:r>
      <w:r>
        <w:rPr>
          <w:rFonts w:cs="Times New Roman"/>
        </w:rPr>
        <w:t>five</w:t>
      </w:r>
      <w:r w:rsidR="00E43559" w:rsidRPr="00A9092B">
        <w:rPr>
          <w:rFonts w:cs="Times New Roman"/>
        </w:rPr>
        <w:t xml:space="preserve"> year source inspection schedules</w:t>
      </w:r>
    </w:p>
    <w:p w14:paraId="77C067AC" w14:textId="376A0AD0" w:rsidR="00E43559" w:rsidRPr="00A9092B" w:rsidRDefault="00F9224E" w:rsidP="006E61F1">
      <w:pPr>
        <w:pStyle w:val="ListParagraph"/>
        <w:widowControl w:val="0"/>
        <w:numPr>
          <w:ilvl w:val="0"/>
          <w:numId w:val="19"/>
        </w:numPr>
        <w:rPr>
          <w:rFonts w:cs="Times New Roman"/>
        </w:rPr>
      </w:pPr>
      <w:r>
        <w:rPr>
          <w:rFonts w:cs="Times New Roman"/>
        </w:rPr>
        <w:t xml:space="preserve">ARPANSA </w:t>
      </w:r>
      <w:r w:rsidR="00E43559" w:rsidRPr="00A9092B">
        <w:rPr>
          <w:rFonts w:cs="Times New Roman"/>
        </w:rPr>
        <w:t xml:space="preserve">Annual </w:t>
      </w:r>
      <w:r>
        <w:rPr>
          <w:rFonts w:cs="Times New Roman"/>
        </w:rPr>
        <w:t>R</w:t>
      </w:r>
      <w:r w:rsidR="00E43559" w:rsidRPr="00A9092B">
        <w:rPr>
          <w:rFonts w:cs="Times New Roman"/>
        </w:rPr>
        <w:t>eport</w:t>
      </w:r>
      <w:r>
        <w:rPr>
          <w:rFonts w:cs="Times New Roman"/>
        </w:rPr>
        <w:t>, 2016</w:t>
      </w:r>
    </w:p>
    <w:p w14:paraId="2B5630CA" w14:textId="7A2DAD51" w:rsidR="00E43559" w:rsidRPr="00A9092B" w:rsidRDefault="00E43559" w:rsidP="006E61F1">
      <w:pPr>
        <w:pStyle w:val="ListParagraph"/>
        <w:widowControl w:val="0"/>
        <w:numPr>
          <w:ilvl w:val="0"/>
          <w:numId w:val="19"/>
        </w:numPr>
        <w:rPr>
          <w:rFonts w:cs="Times New Roman"/>
        </w:rPr>
      </w:pPr>
      <w:r w:rsidRPr="00A9092B">
        <w:rPr>
          <w:rFonts w:cs="Times New Roman"/>
        </w:rPr>
        <w:t>Work and meeting schedules</w:t>
      </w:r>
    </w:p>
    <w:p w14:paraId="249A803D" w14:textId="455F01E0" w:rsidR="00E43559" w:rsidRPr="00A9092B" w:rsidRDefault="00E43559" w:rsidP="006E61F1">
      <w:pPr>
        <w:pStyle w:val="ListParagraph"/>
        <w:widowControl w:val="0"/>
        <w:numPr>
          <w:ilvl w:val="0"/>
          <w:numId w:val="19"/>
        </w:numPr>
        <w:rPr>
          <w:rFonts w:cs="Times New Roman"/>
        </w:rPr>
      </w:pPr>
      <w:r w:rsidRPr="00A9092B">
        <w:rPr>
          <w:rFonts w:cs="Times New Roman"/>
        </w:rPr>
        <w:t>Operating experience information</w:t>
      </w:r>
    </w:p>
    <w:p w14:paraId="5636693E" w14:textId="68D7B52E" w:rsidR="00E43559" w:rsidRPr="00A9092B" w:rsidRDefault="00E43559" w:rsidP="006E61F1">
      <w:pPr>
        <w:pStyle w:val="ListParagraph"/>
        <w:widowControl w:val="0"/>
        <w:numPr>
          <w:ilvl w:val="0"/>
          <w:numId w:val="19"/>
        </w:numPr>
        <w:rPr>
          <w:rFonts w:cs="Times New Roman"/>
        </w:rPr>
      </w:pPr>
      <w:r w:rsidRPr="00A9092B">
        <w:rPr>
          <w:rFonts w:cs="Times New Roman"/>
        </w:rPr>
        <w:t>Organisation charts</w:t>
      </w:r>
    </w:p>
    <w:p w14:paraId="00705B80" w14:textId="364E9881" w:rsidR="00E43559" w:rsidRPr="00A9092B" w:rsidRDefault="00E43559" w:rsidP="006E61F1">
      <w:pPr>
        <w:pStyle w:val="ListParagraph"/>
        <w:widowControl w:val="0"/>
        <w:numPr>
          <w:ilvl w:val="0"/>
          <w:numId w:val="19"/>
        </w:numPr>
        <w:rPr>
          <w:rFonts w:cs="Times New Roman"/>
        </w:rPr>
      </w:pPr>
      <w:r w:rsidRPr="00A9092B">
        <w:rPr>
          <w:rFonts w:cs="Times New Roman"/>
        </w:rPr>
        <w:t>Internal complaint mechanism input</w:t>
      </w:r>
    </w:p>
    <w:p w14:paraId="7172E728" w14:textId="003D4AD5" w:rsidR="00E43559" w:rsidRDefault="00E43559" w:rsidP="006E61F1">
      <w:pPr>
        <w:pStyle w:val="ListParagraph"/>
        <w:widowControl w:val="0"/>
        <w:numPr>
          <w:ilvl w:val="0"/>
          <w:numId w:val="19"/>
        </w:numPr>
        <w:rPr>
          <w:rFonts w:cs="Times New Roman"/>
        </w:rPr>
      </w:pPr>
      <w:r w:rsidRPr="00A9092B">
        <w:rPr>
          <w:rFonts w:cs="Times New Roman"/>
        </w:rPr>
        <w:t>Area for Improvement Development Form</w:t>
      </w:r>
    </w:p>
    <w:p w14:paraId="601AE96F" w14:textId="4A6C892C" w:rsidR="00E43559" w:rsidRPr="00133CE8" w:rsidRDefault="00016699" w:rsidP="006E61F1">
      <w:pPr>
        <w:pStyle w:val="ListParagraph"/>
        <w:widowControl w:val="0"/>
        <w:numPr>
          <w:ilvl w:val="0"/>
          <w:numId w:val="19"/>
        </w:numPr>
        <w:rPr>
          <w:rFonts w:cs="Times New Roman"/>
        </w:rPr>
      </w:pPr>
      <w:r>
        <w:t>I</w:t>
      </w:r>
      <w:r w:rsidRPr="00016699">
        <w:t>n-house IT systems including the Licence Administration Database (LAD)</w:t>
      </w:r>
    </w:p>
    <w:sectPr w:rsidR="00E43559" w:rsidRPr="00133CE8" w:rsidSect="00CF637A">
      <w:footerReference w:type="default" r:id="rId30"/>
      <w:footerReference w:type="first" r:id="rId31"/>
      <w:pgSz w:w="11906" w:h="16838"/>
      <w:pgMar w:top="1440" w:right="1440" w:bottom="540" w:left="1440" w:header="708" w:footer="708"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967FC" w15:done="0"/>
  <w15:commentEx w15:paraId="13F2A3CE" w15:done="0"/>
  <w15:commentEx w15:paraId="63E1F621" w15:done="0"/>
  <w15:commentEx w15:paraId="3456C384" w15:done="0"/>
  <w15:commentEx w15:paraId="15166F11" w15:done="0"/>
  <w15:commentEx w15:paraId="6082B398" w15:done="0"/>
  <w15:commentEx w15:paraId="15FEF2D8" w15:done="0"/>
  <w15:commentEx w15:paraId="70B70349" w15:done="0"/>
  <w15:commentEx w15:paraId="6FEEFA4D" w15:done="0"/>
  <w15:commentEx w15:paraId="3805F7EA" w15:done="0"/>
  <w15:commentEx w15:paraId="611ABFF7" w15:done="0"/>
  <w15:commentEx w15:paraId="4241EB33" w15:done="0"/>
  <w15:commentEx w15:paraId="084D577F" w15:done="0"/>
  <w15:commentEx w15:paraId="372DDAB0" w15:done="0"/>
  <w15:commentEx w15:paraId="0ED7AC16" w15:done="0"/>
  <w15:commentEx w15:paraId="53E7DC25" w15:done="0"/>
  <w15:commentEx w15:paraId="42AFDCBD" w15:done="0"/>
  <w15:commentEx w15:paraId="6FB40D1C" w15:done="0"/>
  <w15:commentEx w15:paraId="7472AFB5" w15:done="0"/>
  <w15:commentEx w15:paraId="7F6A88DF" w15:done="0"/>
  <w15:commentEx w15:paraId="3511D204" w15:done="0"/>
  <w15:commentEx w15:paraId="5000CF08" w15:done="0"/>
  <w15:commentEx w15:paraId="4A13552D" w15:done="0"/>
  <w15:commentEx w15:paraId="62B76F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DD90E" w14:textId="77777777" w:rsidR="005F20C2" w:rsidRDefault="005F20C2" w:rsidP="00D17C73">
      <w:pPr>
        <w:spacing w:after="0" w:line="240" w:lineRule="auto"/>
      </w:pPr>
      <w:r>
        <w:separator/>
      </w:r>
    </w:p>
  </w:endnote>
  <w:endnote w:type="continuationSeparator" w:id="0">
    <w:p w14:paraId="3696A90C" w14:textId="77777777" w:rsidR="005F20C2" w:rsidRDefault="005F20C2" w:rsidP="00D1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78527"/>
      <w:docPartObj>
        <w:docPartGallery w:val="Page Numbers (Bottom of Page)"/>
        <w:docPartUnique/>
      </w:docPartObj>
    </w:sdtPr>
    <w:sdtEndPr>
      <w:rPr>
        <w:noProof/>
      </w:rPr>
    </w:sdtEndPr>
    <w:sdtContent>
      <w:p w14:paraId="4E62D194" w14:textId="7CE839B7" w:rsidR="005F20C2" w:rsidRDefault="005F20C2" w:rsidP="003B795D">
        <w:pPr>
          <w:pStyle w:val="Footer"/>
        </w:pPr>
        <w:r w:rsidRPr="003B795D">
          <w:rPr>
            <w:sz w:val="20"/>
            <w:szCs w:val="20"/>
          </w:rPr>
          <w:t>Reference R16/09670</w:t>
        </w:r>
        <w:r>
          <w:tab/>
        </w:r>
        <w:r>
          <w:tab/>
        </w:r>
        <w:r>
          <w:fldChar w:fldCharType="begin"/>
        </w:r>
        <w:r>
          <w:instrText xml:space="preserve"> PAGE   \* MERGEFORMAT </w:instrText>
        </w:r>
        <w:r>
          <w:fldChar w:fldCharType="separate"/>
        </w:r>
        <w:r w:rsidR="00D11DD2">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F97E3" w14:textId="5E52B1CF" w:rsidR="005F20C2" w:rsidRDefault="005F20C2">
    <w:pPr>
      <w:pStyle w:val="Footer"/>
    </w:pPr>
    <w:r w:rsidRPr="00620A6A">
      <w:rPr>
        <w:sz w:val="20"/>
        <w:szCs w:val="20"/>
      </w:rPr>
      <w:t>Reference R16/09670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88F1B" w14:textId="77777777" w:rsidR="005F20C2" w:rsidRDefault="005F20C2" w:rsidP="00D17C73">
      <w:pPr>
        <w:spacing w:after="0" w:line="240" w:lineRule="auto"/>
      </w:pPr>
      <w:r>
        <w:separator/>
      </w:r>
    </w:p>
  </w:footnote>
  <w:footnote w:type="continuationSeparator" w:id="0">
    <w:p w14:paraId="670EB2C5" w14:textId="77777777" w:rsidR="005F20C2" w:rsidRDefault="005F20C2" w:rsidP="00D17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AAA"/>
    <w:multiLevelType w:val="hybridMultilevel"/>
    <w:tmpl w:val="38B4CA44"/>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CE4244"/>
    <w:multiLevelType w:val="hybridMultilevel"/>
    <w:tmpl w:val="DE96A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ED22F8"/>
    <w:multiLevelType w:val="hybridMultilevel"/>
    <w:tmpl w:val="5770F152"/>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0961D0"/>
    <w:multiLevelType w:val="hybridMultilevel"/>
    <w:tmpl w:val="5C689A04"/>
    <w:lvl w:ilvl="0" w:tplc="0C090001">
      <w:start w:val="1"/>
      <w:numFmt w:val="bullet"/>
      <w:lvlText w:val=""/>
      <w:lvlJc w:val="left"/>
      <w:pPr>
        <w:ind w:left="786"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F47F5F"/>
    <w:multiLevelType w:val="hybridMultilevel"/>
    <w:tmpl w:val="94AE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4838E5"/>
    <w:multiLevelType w:val="hybridMultilevel"/>
    <w:tmpl w:val="C6E6F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44C562D"/>
    <w:multiLevelType w:val="hybridMultilevel"/>
    <w:tmpl w:val="715C5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830123"/>
    <w:multiLevelType w:val="hybridMultilevel"/>
    <w:tmpl w:val="7966D45E"/>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050D96"/>
    <w:multiLevelType w:val="hybridMultilevel"/>
    <w:tmpl w:val="D9285866"/>
    <w:lvl w:ilvl="0" w:tplc="459E3AD8">
      <w:numFmt w:val="bullet"/>
      <w:lvlText w:val="•"/>
      <w:lvlJc w:val="left"/>
      <w:pPr>
        <w:ind w:left="770" w:hanging="360"/>
      </w:pPr>
      <w:rPr>
        <w:rFonts w:ascii="Calibri" w:eastAsiaTheme="minorHAnsi" w:hAnsi="Calibri" w:cstheme="minorBid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29EF7F63"/>
    <w:multiLevelType w:val="hybridMultilevel"/>
    <w:tmpl w:val="BFD04710"/>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AF93E9A"/>
    <w:multiLevelType w:val="hybridMultilevel"/>
    <w:tmpl w:val="AA10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7A3A55"/>
    <w:multiLevelType w:val="hybridMultilevel"/>
    <w:tmpl w:val="CC0A25A8"/>
    <w:lvl w:ilvl="0" w:tplc="F1B693BE">
      <w:start w:val="1"/>
      <w:numFmt w:val="bullet"/>
      <w:lvlText w:val=""/>
      <w:lvlJc w:val="left"/>
      <w:pPr>
        <w:ind w:left="786"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8A1FD3"/>
    <w:multiLevelType w:val="hybridMultilevel"/>
    <w:tmpl w:val="48AE90F8"/>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B143A3"/>
    <w:multiLevelType w:val="hybridMultilevel"/>
    <w:tmpl w:val="EE5C00BE"/>
    <w:lvl w:ilvl="0" w:tplc="3B6C1B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4025EC2"/>
    <w:multiLevelType w:val="hybridMultilevel"/>
    <w:tmpl w:val="8BCA5F20"/>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714AA0"/>
    <w:multiLevelType w:val="hybridMultilevel"/>
    <w:tmpl w:val="EE5C00BE"/>
    <w:lvl w:ilvl="0" w:tplc="3B6C1B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777D91"/>
    <w:multiLevelType w:val="hybridMultilevel"/>
    <w:tmpl w:val="CA92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C7013E"/>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BDB0570"/>
    <w:multiLevelType w:val="hybridMultilevel"/>
    <w:tmpl w:val="AE52311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9">
    <w:nsid w:val="45FC282C"/>
    <w:multiLevelType w:val="hybridMultilevel"/>
    <w:tmpl w:val="1FB6FDE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4C59A0"/>
    <w:multiLevelType w:val="hybridMultilevel"/>
    <w:tmpl w:val="7B5CFBFE"/>
    <w:lvl w:ilvl="0" w:tplc="DBB2BB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A12684F"/>
    <w:multiLevelType w:val="hybridMultilevel"/>
    <w:tmpl w:val="2528FC74"/>
    <w:lvl w:ilvl="0" w:tplc="EAC66376">
      <w:start w:val="1"/>
      <w:numFmt w:val="decimal"/>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0106B4"/>
    <w:multiLevelType w:val="hybridMultilevel"/>
    <w:tmpl w:val="8BCA5F20"/>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037EAC"/>
    <w:multiLevelType w:val="hybridMultilevel"/>
    <w:tmpl w:val="099E4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240F3A"/>
    <w:multiLevelType w:val="hybridMultilevel"/>
    <w:tmpl w:val="BA5E2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6A736C"/>
    <w:multiLevelType w:val="hybridMultilevel"/>
    <w:tmpl w:val="E7240AEE"/>
    <w:lvl w:ilvl="0" w:tplc="0C090001">
      <w:start w:val="1"/>
      <w:numFmt w:val="bullet"/>
      <w:lvlText w:val=""/>
      <w:lvlJc w:val="left"/>
      <w:pPr>
        <w:ind w:left="720" w:hanging="360"/>
      </w:pPr>
      <w:rPr>
        <w:rFonts w:ascii="Symbol" w:hAnsi="Symbol" w:hint="default"/>
      </w:rPr>
    </w:lvl>
    <w:lvl w:ilvl="1" w:tplc="477CC980">
      <w:numFmt w:val="bullet"/>
      <w:lvlText w:val="•"/>
      <w:lvlJc w:val="left"/>
      <w:pPr>
        <w:ind w:left="1440" w:hanging="360"/>
      </w:pPr>
      <w:rPr>
        <w:rFonts w:ascii="Calibri" w:eastAsiaTheme="minorEastAsia" w:hAnsi="Calibri" w:cstheme="minorBidi" w:hint="default"/>
      </w:rPr>
    </w:lvl>
    <w:lvl w:ilvl="2" w:tplc="AA005718">
      <w:numFmt w:val="bullet"/>
      <w:lvlText w:val="-"/>
      <w:lvlJc w:val="left"/>
      <w:pPr>
        <w:ind w:left="2160" w:hanging="360"/>
      </w:pPr>
      <w:rPr>
        <w:rFonts w:ascii="Calibri" w:eastAsiaTheme="minorEastAsia"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387126"/>
    <w:multiLevelType w:val="hybridMultilevel"/>
    <w:tmpl w:val="12547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63296E"/>
    <w:multiLevelType w:val="hybridMultilevel"/>
    <w:tmpl w:val="51EE8DD8"/>
    <w:lvl w:ilvl="0" w:tplc="EDC89F7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5C3F14"/>
    <w:multiLevelType w:val="hybridMultilevel"/>
    <w:tmpl w:val="41F252D4"/>
    <w:lvl w:ilvl="0" w:tplc="26D8B52C">
      <w:start w:val="3"/>
      <w:numFmt w:val="bullet"/>
      <w:lvlText w:val="•"/>
      <w:lvlJc w:val="left"/>
      <w:pPr>
        <w:ind w:left="1440" w:hanging="72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768551B"/>
    <w:multiLevelType w:val="multilevel"/>
    <w:tmpl w:val="ED16042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Roman"/>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D02386A"/>
    <w:multiLevelType w:val="hybridMultilevel"/>
    <w:tmpl w:val="E756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DD12C85"/>
    <w:multiLevelType w:val="multilevel"/>
    <w:tmpl w:val="4ED80B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FE27629"/>
    <w:multiLevelType w:val="hybridMultilevel"/>
    <w:tmpl w:val="8E3E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F227E3"/>
    <w:multiLevelType w:val="hybridMultilevel"/>
    <w:tmpl w:val="A8CA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BA7015"/>
    <w:multiLevelType w:val="hybridMultilevel"/>
    <w:tmpl w:val="49BC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587E91"/>
    <w:multiLevelType w:val="hybridMultilevel"/>
    <w:tmpl w:val="A9F4A15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6">
    <w:nsid w:val="7B913840"/>
    <w:multiLevelType w:val="hybridMultilevel"/>
    <w:tmpl w:val="9ED0261A"/>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4235E3"/>
    <w:multiLevelType w:val="hybridMultilevel"/>
    <w:tmpl w:val="1B9C842C"/>
    <w:lvl w:ilvl="0" w:tplc="459E3AD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CB4B78"/>
    <w:multiLevelType w:val="hybridMultilevel"/>
    <w:tmpl w:val="DFB01168"/>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D0D386F"/>
    <w:multiLevelType w:val="hybridMultilevel"/>
    <w:tmpl w:val="4D18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1352A7"/>
    <w:multiLevelType w:val="hybridMultilevel"/>
    <w:tmpl w:val="4E44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28"/>
  </w:num>
  <w:num w:numId="4">
    <w:abstractNumId w:val="21"/>
  </w:num>
  <w:num w:numId="5">
    <w:abstractNumId w:val="13"/>
  </w:num>
  <w:num w:numId="6">
    <w:abstractNumId w:val="15"/>
  </w:num>
  <w:num w:numId="7">
    <w:abstractNumId w:val="11"/>
  </w:num>
  <w:num w:numId="8">
    <w:abstractNumId w:val="4"/>
  </w:num>
  <w:num w:numId="9">
    <w:abstractNumId w:val="19"/>
  </w:num>
  <w:num w:numId="10">
    <w:abstractNumId w:val="30"/>
  </w:num>
  <w:num w:numId="11">
    <w:abstractNumId w:val="6"/>
  </w:num>
  <w:num w:numId="12">
    <w:abstractNumId w:val="27"/>
  </w:num>
  <w:num w:numId="13">
    <w:abstractNumId w:val="34"/>
  </w:num>
  <w:num w:numId="14">
    <w:abstractNumId w:val="7"/>
  </w:num>
  <w:num w:numId="15">
    <w:abstractNumId w:val="22"/>
  </w:num>
  <w:num w:numId="16">
    <w:abstractNumId w:val="39"/>
  </w:num>
  <w:num w:numId="17">
    <w:abstractNumId w:val="38"/>
  </w:num>
  <w:num w:numId="18">
    <w:abstractNumId w:val="18"/>
  </w:num>
  <w:num w:numId="19">
    <w:abstractNumId w:val="9"/>
  </w:num>
  <w:num w:numId="20">
    <w:abstractNumId w:val="10"/>
  </w:num>
  <w:num w:numId="21">
    <w:abstractNumId w:val="25"/>
  </w:num>
  <w:num w:numId="22">
    <w:abstractNumId w:val="36"/>
  </w:num>
  <w:num w:numId="23">
    <w:abstractNumId w:val="37"/>
  </w:num>
  <w:num w:numId="24">
    <w:abstractNumId w:val="8"/>
  </w:num>
  <w:num w:numId="25">
    <w:abstractNumId w:val="12"/>
  </w:num>
  <w:num w:numId="26">
    <w:abstractNumId w:val="2"/>
  </w:num>
  <w:num w:numId="27">
    <w:abstractNumId w:val="0"/>
  </w:num>
  <w:num w:numId="28">
    <w:abstractNumId w:val="33"/>
  </w:num>
  <w:num w:numId="29">
    <w:abstractNumId w:val="20"/>
  </w:num>
  <w:num w:numId="30">
    <w:abstractNumId w:val="14"/>
  </w:num>
  <w:num w:numId="31">
    <w:abstractNumId w:val="3"/>
  </w:num>
  <w:num w:numId="32">
    <w:abstractNumId w:val="5"/>
  </w:num>
  <w:num w:numId="33">
    <w:abstractNumId w:val="17"/>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4"/>
  </w:num>
  <w:num w:numId="37">
    <w:abstractNumId w:val="35"/>
  </w:num>
  <w:num w:numId="38">
    <w:abstractNumId w:val="1"/>
  </w:num>
  <w:num w:numId="39">
    <w:abstractNumId w:val="40"/>
  </w:num>
  <w:num w:numId="40">
    <w:abstractNumId w:val="16"/>
  </w:num>
  <w:num w:numId="41">
    <w:abstractNumId w:val="32"/>
  </w:num>
  <w:num w:numId="42">
    <w:abstractNumId w:val="26"/>
  </w:num>
  <w:num w:numId="43">
    <w:abstractNumId w:val="17"/>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w">
    <w15:presenceInfo w15:providerId="Windows Live" w15:userId="f0bd8b85ffe35a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B8"/>
    <w:rsid w:val="000009A2"/>
    <w:rsid w:val="00003038"/>
    <w:rsid w:val="00005046"/>
    <w:rsid w:val="000066C0"/>
    <w:rsid w:val="00007012"/>
    <w:rsid w:val="00011212"/>
    <w:rsid w:val="00013E7B"/>
    <w:rsid w:val="00013F2A"/>
    <w:rsid w:val="00014328"/>
    <w:rsid w:val="00014C11"/>
    <w:rsid w:val="00015E15"/>
    <w:rsid w:val="0001661D"/>
    <w:rsid w:val="00016699"/>
    <w:rsid w:val="00016703"/>
    <w:rsid w:val="00021F7E"/>
    <w:rsid w:val="0002231D"/>
    <w:rsid w:val="000242D9"/>
    <w:rsid w:val="00030CA9"/>
    <w:rsid w:val="0003135E"/>
    <w:rsid w:val="000317E9"/>
    <w:rsid w:val="00031D97"/>
    <w:rsid w:val="00031DA7"/>
    <w:rsid w:val="00033CFB"/>
    <w:rsid w:val="00035238"/>
    <w:rsid w:val="00035CD6"/>
    <w:rsid w:val="000367DF"/>
    <w:rsid w:val="0003680F"/>
    <w:rsid w:val="000368EE"/>
    <w:rsid w:val="00040F2C"/>
    <w:rsid w:val="000426DD"/>
    <w:rsid w:val="000445F5"/>
    <w:rsid w:val="00045298"/>
    <w:rsid w:val="00045A4F"/>
    <w:rsid w:val="00046613"/>
    <w:rsid w:val="00046DCC"/>
    <w:rsid w:val="000471F3"/>
    <w:rsid w:val="0004787A"/>
    <w:rsid w:val="00047983"/>
    <w:rsid w:val="00047F3F"/>
    <w:rsid w:val="00053180"/>
    <w:rsid w:val="000539B9"/>
    <w:rsid w:val="000567B6"/>
    <w:rsid w:val="0005724B"/>
    <w:rsid w:val="00060FBE"/>
    <w:rsid w:val="00061656"/>
    <w:rsid w:val="0006261C"/>
    <w:rsid w:val="00062721"/>
    <w:rsid w:val="00062D04"/>
    <w:rsid w:val="000707D5"/>
    <w:rsid w:val="00070954"/>
    <w:rsid w:val="00070FC0"/>
    <w:rsid w:val="000717E4"/>
    <w:rsid w:val="00073A45"/>
    <w:rsid w:val="00073ACA"/>
    <w:rsid w:val="000765B9"/>
    <w:rsid w:val="000819F8"/>
    <w:rsid w:val="00082EB1"/>
    <w:rsid w:val="0008308C"/>
    <w:rsid w:val="000836EE"/>
    <w:rsid w:val="00090EBF"/>
    <w:rsid w:val="00090EC3"/>
    <w:rsid w:val="00092E48"/>
    <w:rsid w:val="00093209"/>
    <w:rsid w:val="00093408"/>
    <w:rsid w:val="00093D4C"/>
    <w:rsid w:val="000946E7"/>
    <w:rsid w:val="0009683A"/>
    <w:rsid w:val="00097778"/>
    <w:rsid w:val="000A0CD8"/>
    <w:rsid w:val="000A1B3B"/>
    <w:rsid w:val="000A3457"/>
    <w:rsid w:val="000B02AD"/>
    <w:rsid w:val="000B27B4"/>
    <w:rsid w:val="000B42A5"/>
    <w:rsid w:val="000B6174"/>
    <w:rsid w:val="000C15F3"/>
    <w:rsid w:val="000C2FF2"/>
    <w:rsid w:val="000C3CBE"/>
    <w:rsid w:val="000C60CE"/>
    <w:rsid w:val="000D1F49"/>
    <w:rsid w:val="000D320F"/>
    <w:rsid w:val="000D40E9"/>
    <w:rsid w:val="000D50DD"/>
    <w:rsid w:val="000D5EDB"/>
    <w:rsid w:val="000D764E"/>
    <w:rsid w:val="000D7884"/>
    <w:rsid w:val="000E0B97"/>
    <w:rsid w:val="000E1457"/>
    <w:rsid w:val="000E1474"/>
    <w:rsid w:val="000E3A78"/>
    <w:rsid w:val="000E45B8"/>
    <w:rsid w:val="000E4F1A"/>
    <w:rsid w:val="000E5F6D"/>
    <w:rsid w:val="000E7858"/>
    <w:rsid w:val="000E7F2E"/>
    <w:rsid w:val="000F031D"/>
    <w:rsid w:val="000F0A52"/>
    <w:rsid w:val="000F47E3"/>
    <w:rsid w:val="000F59E3"/>
    <w:rsid w:val="000F5F87"/>
    <w:rsid w:val="000F6D50"/>
    <w:rsid w:val="00100BBB"/>
    <w:rsid w:val="001019AB"/>
    <w:rsid w:val="00102456"/>
    <w:rsid w:val="00102A25"/>
    <w:rsid w:val="0010415A"/>
    <w:rsid w:val="00105186"/>
    <w:rsid w:val="00110F3A"/>
    <w:rsid w:val="0011358F"/>
    <w:rsid w:val="001139CA"/>
    <w:rsid w:val="00115A5E"/>
    <w:rsid w:val="00116244"/>
    <w:rsid w:val="0011628C"/>
    <w:rsid w:val="00121966"/>
    <w:rsid w:val="001226F9"/>
    <w:rsid w:val="0012507E"/>
    <w:rsid w:val="00126004"/>
    <w:rsid w:val="001261CE"/>
    <w:rsid w:val="001269D4"/>
    <w:rsid w:val="0012754F"/>
    <w:rsid w:val="0013090A"/>
    <w:rsid w:val="0013109E"/>
    <w:rsid w:val="001336BF"/>
    <w:rsid w:val="001336C3"/>
    <w:rsid w:val="00133CE8"/>
    <w:rsid w:val="00135984"/>
    <w:rsid w:val="00136B92"/>
    <w:rsid w:val="00136B99"/>
    <w:rsid w:val="00137A8F"/>
    <w:rsid w:val="00140715"/>
    <w:rsid w:val="00142CC1"/>
    <w:rsid w:val="001431F5"/>
    <w:rsid w:val="001434DF"/>
    <w:rsid w:val="001443B3"/>
    <w:rsid w:val="00145D96"/>
    <w:rsid w:val="00147C0A"/>
    <w:rsid w:val="00147E43"/>
    <w:rsid w:val="00150491"/>
    <w:rsid w:val="00151A55"/>
    <w:rsid w:val="00151F6C"/>
    <w:rsid w:val="001527A7"/>
    <w:rsid w:val="001540FC"/>
    <w:rsid w:val="00155400"/>
    <w:rsid w:val="0015558D"/>
    <w:rsid w:val="0015767E"/>
    <w:rsid w:val="001579DF"/>
    <w:rsid w:val="0016022C"/>
    <w:rsid w:val="00162936"/>
    <w:rsid w:val="001645B8"/>
    <w:rsid w:val="0016571F"/>
    <w:rsid w:val="00165C88"/>
    <w:rsid w:val="00167AA9"/>
    <w:rsid w:val="00170EBF"/>
    <w:rsid w:val="00171035"/>
    <w:rsid w:val="00172294"/>
    <w:rsid w:val="00173273"/>
    <w:rsid w:val="001732F4"/>
    <w:rsid w:val="001758FE"/>
    <w:rsid w:val="00175EDD"/>
    <w:rsid w:val="0017765F"/>
    <w:rsid w:val="001778AB"/>
    <w:rsid w:val="00177B18"/>
    <w:rsid w:val="0018069B"/>
    <w:rsid w:val="001833E7"/>
    <w:rsid w:val="00183714"/>
    <w:rsid w:val="001843B9"/>
    <w:rsid w:val="00191607"/>
    <w:rsid w:val="001916CD"/>
    <w:rsid w:val="00192A71"/>
    <w:rsid w:val="0019338F"/>
    <w:rsid w:val="001939E1"/>
    <w:rsid w:val="00195B81"/>
    <w:rsid w:val="001966D9"/>
    <w:rsid w:val="0019705A"/>
    <w:rsid w:val="001977F4"/>
    <w:rsid w:val="001A2589"/>
    <w:rsid w:val="001A2A4C"/>
    <w:rsid w:val="001A600C"/>
    <w:rsid w:val="001A6141"/>
    <w:rsid w:val="001A6596"/>
    <w:rsid w:val="001A7108"/>
    <w:rsid w:val="001B0712"/>
    <w:rsid w:val="001B380C"/>
    <w:rsid w:val="001B3F78"/>
    <w:rsid w:val="001B4E5D"/>
    <w:rsid w:val="001B6370"/>
    <w:rsid w:val="001C08AA"/>
    <w:rsid w:val="001C1A30"/>
    <w:rsid w:val="001C2384"/>
    <w:rsid w:val="001C26A1"/>
    <w:rsid w:val="001C2C64"/>
    <w:rsid w:val="001C3092"/>
    <w:rsid w:val="001C54FD"/>
    <w:rsid w:val="001D083C"/>
    <w:rsid w:val="001D1106"/>
    <w:rsid w:val="001D2A42"/>
    <w:rsid w:val="001D3422"/>
    <w:rsid w:val="001D5836"/>
    <w:rsid w:val="001D5E1D"/>
    <w:rsid w:val="001D62BD"/>
    <w:rsid w:val="001D65E5"/>
    <w:rsid w:val="001D6609"/>
    <w:rsid w:val="001D6776"/>
    <w:rsid w:val="001D6E7D"/>
    <w:rsid w:val="001E0258"/>
    <w:rsid w:val="001E0A5A"/>
    <w:rsid w:val="001E169D"/>
    <w:rsid w:val="001E212C"/>
    <w:rsid w:val="001E2AC2"/>
    <w:rsid w:val="001E3A38"/>
    <w:rsid w:val="001E4013"/>
    <w:rsid w:val="001E480C"/>
    <w:rsid w:val="001E4FFC"/>
    <w:rsid w:val="001E5887"/>
    <w:rsid w:val="001E5EE9"/>
    <w:rsid w:val="001E622C"/>
    <w:rsid w:val="001E6AC3"/>
    <w:rsid w:val="001E7CAD"/>
    <w:rsid w:val="001E7F2A"/>
    <w:rsid w:val="001F129C"/>
    <w:rsid w:val="001F4A8D"/>
    <w:rsid w:val="001F4BC1"/>
    <w:rsid w:val="001F6756"/>
    <w:rsid w:val="001F6C60"/>
    <w:rsid w:val="001F6E76"/>
    <w:rsid w:val="001F7A0E"/>
    <w:rsid w:val="00203624"/>
    <w:rsid w:val="00203ABD"/>
    <w:rsid w:val="00213B83"/>
    <w:rsid w:val="00215BE5"/>
    <w:rsid w:val="00215D03"/>
    <w:rsid w:val="00215FE6"/>
    <w:rsid w:val="002160CC"/>
    <w:rsid w:val="0021684F"/>
    <w:rsid w:val="00216E60"/>
    <w:rsid w:val="00222315"/>
    <w:rsid w:val="0022270F"/>
    <w:rsid w:val="00222B73"/>
    <w:rsid w:val="0022355D"/>
    <w:rsid w:val="00223D17"/>
    <w:rsid w:val="00223D3B"/>
    <w:rsid w:val="00223EA0"/>
    <w:rsid w:val="0022592C"/>
    <w:rsid w:val="002259B5"/>
    <w:rsid w:val="00231726"/>
    <w:rsid w:val="00231AED"/>
    <w:rsid w:val="0023328A"/>
    <w:rsid w:val="002336B1"/>
    <w:rsid w:val="002354D1"/>
    <w:rsid w:val="00237AE0"/>
    <w:rsid w:val="00243E87"/>
    <w:rsid w:val="002441F7"/>
    <w:rsid w:val="00244932"/>
    <w:rsid w:val="00246530"/>
    <w:rsid w:val="00246A7F"/>
    <w:rsid w:val="00246DDB"/>
    <w:rsid w:val="00246FCB"/>
    <w:rsid w:val="00251C94"/>
    <w:rsid w:val="0025300A"/>
    <w:rsid w:val="002538B3"/>
    <w:rsid w:val="00256163"/>
    <w:rsid w:val="002568BC"/>
    <w:rsid w:val="00256C3A"/>
    <w:rsid w:val="00257B72"/>
    <w:rsid w:val="00262318"/>
    <w:rsid w:val="00262D7D"/>
    <w:rsid w:val="00267F1A"/>
    <w:rsid w:val="00271230"/>
    <w:rsid w:val="002715D1"/>
    <w:rsid w:val="002719B5"/>
    <w:rsid w:val="002722FD"/>
    <w:rsid w:val="00273CD2"/>
    <w:rsid w:val="00280314"/>
    <w:rsid w:val="00283A85"/>
    <w:rsid w:val="002853D1"/>
    <w:rsid w:val="00285404"/>
    <w:rsid w:val="00285491"/>
    <w:rsid w:val="002861DD"/>
    <w:rsid w:val="00292D48"/>
    <w:rsid w:val="0029743D"/>
    <w:rsid w:val="002A0320"/>
    <w:rsid w:val="002A08CB"/>
    <w:rsid w:val="002A40CB"/>
    <w:rsid w:val="002A4BBC"/>
    <w:rsid w:val="002A566D"/>
    <w:rsid w:val="002A691E"/>
    <w:rsid w:val="002A6E3C"/>
    <w:rsid w:val="002A777E"/>
    <w:rsid w:val="002B0653"/>
    <w:rsid w:val="002B21EE"/>
    <w:rsid w:val="002B326C"/>
    <w:rsid w:val="002B3478"/>
    <w:rsid w:val="002B42E4"/>
    <w:rsid w:val="002B687F"/>
    <w:rsid w:val="002B6953"/>
    <w:rsid w:val="002B6A48"/>
    <w:rsid w:val="002B7ADC"/>
    <w:rsid w:val="002C0378"/>
    <w:rsid w:val="002C0729"/>
    <w:rsid w:val="002C1732"/>
    <w:rsid w:val="002C20A9"/>
    <w:rsid w:val="002C28DF"/>
    <w:rsid w:val="002C290F"/>
    <w:rsid w:val="002C3746"/>
    <w:rsid w:val="002C634E"/>
    <w:rsid w:val="002D1A41"/>
    <w:rsid w:val="002D21AD"/>
    <w:rsid w:val="002D2A16"/>
    <w:rsid w:val="002D736A"/>
    <w:rsid w:val="002D7E05"/>
    <w:rsid w:val="002E0007"/>
    <w:rsid w:val="002E0F02"/>
    <w:rsid w:val="002E0F8F"/>
    <w:rsid w:val="002E3DA8"/>
    <w:rsid w:val="002E4EC1"/>
    <w:rsid w:val="002E507D"/>
    <w:rsid w:val="002F1F86"/>
    <w:rsid w:val="002F25D1"/>
    <w:rsid w:val="002F5DF9"/>
    <w:rsid w:val="002F6397"/>
    <w:rsid w:val="002F695F"/>
    <w:rsid w:val="002F7B9E"/>
    <w:rsid w:val="002F7FBA"/>
    <w:rsid w:val="0030121B"/>
    <w:rsid w:val="00303398"/>
    <w:rsid w:val="0030498B"/>
    <w:rsid w:val="00305DB9"/>
    <w:rsid w:val="003103CA"/>
    <w:rsid w:val="003119B6"/>
    <w:rsid w:val="00312B3E"/>
    <w:rsid w:val="00313CF2"/>
    <w:rsid w:val="00314CDD"/>
    <w:rsid w:val="0032021B"/>
    <w:rsid w:val="0032312D"/>
    <w:rsid w:val="00323563"/>
    <w:rsid w:val="003303B9"/>
    <w:rsid w:val="00332CFF"/>
    <w:rsid w:val="003331E4"/>
    <w:rsid w:val="00333484"/>
    <w:rsid w:val="00334702"/>
    <w:rsid w:val="00335733"/>
    <w:rsid w:val="00335956"/>
    <w:rsid w:val="00335C49"/>
    <w:rsid w:val="00335D20"/>
    <w:rsid w:val="00336322"/>
    <w:rsid w:val="003368F7"/>
    <w:rsid w:val="00341876"/>
    <w:rsid w:val="00341E56"/>
    <w:rsid w:val="00343908"/>
    <w:rsid w:val="003458A9"/>
    <w:rsid w:val="00346194"/>
    <w:rsid w:val="00346EE2"/>
    <w:rsid w:val="00347AE5"/>
    <w:rsid w:val="00347F5D"/>
    <w:rsid w:val="0035025E"/>
    <w:rsid w:val="00350A3F"/>
    <w:rsid w:val="0035127B"/>
    <w:rsid w:val="00351A7E"/>
    <w:rsid w:val="0035292F"/>
    <w:rsid w:val="00354694"/>
    <w:rsid w:val="00355F7F"/>
    <w:rsid w:val="0036038A"/>
    <w:rsid w:val="003623BC"/>
    <w:rsid w:val="0036296C"/>
    <w:rsid w:val="003665E1"/>
    <w:rsid w:val="00367B9F"/>
    <w:rsid w:val="00370BC8"/>
    <w:rsid w:val="00372264"/>
    <w:rsid w:val="00377920"/>
    <w:rsid w:val="00380213"/>
    <w:rsid w:val="00382CE7"/>
    <w:rsid w:val="00383B0A"/>
    <w:rsid w:val="00385519"/>
    <w:rsid w:val="0038568F"/>
    <w:rsid w:val="00390756"/>
    <w:rsid w:val="00390D4E"/>
    <w:rsid w:val="00390D89"/>
    <w:rsid w:val="00392100"/>
    <w:rsid w:val="00395932"/>
    <w:rsid w:val="003979DC"/>
    <w:rsid w:val="00397E29"/>
    <w:rsid w:val="003A1722"/>
    <w:rsid w:val="003A1CAA"/>
    <w:rsid w:val="003A6167"/>
    <w:rsid w:val="003A75D1"/>
    <w:rsid w:val="003B03A9"/>
    <w:rsid w:val="003B05C3"/>
    <w:rsid w:val="003B0D52"/>
    <w:rsid w:val="003B17AF"/>
    <w:rsid w:val="003B1B94"/>
    <w:rsid w:val="003B2D38"/>
    <w:rsid w:val="003B3DF7"/>
    <w:rsid w:val="003B44F2"/>
    <w:rsid w:val="003B47E3"/>
    <w:rsid w:val="003B552D"/>
    <w:rsid w:val="003B553A"/>
    <w:rsid w:val="003B5D09"/>
    <w:rsid w:val="003B795D"/>
    <w:rsid w:val="003C2365"/>
    <w:rsid w:val="003C2B0E"/>
    <w:rsid w:val="003C3940"/>
    <w:rsid w:val="003C69D3"/>
    <w:rsid w:val="003C76DB"/>
    <w:rsid w:val="003D0FC8"/>
    <w:rsid w:val="003D12C5"/>
    <w:rsid w:val="003D1683"/>
    <w:rsid w:val="003D225D"/>
    <w:rsid w:val="003D6AB6"/>
    <w:rsid w:val="003D7432"/>
    <w:rsid w:val="003E0136"/>
    <w:rsid w:val="003E48CD"/>
    <w:rsid w:val="003E598B"/>
    <w:rsid w:val="003E5F54"/>
    <w:rsid w:val="003E65D1"/>
    <w:rsid w:val="003F054B"/>
    <w:rsid w:val="003F073E"/>
    <w:rsid w:val="003F165D"/>
    <w:rsid w:val="003F18B1"/>
    <w:rsid w:val="003F1E63"/>
    <w:rsid w:val="003F202E"/>
    <w:rsid w:val="003F2C28"/>
    <w:rsid w:val="003F2E21"/>
    <w:rsid w:val="003F40C1"/>
    <w:rsid w:val="004005A5"/>
    <w:rsid w:val="00400EF1"/>
    <w:rsid w:val="0040240B"/>
    <w:rsid w:val="00403488"/>
    <w:rsid w:val="00405508"/>
    <w:rsid w:val="00405BD9"/>
    <w:rsid w:val="00405F6B"/>
    <w:rsid w:val="004060B3"/>
    <w:rsid w:val="0040744F"/>
    <w:rsid w:val="00407615"/>
    <w:rsid w:val="00407859"/>
    <w:rsid w:val="00407B31"/>
    <w:rsid w:val="00411D72"/>
    <w:rsid w:val="00413249"/>
    <w:rsid w:val="00414760"/>
    <w:rsid w:val="004158A8"/>
    <w:rsid w:val="00415BA7"/>
    <w:rsid w:val="004213D0"/>
    <w:rsid w:val="00421D5D"/>
    <w:rsid w:val="0042211A"/>
    <w:rsid w:val="00423723"/>
    <w:rsid w:val="00424559"/>
    <w:rsid w:val="00424CA5"/>
    <w:rsid w:val="00426E59"/>
    <w:rsid w:val="00427BB6"/>
    <w:rsid w:val="00430894"/>
    <w:rsid w:val="00431F28"/>
    <w:rsid w:val="00432ACB"/>
    <w:rsid w:val="00432DCF"/>
    <w:rsid w:val="00434F93"/>
    <w:rsid w:val="00436FD8"/>
    <w:rsid w:val="004378FA"/>
    <w:rsid w:val="00437D6C"/>
    <w:rsid w:val="0044087B"/>
    <w:rsid w:val="00440982"/>
    <w:rsid w:val="00442FE3"/>
    <w:rsid w:val="0044419C"/>
    <w:rsid w:val="00445B89"/>
    <w:rsid w:val="004468EB"/>
    <w:rsid w:val="0045027C"/>
    <w:rsid w:val="0045055F"/>
    <w:rsid w:val="00450897"/>
    <w:rsid w:val="00452103"/>
    <w:rsid w:val="00453452"/>
    <w:rsid w:val="004548E5"/>
    <w:rsid w:val="00460102"/>
    <w:rsid w:val="00460126"/>
    <w:rsid w:val="00460151"/>
    <w:rsid w:val="0046077E"/>
    <w:rsid w:val="00461CA0"/>
    <w:rsid w:val="00462707"/>
    <w:rsid w:val="004627F4"/>
    <w:rsid w:val="004652B8"/>
    <w:rsid w:val="00465430"/>
    <w:rsid w:val="004673FE"/>
    <w:rsid w:val="00470417"/>
    <w:rsid w:val="00470B31"/>
    <w:rsid w:val="004711F1"/>
    <w:rsid w:val="00471979"/>
    <w:rsid w:val="004721B0"/>
    <w:rsid w:val="004727CA"/>
    <w:rsid w:val="00472DD8"/>
    <w:rsid w:val="00473F30"/>
    <w:rsid w:val="0047516F"/>
    <w:rsid w:val="0047533A"/>
    <w:rsid w:val="00476F78"/>
    <w:rsid w:val="00480391"/>
    <w:rsid w:val="00481FE3"/>
    <w:rsid w:val="00485E8E"/>
    <w:rsid w:val="00486505"/>
    <w:rsid w:val="00487480"/>
    <w:rsid w:val="00490214"/>
    <w:rsid w:val="00490D41"/>
    <w:rsid w:val="00491140"/>
    <w:rsid w:val="004926C6"/>
    <w:rsid w:val="004928AD"/>
    <w:rsid w:val="00492CD6"/>
    <w:rsid w:val="00494507"/>
    <w:rsid w:val="0049479A"/>
    <w:rsid w:val="004A0F6A"/>
    <w:rsid w:val="004A1ABB"/>
    <w:rsid w:val="004A1DA4"/>
    <w:rsid w:val="004A3367"/>
    <w:rsid w:val="004A3944"/>
    <w:rsid w:val="004A3E8A"/>
    <w:rsid w:val="004A3EC7"/>
    <w:rsid w:val="004A4811"/>
    <w:rsid w:val="004B3727"/>
    <w:rsid w:val="004B3C72"/>
    <w:rsid w:val="004B5540"/>
    <w:rsid w:val="004B6CA2"/>
    <w:rsid w:val="004B6D63"/>
    <w:rsid w:val="004C00F1"/>
    <w:rsid w:val="004C208E"/>
    <w:rsid w:val="004C2877"/>
    <w:rsid w:val="004C412C"/>
    <w:rsid w:val="004C4E05"/>
    <w:rsid w:val="004C5D93"/>
    <w:rsid w:val="004C6D0D"/>
    <w:rsid w:val="004D34B2"/>
    <w:rsid w:val="004D449C"/>
    <w:rsid w:val="004D7F6A"/>
    <w:rsid w:val="004E23F7"/>
    <w:rsid w:val="004F05AE"/>
    <w:rsid w:val="004F05C0"/>
    <w:rsid w:val="004F0F59"/>
    <w:rsid w:val="004F1FEB"/>
    <w:rsid w:val="004F2760"/>
    <w:rsid w:val="004F3D0F"/>
    <w:rsid w:val="004F4DC2"/>
    <w:rsid w:val="00500F4F"/>
    <w:rsid w:val="005012E9"/>
    <w:rsid w:val="00504549"/>
    <w:rsid w:val="00504FF6"/>
    <w:rsid w:val="00507409"/>
    <w:rsid w:val="00507523"/>
    <w:rsid w:val="00507583"/>
    <w:rsid w:val="00507C1F"/>
    <w:rsid w:val="00511ABD"/>
    <w:rsid w:val="00513EC3"/>
    <w:rsid w:val="00515847"/>
    <w:rsid w:val="005215B4"/>
    <w:rsid w:val="00522B34"/>
    <w:rsid w:val="005237A5"/>
    <w:rsid w:val="005254AF"/>
    <w:rsid w:val="00526673"/>
    <w:rsid w:val="0052726A"/>
    <w:rsid w:val="005278B8"/>
    <w:rsid w:val="00527AF0"/>
    <w:rsid w:val="00531DE1"/>
    <w:rsid w:val="00531F32"/>
    <w:rsid w:val="0053204F"/>
    <w:rsid w:val="00536CBD"/>
    <w:rsid w:val="00536E85"/>
    <w:rsid w:val="0053700C"/>
    <w:rsid w:val="005371D6"/>
    <w:rsid w:val="005410FF"/>
    <w:rsid w:val="00541DF0"/>
    <w:rsid w:val="005432D2"/>
    <w:rsid w:val="00545F49"/>
    <w:rsid w:val="00545FA9"/>
    <w:rsid w:val="00546F2A"/>
    <w:rsid w:val="00547029"/>
    <w:rsid w:val="00547190"/>
    <w:rsid w:val="00547350"/>
    <w:rsid w:val="00547E7B"/>
    <w:rsid w:val="00550FAB"/>
    <w:rsid w:val="00552A4B"/>
    <w:rsid w:val="0055456B"/>
    <w:rsid w:val="00556F7E"/>
    <w:rsid w:val="00557AC5"/>
    <w:rsid w:val="005604FD"/>
    <w:rsid w:val="0056060B"/>
    <w:rsid w:val="00560A26"/>
    <w:rsid w:val="0056176A"/>
    <w:rsid w:val="00562BD1"/>
    <w:rsid w:val="005630CE"/>
    <w:rsid w:val="0057069D"/>
    <w:rsid w:val="0057130F"/>
    <w:rsid w:val="0057381B"/>
    <w:rsid w:val="00576909"/>
    <w:rsid w:val="00581B20"/>
    <w:rsid w:val="00581C6E"/>
    <w:rsid w:val="0058535A"/>
    <w:rsid w:val="00586C96"/>
    <w:rsid w:val="00587F49"/>
    <w:rsid w:val="00591E5D"/>
    <w:rsid w:val="00594159"/>
    <w:rsid w:val="005948E7"/>
    <w:rsid w:val="00595A7E"/>
    <w:rsid w:val="00595C8E"/>
    <w:rsid w:val="005A2D20"/>
    <w:rsid w:val="005A3B2F"/>
    <w:rsid w:val="005A3CBB"/>
    <w:rsid w:val="005A7A3B"/>
    <w:rsid w:val="005B0A30"/>
    <w:rsid w:val="005B0FFF"/>
    <w:rsid w:val="005B49A9"/>
    <w:rsid w:val="005B565A"/>
    <w:rsid w:val="005B6B2C"/>
    <w:rsid w:val="005B73A7"/>
    <w:rsid w:val="005C1525"/>
    <w:rsid w:val="005C3290"/>
    <w:rsid w:val="005C4F6E"/>
    <w:rsid w:val="005C611F"/>
    <w:rsid w:val="005C6B53"/>
    <w:rsid w:val="005D26CB"/>
    <w:rsid w:val="005D58A3"/>
    <w:rsid w:val="005E0774"/>
    <w:rsid w:val="005E5816"/>
    <w:rsid w:val="005E7F21"/>
    <w:rsid w:val="005F1059"/>
    <w:rsid w:val="005F20C2"/>
    <w:rsid w:val="005F28D4"/>
    <w:rsid w:val="005F322F"/>
    <w:rsid w:val="005F46E0"/>
    <w:rsid w:val="005F5665"/>
    <w:rsid w:val="005F5F1B"/>
    <w:rsid w:val="005F609D"/>
    <w:rsid w:val="006009D5"/>
    <w:rsid w:val="00601C4E"/>
    <w:rsid w:val="00602E2D"/>
    <w:rsid w:val="00605283"/>
    <w:rsid w:val="0060576F"/>
    <w:rsid w:val="00605B4E"/>
    <w:rsid w:val="00607F52"/>
    <w:rsid w:val="00610044"/>
    <w:rsid w:val="0061085B"/>
    <w:rsid w:val="00610FA5"/>
    <w:rsid w:val="0061105A"/>
    <w:rsid w:val="00611731"/>
    <w:rsid w:val="00615875"/>
    <w:rsid w:val="00616200"/>
    <w:rsid w:val="0061646A"/>
    <w:rsid w:val="00620354"/>
    <w:rsid w:val="006209A7"/>
    <w:rsid w:val="00623D0B"/>
    <w:rsid w:val="00623D74"/>
    <w:rsid w:val="00624254"/>
    <w:rsid w:val="006267FC"/>
    <w:rsid w:val="00626E47"/>
    <w:rsid w:val="00630D59"/>
    <w:rsid w:val="006333C7"/>
    <w:rsid w:val="00634ADA"/>
    <w:rsid w:val="006373B8"/>
    <w:rsid w:val="006377B9"/>
    <w:rsid w:val="00637E01"/>
    <w:rsid w:val="00640213"/>
    <w:rsid w:val="00640C5B"/>
    <w:rsid w:val="0064132C"/>
    <w:rsid w:val="00641367"/>
    <w:rsid w:val="00644CAD"/>
    <w:rsid w:val="00645905"/>
    <w:rsid w:val="00646182"/>
    <w:rsid w:val="00647BB1"/>
    <w:rsid w:val="00651176"/>
    <w:rsid w:val="00651584"/>
    <w:rsid w:val="00652458"/>
    <w:rsid w:val="0065316B"/>
    <w:rsid w:val="006578F0"/>
    <w:rsid w:val="00661F3E"/>
    <w:rsid w:val="0066224A"/>
    <w:rsid w:val="00664616"/>
    <w:rsid w:val="00665E85"/>
    <w:rsid w:val="00670633"/>
    <w:rsid w:val="006712A6"/>
    <w:rsid w:val="006714AA"/>
    <w:rsid w:val="00673428"/>
    <w:rsid w:val="00676AFC"/>
    <w:rsid w:val="0067734F"/>
    <w:rsid w:val="0067756D"/>
    <w:rsid w:val="00677982"/>
    <w:rsid w:val="00681EA4"/>
    <w:rsid w:val="00682693"/>
    <w:rsid w:val="00683017"/>
    <w:rsid w:val="00685644"/>
    <w:rsid w:val="00685CEC"/>
    <w:rsid w:val="00685F56"/>
    <w:rsid w:val="00691C1D"/>
    <w:rsid w:val="006925FA"/>
    <w:rsid w:val="006927B6"/>
    <w:rsid w:val="00692F94"/>
    <w:rsid w:val="0069373D"/>
    <w:rsid w:val="00695696"/>
    <w:rsid w:val="006972C6"/>
    <w:rsid w:val="00697486"/>
    <w:rsid w:val="006A0403"/>
    <w:rsid w:val="006A12B4"/>
    <w:rsid w:val="006A296C"/>
    <w:rsid w:val="006A3AF1"/>
    <w:rsid w:val="006A49BA"/>
    <w:rsid w:val="006A59A1"/>
    <w:rsid w:val="006A7E90"/>
    <w:rsid w:val="006B08C7"/>
    <w:rsid w:val="006B0CD0"/>
    <w:rsid w:val="006B23CE"/>
    <w:rsid w:val="006B297C"/>
    <w:rsid w:val="006B5645"/>
    <w:rsid w:val="006B66D0"/>
    <w:rsid w:val="006C0063"/>
    <w:rsid w:val="006C129F"/>
    <w:rsid w:val="006C1C82"/>
    <w:rsid w:val="006C1ED5"/>
    <w:rsid w:val="006C218C"/>
    <w:rsid w:val="006C4028"/>
    <w:rsid w:val="006C4B57"/>
    <w:rsid w:val="006C52E1"/>
    <w:rsid w:val="006C59BE"/>
    <w:rsid w:val="006C6B06"/>
    <w:rsid w:val="006D005B"/>
    <w:rsid w:val="006D01C8"/>
    <w:rsid w:val="006D07FE"/>
    <w:rsid w:val="006D093E"/>
    <w:rsid w:val="006D1FE8"/>
    <w:rsid w:val="006D34F4"/>
    <w:rsid w:val="006D47B2"/>
    <w:rsid w:val="006D670A"/>
    <w:rsid w:val="006D7031"/>
    <w:rsid w:val="006E0972"/>
    <w:rsid w:val="006E12CF"/>
    <w:rsid w:val="006E6011"/>
    <w:rsid w:val="006E61F1"/>
    <w:rsid w:val="006E67B5"/>
    <w:rsid w:val="006F1BEF"/>
    <w:rsid w:val="006F278A"/>
    <w:rsid w:val="006F27EE"/>
    <w:rsid w:val="006F4447"/>
    <w:rsid w:val="006F5458"/>
    <w:rsid w:val="0070049F"/>
    <w:rsid w:val="00700A53"/>
    <w:rsid w:val="00703266"/>
    <w:rsid w:val="00706193"/>
    <w:rsid w:val="007062DB"/>
    <w:rsid w:val="00710B07"/>
    <w:rsid w:val="00710C39"/>
    <w:rsid w:val="00711707"/>
    <w:rsid w:val="007140D9"/>
    <w:rsid w:val="00714989"/>
    <w:rsid w:val="00716944"/>
    <w:rsid w:val="0071747E"/>
    <w:rsid w:val="00720B25"/>
    <w:rsid w:val="007212D2"/>
    <w:rsid w:val="00722DEF"/>
    <w:rsid w:val="00723AF1"/>
    <w:rsid w:val="00724B6E"/>
    <w:rsid w:val="00726E9A"/>
    <w:rsid w:val="00730EA1"/>
    <w:rsid w:val="0073279D"/>
    <w:rsid w:val="00733394"/>
    <w:rsid w:val="007358A0"/>
    <w:rsid w:val="007365E1"/>
    <w:rsid w:val="0073774B"/>
    <w:rsid w:val="00740421"/>
    <w:rsid w:val="00742A6D"/>
    <w:rsid w:val="00743E1F"/>
    <w:rsid w:val="00745C34"/>
    <w:rsid w:val="00747C1E"/>
    <w:rsid w:val="00747E56"/>
    <w:rsid w:val="00750674"/>
    <w:rsid w:val="00751656"/>
    <w:rsid w:val="00752042"/>
    <w:rsid w:val="00752DB8"/>
    <w:rsid w:val="00753753"/>
    <w:rsid w:val="00753945"/>
    <w:rsid w:val="007544F8"/>
    <w:rsid w:val="00754B40"/>
    <w:rsid w:val="00755193"/>
    <w:rsid w:val="00755B0F"/>
    <w:rsid w:val="00755E42"/>
    <w:rsid w:val="0075660F"/>
    <w:rsid w:val="00760862"/>
    <w:rsid w:val="0076133E"/>
    <w:rsid w:val="00763459"/>
    <w:rsid w:val="00766632"/>
    <w:rsid w:val="00766FD5"/>
    <w:rsid w:val="0077068D"/>
    <w:rsid w:val="00772FB5"/>
    <w:rsid w:val="007734BE"/>
    <w:rsid w:val="00775371"/>
    <w:rsid w:val="007761D2"/>
    <w:rsid w:val="00777233"/>
    <w:rsid w:val="007807B3"/>
    <w:rsid w:val="007808A5"/>
    <w:rsid w:val="00780CBD"/>
    <w:rsid w:val="00782F1D"/>
    <w:rsid w:val="00785A55"/>
    <w:rsid w:val="00785E00"/>
    <w:rsid w:val="00787118"/>
    <w:rsid w:val="00787591"/>
    <w:rsid w:val="00795387"/>
    <w:rsid w:val="00797B83"/>
    <w:rsid w:val="007A0566"/>
    <w:rsid w:val="007A3E01"/>
    <w:rsid w:val="007A4A90"/>
    <w:rsid w:val="007A61EB"/>
    <w:rsid w:val="007A713A"/>
    <w:rsid w:val="007B0435"/>
    <w:rsid w:val="007B2409"/>
    <w:rsid w:val="007B2592"/>
    <w:rsid w:val="007B2F86"/>
    <w:rsid w:val="007B41C8"/>
    <w:rsid w:val="007B4222"/>
    <w:rsid w:val="007B534F"/>
    <w:rsid w:val="007B7563"/>
    <w:rsid w:val="007C02E0"/>
    <w:rsid w:val="007C1CE4"/>
    <w:rsid w:val="007C2379"/>
    <w:rsid w:val="007C34A7"/>
    <w:rsid w:val="007C4B48"/>
    <w:rsid w:val="007C59C9"/>
    <w:rsid w:val="007D0C92"/>
    <w:rsid w:val="007D2CC6"/>
    <w:rsid w:val="007D2E01"/>
    <w:rsid w:val="007D34D1"/>
    <w:rsid w:val="007D4B82"/>
    <w:rsid w:val="007D530F"/>
    <w:rsid w:val="007D5A5C"/>
    <w:rsid w:val="007D7960"/>
    <w:rsid w:val="007E003D"/>
    <w:rsid w:val="007E21CF"/>
    <w:rsid w:val="007E2AEA"/>
    <w:rsid w:val="007E6217"/>
    <w:rsid w:val="007E68DA"/>
    <w:rsid w:val="007F0B4E"/>
    <w:rsid w:val="007F4E20"/>
    <w:rsid w:val="007F4F0E"/>
    <w:rsid w:val="007F5AAB"/>
    <w:rsid w:val="007F60B6"/>
    <w:rsid w:val="0080000E"/>
    <w:rsid w:val="008008D4"/>
    <w:rsid w:val="00802219"/>
    <w:rsid w:val="00803102"/>
    <w:rsid w:val="00803B1C"/>
    <w:rsid w:val="00807709"/>
    <w:rsid w:val="0081015C"/>
    <w:rsid w:val="0081143A"/>
    <w:rsid w:val="00812BE0"/>
    <w:rsid w:val="0081375F"/>
    <w:rsid w:val="008160D3"/>
    <w:rsid w:val="008161EB"/>
    <w:rsid w:val="008177D7"/>
    <w:rsid w:val="0082134A"/>
    <w:rsid w:val="00821463"/>
    <w:rsid w:val="00821C27"/>
    <w:rsid w:val="00821EAA"/>
    <w:rsid w:val="00824B76"/>
    <w:rsid w:val="0082542A"/>
    <w:rsid w:val="008258BF"/>
    <w:rsid w:val="0083038E"/>
    <w:rsid w:val="00831B9D"/>
    <w:rsid w:val="00832072"/>
    <w:rsid w:val="008335FB"/>
    <w:rsid w:val="00833EEF"/>
    <w:rsid w:val="00835A25"/>
    <w:rsid w:val="00837F4E"/>
    <w:rsid w:val="00840B0F"/>
    <w:rsid w:val="00845521"/>
    <w:rsid w:val="00846B3D"/>
    <w:rsid w:val="00847945"/>
    <w:rsid w:val="00850851"/>
    <w:rsid w:val="00850D6C"/>
    <w:rsid w:val="00851C51"/>
    <w:rsid w:val="00852DA6"/>
    <w:rsid w:val="00853AE8"/>
    <w:rsid w:val="008542BF"/>
    <w:rsid w:val="00857523"/>
    <w:rsid w:val="00857884"/>
    <w:rsid w:val="00857968"/>
    <w:rsid w:val="008579DC"/>
    <w:rsid w:val="00862756"/>
    <w:rsid w:val="00865BA1"/>
    <w:rsid w:val="0086694D"/>
    <w:rsid w:val="008701BF"/>
    <w:rsid w:val="008731E3"/>
    <w:rsid w:val="00873F1E"/>
    <w:rsid w:val="00874681"/>
    <w:rsid w:val="008769FF"/>
    <w:rsid w:val="00881519"/>
    <w:rsid w:val="00882992"/>
    <w:rsid w:val="00884024"/>
    <w:rsid w:val="008844F7"/>
    <w:rsid w:val="00884C10"/>
    <w:rsid w:val="00893AC5"/>
    <w:rsid w:val="00893ACB"/>
    <w:rsid w:val="008952AB"/>
    <w:rsid w:val="00895354"/>
    <w:rsid w:val="00896DDD"/>
    <w:rsid w:val="00897E84"/>
    <w:rsid w:val="008A093C"/>
    <w:rsid w:val="008A0F37"/>
    <w:rsid w:val="008A1B74"/>
    <w:rsid w:val="008A33A6"/>
    <w:rsid w:val="008A33AF"/>
    <w:rsid w:val="008A3CF0"/>
    <w:rsid w:val="008A52FD"/>
    <w:rsid w:val="008A5DC7"/>
    <w:rsid w:val="008A6CBF"/>
    <w:rsid w:val="008B045E"/>
    <w:rsid w:val="008B0978"/>
    <w:rsid w:val="008B1843"/>
    <w:rsid w:val="008B26F2"/>
    <w:rsid w:val="008B2AEF"/>
    <w:rsid w:val="008B348F"/>
    <w:rsid w:val="008B562A"/>
    <w:rsid w:val="008B63CE"/>
    <w:rsid w:val="008C1D83"/>
    <w:rsid w:val="008C3C74"/>
    <w:rsid w:val="008C49EC"/>
    <w:rsid w:val="008C75E2"/>
    <w:rsid w:val="008D04BF"/>
    <w:rsid w:val="008D05D3"/>
    <w:rsid w:val="008D0983"/>
    <w:rsid w:val="008D0C2A"/>
    <w:rsid w:val="008D1CC8"/>
    <w:rsid w:val="008D2313"/>
    <w:rsid w:val="008D3E0E"/>
    <w:rsid w:val="008D4033"/>
    <w:rsid w:val="008D5319"/>
    <w:rsid w:val="008E2213"/>
    <w:rsid w:val="008E369A"/>
    <w:rsid w:val="008E3754"/>
    <w:rsid w:val="008E5CDD"/>
    <w:rsid w:val="008E65AA"/>
    <w:rsid w:val="008E7DD3"/>
    <w:rsid w:val="008F073C"/>
    <w:rsid w:val="008F2E73"/>
    <w:rsid w:val="008F3C56"/>
    <w:rsid w:val="008F414E"/>
    <w:rsid w:val="008F52D8"/>
    <w:rsid w:val="008F63EF"/>
    <w:rsid w:val="008F65B2"/>
    <w:rsid w:val="008F6C40"/>
    <w:rsid w:val="008F6CD9"/>
    <w:rsid w:val="008F71DA"/>
    <w:rsid w:val="009023F5"/>
    <w:rsid w:val="00902442"/>
    <w:rsid w:val="00902ABB"/>
    <w:rsid w:val="009056BB"/>
    <w:rsid w:val="00905F0A"/>
    <w:rsid w:val="00910105"/>
    <w:rsid w:val="00911526"/>
    <w:rsid w:val="00913E55"/>
    <w:rsid w:val="0091650B"/>
    <w:rsid w:val="00917D16"/>
    <w:rsid w:val="00917D3D"/>
    <w:rsid w:val="00917FE1"/>
    <w:rsid w:val="0092380E"/>
    <w:rsid w:val="00923AC9"/>
    <w:rsid w:val="00924049"/>
    <w:rsid w:val="009241EF"/>
    <w:rsid w:val="00926A7B"/>
    <w:rsid w:val="009272B5"/>
    <w:rsid w:val="00930C09"/>
    <w:rsid w:val="009315F4"/>
    <w:rsid w:val="00931668"/>
    <w:rsid w:val="00931A13"/>
    <w:rsid w:val="00934980"/>
    <w:rsid w:val="00934F15"/>
    <w:rsid w:val="00937D07"/>
    <w:rsid w:val="009401F9"/>
    <w:rsid w:val="0094094C"/>
    <w:rsid w:val="00941216"/>
    <w:rsid w:val="00943EAE"/>
    <w:rsid w:val="00943FE3"/>
    <w:rsid w:val="00945285"/>
    <w:rsid w:val="00945391"/>
    <w:rsid w:val="009453FB"/>
    <w:rsid w:val="0094614A"/>
    <w:rsid w:val="009476A2"/>
    <w:rsid w:val="00947E97"/>
    <w:rsid w:val="00951C4F"/>
    <w:rsid w:val="00951ED1"/>
    <w:rsid w:val="009548CF"/>
    <w:rsid w:val="00956CCD"/>
    <w:rsid w:val="00961DA3"/>
    <w:rsid w:val="0096371A"/>
    <w:rsid w:val="009646AC"/>
    <w:rsid w:val="00966453"/>
    <w:rsid w:val="00970022"/>
    <w:rsid w:val="00971486"/>
    <w:rsid w:val="00972601"/>
    <w:rsid w:val="0097349F"/>
    <w:rsid w:val="009740D2"/>
    <w:rsid w:val="00974632"/>
    <w:rsid w:val="00975733"/>
    <w:rsid w:val="00975829"/>
    <w:rsid w:val="00977257"/>
    <w:rsid w:val="00977BA6"/>
    <w:rsid w:val="009809CA"/>
    <w:rsid w:val="00983FDD"/>
    <w:rsid w:val="0098416C"/>
    <w:rsid w:val="00984732"/>
    <w:rsid w:val="00985DE5"/>
    <w:rsid w:val="009863F6"/>
    <w:rsid w:val="00987859"/>
    <w:rsid w:val="009918D0"/>
    <w:rsid w:val="009924CB"/>
    <w:rsid w:val="0099582B"/>
    <w:rsid w:val="00995DDE"/>
    <w:rsid w:val="0099660D"/>
    <w:rsid w:val="00997149"/>
    <w:rsid w:val="009A05EB"/>
    <w:rsid w:val="009A1030"/>
    <w:rsid w:val="009A14BF"/>
    <w:rsid w:val="009A1BF5"/>
    <w:rsid w:val="009A43B1"/>
    <w:rsid w:val="009A4BD4"/>
    <w:rsid w:val="009A4F6C"/>
    <w:rsid w:val="009A7D53"/>
    <w:rsid w:val="009B177E"/>
    <w:rsid w:val="009B2C6F"/>
    <w:rsid w:val="009B4475"/>
    <w:rsid w:val="009B5C24"/>
    <w:rsid w:val="009B60C3"/>
    <w:rsid w:val="009B6339"/>
    <w:rsid w:val="009B65AB"/>
    <w:rsid w:val="009B7E54"/>
    <w:rsid w:val="009C286B"/>
    <w:rsid w:val="009C5946"/>
    <w:rsid w:val="009C7EC4"/>
    <w:rsid w:val="009D0289"/>
    <w:rsid w:val="009D2B55"/>
    <w:rsid w:val="009D52F3"/>
    <w:rsid w:val="009D5EE2"/>
    <w:rsid w:val="009E503F"/>
    <w:rsid w:val="009E5C22"/>
    <w:rsid w:val="009F03CC"/>
    <w:rsid w:val="009F34E6"/>
    <w:rsid w:val="00A01E3F"/>
    <w:rsid w:val="00A03408"/>
    <w:rsid w:val="00A03F04"/>
    <w:rsid w:val="00A0596E"/>
    <w:rsid w:val="00A0737B"/>
    <w:rsid w:val="00A104C1"/>
    <w:rsid w:val="00A13E22"/>
    <w:rsid w:val="00A14222"/>
    <w:rsid w:val="00A15DD8"/>
    <w:rsid w:val="00A21DC5"/>
    <w:rsid w:val="00A24AFB"/>
    <w:rsid w:val="00A25EF6"/>
    <w:rsid w:val="00A26CB3"/>
    <w:rsid w:val="00A31556"/>
    <w:rsid w:val="00A31695"/>
    <w:rsid w:val="00A3205E"/>
    <w:rsid w:val="00A3226A"/>
    <w:rsid w:val="00A35C1B"/>
    <w:rsid w:val="00A35EF4"/>
    <w:rsid w:val="00A36E15"/>
    <w:rsid w:val="00A40338"/>
    <w:rsid w:val="00A406F0"/>
    <w:rsid w:val="00A41E77"/>
    <w:rsid w:val="00A42692"/>
    <w:rsid w:val="00A4446E"/>
    <w:rsid w:val="00A5136E"/>
    <w:rsid w:val="00A513EF"/>
    <w:rsid w:val="00A5596F"/>
    <w:rsid w:val="00A561CE"/>
    <w:rsid w:val="00A56BF3"/>
    <w:rsid w:val="00A56C73"/>
    <w:rsid w:val="00A65661"/>
    <w:rsid w:val="00A658BA"/>
    <w:rsid w:val="00A66461"/>
    <w:rsid w:val="00A66D82"/>
    <w:rsid w:val="00A67E5C"/>
    <w:rsid w:val="00A70CB8"/>
    <w:rsid w:val="00A711E7"/>
    <w:rsid w:val="00A720EE"/>
    <w:rsid w:val="00A72FE1"/>
    <w:rsid w:val="00A74F3A"/>
    <w:rsid w:val="00A75728"/>
    <w:rsid w:val="00A77716"/>
    <w:rsid w:val="00A77D39"/>
    <w:rsid w:val="00A80D0F"/>
    <w:rsid w:val="00A81363"/>
    <w:rsid w:val="00A83C15"/>
    <w:rsid w:val="00A83CB1"/>
    <w:rsid w:val="00A9092B"/>
    <w:rsid w:val="00A924F2"/>
    <w:rsid w:val="00A92C3D"/>
    <w:rsid w:val="00A94177"/>
    <w:rsid w:val="00A96B06"/>
    <w:rsid w:val="00AA13C6"/>
    <w:rsid w:val="00AA48BE"/>
    <w:rsid w:val="00AA71F3"/>
    <w:rsid w:val="00AB11A3"/>
    <w:rsid w:val="00AB1B18"/>
    <w:rsid w:val="00AB47C3"/>
    <w:rsid w:val="00AB47FA"/>
    <w:rsid w:val="00AB4ADF"/>
    <w:rsid w:val="00AB4AED"/>
    <w:rsid w:val="00AB7784"/>
    <w:rsid w:val="00AB7E6E"/>
    <w:rsid w:val="00AC0446"/>
    <w:rsid w:val="00AC1955"/>
    <w:rsid w:val="00AC244D"/>
    <w:rsid w:val="00AC362A"/>
    <w:rsid w:val="00AC4B56"/>
    <w:rsid w:val="00AC6167"/>
    <w:rsid w:val="00AC700A"/>
    <w:rsid w:val="00AD0D97"/>
    <w:rsid w:val="00AD6E98"/>
    <w:rsid w:val="00AD6F4B"/>
    <w:rsid w:val="00AD72C4"/>
    <w:rsid w:val="00AD73A5"/>
    <w:rsid w:val="00AE3F3C"/>
    <w:rsid w:val="00AE6AD2"/>
    <w:rsid w:val="00AF261D"/>
    <w:rsid w:val="00AF3961"/>
    <w:rsid w:val="00AF4B92"/>
    <w:rsid w:val="00AF70B7"/>
    <w:rsid w:val="00AF7260"/>
    <w:rsid w:val="00AF743F"/>
    <w:rsid w:val="00AF7464"/>
    <w:rsid w:val="00AF776B"/>
    <w:rsid w:val="00B01BC4"/>
    <w:rsid w:val="00B01C64"/>
    <w:rsid w:val="00B02E26"/>
    <w:rsid w:val="00B04B50"/>
    <w:rsid w:val="00B118C6"/>
    <w:rsid w:val="00B126D2"/>
    <w:rsid w:val="00B143D5"/>
    <w:rsid w:val="00B14960"/>
    <w:rsid w:val="00B160CB"/>
    <w:rsid w:val="00B20915"/>
    <w:rsid w:val="00B20BCE"/>
    <w:rsid w:val="00B245B5"/>
    <w:rsid w:val="00B3180A"/>
    <w:rsid w:val="00B31E06"/>
    <w:rsid w:val="00B327DF"/>
    <w:rsid w:val="00B3580A"/>
    <w:rsid w:val="00B3686B"/>
    <w:rsid w:val="00B40DF0"/>
    <w:rsid w:val="00B41E39"/>
    <w:rsid w:val="00B42DAF"/>
    <w:rsid w:val="00B44337"/>
    <w:rsid w:val="00B44E8D"/>
    <w:rsid w:val="00B46FCB"/>
    <w:rsid w:val="00B5094A"/>
    <w:rsid w:val="00B51815"/>
    <w:rsid w:val="00B56435"/>
    <w:rsid w:val="00B5701A"/>
    <w:rsid w:val="00B572F5"/>
    <w:rsid w:val="00B6027B"/>
    <w:rsid w:val="00B6032F"/>
    <w:rsid w:val="00B62B3D"/>
    <w:rsid w:val="00B63BEE"/>
    <w:rsid w:val="00B70521"/>
    <w:rsid w:val="00B70C67"/>
    <w:rsid w:val="00B71959"/>
    <w:rsid w:val="00B71F85"/>
    <w:rsid w:val="00B7323C"/>
    <w:rsid w:val="00B7528F"/>
    <w:rsid w:val="00B75B83"/>
    <w:rsid w:val="00B80BA6"/>
    <w:rsid w:val="00B82E2E"/>
    <w:rsid w:val="00B839E4"/>
    <w:rsid w:val="00B873F4"/>
    <w:rsid w:val="00B87A4C"/>
    <w:rsid w:val="00B91212"/>
    <w:rsid w:val="00B9142E"/>
    <w:rsid w:val="00B91E8F"/>
    <w:rsid w:val="00B932AB"/>
    <w:rsid w:val="00B97AF7"/>
    <w:rsid w:val="00BA0AB0"/>
    <w:rsid w:val="00BA1582"/>
    <w:rsid w:val="00BA30E1"/>
    <w:rsid w:val="00BA4385"/>
    <w:rsid w:val="00BA47A2"/>
    <w:rsid w:val="00BA5760"/>
    <w:rsid w:val="00BB1C26"/>
    <w:rsid w:val="00BB26CE"/>
    <w:rsid w:val="00BB3B54"/>
    <w:rsid w:val="00BB3EBE"/>
    <w:rsid w:val="00BB54B7"/>
    <w:rsid w:val="00BB5919"/>
    <w:rsid w:val="00BB622C"/>
    <w:rsid w:val="00BB699A"/>
    <w:rsid w:val="00BC0143"/>
    <w:rsid w:val="00BC0681"/>
    <w:rsid w:val="00BC1D9E"/>
    <w:rsid w:val="00BC29E3"/>
    <w:rsid w:val="00BC3DC0"/>
    <w:rsid w:val="00BC3E9E"/>
    <w:rsid w:val="00BC4ADB"/>
    <w:rsid w:val="00BC505F"/>
    <w:rsid w:val="00BC641A"/>
    <w:rsid w:val="00BD065E"/>
    <w:rsid w:val="00BD36BF"/>
    <w:rsid w:val="00BD3AE6"/>
    <w:rsid w:val="00BD4142"/>
    <w:rsid w:val="00BD6540"/>
    <w:rsid w:val="00BE2296"/>
    <w:rsid w:val="00BE3F4C"/>
    <w:rsid w:val="00BE56EF"/>
    <w:rsid w:val="00BF0197"/>
    <w:rsid w:val="00BF1E7C"/>
    <w:rsid w:val="00BF2380"/>
    <w:rsid w:val="00BF2742"/>
    <w:rsid w:val="00BF35AE"/>
    <w:rsid w:val="00BF391F"/>
    <w:rsid w:val="00BF5D40"/>
    <w:rsid w:val="00BF6B31"/>
    <w:rsid w:val="00C01B32"/>
    <w:rsid w:val="00C021AB"/>
    <w:rsid w:val="00C02C31"/>
    <w:rsid w:val="00C03ACE"/>
    <w:rsid w:val="00C03BDA"/>
    <w:rsid w:val="00C03C3D"/>
    <w:rsid w:val="00C054C5"/>
    <w:rsid w:val="00C06BE7"/>
    <w:rsid w:val="00C10260"/>
    <w:rsid w:val="00C1060E"/>
    <w:rsid w:val="00C12965"/>
    <w:rsid w:val="00C13A27"/>
    <w:rsid w:val="00C1477A"/>
    <w:rsid w:val="00C15611"/>
    <w:rsid w:val="00C16600"/>
    <w:rsid w:val="00C20F71"/>
    <w:rsid w:val="00C22F82"/>
    <w:rsid w:val="00C25405"/>
    <w:rsid w:val="00C264B1"/>
    <w:rsid w:val="00C27A5C"/>
    <w:rsid w:val="00C27EA8"/>
    <w:rsid w:val="00C27FEA"/>
    <w:rsid w:val="00C34B98"/>
    <w:rsid w:val="00C40F1D"/>
    <w:rsid w:val="00C4546E"/>
    <w:rsid w:val="00C46BCE"/>
    <w:rsid w:val="00C470C2"/>
    <w:rsid w:val="00C47F67"/>
    <w:rsid w:val="00C503AE"/>
    <w:rsid w:val="00C51090"/>
    <w:rsid w:val="00C51BDA"/>
    <w:rsid w:val="00C52ABD"/>
    <w:rsid w:val="00C52DAF"/>
    <w:rsid w:val="00C53E51"/>
    <w:rsid w:val="00C57201"/>
    <w:rsid w:val="00C61EAA"/>
    <w:rsid w:val="00C62510"/>
    <w:rsid w:val="00C635D0"/>
    <w:rsid w:val="00C63B50"/>
    <w:rsid w:val="00C661E8"/>
    <w:rsid w:val="00C663FB"/>
    <w:rsid w:val="00C71D89"/>
    <w:rsid w:val="00C73AFA"/>
    <w:rsid w:val="00C742A2"/>
    <w:rsid w:val="00C74661"/>
    <w:rsid w:val="00C7483F"/>
    <w:rsid w:val="00C74FE4"/>
    <w:rsid w:val="00C81A48"/>
    <w:rsid w:val="00C81E47"/>
    <w:rsid w:val="00C82B50"/>
    <w:rsid w:val="00C849EF"/>
    <w:rsid w:val="00C8611E"/>
    <w:rsid w:val="00C872A1"/>
    <w:rsid w:val="00C91FB5"/>
    <w:rsid w:val="00C93F33"/>
    <w:rsid w:val="00C95C08"/>
    <w:rsid w:val="00C95DAF"/>
    <w:rsid w:val="00CA0F1F"/>
    <w:rsid w:val="00CA17C0"/>
    <w:rsid w:val="00CA259F"/>
    <w:rsid w:val="00CA369A"/>
    <w:rsid w:val="00CA5C38"/>
    <w:rsid w:val="00CA6A5E"/>
    <w:rsid w:val="00CA7A4E"/>
    <w:rsid w:val="00CB01CE"/>
    <w:rsid w:val="00CB13B7"/>
    <w:rsid w:val="00CB147C"/>
    <w:rsid w:val="00CB1CD6"/>
    <w:rsid w:val="00CB2294"/>
    <w:rsid w:val="00CB22B0"/>
    <w:rsid w:val="00CB3341"/>
    <w:rsid w:val="00CB613D"/>
    <w:rsid w:val="00CC0F36"/>
    <w:rsid w:val="00CC1C51"/>
    <w:rsid w:val="00CC21B0"/>
    <w:rsid w:val="00CC572E"/>
    <w:rsid w:val="00CC59D1"/>
    <w:rsid w:val="00CD17FE"/>
    <w:rsid w:val="00CD381B"/>
    <w:rsid w:val="00CD4A4D"/>
    <w:rsid w:val="00CD7C2C"/>
    <w:rsid w:val="00CE410B"/>
    <w:rsid w:val="00CE41CD"/>
    <w:rsid w:val="00CE545C"/>
    <w:rsid w:val="00CE7333"/>
    <w:rsid w:val="00CF0F43"/>
    <w:rsid w:val="00CF2C3E"/>
    <w:rsid w:val="00CF3581"/>
    <w:rsid w:val="00CF4F40"/>
    <w:rsid w:val="00CF52DE"/>
    <w:rsid w:val="00CF5DF6"/>
    <w:rsid w:val="00CF637A"/>
    <w:rsid w:val="00D00BE6"/>
    <w:rsid w:val="00D01005"/>
    <w:rsid w:val="00D01B4F"/>
    <w:rsid w:val="00D022C7"/>
    <w:rsid w:val="00D02C4F"/>
    <w:rsid w:val="00D03666"/>
    <w:rsid w:val="00D04D6E"/>
    <w:rsid w:val="00D050C8"/>
    <w:rsid w:val="00D05A37"/>
    <w:rsid w:val="00D05AA5"/>
    <w:rsid w:val="00D07CCE"/>
    <w:rsid w:val="00D10825"/>
    <w:rsid w:val="00D11DD2"/>
    <w:rsid w:val="00D12795"/>
    <w:rsid w:val="00D133E9"/>
    <w:rsid w:val="00D13604"/>
    <w:rsid w:val="00D14121"/>
    <w:rsid w:val="00D158F8"/>
    <w:rsid w:val="00D159CD"/>
    <w:rsid w:val="00D16EF7"/>
    <w:rsid w:val="00D1751A"/>
    <w:rsid w:val="00D17AF3"/>
    <w:rsid w:val="00D17C73"/>
    <w:rsid w:val="00D20487"/>
    <w:rsid w:val="00D20679"/>
    <w:rsid w:val="00D22D7E"/>
    <w:rsid w:val="00D231AF"/>
    <w:rsid w:val="00D24C87"/>
    <w:rsid w:val="00D26F24"/>
    <w:rsid w:val="00D26F8A"/>
    <w:rsid w:val="00D317CB"/>
    <w:rsid w:val="00D33395"/>
    <w:rsid w:val="00D33727"/>
    <w:rsid w:val="00D3407E"/>
    <w:rsid w:val="00D35733"/>
    <w:rsid w:val="00D4009B"/>
    <w:rsid w:val="00D406DF"/>
    <w:rsid w:val="00D41DDD"/>
    <w:rsid w:val="00D42056"/>
    <w:rsid w:val="00D4262F"/>
    <w:rsid w:val="00D440E8"/>
    <w:rsid w:val="00D500D9"/>
    <w:rsid w:val="00D53ECA"/>
    <w:rsid w:val="00D54AA2"/>
    <w:rsid w:val="00D55016"/>
    <w:rsid w:val="00D567DE"/>
    <w:rsid w:val="00D629D3"/>
    <w:rsid w:val="00D63805"/>
    <w:rsid w:val="00D64880"/>
    <w:rsid w:val="00D67FD0"/>
    <w:rsid w:val="00D711AF"/>
    <w:rsid w:val="00D71C9E"/>
    <w:rsid w:val="00D73F68"/>
    <w:rsid w:val="00D75213"/>
    <w:rsid w:val="00D8024C"/>
    <w:rsid w:val="00D8087A"/>
    <w:rsid w:val="00D81AFE"/>
    <w:rsid w:val="00D82C38"/>
    <w:rsid w:val="00D83ED3"/>
    <w:rsid w:val="00D84EA8"/>
    <w:rsid w:val="00D86297"/>
    <w:rsid w:val="00D87ABE"/>
    <w:rsid w:val="00D90583"/>
    <w:rsid w:val="00D91B1D"/>
    <w:rsid w:val="00D9397E"/>
    <w:rsid w:val="00D93B4A"/>
    <w:rsid w:val="00D93D56"/>
    <w:rsid w:val="00D946B7"/>
    <w:rsid w:val="00D96293"/>
    <w:rsid w:val="00D974DC"/>
    <w:rsid w:val="00DA01DF"/>
    <w:rsid w:val="00DA4564"/>
    <w:rsid w:val="00DA5DA9"/>
    <w:rsid w:val="00DB02C2"/>
    <w:rsid w:val="00DB0729"/>
    <w:rsid w:val="00DB0D2B"/>
    <w:rsid w:val="00DB2693"/>
    <w:rsid w:val="00DB3455"/>
    <w:rsid w:val="00DB3AD9"/>
    <w:rsid w:val="00DB7ECC"/>
    <w:rsid w:val="00DC16A5"/>
    <w:rsid w:val="00DC1818"/>
    <w:rsid w:val="00DC22F0"/>
    <w:rsid w:val="00DC25B2"/>
    <w:rsid w:val="00DC641D"/>
    <w:rsid w:val="00DC642D"/>
    <w:rsid w:val="00DD06A7"/>
    <w:rsid w:val="00DD1367"/>
    <w:rsid w:val="00DD55FC"/>
    <w:rsid w:val="00DD5729"/>
    <w:rsid w:val="00DD573E"/>
    <w:rsid w:val="00DD5946"/>
    <w:rsid w:val="00DD6FBF"/>
    <w:rsid w:val="00DD767B"/>
    <w:rsid w:val="00DE3B19"/>
    <w:rsid w:val="00DE3F14"/>
    <w:rsid w:val="00DE4939"/>
    <w:rsid w:val="00DE506D"/>
    <w:rsid w:val="00DE6D44"/>
    <w:rsid w:val="00DE7600"/>
    <w:rsid w:val="00DF1C1B"/>
    <w:rsid w:val="00DF4014"/>
    <w:rsid w:val="00DF4980"/>
    <w:rsid w:val="00DF49F6"/>
    <w:rsid w:val="00DF781F"/>
    <w:rsid w:val="00E01737"/>
    <w:rsid w:val="00E02C8E"/>
    <w:rsid w:val="00E03651"/>
    <w:rsid w:val="00E037EC"/>
    <w:rsid w:val="00E04D16"/>
    <w:rsid w:val="00E05571"/>
    <w:rsid w:val="00E0634B"/>
    <w:rsid w:val="00E07404"/>
    <w:rsid w:val="00E07AEE"/>
    <w:rsid w:val="00E11372"/>
    <w:rsid w:val="00E114A2"/>
    <w:rsid w:val="00E1277F"/>
    <w:rsid w:val="00E15624"/>
    <w:rsid w:val="00E15DA7"/>
    <w:rsid w:val="00E162D0"/>
    <w:rsid w:val="00E177EF"/>
    <w:rsid w:val="00E203FD"/>
    <w:rsid w:val="00E20A34"/>
    <w:rsid w:val="00E21A37"/>
    <w:rsid w:val="00E21C38"/>
    <w:rsid w:val="00E226D6"/>
    <w:rsid w:val="00E22988"/>
    <w:rsid w:val="00E23457"/>
    <w:rsid w:val="00E25565"/>
    <w:rsid w:val="00E2792F"/>
    <w:rsid w:val="00E30F6E"/>
    <w:rsid w:val="00E3292A"/>
    <w:rsid w:val="00E32DEF"/>
    <w:rsid w:val="00E334B2"/>
    <w:rsid w:val="00E3544D"/>
    <w:rsid w:val="00E35A2F"/>
    <w:rsid w:val="00E3632F"/>
    <w:rsid w:val="00E429A7"/>
    <w:rsid w:val="00E42BED"/>
    <w:rsid w:val="00E43559"/>
    <w:rsid w:val="00E43C3A"/>
    <w:rsid w:val="00E44096"/>
    <w:rsid w:val="00E44363"/>
    <w:rsid w:val="00E445B5"/>
    <w:rsid w:val="00E478F0"/>
    <w:rsid w:val="00E55ADF"/>
    <w:rsid w:val="00E55FA3"/>
    <w:rsid w:val="00E561F8"/>
    <w:rsid w:val="00E61AA9"/>
    <w:rsid w:val="00E64629"/>
    <w:rsid w:val="00E66AF3"/>
    <w:rsid w:val="00E675AB"/>
    <w:rsid w:val="00E722FA"/>
    <w:rsid w:val="00E75474"/>
    <w:rsid w:val="00E763ED"/>
    <w:rsid w:val="00E806C1"/>
    <w:rsid w:val="00E81D3D"/>
    <w:rsid w:val="00E83243"/>
    <w:rsid w:val="00E832FE"/>
    <w:rsid w:val="00E834E5"/>
    <w:rsid w:val="00E85709"/>
    <w:rsid w:val="00E85C3E"/>
    <w:rsid w:val="00E86025"/>
    <w:rsid w:val="00E8716B"/>
    <w:rsid w:val="00E921C3"/>
    <w:rsid w:val="00E921FE"/>
    <w:rsid w:val="00E922F2"/>
    <w:rsid w:val="00E933BF"/>
    <w:rsid w:val="00E94B7E"/>
    <w:rsid w:val="00E969FC"/>
    <w:rsid w:val="00EA2442"/>
    <w:rsid w:val="00EA2BAF"/>
    <w:rsid w:val="00EA634A"/>
    <w:rsid w:val="00EA7D17"/>
    <w:rsid w:val="00EB0E81"/>
    <w:rsid w:val="00EB481B"/>
    <w:rsid w:val="00EB5659"/>
    <w:rsid w:val="00EB6171"/>
    <w:rsid w:val="00EB6D3C"/>
    <w:rsid w:val="00EC14CB"/>
    <w:rsid w:val="00EC1782"/>
    <w:rsid w:val="00EC349E"/>
    <w:rsid w:val="00EC5CB8"/>
    <w:rsid w:val="00EC629C"/>
    <w:rsid w:val="00ED041D"/>
    <w:rsid w:val="00ED0A26"/>
    <w:rsid w:val="00ED2615"/>
    <w:rsid w:val="00ED40CC"/>
    <w:rsid w:val="00ED4501"/>
    <w:rsid w:val="00ED6CD4"/>
    <w:rsid w:val="00ED7D75"/>
    <w:rsid w:val="00EE2270"/>
    <w:rsid w:val="00EE2353"/>
    <w:rsid w:val="00EE2F32"/>
    <w:rsid w:val="00EE4376"/>
    <w:rsid w:val="00EE445C"/>
    <w:rsid w:val="00EE5178"/>
    <w:rsid w:val="00EE7827"/>
    <w:rsid w:val="00EF0296"/>
    <w:rsid w:val="00EF12C4"/>
    <w:rsid w:val="00EF21B3"/>
    <w:rsid w:val="00EF25DC"/>
    <w:rsid w:val="00EF2DA1"/>
    <w:rsid w:val="00EF340F"/>
    <w:rsid w:val="00EF3DA2"/>
    <w:rsid w:val="00EF3F83"/>
    <w:rsid w:val="00EF48DD"/>
    <w:rsid w:val="00EF77E9"/>
    <w:rsid w:val="00F007AC"/>
    <w:rsid w:val="00F00C45"/>
    <w:rsid w:val="00F0179D"/>
    <w:rsid w:val="00F031E9"/>
    <w:rsid w:val="00F03798"/>
    <w:rsid w:val="00F0392F"/>
    <w:rsid w:val="00F10C92"/>
    <w:rsid w:val="00F12488"/>
    <w:rsid w:val="00F12ED8"/>
    <w:rsid w:val="00F12F0D"/>
    <w:rsid w:val="00F20A8F"/>
    <w:rsid w:val="00F220D3"/>
    <w:rsid w:val="00F22CF3"/>
    <w:rsid w:val="00F233F8"/>
    <w:rsid w:val="00F24877"/>
    <w:rsid w:val="00F24F98"/>
    <w:rsid w:val="00F261EC"/>
    <w:rsid w:val="00F26BAE"/>
    <w:rsid w:val="00F3022E"/>
    <w:rsid w:val="00F3070C"/>
    <w:rsid w:val="00F318AC"/>
    <w:rsid w:val="00F32C10"/>
    <w:rsid w:val="00F33C9D"/>
    <w:rsid w:val="00F347B9"/>
    <w:rsid w:val="00F37CEA"/>
    <w:rsid w:val="00F409D8"/>
    <w:rsid w:val="00F435E8"/>
    <w:rsid w:val="00F44FB0"/>
    <w:rsid w:val="00F45927"/>
    <w:rsid w:val="00F45B25"/>
    <w:rsid w:val="00F46803"/>
    <w:rsid w:val="00F46BFA"/>
    <w:rsid w:val="00F47769"/>
    <w:rsid w:val="00F50188"/>
    <w:rsid w:val="00F508BA"/>
    <w:rsid w:val="00F50BC7"/>
    <w:rsid w:val="00F53238"/>
    <w:rsid w:val="00F561A3"/>
    <w:rsid w:val="00F56FCF"/>
    <w:rsid w:val="00F5736A"/>
    <w:rsid w:val="00F60C22"/>
    <w:rsid w:val="00F610BA"/>
    <w:rsid w:val="00F62625"/>
    <w:rsid w:val="00F63BF1"/>
    <w:rsid w:val="00F675E5"/>
    <w:rsid w:val="00F72082"/>
    <w:rsid w:val="00F7301D"/>
    <w:rsid w:val="00F75F2C"/>
    <w:rsid w:val="00F76795"/>
    <w:rsid w:val="00F77E54"/>
    <w:rsid w:val="00F8172E"/>
    <w:rsid w:val="00F87FF0"/>
    <w:rsid w:val="00F9224E"/>
    <w:rsid w:val="00F9453F"/>
    <w:rsid w:val="00F956C4"/>
    <w:rsid w:val="00F95BED"/>
    <w:rsid w:val="00F9618B"/>
    <w:rsid w:val="00FA0760"/>
    <w:rsid w:val="00FA07E6"/>
    <w:rsid w:val="00FA11DE"/>
    <w:rsid w:val="00FA50A4"/>
    <w:rsid w:val="00FA54D0"/>
    <w:rsid w:val="00FA612F"/>
    <w:rsid w:val="00FA661D"/>
    <w:rsid w:val="00FA69FB"/>
    <w:rsid w:val="00FA6E50"/>
    <w:rsid w:val="00FA7B6F"/>
    <w:rsid w:val="00FB0863"/>
    <w:rsid w:val="00FB2757"/>
    <w:rsid w:val="00FB2C48"/>
    <w:rsid w:val="00FB3966"/>
    <w:rsid w:val="00FB40FE"/>
    <w:rsid w:val="00FB44C7"/>
    <w:rsid w:val="00FB47BD"/>
    <w:rsid w:val="00FB5D93"/>
    <w:rsid w:val="00FC01AB"/>
    <w:rsid w:val="00FC124B"/>
    <w:rsid w:val="00FC7703"/>
    <w:rsid w:val="00FD01B7"/>
    <w:rsid w:val="00FD08B5"/>
    <w:rsid w:val="00FD68B4"/>
    <w:rsid w:val="00FD7188"/>
    <w:rsid w:val="00FD7B7F"/>
    <w:rsid w:val="00FE0720"/>
    <w:rsid w:val="00FE4DB8"/>
    <w:rsid w:val="00FE6A12"/>
    <w:rsid w:val="00FE7E1F"/>
    <w:rsid w:val="00FF238E"/>
    <w:rsid w:val="00FF40B4"/>
    <w:rsid w:val="00FF570E"/>
    <w:rsid w:val="00FF5E57"/>
    <w:rsid w:val="00FF62A5"/>
    <w:rsid w:val="00FF6D01"/>
    <w:rsid w:val="00FF7025"/>
    <w:rsid w:val="00FF7A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2692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1D"/>
  </w:style>
  <w:style w:type="paragraph" w:styleId="Heading1">
    <w:name w:val="heading 1"/>
    <w:basedOn w:val="Normal"/>
    <w:next w:val="Normal"/>
    <w:link w:val="Heading1Char"/>
    <w:uiPriority w:val="9"/>
    <w:qFormat/>
    <w:rsid w:val="00FB44C7"/>
    <w:pPr>
      <w:numPr>
        <w:numId w:val="33"/>
      </w:numPr>
      <w:spacing w:before="120" w:after="120" w:line="240" w:lineRule="auto"/>
      <w:outlineLvl w:val="0"/>
    </w:pPr>
    <w:rPr>
      <w:rFonts w:eastAsiaTheme="majorEastAsia" w:cstheme="majorBidi"/>
      <w:b/>
      <w:bCs/>
      <w:sz w:val="32"/>
      <w:szCs w:val="28"/>
    </w:rPr>
  </w:style>
  <w:style w:type="paragraph" w:styleId="Heading2">
    <w:name w:val="heading 2"/>
    <w:basedOn w:val="Heading1"/>
    <w:next w:val="Normal"/>
    <w:link w:val="Heading2Char"/>
    <w:uiPriority w:val="9"/>
    <w:unhideWhenUsed/>
    <w:qFormat/>
    <w:rsid w:val="000368EE"/>
    <w:pPr>
      <w:keepNext/>
      <w:numPr>
        <w:ilvl w:val="1"/>
      </w:numPr>
      <w:ind w:left="578" w:hanging="578"/>
      <w:jc w:val="both"/>
      <w:outlineLvl w:val="1"/>
    </w:pPr>
    <w:rPr>
      <w:rFonts w:cs="Times New Roman"/>
      <w:bCs w:val="0"/>
      <w:sz w:val="28"/>
    </w:rPr>
  </w:style>
  <w:style w:type="paragraph" w:styleId="Heading3">
    <w:name w:val="heading 3"/>
    <w:basedOn w:val="Heading2"/>
    <w:next w:val="Normal"/>
    <w:link w:val="Heading3Char"/>
    <w:uiPriority w:val="9"/>
    <w:unhideWhenUsed/>
    <w:qFormat/>
    <w:rsid w:val="00ED041D"/>
    <w:pPr>
      <w:numPr>
        <w:ilvl w:val="2"/>
      </w:numPr>
      <w:outlineLvl w:val="2"/>
    </w:pPr>
    <w:rPr>
      <w:rFonts w:cstheme="majorBidi"/>
      <w:bCs/>
      <w:sz w:val="24"/>
    </w:rPr>
  </w:style>
  <w:style w:type="paragraph" w:styleId="Heading4">
    <w:name w:val="heading 4"/>
    <w:basedOn w:val="Normal"/>
    <w:next w:val="Normal"/>
    <w:link w:val="Heading4Char"/>
    <w:uiPriority w:val="9"/>
    <w:semiHidden/>
    <w:unhideWhenUsed/>
    <w:qFormat/>
    <w:rsid w:val="00931A13"/>
    <w:pPr>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2FB5"/>
    <w:pPr>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2FB5"/>
    <w:pPr>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2FB5"/>
    <w:pPr>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2FB5"/>
    <w:pPr>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2FB5"/>
    <w:pPr>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45B8"/>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0E45B8"/>
    <w:rPr>
      <w:rFonts w:asciiTheme="minorHAnsi" w:eastAsiaTheme="minorEastAsia" w:hAnsiTheme="minorHAnsi"/>
      <w:sz w:val="22"/>
      <w:lang w:val="en-US" w:eastAsia="ja-JP"/>
    </w:rPr>
  </w:style>
  <w:style w:type="paragraph" w:styleId="BalloonText">
    <w:name w:val="Balloon Text"/>
    <w:basedOn w:val="Normal"/>
    <w:link w:val="BalloonTextChar"/>
    <w:uiPriority w:val="99"/>
    <w:semiHidden/>
    <w:unhideWhenUsed/>
    <w:rsid w:val="000E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B8"/>
    <w:rPr>
      <w:rFonts w:ascii="Tahoma" w:hAnsi="Tahoma" w:cs="Tahoma"/>
      <w:sz w:val="16"/>
      <w:szCs w:val="16"/>
    </w:rPr>
  </w:style>
  <w:style w:type="paragraph" w:styleId="ListParagraph">
    <w:name w:val="List Paragraph"/>
    <w:basedOn w:val="Normal"/>
    <w:uiPriority w:val="34"/>
    <w:qFormat/>
    <w:rsid w:val="00334702"/>
    <w:pPr>
      <w:ind w:left="720"/>
      <w:contextualSpacing/>
    </w:pPr>
  </w:style>
  <w:style w:type="character" w:customStyle="1" w:styleId="Heading2Char">
    <w:name w:val="Heading 2 Char"/>
    <w:basedOn w:val="DefaultParagraphFont"/>
    <w:link w:val="Heading2"/>
    <w:uiPriority w:val="9"/>
    <w:rsid w:val="000368EE"/>
    <w:rPr>
      <w:rFonts w:eastAsiaTheme="majorEastAsia" w:cs="Times New Roman"/>
      <w:b/>
      <w:sz w:val="28"/>
      <w:szCs w:val="28"/>
    </w:rPr>
  </w:style>
  <w:style w:type="character" w:customStyle="1" w:styleId="Heading1Char">
    <w:name w:val="Heading 1 Char"/>
    <w:basedOn w:val="DefaultParagraphFont"/>
    <w:link w:val="Heading1"/>
    <w:uiPriority w:val="9"/>
    <w:rsid w:val="00FB44C7"/>
    <w:rPr>
      <w:rFonts w:eastAsiaTheme="majorEastAsia" w:cstheme="majorBidi"/>
      <w:b/>
      <w:bCs/>
      <w:sz w:val="32"/>
      <w:szCs w:val="28"/>
    </w:rPr>
  </w:style>
  <w:style w:type="character" w:customStyle="1" w:styleId="Heading3Char">
    <w:name w:val="Heading 3 Char"/>
    <w:basedOn w:val="DefaultParagraphFont"/>
    <w:link w:val="Heading3"/>
    <w:uiPriority w:val="9"/>
    <w:rsid w:val="00ED041D"/>
    <w:rPr>
      <w:rFonts w:eastAsiaTheme="majorEastAsia" w:cstheme="majorBidi"/>
      <w:b/>
      <w:bCs/>
      <w:szCs w:val="28"/>
    </w:rPr>
  </w:style>
  <w:style w:type="character" w:customStyle="1" w:styleId="Heading4Char">
    <w:name w:val="Heading 4 Char"/>
    <w:basedOn w:val="DefaultParagraphFont"/>
    <w:link w:val="Heading4"/>
    <w:uiPriority w:val="9"/>
    <w:semiHidden/>
    <w:rsid w:val="00931A13"/>
    <w:rPr>
      <w:rFonts w:asciiTheme="majorHAnsi" w:eastAsiaTheme="majorEastAsia" w:hAnsiTheme="majorHAnsi" w:cstheme="majorBidi"/>
      <w:b/>
      <w:bCs/>
      <w:i/>
      <w:iCs/>
      <w:color w:val="4F81BD" w:themeColor="accent1"/>
    </w:rPr>
  </w:style>
  <w:style w:type="paragraph" w:styleId="TOC2">
    <w:name w:val="toc 2"/>
    <w:basedOn w:val="TOC1"/>
    <w:next w:val="Normal"/>
    <w:uiPriority w:val="39"/>
    <w:unhideWhenUsed/>
    <w:rsid w:val="00D11DD2"/>
    <w:pPr>
      <w:ind w:left="851" w:right="397"/>
    </w:pPr>
    <w:rPr>
      <w:rFonts w:cs="Times New Roman"/>
      <w:b w:val="0"/>
      <w:i/>
      <w:szCs w:val="24"/>
      <w:lang w:eastAsia="en-AU"/>
    </w:rPr>
  </w:style>
  <w:style w:type="paragraph" w:styleId="TOC1">
    <w:name w:val="toc 1"/>
    <w:basedOn w:val="Normal"/>
    <w:next w:val="Normal"/>
    <w:uiPriority w:val="39"/>
    <w:unhideWhenUsed/>
    <w:rsid w:val="00D11DD2"/>
    <w:pPr>
      <w:tabs>
        <w:tab w:val="right" w:leader="dot" w:pos="9016"/>
      </w:tabs>
      <w:spacing w:before="120" w:after="0" w:line="240" w:lineRule="auto"/>
      <w:ind w:left="426" w:hanging="426"/>
    </w:pPr>
    <w:rPr>
      <w:b/>
      <w:noProof/>
    </w:rPr>
  </w:style>
  <w:style w:type="paragraph" w:styleId="TOC3">
    <w:name w:val="toc 3"/>
    <w:basedOn w:val="TOC2"/>
    <w:next w:val="Normal"/>
    <w:autoRedefine/>
    <w:uiPriority w:val="39"/>
    <w:unhideWhenUsed/>
    <w:rsid w:val="00D11DD2"/>
    <w:pPr>
      <w:tabs>
        <w:tab w:val="left" w:pos="1701"/>
      </w:tabs>
      <w:ind w:left="1843" w:hanging="992"/>
    </w:pPr>
    <w:rPr>
      <w:i w:val="0"/>
    </w:rPr>
  </w:style>
  <w:style w:type="character" w:styleId="Hyperlink">
    <w:name w:val="Hyperlink"/>
    <w:basedOn w:val="DefaultParagraphFont"/>
    <w:uiPriority w:val="99"/>
    <w:unhideWhenUsed/>
    <w:rsid w:val="00931A13"/>
    <w:rPr>
      <w:color w:val="0000FF" w:themeColor="hyperlink"/>
      <w:u w:val="single"/>
    </w:rPr>
  </w:style>
  <w:style w:type="paragraph" w:styleId="NormalWeb">
    <w:name w:val="Normal (Web)"/>
    <w:basedOn w:val="Normal"/>
    <w:uiPriority w:val="99"/>
    <w:semiHidden/>
    <w:unhideWhenUsed/>
    <w:rsid w:val="00F26BAE"/>
    <w:pPr>
      <w:spacing w:before="100" w:beforeAutospacing="1" w:after="100" w:afterAutospacing="1" w:line="240" w:lineRule="auto"/>
    </w:pPr>
    <w:rPr>
      <w:rFonts w:eastAsia="Times New Roman" w:cs="Times New Roman"/>
      <w:szCs w:val="24"/>
      <w:lang w:eastAsia="en-AU"/>
    </w:rPr>
  </w:style>
  <w:style w:type="character" w:customStyle="1" w:styleId="apple-converted-space">
    <w:name w:val="apple-converted-space"/>
    <w:basedOn w:val="DefaultParagraphFont"/>
    <w:rsid w:val="00F26BAE"/>
  </w:style>
  <w:style w:type="paragraph" w:styleId="BodyText3">
    <w:name w:val="Body Text 3"/>
    <w:basedOn w:val="Normal"/>
    <w:link w:val="BodyText3Char"/>
    <w:rsid w:val="005F46E0"/>
    <w:pPr>
      <w:spacing w:after="0" w:line="240" w:lineRule="auto"/>
    </w:pPr>
    <w:rPr>
      <w:rFonts w:ascii="Verdana" w:eastAsia="Times New Roman" w:hAnsi="Verdana" w:cs="Arial"/>
      <w:bCs/>
      <w:sz w:val="20"/>
      <w:szCs w:val="24"/>
      <w:lang w:val="en-IE"/>
    </w:rPr>
  </w:style>
  <w:style w:type="character" w:customStyle="1" w:styleId="BodyText3Char">
    <w:name w:val="Body Text 3 Char"/>
    <w:basedOn w:val="DefaultParagraphFont"/>
    <w:link w:val="BodyText3"/>
    <w:rsid w:val="005F46E0"/>
    <w:rPr>
      <w:rFonts w:ascii="Verdana" w:eastAsia="Times New Roman" w:hAnsi="Verdana" w:cs="Arial"/>
      <w:bCs/>
      <w:sz w:val="20"/>
      <w:szCs w:val="24"/>
      <w:lang w:val="en-IE"/>
    </w:rPr>
  </w:style>
  <w:style w:type="table" w:styleId="TableGrid">
    <w:name w:val="Table Grid"/>
    <w:basedOn w:val="TableNormal"/>
    <w:uiPriority w:val="59"/>
    <w:rsid w:val="009D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00A"/>
    <w:pPr>
      <w:autoSpaceDE w:val="0"/>
      <w:autoSpaceDN w:val="0"/>
      <w:adjustRightInd w:val="0"/>
      <w:spacing w:after="0" w:line="240" w:lineRule="auto"/>
    </w:pPr>
    <w:rPr>
      <w:rFonts w:ascii="Calibri" w:hAnsi="Calibri" w:cs="Calibri"/>
      <w:color w:val="000000"/>
      <w:szCs w:val="24"/>
    </w:rPr>
  </w:style>
  <w:style w:type="table" w:styleId="LightShading-Accent1">
    <w:name w:val="Light Shading Accent 1"/>
    <w:basedOn w:val="TableNormal"/>
    <w:uiPriority w:val="60"/>
    <w:rsid w:val="00587F49"/>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2-Accent1">
    <w:name w:val="Medium Grid 2 Accent 1"/>
    <w:basedOn w:val="TableNormal"/>
    <w:uiPriority w:val="68"/>
    <w:rsid w:val="00587F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D974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8A33AF"/>
    <w:rPr>
      <w:sz w:val="16"/>
      <w:szCs w:val="16"/>
    </w:rPr>
  </w:style>
  <w:style w:type="paragraph" w:styleId="CommentText">
    <w:name w:val="annotation text"/>
    <w:basedOn w:val="Normal"/>
    <w:link w:val="CommentTextChar"/>
    <w:uiPriority w:val="99"/>
    <w:semiHidden/>
    <w:unhideWhenUsed/>
    <w:rsid w:val="008A33AF"/>
    <w:pPr>
      <w:spacing w:line="240" w:lineRule="auto"/>
    </w:pPr>
    <w:rPr>
      <w:sz w:val="20"/>
      <w:szCs w:val="20"/>
    </w:rPr>
  </w:style>
  <w:style w:type="character" w:customStyle="1" w:styleId="CommentTextChar">
    <w:name w:val="Comment Text Char"/>
    <w:basedOn w:val="DefaultParagraphFont"/>
    <w:link w:val="CommentText"/>
    <w:uiPriority w:val="99"/>
    <w:semiHidden/>
    <w:rsid w:val="008A33AF"/>
    <w:rPr>
      <w:sz w:val="20"/>
      <w:szCs w:val="20"/>
    </w:rPr>
  </w:style>
  <w:style w:type="paragraph" w:styleId="CommentSubject">
    <w:name w:val="annotation subject"/>
    <w:basedOn w:val="CommentText"/>
    <w:next w:val="CommentText"/>
    <w:link w:val="CommentSubjectChar"/>
    <w:uiPriority w:val="99"/>
    <w:semiHidden/>
    <w:unhideWhenUsed/>
    <w:rsid w:val="008A33AF"/>
    <w:rPr>
      <w:b/>
      <w:bCs/>
    </w:rPr>
  </w:style>
  <w:style w:type="character" w:customStyle="1" w:styleId="CommentSubjectChar">
    <w:name w:val="Comment Subject Char"/>
    <w:basedOn w:val="CommentTextChar"/>
    <w:link w:val="CommentSubject"/>
    <w:uiPriority w:val="99"/>
    <w:semiHidden/>
    <w:rsid w:val="008A33AF"/>
    <w:rPr>
      <w:b/>
      <w:bCs/>
      <w:sz w:val="20"/>
      <w:szCs w:val="20"/>
    </w:rPr>
  </w:style>
  <w:style w:type="paragraph" w:styleId="Header">
    <w:name w:val="header"/>
    <w:basedOn w:val="Normal"/>
    <w:link w:val="HeaderChar"/>
    <w:uiPriority w:val="99"/>
    <w:unhideWhenUsed/>
    <w:rsid w:val="00D17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C73"/>
  </w:style>
  <w:style w:type="paragraph" w:styleId="Footer">
    <w:name w:val="footer"/>
    <w:basedOn w:val="Normal"/>
    <w:link w:val="FooterChar"/>
    <w:uiPriority w:val="99"/>
    <w:unhideWhenUsed/>
    <w:rsid w:val="00D17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C73"/>
  </w:style>
  <w:style w:type="paragraph" w:styleId="Revision">
    <w:name w:val="Revision"/>
    <w:hidden/>
    <w:uiPriority w:val="99"/>
    <w:semiHidden/>
    <w:rsid w:val="00045A4F"/>
    <w:pPr>
      <w:spacing w:after="0" w:line="240" w:lineRule="auto"/>
    </w:pPr>
  </w:style>
  <w:style w:type="character" w:styleId="FollowedHyperlink">
    <w:name w:val="FollowedHyperlink"/>
    <w:basedOn w:val="DefaultParagraphFont"/>
    <w:uiPriority w:val="99"/>
    <w:semiHidden/>
    <w:unhideWhenUsed/>
    <w:rsid w:val="0008308C"/>
    <w:rPr>
      <w:color w:val="800080" w:themeColor="followedHyperlink"/>
      <w:u w:val="single"/>
    </w:rPr>
  </w:style>
  <w:style w:type="paragraph" w:styleId="Title">
    <w:name w:val="Title"/>
    <w:basedOn w:val="Normal"/>
    <w:next w:val="Normal"/>
    <w:link w:val="TitleChar"/>
    <w:uiPriority w:val="10"/>
    <w:qFormat/>
    <w:rsid w:val="00E675AB"/>
    <w:pPr>
      <w:keepLines/>
      <w:jc w:val="center"/>
    </w:pPr>
    <w:rPr>
      <w:rFonts w:cs="Times New Roman"/>
      <w:b/>
      <w:sz w:val="48"/>
      <w:szCs w:val="48"/>
    </w:rPr>
  </w:style>
  <w:style w:type="character" w:customStyle="1" w:styleId="TitleChar">
    <w:name w:val="Title Char"/>
    <w:basedOn w:val="DefaultParagraphFont"/>
    <w:link w:val="Title"/>
    <w:uiPriority w:val="10"/>
    <w:rsid w:val="00E675AB"/>
    <w:rPr>
      <w:rFonts w:cs="Times New Roman"/>
      <w:b/>
      <w:sz w:val="48"/>
      <w:szCs w:val="48"/>
    </w:rPr>
  </w:style>
  <w:style w:type="character" w:customStyle="1" w:styleId="Heading5Char">
    <w:name w:val="Heading 5 Char"/>
    <w:basedOn w:val="DefaultParagraphFont"/>
    <w:link w:val="Heading5"/>
    <w:uiPriority w:val="9"/>
    <w:semiHidden/>
    <w:rsid w:val="00772F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2F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2F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2F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2FB5"/>
    <w:rPr>
      <w:rFonts w:asciiTheme="majorHAnsi" w:eastAsiaTheme="majorEastAsia" w:hAnsiTheme="majorHAnsi" w:cstheme="majorBidi"/>
      <w:i/>
      <w:iCs/>
      <w:color w:val="404040" w:themeColor="text1" w:themeTint="BF"/>
      <w:sz w:val="20"/>
      <w:szCs w:val="20"/>
    </w:rPr>
  </w:style>
  <w:style w:type="paragraph" w:styleId="Subtitle">
    <w:name w:val="Subtitle"/>
    <w:basedOn w:val="Title"/>
    <w:next w:val="Normal"/>
    <w:link w:val="SubtitleChar"/>
    <w:uiPriority w:val="11"/>
    <w:qFormat/>
    <w:rsid w:val="00972601"/>
    <w:rPr>
      <w:b w:val="0"/>
      <w:sz w:val="44"/>
    </w:rPr>
  </w:style>
  <w:style w:type="character" w:customStyle="1" w:styleId="SubtitleChar">
    <w:name w:val="Subtitle Char"/>
    <w:basedOn w:val="DefaultParagraphFont"/>
    <w:link w:val="Subtitle"/>
    <w:uiPriority w:val="11"/>
    <w:rsid w:val="00972601"/>
    <w:rPr>
      <w:rFonts w:cs="Times New Roman"/>
      <w:sz w:val="44"/>
      <w:szCs w:val="48"/>
    </w:rPr>
  </w:style>
  <w:style w:type="paragraph" w:customStyle="1" w:styleId="Tableheading">
    <w:name w:val="Table heading"/>
    <w:basedOn w:val="Normal"/>
    <w:next w:val="Normal"/>
    <w:qFormat/>
    <w:rsid w:val="00CF637A"/>
    <w:pPr>
      <w:spacing w:before="60" w:after="60" w:line="240" w:lineRule="auto"/>
    </w:pPr>
    <w:rPr>
      <w:rFonts w:eastAsiaTheme="majorEastAsia" w:cs="Times New Roman"/>
      <w:b/>
      <w:bCs/>
      <w:color w:val="000000" w:themeColor="text1"/>
      <w:sz w:val="20"/>
      <w:szCs w:val="20"/>
    </w:rPr>
  </w:style>
  <w:style w:type="paragraph" w:customStyle="1" w:styleId="Tabletext">
    <w:name w:val="Table text"/>
    <w:basedOn w:val="Normal"/>
    <w:qFormat/>
    <w:rsid w:val="003A75D1"/>
    <w:pPr>
      <w:spacing w:after="0" w:line="240" w:lineRule="auto"/>
    </w:pPr>
    <w:rPr>
      <w:rFonts w:eastAsiaTheme="majorEastAsia" w:cs="Times New Roman"/>
      <w:color w:val="000000" w:themeColor="text1"/>
      <w:sz w:val="20"/>
    </w:rPr>
  </w:style>
  <w:style w:type="character" w:styleId="Strong">
    <w:name w:val="Strong"/>
    <w:basedOn w:val="DefaultParagraphFont"/>
    <w:uiPriority w:val="22"/>
    <w:qFormat/>
    <w:rsid w:val="00EA634A"/>
    <w:rPr>
      <w:b/>
      <w:bCs/>
    </w:rPr>
  </w:style>
  <w:style w:type="character" w:styleId="IntenseEmphasis">
    <w:name w:val="Intense Emphasis"/>
    <w:uiPriority w:val="21"/>
    <w:qFormat/>
    <w:rsid w:val="006D47B2"/>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1D"/>
  </w:style>
  <w:style w:type="paragraph" w:styleId="Heading1">
    <w:name w:val="heading 1"/>
    <w:basedOn w:val="Normal"/>
    <w:next w:val="Normal"/>
    <w:link w:val="Heading1Char"/>
    <w:uiPriority w:val="9"/>
    <w:qFormat/>
    <w:rsid w:val="00FB44C7"/>
    <w:pPr>
      <w:numPr>
        <w:numId w:val="33"/>
      </w:numPr>
      <w:spacing w:before="120" w:after="120" w:line="240" w:lineRule="auto"/>
      <w:outlineLvl w:val="0"/>
    </w:pPr>
    <w:rPr>
      <w:rFonts w:eastAsiaTheme="majorEastAsia" w:cstheme="majorBidi"/>
      <w:b/>
      <w:bCs/>
      <w:sz w:val="32"/>
      <w:szCs w:val="28"/>
    </w:rPr>
  </w:style>
  <w:style w:type="paragraph" w:styleId="Heading2">
    <w:name w:val="heading 2"/>
    <w:basedOn w:val="Heading1"/>
    <w:next w:val="Normal"/>
    <w:link w:val="Heading2Char"/>
    <w:uiPriority w:val="9"/>
    <w:unhideWhenUsed/>
    <w:qFormat/>
    <w:rsid w:val="000368EE"/>
    <w:pPr>
      <w:keepNext/>
      <w:numPr>
        <w:ilvl w:val="1"/>
      </w:numPr>
      <w:ind w:left="578" w:hanging="578"/>
      <w:jc w:val="both"/>
      <w:outlineLvl w:val="1"/>
    </w:pPr>
    <w:rPr>
      <w:rFonts w:cs="Times New Roman"/>
      <w:bCs w:val="0"/>
      <w:sz w:val="28"/>
    </w:rPr>
  </w:style>
  <w:style w:type="paragraph" w:styleId="Heading3">
    <w:name w:val="heading 3"/>
    <w:basedOn w:val="Heading2"/>
    <w:next w:val="Normal"/>
    <w:link w:val="Heading3Char"/>
    <w:uiPriority w:val="9"/>
    <w:unhideWhenUsed/>
    <w:qFormat/>
    <w:rsid w:val="00ED041D"/>
    <w:pPr>
      <w:numPr>
        <w:ilvl w:val="2"/>
      </w:numPr>
      <w:outlineLvl w:val="2"/>
    </w:pPr>
    <w:rPr>
      <w:rFonts w:cstheme="majorBidi"/>
      <w:bCs/>
      <w:sz w:val="24"/>
    </w:rPr>
  </w:style>
  <w:style w:type="paragraph" w:styleId="Heading4">
    <w:name w:val="heading 4"/>
    <w:basedOn w:val="Normal"/>
    <w:next w:val="Normal"/>
    <w:link w:val="Heading4Char"/>
    <w:uiPriority w:val="9"/>
    <w:semiHidden/>
    <w:unhideWhenUsed/>
    <w:qFormat/>
    <w:rsid w:val="00931A13"/>
    <w:pPr>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2FB5"/>
    <w:pPr>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2FB5"/>
    <w:pPr>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2FB5"/>
    <w:pPr>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2FB5"/>
    <w:pPr>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2FB5"/>
    <w:pPr>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45B8"/>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0E45B8"/>
    <w:rPr>
      <w:rFonts w:asciiTheme="minorHAnsi" w:eastAsiaTheme="minorEastAsia" w:hAnsiTheme="minorHAnsi"/>
      <w:sz w:val="22"/>
      <w:lang w:val="en-US" w:eastAsia="ja-JP"/>
    </w:rPr>
  </w:style>
  <w:style w:type="paragraph" w:styleId="BalloonText">
    <w:name w:val="Balloon Text"/>
    <w:basedOn w:val="Normal"/>
    <w:link w:val="BalloonTextChar"/>
    <w:uiPriority w:val="99"/>
    <w:semiHidden/>
    <w:unhideWhenUsed/>
    <w:rsid w:val="000E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5B8"/>
    <w:rPr>
      <w:rFonts w:ascii="Tahoma" w:hAnsi="Tahoma" w:cs="Tahoma"/>
      <w:sz w:val="16"/>
      <w:szCs w:val="16"/>
    </w:rPr>
  </w:style>
  <w:style w:type="paragraph" w:styleId="ListParagraph">
    <w:name w:val="List Paragraph"/>
    <w:basedOn w:val="Normal"/>
    <w:uiPriority w:val="34"/>
    <w:qFormat/>
    <w:rsid w:val="00334702"/>
    <w:pPr>
      <w:ind w:left="720"/>
      <w:contextualSpacing/>
    </w:pPr>
  </w:style>
  <w:style w:type="character" w:customStyle="1" w:styleId="Heading2Char">
    <w:name w:val="Heading 2 Char"/>
    <w:basedOn w:val="DefaultParagraphFont"/>
    <w:link w:val="Heading2"/>
    <w:uiPriority w:val="9"/>
    <w:rsid w:val="000368EE"/>
    <w:rPr>
      <w:rFonts w:eastAsiaTheme="majorEastAsia" w:cs="Times New Roman"/>
      <w:b/>
      <w:sz w:val="28"/>
      <w:szCs w:val="28"/>
    </w:rPr>
  </w:style>
  <w:style w:type="character" w:customStyle="1" w:styleId="Heading1Char">
    <w:name w:val="Heading 1 Char"/>
    <w:basedOn w:val="DefaultParagraphFont"/>
    <w:link w:val="Heading1"/>
    <w:uiPriority w:val="9"/>
    <w:rsid w:val="00FB44C7"/>
    <w:rPr>
      <w:rFonts w:eastAsiaTheme="majorEastAsia" w:cstheme="majorBidi"/>
      <w:b/>
      <w:bCs/>
      <w:sz w:val="32"/>
      <w:szCs w:val="28"/>
    </w:rPr>
  </w:style>
  <w:style w:type="character" w:customStyle="1" w:styleId="Heading3Char">
    <w:name w:val="Heading 3 Char"/>
    <w:basedOn w:val="DefaultParagraphFont"/>
    <w:link w:val="Heading3"/>
    <w:uiPriority w:val="9"/>
    <w:rsid w:val="00ED041D"/>
    <w:rPr>
      <w:rFonts w:eastAsiaTheme="majorEastAsia" w:cstheme="majorBidi"/>
      <w:b/>
      <w:bCs/>
      <w:szCs w:val="28"/>
    </w:rPr>
  </w:style>
  <w:style w:type="character" w:customStyle="1" w:styleId="Heading4Char">
    <w:name w:val="Heading 4 Char"/>
    <w:basedOn w:val="DefaultParagraphFont"/>
    <w:link w:val="Heading4"/>
    <w:uiPriority w:val="9"/>
    <w:semiHidden/>
    <w:rsid w:val="00931A13"/>
    <w:rPr>
      <w:rFonts w:asciiTheme="majorHAnsi" w:eastAsiaTheme="majorEastAsia" w:hAnsiTheme="majorHAnsi" w:cstheme="majorBidi"/>
      <w:b/>
      <w:bCs/>
      <w:i/>
      <w:iCs/>
      <w:color w:val="4F81BD" w:themeColor="accent1"/>
    </w:rPr>
  </w:style>
  <w:style w:type="paragraph" w:styleId="TOC2">
    <w:name w:val="toc 2"/>
    <w:basedOn w:val="TOC1"/>
    <w:next w:val="Normal"/>
    <w:uiPriority w:val="39"/>
    <w:unhideWhenUsed/>
    <w:rsid w:val="00D11DD2"/>
    <w:pPr>
      <w:ind w:left="851" w:right="397"/>
    </w:pPr>
    <w:rPr>
      <w:rFonts w:cs="Times New Roman"/>
      <w:b w:val="0"/>
      <w:i/>
      <w:szCs w:val="24"/>
      <w:lang w:eastAsia="en-AU"/>
    </w:rPr>
  </w:style>
  <w:style w:type="paragraph" w:styleId="TOC1">
    <w:name w:val="toc 1"/>
    <w:basedOn w:val="Normal"/>
    <w:next w:val="Normal"/>
    <w:uiPriority w:val="39"/>
    <w:unhideWhenUsed/>
    <w:rsid w:val="00D11DD2"/>
    <w:pPr>
      <w:tabs>
        <w:tab w:val="right" w:leader="dot" w:pos="9016"/>
      </w:tabs>
      <w:spacing w:before="120" w:after="0" w:line="240" w:lineRule="auto"/>
      <w:ind w:left="426" w:hanging="426"/>
    </w:pPr>
    <w:rPr>
      <w:b/>
      <w:noProof/>
    </w:rPr>
  </w:style>
  <w:style w:type="paragraph" w:styleId="TOC3">
    <w:name w:val="toc 3"/>
    <w:basedOn w:val="TOC2"/>
    <w:next w:val="Normal"/>
    <w:autoRedefine/>
    <w:uiPriority w:val="39"/>
    <w:unhideWhenUsed/>
    <w:rsid w:val="00D11DD2"/>
    <w:pPr>
      <w:tabs>
        <w:tab w:val="left" w:pos="1701"/>
      </w:tabs>
      <w:ind w:left="1843" w:hanging="992"/>
    </w:pPr>
    <w:rPr>
      <w:i w:val="0"/>
    </w:rPr>
  </w:style>
  <w:style w:type="character" w:styleId="Hyperlink">
    <w:name w:val="Hyperlink"/>
    <w:basedOn w:val="DefaultParagraphFont"/>
    <w:uiPriority w:val="99"/>
    <w:unhideWhenUsed/>
    <w:rsid w:val="00931A13"/>
    <w:rPr>
      <w:color w:val="0000FF" w:themeColor="hyperlink"/>
      <w:u w:val="single"/>
    </w:rPr>
  </w:style>
  <w:style w:type="paragraph" w:styleId="NormalWeb">
    <w:name w:val="Normal (Web)"/>
    <w:basedOn w:val="Normal"/>
    <w:uiPriority w:val="99"/>
    <w:semiHidden/>
    <w:unhideWhenUsed/>
    <w:rsid w:val="00F26BAE"/>
    <w:pPr>
      <w:spacing w:before="100" w:beforeAutospacing="1" w:after="100" w:afterAutospacing="1" w:line="240" w:lineRule="auto"/>
    </w:pPr>
    <w:rPr>
      <w:rFonts w:eastAsia="Times New Roman" w:cs="Times New Roman"/>
      <w:szCs w:val="24"/>
      <w:lang w:eastAsia="en-AU"/>
    </w:rPr>
  </w:style>
  <w:style w:type="character" w:customStyle="1" w:styleId="apple-converted-space">
    <w:name w:val="apple-converted-space"/>
    <w:basedOn w:val="DefaultParagraphFont"/>
    <w:rsid w:val="00F26BAE"/>
  </w:style>
  <w:style w:type="paragraph" w:styleId="BodyText3">
    <w:name w:val="Body Text 3"/>
    <w:basedOn w:val="Normal"/>
    <w:link w:val="BodyText3Char"/>
    <w:rsid w:val="005F46E0"/>
    <w:pPr>
      <w:spacing w:after="0" w:line="240" w:lineRule="auto"/>
    </w:pPr>
    <w:rPr>
      <w:rFonts w:ascii="Verdana" w:eastAsia="Times New Roman" w:hAnsi="Verdana" w:cs="Arial"/>
      <w:bCs/>
      <w:sz w:val="20"/>
      <w:szCs w:val="24"/>
      <w:lang w:val="en-IE"/>
    </w:rPr>
  </w:style>
  <w:style w:type="character" w:customStyle="1" w:styleId="BodyText3Char">
    <w:name w:val="Body Text 3 Char"/>
    <w:basedOn w:val="DefaultParagraphFont"/>
    <w:link w:val="BodyText3"/>
    <w:rsid w:val="005F46E0"/>
    <w:rPr>
      <w:rFonts w:ascii="Verdana" w:eastAsia="Times New Roman" w:hAnsi="Verdana" w:cs="Arial"/>
      <w:bCs/>
      <w:sz w:val="20"/>
      <w:szCs w:val="24"/>
      <w:lang w:val="en-IE"/>
    </w:rPr>
  </w:style>
  <w:style w:type="table" w:styleId="TableGrid">
    <w:name w:val="Table Grid"/>
    <w:basedOn w:val="TableNormal"/>
    <w:uiPriority w:val="59"/>
    <w:rsid w:val="009D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700A"/>
    <w:pPr>
      <w:autoSpaceDE w:val="0"/>
      <w:autoSpaceDN w:val="0"/>
      <w:adjustRightInd w:val="0"/>
      <w:spacing w:after="0" w:line="240" w:lineRule="auto"/>
    </w:pPr>
    <w:rPr>
      <w:rFonts w:ascii="Calibri" w:hAnsi="Calibri" w:cs="Calibri"/>
      <w:color w:val="000000"/>
      <w:szCs w:val="24"/>
    </w:rPr>
  </w:style>
  <w:style w:type="table" w:styleId="LightShading-Accent1">
    <w:name w:val="Light Shading Accent 1"/>
    <w:basedOn w:val="TableNormal"/>
    <w:uiPriority w:val="60"/>
    <w:rsid w:val="00587F49"/>
    <w:pPr>
      <w:spacing w:after="0" w:line="240" w:lineRule="auto"/>
    </w:pPr>
    <w:rPr>
      <w:rFonts w:asciiTheme="minorHAnsi" w:hAnsiTheme="minorHAns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2-Accent1">
    <w:name w:val="Medium Grid 2 Accent 1"/>
    <w:basedOn w:val="TableNormal"/>
    <w:uiPriority w:val="68"/>
    <w:rsid w:val="00587F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D974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8A33AF"/>
    <w:rPr>
      <w:sz w:val="16"/>
      <w:szCs w:val="16"/>
    </w:rPr>
  </w:style>
  <w:style w:type="paragraph" w:styleId="CommentText">
    <w:name w:val="annotation text"/>
    <w:basedOn w:val="Normal"/>
    <w:link w:val="CommentTextChar"/>
    <w:uiPriority w:val="99"/>
    <w:semiHidden/>
    <w:unhideWhenUsed/>
    <w:rsid w:val="008A33AF"/>
    <w:pPr>
      <w:spacing w:line="240" w:lineRule="auto"/>
    </w:pPr>
    <w:rPr>
      <w:sz w:val="20"/>
      <w:szCs w:val="20"/>
    </w:rPr>
  </w:style>
  <w:style w:type="character" w:customStyle="1" w:styleId="CommentTextChar">
    <w:name w:val="Comment Text Char"/>
    <w:basedOn w:val="DefaultParagraphFont"/>
    <w:link w:val="CommentText"/>
    <w:uiPriority w:val="99"/>
    <w:semiHidden/>
    <w:rsid w:val="008A33AF"/>
    <w:rPr>
      <w:sz w:val="20"/>
      <w:szCs w:val="20"/>
    </w:rPr>
  </w:style>
  <w:style w:type="paragraph" w:styleId="CommentSubject">
    <w:name w:val="annotation subject"/>
    <w:basedOn w:val="CommentText"/>
    <w:next w:val="CommentText"/>
    <w:link w:val="CommentSubjectChar"/>
    <w:uiPriority w:val="99"/>
    <w:semiHidden/>
    <w:unhideWhenUsed/>
    <w:rsid w:val="008A33AF"/>
    <w:rPr>
      <w:b/>
      <w:bCs/>
    </w:rPr>
  </w:style>
  <w:style w:type="character" w:customStyle="1" w:styleId="CommentSubjectChar">
    <w:name w:val="Comment Subject Char"/>
    <w:basedOn w:val="CommentTextChar"/>
    <w:link w:val="CommentSubject"/>
    <w:uiPriority w:val="99"/>
    <w:semiHidden/>
    <w:rsid w:val="008A33AF"/>
    <w:rPr>
      <w:b/>
      <w:bCs/>
      <w:sz w:val="20"/>
      <w:szCs w:val="20"/>
    </w:rPr>
  </w:style>
  <w:style w:type="paragraph" w:styleId="Header">
    <w:name w:val="header"/>
    <w:basedOn w:val="Normal"/>
    <w:link w:val="HeaderChar"/>
    <w:uiPriority w:val="99"/>
    <w:unhideWhenUsed/>
    <w:rsid w:val="00D17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C73"/>
  </w:style>
  <w:style w:type="paragraph" w:styleId="Footer">
    <w:name w:val="footer"/>
    <w:basedOn w:val="Normal"/>
    <w:link w:val="FooterChar"/>
    <w:uiPriority w:val="99"/>
    <w:unhideWhenUsed/>
    <w:rsid w:val="00D17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C73"/>
  </w:style>
  <w:style w:type="paragraph" w:styleId="Revision">
    <w:name w:val="Revision"/>
    <w:hidden/>
    <w:uiPriority w:val="99"/>
    <w:semiHidden/>
    <w:rsid w:val="00045A4F"/>
    <w:pPr>
      <w:spacing w:after="0" w:line="240" w:lineRule="auto"/>
    </w:pPr>
  </w:style>
  <w:style w:type="character" w:styleId="FollowedHyperlink">
    <w:name w:val="FollowedHyperlink"/>
    <w:basedOn w:val="DefaultParagraphFont"/>
    <w:uiPriority w:val="99"/>
    <w:semiHidden/>
    <w:unhideWhenUsed/>
    <w:rsid w:val="0008308C"/>
    <w:rPr>
      <w:color w:val="800080" w:themeColor="followedHyperlink"/>
      <w:u w:val="single"/>
    </w:rPr>
  </w:style>
  <w:style w:type="paragraph" w:styleId="Title">
    <w:name w:val="Title"/>
    <w:basedOn w:val="Normal"/>
    <w:next w:val="Normal"/>
    <w:link w:val="TitleChar"/>
    <w:uiPriority w:val="10"/>
    <w:qFormat/>
    <w:rsid w:val="00E675AB"/>
    <w:pPr>
      <w:keepLines/>
      <w:jc w:val="center"/>
    </w:pPr>
    <w:rPr>
      <w:rFonts w:cs="Times New Roman"/>
      <w:b/>
      <w:sz w:val="48"/>
      <w:szCs w:val="48"/>
    </w:rPr>
  </w:style>
  <w:style w:type="character" w:customStyle="1" w:styleId="TitleChar">
    <w:name w:val="Title Char"/>
    <w:basedOn w:val="DefaultParagraphFont"/>
    <w:link w:val="Title"/>
    <w:uiPriority w:val="10"/>
    <w:rsid w:val="00E675AB"/>
    <w:rPr>
      <w:rFonts w:cs="Times New Roman"/>
      <w:b/>
      <w:sz w:val="48"/>
      <w:szCs w:val="48"/>
    </w:rPr>
  </w:style>
  <w:style w:type="character" w:customStyle="1" w:styleId="Heading5Char">
    <w:name w:val="Heading 5 Char"/>
    <w:basedOn w:val="DefaultParagraphFont"/>
    <w:link w:val="Heading5"/>
    <w:uiPriority w:val="9"/>
    <w:semiHidden/>
    <w:rsid w:val="00772F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2F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2F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2F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2FB5"/>
    <w:rPr>
      <w:rFonts w:asciiTheme="majorHAnsi" w:eastAsiaTheme="majorEastAsia" w:hAnsiTheme="majorHAnsi" w:cstheme="majorBidi"/>
      <w:i/>
      <w:iCs/>
      <w:color w:val="404040" w:themeColor="text1" w:themeTint="BF"/>
      <w:sz w:val="20"/>
      <w:szCs w:val="20"/>
    </w:rPr>
  </w:style>
  <w:style w:type="paragraph" w:styleId="Subtitle">
    <w:name w:val="Subtitle"/>
    <w:basedOn w:val="Title"/>
    <w:next w:val="Normal"/>
    <w:link w:val="SubtitleChar"/>
    <w:uiPriority w:val="11"/>
    <w:qFormat/>
    <w:rsid w:val="00972601"/>
    <w:rPr>
      <w:b w:val="0"/>
      <w:sz w:val="44"/>
    </w:rPr>
  </w:style>
  <w:style w:type="character" w:customStyle="1" w:styleId="SubtitleChar">
    <w:name w:val="Subtitle Char"/>
    <w:basedOn w:val="DefaultParagraphFont"/>
    <w:link w:val="Subtitle"/>
    <w:uiPriority w:val="11"/>
    <w:rsid w:val="00972601"/>
    <w:rPr>
      <w:rFonts w:cs="Times New Roman"/>
      <w:sz w:val="44"/>
      <w:szCs w:val="48"/>
    </w:rPr>
  </w:style>
  <w:style w:type="paragraph" w:customStyle="1" w:styleId="Tableheading">
    <w:name w:val="Table heading"/>
    <w:basedOn w:val="Normal"/>
    <w:next w:val="Normal"/>
    <w:qFormat/>
    <w:rsid w:val="00CF637A"/>
    <w:pPr>
      <w:spacing w:before="60" w:after="60" w:line="240" w:lineRule="auto"/>
    </w:pPr>
    <w:rPr>
      <w:rFonts w:eastAsiaTheme="majorEastAsia" w:cs="Times New Roman"/>
      <w:b/>
      <w:bCs/>
      <w:color w:val="000000" w:themeColor="text1"/>
      <w:sz w:val="20"/>
      <w:szCs w:val="20"/>
    </w:rPr>
  </w:style>
  <w:style w:type="paragraph" w:customStyle="1" w:styleId="Tabletext">
    <w:name w:val="Table text"/>
    <w:basedOn w:val="Normal"/>
    <w:qFormat/>
    <w:rsid w:val="003A75D1"/>
    <w:pPr>
      <w:spacing w:after="0" w:line="240" w:lineRule="auto"/>
    </w:pPr>
    <w:rPr>
      <w:rFonts w:eastAsiaTheme="majorEastAsia" w:cs="Times New Roman"/>
      <w:color w:val="000000" w:themeColor="text1"/>
      <w:sz w:val="20"/>
    </w:rPr>
  </w:style>
  <w:style w:type="character" w:styleId="Strong">
    <w:name w:val="Strong"/>
    <w:basedOn w:val="DefaultParagraphFont"/>
    <w:uiPriority w:val="22"/>
    <w:qFormat/>
    <w:rsid w:val="00EA634A"/>
    <w:rPr>
      <w:b/>
      <w:bCs/>
    </w:rPr>
  </w:style>
  <w:style w:type="character" w:styleId="IntenseEmphasis">
    <w:name w:val="Intense Emphasis"/>
    <w:uiPriority w:val="21"/>
    <w:qFormat/>
    <w:rsid w:val="006D47B2"/>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323">
      <w:bodyDiv w:val="1"/>
      <w:marLeft w:val="0"/>
      <w:marRight w:val="0"/>
      <w:marTop w:val="0"/>
      <w:marBottom w:val="0"/>
      <w:divBdr>
        <w:top w:val="none" w:sz="0" w:space="0" w:color="auto"/>
        <w:left w:val="none" w:sz="0" w:space="0" w:color="auto"/>
        <w:bottom w:val="none" w:sz="0" w:space="0" w:color="auto"/>
        <w:right w:val="none" w:sz="0" w:space="0" w:color="auto"/>
      </w:divBdr>
    </w:div>
    <w:div w:id="272791654">
      <w:bodyDiv w:val="1"/>
      <w:marLeft w:val="0"/>
      <w:marRight w:val="0"/>
      <w:marTop w:val="0"/>
      <w:marBottom w:val="0"/>
      <w:divBdr>
        <w:top w:val="none" w:sz="0" w:space="0" w:color="auto"/>
        <w:left w:val="none" w:sz="0" w:space="0" w:color="auto"/>
        <w:bottom w:val="none" w:sz="0" w:space="0" w:color="auto"/>
        <w:right w:val="none" w:sz="0" w:space="0" w:color="auto"/>
      </w:divBdr>
    </w:div>
    <w:div w:id="352151388">
      <w:bodyDiv w:val="1"/>
      <w:marLeft w:val="0"/>
      <w:marRight w:val="0"/>
      <w:marTop w:val="0"/>
      <w:marBottom w:val="0"/>
      <w:divBdr>
        <w:top w:val="none" w:sz="0" w:space="0" w:color="auto"/>
        <w:left w:val="none" w:sz="0" w:space="0" w:color="auto"/>
        <w:bottom w:val="none" w:sz="0" w:space="0" w:color="auto"/>
        <w:right w:val="none" w:sz="0" w:space="0" w:color="auto"/>
      </w:divBdr>
      <w:divsChild>
        <w:div w:id="437070497">
          <w:marLeft w:val="274"/>
          <w:marRight w:val="0"/>
          <w:marTop w:val="0"/>
          <w:marBottom w:val="0"/>
          <w:divBdr>
            <w:top w:val="none" w:sz="0" w:space="0" w:color="auto"/>
            <w:left w:val="none" w:sz="0" w:space="0" w:color="auto"/>
            <w:bottom w:val="none" w:sz="0" w:space="0" w:color="auto"/>
            <w:right w:val="none" w:sz="0" w:space="0" w:color="auto"/>
          </w:divBdr>
        </w:div>
        <w:div w:id="1538814160">
          <w:marLeft w:val="274"/>
          <w:marRight w:val="0"/>
          <w:marTop w:val="0"/>
          <w:marBottom w:val="0"/>
          <w:divBdr>
            <w:top w:val="none" w:sz="0" w:space="0" w:color="auto"/>
            <w:left w:val="none" w:sz="0" w:space="0" w:color="auto"/>
            <w:bottom w:val="none" w:sz="0" w:space="0" w:color="auto"/>
            <w:right w:val="none" w:sz="0" w:space="0" w:color="auto"/>
          </w:divBdr>
        </w:div>
      </w:divsChild>
    </w:div>
    <w:div w:id="634140000">
      <w:bodyDiv w:val="1"/>
      <w:marLeft w:val="0"/>
      <w:marRight w:val="0"/>
      <w:marTop w:val="0"/>
      <w:marBottom w:val="0"/>
      <w:divBdr>
        <w:top w:val="none" w:sz="0" w:space="0" w:color="auto"/>
        <w:left w:val="none" w:sz="0" w:space="0" w:color="auto"/>
        <w:bottom w:val="none" w:sz="0" w:space="0" w:color="auto"/>
        <w:right w:val="none" w:sz="0" w:space="0" w:color="auto"/>
      </w:divBdr>
      <w:divsChild>
        <w:div w:id="2040661173">
          <w:marLeft w:val="446"/>
          <w:marRight w:val="0"/>
          <w:marTop w:val="0"/>
          <w:marBottom w:val="0"/>
          <w:divBdr>
            <w:top w:val="none" w:sz="0" w:space="0" w:color="auto"/>
            <w:left w:val="none" w:sz="0" w:space="0" w:color="auto"/>
            <w:bottom w:val="none" w:sz="0" w:space="0" w:color="auto"/>
            <w:right w:val="none" w:sz="0" w:space="0" w:color="auto"/>
          </w:divBdr>
        </w:div>
        <w:div w:id="411395899">
          <w:marLeft w:val="446"/>
          <w:marRight w:val="0"/>
          <w:marTop w:val="0"/>
          <w:marBottom w:val="0"/>
          <w:divBdr>
            <w:top w:val="none" w:sz="0" w:space="0" w:color="auto"/>
            <w:left w:val="none" w:sz="0" w:space="0" w:color="auto"/>
            <w:bottom w:val="none" w:sz="0" w:space="0" w:color="auto"/>
            <w:right w:val="none" w:sz="0" w:space="0" w:color="auto"/>
          </w:divBdr>
        </w:div>
        <w:div w:id="1766463304">
          <w:marLeft w:val="446"/>
          <w:marRight w:val="0"/>
          <w:marTop w:val="0"/>
          <w:marBottom w:val="0"/>
          <w:divBdr>
            <w:top w:val="none" w:sz="0" w:space="0" w:color="auto"/>
            <w:left w:val="none" w:sz="0" w:space="0" w:color="auto"/>
            <w:bottom w:val="none" w:sz="0" w:space="0" w:color="auto"/>
            <w:right w:val="none" w:sz="0" w:space="0" w:color="auto"/>
          </w:divBdr>
        </w:div>
      </w:divsChild>
    </w:div>
    <w:div w:id="782505617">
      <w:bodyDiv w:val="1"/>
      <w:marLeft w:val="0"/>
      <w:marRight w:val="0"/>
      <w:marTop w:val="0"/>
      <w:marBottom w:val="0"/>
      <w:divBdr>
        <w:top w:val="none" w:sz="0" w:space="0" w:color="auto"/>
        <w:left w:val="none" w:sz="0" w:space="0" w:color="auto"/>
        <w:bottom w:val="none" w:sz="0" w:space="0" w:color="auto"/>
        <w:right w:val="none" w:sz="0" w:space="0" w:color="auto"/>
      </w:divBdr>
    </w:div>
    <w:div w:id="918028346">
      <w:bodyDiv w:val="1"/>
      <w:marLeft w:val="0"/>
      <w:marRight w:val="0"/>
      <w:marTop w:val="0"/>
      <w:marBottom w:val="0"/>
      <w:divBdr>
        <w:top w:val="none" w:sz="0" w:space="0" w:color="auto"/>
        <w:left w:val="none" w:sz="0" w:space="0" w:color="auto"/>
        <w:bottom w:val="none" w:sz="0" w:space="0" w:color="auto"/>
        <w:right w:val="none" w:sz="0" w:space="0" w:color="auto"/>
      </w:divBdr>
    </w:div>
    <w:div w:id="958955440">
      <w:bodyDiv w:val="1"/>
      <w:marLeft w:val="0"/>
      <w:marRight w:val="0"/>
      <w:marTop w:val="0"/>
      <w:marBottom w:val="0"/>
      <w:divBdr>
        <w:top w:val="none" w:sz="0" w:space="0" w:color="auto"/>
        <w:left w:val="none" w:sz="0" w:space="0" w:color="auto"/>
        <w:bottom w:val="none" w:sz="0" w:space="0" w:color="auto"/>
        <w:right w:val="none" w:sz="0" w:space="0" w:color="auto"/>
      </w:divBdr>
    </w:div>
    <w:div w:id="1022247466">
      <w:bodyDiv w:val="1"/>
      <w:marLeft w:val="0"/>
      <w:marRight w:val="0"/>
      <w:marTop w:val="0"/>
      <w:marBottom w:val="0"/>
      <w:divBdr>
        <w:top w:val="none" w:sz="0" w:space="0" w:color="auto"/>
        <w:left w:val="none" w:sz="0" w:space="0" w:color="auto"/>
        <w:bottom w:val="none" w:sz="0" w:space="0" w:color="auto"/>
        <w:right w:val="none" w:sz="0" w:space="0" w:color="auto"/>
      </w:divBdr>
    </w:div>
    <w:div w:id="1072969648">
      <w:bodyDiv w:val="1"/>
      <w:marLeft w:val="0"/>
      <w:marRight w:val="0"/>
      <w:marTop w:val="0"/>
      <w:marBottom w:val="0"/>
      <w:divBdr>
        <w:top w:val="none" w:sz="0" w:space="0" w:color="auto"/>
        <w:left w:val="none" w:sz="0" w:space="0" w:color="auto"/>
        <w:bottom w:val="none" w:sz="0" w:space="0" w:color="auto"/>
        <w:right w:val="none" w:sz="0" w:space="0" w:color="auto"/>
      </w:divBdr>
      <w:divsChild>
        <w:div w:id="698312676">
          <w:marLeft w:val="274"/>
          <w:marRight w:val="0"/>
          <w:marTop w:val="0"/>
          <w:marBottom w:val="0"/>
          <w:divBdr>
            <w:top w:val="none" w:sz="0" w:space="0" w:color="auto"/>
            <w:left w:val="none" w:sz="0" w:space="0" w:color="auto"/>
            <w:bottom w:val="none" w:sz="0" w:space="0" w:color="auto"/>
            <w:right w:val="none" w:sz="0" w:space="0" w:color="auto"/>
          </w:divBdr>
        </w:div>
      </w:divsChild>
    </w:div>
    <w:div w:id="1165584086">
      <w:bodyDiv w:val="1"/>
      <w:marLeft w:val="0"/>
      <w:marRight w:val="0"/>
      <w:marTop w:val="0"/>
      <w:marBottom w:val="0"/>
      <w:divBdr>
        <w:top w:val="none" w:sz="0" w:space="0" w:color="auto"/>
        <w:left w:val="none" w:sz="0" w:space="0" w:color="auto"/>
        <w:bottom w:val="none" w:sz="0" w:space="0" w:color="auto"/>
        <w:right w:val="none" w:sz="0" w:space="0" w:color="auto"/>
      </w:divBdr>
    </w:div>
    <w:div w:id="1213811354">
      <w:bodyDiv w:val="1"/>
      <w:marLeft w:val="0"/>
      <w:marRight w:val="0"/>
      <w:marTop w:val="0"/>
      <w:marBottom w:val="0"/>
      <w:divBdr>
        <w:top w:val="none" w:sz="0" w:space="0" w:color="auto"/>
        <w:left w:val="none" w:sz="0" w:space="0" w:color="auto"/>
        <w:bottom w:val="none" w:sz="0" w:space="0" w:color="auto"/>
        <w:right w:val="none" w:sz="0" w:space="0" w:color="auto"/>
      </w:divBdr>
      <w:divsChild>
        <w:div w:id="1929076859">
          <w:marLeft w:val="274"/>
          <w:marRight w:val="0"/>
          <w:marTop w:val="0"/>
          <w:marBottom w:val="0"/>
          <w:divBdr>
            <w:top w:val="none" w:sz="0" w:space="0" w:color="auto"/>
            <w:left w:val="none" w:sz="0" w:space="0" w:color="auto"/>
            <w:bottom w:val="none" w:sz="0" w:space="0" w:color="auto"/>
            <w:right w:val="none" w:sz="0" w:space="0" w:color="auto"/>
          </w:divBdr>
        </w:div>
        <w:div w:id="470245873">
          <w:marLeft w:val="274"/>
          <w:marRight w:val="0"/>
          <w:marTop w:val="0"/>
          <w:marBottom w:val="0"/>
          <w:divBdr>
            <w:top w:val="none" w:sz="0" w:space="0" w:color="auto"/>
            <w:left w:val="none" w:sz="0" w:space="0" w:color="auto"/>
            <w:bottom w:val="none" w:sz="0" w:space="0" w:color="auto"/>
            <w:right w:val="none" w:sz="0" w:space="0" w:color="auto"/>
          </w:divBdr>
        </w:div>
        <w:div w:id="1242568574">
          <w:marLeft w:val="274"/>
          <w:marRight w:val="0"/>
          <w:marTop w:val="0"/>
          <w:marBottom w:val="0"/>
          <w:divBdr>
            <w:top w:val="none" w:sz="0" w:space="0" w:color="auto"/>
            <w:left w:val="none" w:sz="0" w:space="0" w:color="auto"/>
            <w:bottom w:val="none" w:sz="0" w:space="0" w:color="auto"/>
            <w:right w:val="none" w:sz="0" w:space="0" w:color="auto"/>
          </w:divBdr>
        </w:div>
        <w:div w:id="73285817">
          <w:marLeft w:val="274"/>
          <w:marRight w:val="0"/>
          <w:marTop w:val="0"/>
          <w:marBottom w:val="0"/>
          <w:divBdr>
            <w:top w:val="none" w:sz="0" w:space="0" w:color="auto"/>
            <w:left w:val="none" w:sz="0" w:space="0" w:color="auto"/>
            <w:bottom w:val="none" w:sz="0" w:space="0" w:color="auto"/>
            <w:right w:val="none" w:sz="0" w:space="0" w:color="auto"/>
          </w:divBdr>
        </w:div>
        <w:div w:id="1620717551">
          <w:marLeft w:val="274"/>
          <w:marRight w:val="0"/>
          <w:marTop w:val="0"/>
          <w:marBottom w:val="0"/>
          <w:divBdr>
            <w:top w:val="none" w:sz="0" w:space="0" w:color="auto"/>
            <w:left w:val="none" w:sz="0" w:space="0" w:color="auto"/>
            <w:bottom w:val="none" w:sz="0" w:space="0" w:color="auto"/>
            <w:right w:val="none" w:sz="0" w:space="0" w:color="auto"/>
          </w:divBdr>
        </w:div>
        <w:div w:id="320929810">
          <w:marLeft w:val="274"/>
          <w:marRight w:val="0"/>
          <w:marTop w:val="0"/>
          <w:marBottom w:val="0"/>
          <w:divBdr>
            <w:top w:val="none" w:sz="0" w:space="0" w:color="auto"/>
            <w:left w:val="none" w:sz="0" w:space="0" w:color="auto"/>
            <w:bottom w:val="none" w:sz="0" w:space="0" w:color="auto"/>
            <w:right w:val="none" w:sz="0" w:space="0" w:color="auto"/>
          </w:divBdr>
        </w:div>
      </w:divsChild>
    </w:div>
    <w:div w:id="1223248605">
      <w:bodyDiv w:val="1"/>
      <w:marLeft w:val="0"/>
      <w:marRight w:val="0"/>
      <w:marTop w:val="0"/>
      <w:marBottom w:val="0"/>
      <w:divBdr>
        <w:top w:val="none" w:sz="0" w:space="0" w:color="auto"/>
        <w:left w:val="none" w:sz="0" w:space="0" w:color="auto"/>
        <w:bottom w:val="none" w:sz="0" w:space="0" w:color="auto"/>
        <w:right w:val="none" w:sz="0" w:space="0" w:color="auto"/>
      </w:divBdr>
      <w:divsChild>
        <w:div w:id="1130175422">
          <w:marLeft w:val="274"/>
          <w:marRight w:val="0"/>
          <w:marTop w:val="0"/>
          <w:marBottom w:val="0"/>
          <w:divBdr>
            <w:top w:val="none" w:sz="0" w:space="0" w:color="auto"/>
            <w:left w:val="none" w:sz="0" w:space="0" w:color="auto"/>
            <w:bottom w:val="none" w:sz="0" w:space="0" w:color="auto"/>
            <w:right w:val="none" w:sz="0" w:space="0" w:color="auto"/>
          </w:divBdr>
        </w:div>
      </w:divsChild>
    </w:div>
    <w:div w:id="1310986765">
      <w:bodyDiv w:val="1"/>
      <w:marLeft w:val="0"/>
      <w:marRight w:val="0"/>
      <w:marTop w:val="0"/>
      <w:marBottom w:val="0"/>
      <w:divBdr>
        <w:top w:val="none" w:sz="0" w:space="0" w:color="auto"/>
        <w:left w:val="none" w:sz="0" w:space="0" w:color="auto"/>
        <w:bottom w:val="none" w:sz="0" w:space="0" w:color="auto"/>
        <w:right w:val="none" w:sz="0" w:space="0" w:color="auto"/>
      </w:divBdr>
      <w:divsChild>
        <w:div w:id="1021779487">
          <w:marLeft w:val="274"/>
          <w:marRight w:val="0"/>
          <w:marTop w:val="0"/>
          <w:marBottom w:val="0"/>
          <w:divBdr>
            <w:top w:val="none" w:sz="0" w:space="0" w:color="auto"/>
            <w:left w:val="none" w:sz="0" w:space="0" w:color="auto"/>
            <w:bottom w:val="none" w:sz="0" w:space="0" w:color="auto"/>
            <w:right w:val="none" w:sz="0" w:space="0" w:color="auto"/>
          </w:divBdr>
        </w:div>
        <w:div w:id="1844665373">
          <w:marLeft w:val="274"/>
          <w:marRight w:val="0"/>
          <w:marTop w:val="0"/>
          <w:marBottom w:val="0"/>
          <w:divBdr>
            <w:top w:val="none" w:sz="0" w:space="0" w:color="auto"/>
            <w:left w:val="none" w:sz="0" w:space="0" w:color="auto"/>
            <w:bottom w:val="none" w:sz="0" w:space="0" w:color="auto"/>
            <w:right w:val="none" w:sz="0" w:space="0" w:color="auto"/>
          </w:divBdr>
        </w:div>
        <w:div w:id="1289891017">
          <w:marLeft w:val="274"/>
          <w:marRight w:val="0"/>
          <w:marTop w:val="0"/>
          <w:marBottom w:val="0"/>
          <w:divBdr>
            <w:top w:val="none" w:sz="0" w:space="0" w:color="auto"/>
            <w:left w:val="none" w:sz="0" w:space="0" w:color="auto"/>
            <w:bottom w:val="none" w:sz="0" w:space="0" w:color="auto"/>
            <w:right w:val="none" w:sz="0" w:space="0" w:color="auto"/>
          </w:divBdr>
        </w:div>
        <w:div w:id="1833910929">
          <w:marLeft w:val="274"/>
          <w:marRight w:val="0"/>
          <w:marTop w:val="0"/>
          <w:marBottom w:val="0"/>
          <w:divBdr>
            <w:top w:val="none" w:sz="0" w:space="0" w:color="auto"/>
            <w:left w:val="none" w:sz="0" w:space="0" w:color="auto"/>
            <w:bottom w:val="none" w:sz="0" w:space="0" w:color="auto"/>
            <w:right w:val="none" w:sz="0" w:space="0" w:color="auto"/>
          </w:divBdr>
        </w:div>
      </w:divsChild>
    </w:div>
    <w:div w:id="1507479921">
      <w:bodyDiv w:val="1"/>
      <w:marLeft w:val="0"/>
      <w:marRight w:val="0"/>
      <w:marTop w:val="0"/>
      <w:marBottom w:val="0"/>
      <w:divBdr>
        <w:top w:val="none" w:sz="0" w:space="0" w:color="auto"/>
        <w:left w:val="none" w:sz="0" w:space="0" w:color="auto"/>
        <w:bottom w:val="none" w:sz="0" w:space="0" w:color="auto"/>
        <w:right w:val="none" w:sz="0" w:space="0" w:color="auto"/>
      </w:divBdr>
      <w:divsChild>
        <w:div w:id="2068841615">
          <w:marLeft w:val="274"/>
          <w:marRight w:val="0"/>
          <w:marTop w:val="0"/>
          <w:marBottom w:val="0"/>
          <w:divBdr>
            <w:top w:val="none" w:sz="0" w:space="0" w:color="auto"/>
            <w:left w:val="none" w:sz="0" w:space="0" w:color="auto"/>
            <w:bottom w:val="none" w:sz="0" w:space="0" w:color="auto"/>
            <w:right w:val="none" w:sz="0" w:space="0" w:color="auto"/>
          </w:divBdr>
        </w:div>
      </w:divsChild>
    </w:div>
    <w:div w:id="1595361299">
      <w:bodyDiv w:val="1"/>
      <w:marLeft w:val="0"/>
      <w:marRight w:val="0"/>
      <w:marTop w:val="0"/>
      <w:marBottom w:val="0"/>
      <w:divBdr>
        <w:top w:val="none" w:sz="0" w:space="0" w:color="auto"/>
        <w:left w:val="none" w:sz="0" w:space="0" w:color="auto"/>
        <w:bottom w:val="none" w:sz="0" w:space="0" w:color="auto"/>
        <w:right w:val="none" w:sz="0" w:space="0" w:color="auto"/>
      </w:divBdr>
      <w:divsChild>
        <w:div w:id="1583875259">
          <w:marLeft w:val="274"/>
          <w:marRight w:val="0"/>
          <w:marTop w:val="0"/>
          <w:marBottom w:val="0"/>
          <w:divBdr>
            <w:top w:val="none" w:sz="0" w:space="0" w:color="auto"/>
            <w:left w:val="none" w:sz="0" w:space="0" w:color="auto"/>
            <w:bottom w:val="none" w:sz="0" w:space="0" w:color="auto"/>
            <w:right w:val="none" w:sz="0" w:space="0" w:color="auto"/>
          </w:divBdr>
        </w:div>
        <w:div w:id="1182818621">
          <w:marLeft w:val="274"/>
          <w:marRight w:val="0"/>
          <w:marTop w:val="0"/>
          <w:marBottom w:val="0"/>
          <w:divBdr>
            <w:top w:val="none" w:sz="0" w:space="0" w:color="auto"/>
            <w:left w:val="none" w:sz="0" w:space="0" w:color="auto"/>
            <w:bottom w:val="none" w:sz="0" w:space="0" w:color="auto"/>
            <w:right w:val="none" w:sz="0" w:space="0" w:color="auto"/>
          </w:divBdr>
        </w:div>
        <w:div w:id="1908567397">
          <w:marLeft w:val="274"/>
          <w:marRight w:val="0"/>
          <w:marTop w:val="0"/>
          <w:marBottom w:val="0"/>
          <w:divBdr>
            <w:top w:val="none" w:sz="0" w:space="0" w:color="auto"/>
            <w:left w:val="none" w:sz="0" w:space="0" w:color="auto"/>
            <w:bottom w:val="none" w:sz="0" w:space="0" w:color="auto"/>
            <w:right w:val="none" w:sz="0" w:space="0" w:color="auto"/>
          </w:divBdr>
        </w:div>
      </w:divsChild>
    </w:div>
    <w:div w:id="1696737244">
      <w:bodyDiv w:val="1"/>
      <w:marLeft w:val="0"/>
      <w:marRight w:val="0"/>
      <w:marTop w:val="0"/>
      <w:marBottom w:val="0"/>
      <w:divBdr>
        <w:top w:val="none" w:sz="0" w:space="0" w:color="auto"/>
        <w:left w:val="none" w:sz="0" w:space="0" w:color="auto"/>
        <w:bottom w:val="none" w:sz="0" w:space="0" w:color="auto"/>
        <w:right w:val="none" w:sz="0" w:space="0" w:color="auto"/>
      </w:divBdr>
      <w:divsChild>
        <w:div w:id="45683095">
          <w:marLeft w:val="274"/>
          <w:marRight w:val="0"/>
          <w:marTop w:val="0"/>
          <w:marBottom w:val="0"/>
          <w:divBdr>
            <w:top w:val="none" w:sz="0" w:space="0" w:color="auto"/>
            <w:left w:val="none" w:sz="0" w:space="0" w:color="auto"/>
            <w:bottom w:val="none" w:sz="0" w:space="0" w:color="auto"/>
            <w:right w:val="none" w:sz="0" w:space="0" w:color="auto"/>
          </w:divBdr>
        </w:div>
      </w:divsChild>
    </w:div>
    <w:div w:id="1729261216">
      <w:bodyDiv w:val="1"/>
      <w:marLeft w:val="0"/>
      <w:marRight w:val="0"/>
      <w:marTop w:val="0"/>
      <w:marBottom w:val="0"/>
      <w:divBdr>
        <w:top w:val="none" w:sz="0" w:space="0" w:color="auto"/>
        <w:left w:val="none" w:sz="0" w:space="0" w:color="auto"/>
        <w:bottom w:val="none" w:sz="0" w:space="0" w:color="auto"/>
        <w:right w:val="none" w:sz="0" w:space="0" w:color="auto"/>
      </w:divBdr>
      <w:divsChild>
        <w:div w:id="687607641">
          <w:marLeft w:val="274"/>
          <w:marRight w:val="0"/>
          <w:marTop w:val="0"/>
          <w:marBottom w:val="0"/>
          <w:divBdr>
            <w:top w:val="none" w:sz="0" w:space="0" w:color="auto"/>
            <w:left w:val="none" w:sz="0" w:space="0" w:color="auto"/>
            <w:bottom w:val="none" w:sz="0" w:space="0" w:color="auto"/>
            <w:right w:val="none" w:sz="0" w:space="0" w:color="auto"/>
          </w:divBdr>
        </w:div>
      </w:divsChild>
    </w:div>
    <w:div w:id="1779176862">
      <w:bodyDiv w:val="1"/>
      <w:marLeft w:val="0"/>
      <w:marRight w:val="0"/>
      <w:marTop w:val="0"/>
      <w:marBottom w:val="0"/>
      <w:divBdr>
        <w:top w:val="none" w:sz="0" w:space="0" w:color="auto"/>
        <w:left w:val="none" w:sz="0" w:space="0" w:color="auto"/>
        <w:bottom w:val="none" w:sz="0" w:space="0" w:color="auto"/>
        <w:right w:val="none" w:sz="0" w:space="0" w:color="auto"/>
      </w:divBdr>
      <w:divsChild>
        <w:div w:id="337268951">
          <w:marLeft w:val="274"/>
          <w:marRight w:val="0"/>
          <w:marTop w:val="0"/>
          <w:marBottom w:val="0"/>
          <w:divBdr>
            <w:top w:val="none" w:sz="0" w:space="0" w:color="auto"/>
            <w:left w:val="none" w:sz="0" w:space="0" w:color="auto"/>
            <w:bottom w:val="none" w:sz="0" w:space="0" w:color="auto"/>
            <w:right w:val="none" w:sz="0" w:space="0" w:color="auto"/>
          </w:divBdr>
        </w:div>
        <w:div w:id="1371026444">
          <w:marLeft w:val="274"/>
          <w:marRight w:val="0"/>
          <w:marTop w:val="0"/>
          <w:marBottom w:val="0"/>
          <w:divBdr>
            <w:top w:val="none" w:sz="0" w:space="0" w:color="auto"/>
            <w:left w:val="none" w:sz="0" w:space="0" w:color="auto"/>
            <w:bottom w:val="none" w:sz="0" w:space="0" w:color="auto"/>
            <w:right w:val="none" w:sz="0" w:space="0" w:color="auto"/>
          </w:divBdr>
        </w:div>
        <w:div w:id="2070570554">
          <w:marLeft w:val="274"/>
          <w:marRight w:val="0"/>
          <w:marTop w:val="0"/>
          <w:marBottom w:val="0"/>
          <w:divBdr>
            <w:top w:val="none" w:sz="0" w:space="0" w:color="auto"/>
            <w:left w:val="none" w:sz="0" w:space="0" w:color="auto"/>
            <w:bottom w:val="none" w:sz="0" w:space="0" w:color="auto"/>
            <w:right w:val="none" w:sz="0" w:space="0" w:color="auto"/>
          </w:divBdr>
        </w:div>
      </w:divsChild>
    </w:div>
    <w:div w:id="1782799828">
      <w:bodyDiv w:val="1"/>
      <w:marLeft w:val="0"/>
      <w:marRight w:val="0"/>
      <w:marTop w:val="0"/>
      <w:marBottom w:val="0"/>
      <w:divBdr>
        <w:top w:val="none" w:sz="0" w:space="0" w:color="auto"/>
        <w:left w:val="none" w:sz="0" w:space="0" w:color="auto"/>
        <w:bottom w:val="none" w:sz="0" w:space="0" w:color="auto"/>
        <w:right w:val="none" w:sz="0" w:space="0" w:color="auto"/>
      </w:divBdr>
      <w:divsChild>
        <w:div w:id="932712582">
          <w:marLeft w:val="274"/>
          <w:marRight w:val="0"/>
          <w:marTop w:val="0"/>
          <w:marBottom w:val="60"/>
          <w:divBdr>
            <w:top w:val="none" w:sz="0" w:space="0" w:color="auto"/>
            <w:left w:val="none" w:sz="0" w:space="0" w:color="auto"/>
            <w:bottom w:val="none" w:sz="0" w:space="0" w:color="auto"/>
            <w:right w:val="none" w:sz="0" w:space="0" w:color="auto"/>
          </w:divBdr>
        </w:div>
      </w:divsChild>
    </w:div>
    <w:div w:id="1806117596">
      <w:bodyDiv w:val="1"/>
      <w:marLeft w:val="0"/>
      <w:marRight w:val="0"/>
      <w:marTop w:val="0"/>
      <w:marBottom w:val="0"/>
      <w:divBdr>
        <w:top w:val="none" w:sz="0" w:space="0" w:color="auto"/>
        <w:left w:val="none" w:sz="0" w:space="0" w:color="auto"/>
        <w:bottom w:val="none" w:sz="0" w:space="0" w:color="auto"/>
        <w:right w:val="none" w:sz="0" w:space="0" w:color="auto"/>
      </w:divBdr>
    </w:div>
    <w:div w:id="1939480768">
      <w:bodyDiv w:val="1"/>
      <w:marLeft w:val="0"/>
      <w:marRight w:val="0"/>
      <w:marTop w:val="0"/>
      <w:marBottom w:val="0"/>
      <w:divBdr>
        <w:top w:val="none" w:sz="0" w:space="0" w:color="auto"/>
        <w:left w:val="none" w:sz="0" w:space="0" w:color="auto"/>
        <w:bottom w:val="none" w:sz="0" w:space="0" w:color="auto"/>
        <w:right w:val="none" w:sz="0" w:space="0" w:color="auto"/>
      </w:divBdr>
      <w:divsChild>
        <w:div w:id="469051935">
          <w:marLeft w:val="446"/>
          <w:marRight w:val="0"/>
          <w:marTop w:val="0"/>
          <w:marBottom w:val="0"/>
          <w:divBdr>
            <w:top w:val="none" w:sz="0" w:space="0" w:color="auto"/>
            <w:left w:val="none" w:sz="0" w:space="0" w:color="auto"/>
            <w:bottom w:val="none" w:sz="0" w:space="0" w:color="auto"/>
            <w:right w:val="none" w:sz="0" w:space="0" w:color="auto"/>
          </w:divBdr>
        </w:div>
      </w:divsChild>
    </w:div>
    <w:div w:id="2117019191">
      <w:bodyDiv w:val="1"/>
      <w:marLeft w:val="0"/>
      <w:marRight w:val="0"/>
      <w:marTop w:val="0"/>
      <w:marBottom w:val="0"/>
      <w:divBdr>
        <w:top w:val="none" w:sz="0" w:space="0" w:color="auto"/>
        <w:left w:val="none" w:sz="0" w:space="0" w:color="auto"/>
        <w:bottom w:val="none" w:sz="0" w:space="0" w:color="auto"/>
        <w:right w:val="none" w:sz="0" w:space="0" w:color="auto"/>
      </w:divBdr>
      <w:divsChild>
        <w:div w:id="1157766816">
          <w:marLeft w:val="446"/>
          <w:marRight w:val="0"/>
          <w:marTop w:val="0"/>
          <w:marBottom w:val="0"/>
          <w:divBdr>
            <w:top w:val="none" w:sz="0" w:space="0" w:color="auto"/>
            <w:left w:val="none" w:sz="0" w:space="0" w:color="auto"/>
            <w:bottom w:val="none" w:sz="0" w:space="0" w:color="auto"/>
            <w:right w:val="none" w:sz="0" w:space="0" w:color="auto"/>
          </w:divBdr>
        </w:div>
        <w:div w:id="1981764719">
          <w:marLeft w:val="446"/>
          <w:marRight w:val="0"/>
          <w:marTop w:val="0"/>
          <w:marBottom w:val="0"/>
          <w:divBdr>
            <w:top w:val="none" w:sz="0" w:space="0" w:color="auto"/>
            <w:left w:val="none" w:sz="0" w:space="0" w:color="auto"/>
            <w:bottom w:val="none" w:sz="0" w:space="0" w:color="auto"/>
            <w:right w:val="none" w:sz="0" w:space="0" w:color="auto"/>
          </w:divBdr>
        </w:div>
        <w:div w:id="17973345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pansa.gov.au/Regulation/index.cfm" TargetMode="External"/><Relationship Id="rId18" Type="http://schemas.openxmlformats.org/officeDocument/2006/relationships/hyperlink" Target="http://www.arpansa.gov.au/Regulation/Holistic/index.cfm" TargetMode="External"/><Relationship Id="rId26" Type="http://schemas.openxmlformats.org/officeDocument/2006/relationships/hyperlink" Target="http://www.arpansa.gov.au/Regulation/index.cfm"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arpansa.gov.au/Regulation/Holistic/index.cfm" TargetMode="External"/><Relationship Id="rId7" Type="http://schemas.openxmlformats.org/officeDocument/2006/relationships/footnotes" Target="footnotes.xml"/><Relationship Id="rId12" Type="http://schemas.openxmlformats.org/officeDocument/2006/relationships/hyperlink" Target="http://www.arpansa.gov.au/pubs/regulatory/inspections/RegulatorDeliveryModel.pdf" TargetMode="External"/><Relationship Id="rId17" Type="http://schemas.openxmlformats.org/officeDocument/2006/relationships/hyperlink" Target="http://www.arpansa.gov.au/pubs/regulatory/guides/REG-COM-SUP-270F.pdf" TargetMode="External"/><Relationship Id="rId25" Type="http://schemas.openxmlformats.org/officeDocument/2006/relationships/hyperlink" Target="http://www.arpansa.gov.au/pubs/regulatory/guides/REG-COM-SUP-270F.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pansa.gov.au/pubs/regulatory/guides/REG-COM-SUP-270J.pdf" TargetMode="External"/><Relationship Id="rId20" Type="http://schemas.openxmlformats.org/officeDocument/2006/relationships/hyperlink" Target="http://www.arpansa.gov.au/pubs/regulatory/guides/REG-COM-SUP-270F.pdf" TargetMode="External"/><Relationship Id="rId29" Type="http://schemas.openxmlformats.org/officeDocument/2006/relationships/hyperlink" Target="http://www.arpansa.gov.au/pubs/regulatory/inspections/RegulatorDeliveryMode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pansa.gov.au/Regulation/index.cfm" TargetMode="External"/><Relationship Id="rId24" Type="http://schemas.openxmlformats.org/officeDocument/2006/relationships/hyperlink" Target="http://www.arpansa.gov.au/Regulation/Holistic/index.cfm" TargetMode="External"/><Relationship Id="rId32"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arpansa.gov.au/Regulation/inspections/POandC.cfm" TargetMode="External"/><Relationship Id="rId23" Type="http://schemas.openxmlformats.org/officeDocument/2006/relationships/hyperlink" Target="http://www.arpansa.gov.au/Regulation/inspections/POandC.cfm" TargetMode="External"/><Relationship Id="rId28" Type="http://schemas.openxmlformats.org/officeDocument/2006/relationships/hyperlink" Target="http://www.arpansa.gov.au/Regulation/index.cfm" TargetMode="External"/><Relationship Id="rId10" Type="http://schemas.openxmlformats.org/officeDocument/2006/relationships/hyperlink" Target="http://www.arpansa.gov.au/Regulation/inspections/POandC.cfm" TargetMode="External"/><Relationship Id="rId19" Type="http://schemas.openxmlformats.org/officeDocument/2006/relationships/hyperlink" Target="http://www.arpansa.gov.au/Regulation/inspections/POandC.cf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rpansa.gov.au/pubs/regulatory/inspections/RegulatorDeliveryModel.pdf" TargetMode="External"/><Relationship Id="rId22" Type="http://schemas.openxmlformats.org/officeDocument/2006/relationships/hyperlink" Target="http://www.arpansa.gov.au/Regulation/Inspections/index.cfm" TargetMode="External"/><Relationship Id="rId27" Type="http://schemas.openxmlformats.org/officeDocument/2006/relationships/hyperlink" Target="http://www.arpansa.gov.au/Regulation/Inspections/index.cf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CF8E4-1002-438E-8004-673EA6C5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36</Pages>
  <Words>13758</Words>
  <Characters>80076</Characters>
  <Application>Microsoft Office Word</Application>
  <DocSecurity>0</DocSecurity>
  <Lines>1668</Lines>
  <Paragraphs>721</Paragraphs>
  <ScaleCrop>false</ScaleCrop>
  <HeadingPairs>
    <vt:vector size="2" baseType="variant">
      <vt:variant>
        <vt:lpstr>Title</vt:lpstr>
      </vt:variant>
      <vt:variant>
        <vt:i4>1</vt:i4>
      </vt:variant>
    </vt:vector>
  </HeadingPairs>
  <TitlesOfParts>
    <vt:vector size="1" baseType="lpstr">
      <vt:lpstr>Australian Radiation Protection and Nuclear Safety Agency Regulator Performance Framework Self-Assessment Report 2015-16</vt:lpstr>
    </vt:vector>
  </TitlesOfParts>
  <Company>Dept Health And Ageing</Company>
  <LinksUpToDate>false</LinksUpToDate>
  <CharactersWithSpaces>93113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Self-Assessment Report 2015-16</dc:title>
  <dc:creator>ARPANSA</dc:creator>
  <cp:keywords>Regulator Performance Framework ;  Self Assessment Report 2015-16</cp:keywords>
  <dc:description/>
  <cp:lastModifiedBy>sforcl</cp:lastModifiedBy>
  <cp:revision>17</cp:revision>
  <cp:lastPrinted>2016-12-05T04:57:00Z</cp:lastPrinted>
  <dcterms:created xsi:type="dcterms:W3CDTF">2016-12-19T02:43:00Z</dcterms:created>
  <dcterms:modified xsi:type="dcterms:W3CDTF">2016-12-22T01:30:00Z</dcterms:modified>
  <cp:contentStatus>Final </cp:contentStatus>
</cp:coreProperties>
</file>