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DFB" w:rsidRDefault="00172DFB" w:rsidP="00080DF8">
      <w:pPr>
        <w:jc w:val="center"/>
        <w:rPr>
          <w:sz w:val="32"/>
          <w:szCs w:val="32"/>
        </w:rPr>
      </w:pPr>
    </w:p>
    <w:p w:rsidR="002E194F" w:rsidRDefault="002E194F" w:rsidP="00080DF8">
      <w:pPr>
        <w:jc w:val="center"/>
        <w:rPr>
          <w:sz w:val="32"/>
          <w:szCs w:val="32"/>
        </w:rPr>
      </w:pPr>
    </w:p>
    <w:p w:rsidR="00076685" w:rsidRDefault="00076685" w:rsidP="00080DF8">
      <w:pPr>
        <w:jc w:val="center"/>
        <w:rPr>
          <w:sz w:val="32"/>
          <w:szCs w:val="32"/>
        </w:rPr>
      </w:pPr>
    </w:p>
    <w:p w:rsidR="00076685" w:rsidRDefault="00076685" w:rsidP="00080DF8">
      <w:pPr>
        <w:jc w:val="center"/>
        <w:rPr>
          <w:sz w:val="32"/>
          <w:szCs w:val="32"/>
        </w:rPr>
      </w:pPr>
    </w:p>
    <w:p w:rsidR="00076685" w:rsidRDefault="00076685" w:rsidP="00080DF8">
      <w:pPr>
        <w:jc w:val="center"/>
        <w:rPr>
          <w:sz w:val="32"/>
          <w:szCs w:val="32"/>
        </w:rPr>
      </w:pPr>
    </w:p>
    <w:p w:rsidR="00EF1AB6" w:rsidRDefault="00EF1AB6" w:rsidP="00080DF8">
      <w:pPr>
        <w:jc w:val="center"/>
        <w:rPr>
          <w:sz w:val="32"/>
          <w:szCs w:val="32"/>
        </w:rPr>
      </w:pPr>
    </w:p>
    <w:p w:rsidR="00CE0CC6" w:rsidRPr="00676C35" w:rsidRDefault="00CE0CC6" w:rsidP="00080DF8">
      <w:pPr>
        <w:jc w:val="center"/>
        <w:rPr>
          <w:sz w:val="32"/>
          <w:szCs w:val="32"/>
        </w:rPr>
      </w:pPr>
    </w:p>
    <w:p w:rsidR="002E194F" w:rsidRPr="00676C35" w:rsidRDefault="002E194F" w:rsidP="00080DF8">
      <w:pPr>
        <w:jc w:val="center"/>
        <w:rPr>
          <w:sz w:val="32"/>
          <w:szCs w:val="32"/>
        </w:rPr>
      </w:pPr>
    </w:p>
    <w:p w:rsidR="002E194F" w:rsidRPr="00EF1AB6" w:rsidRDefault="00EF1AB6" w:rsidP="00EF1AB6">
      <w:pPr>
        <w:pStyle w:val="TITLE2"/>
        <w:jc w:val="center"/>
        <w:rPr>
          <w:rStyle w:val="PageNumber"/>
        </w:rPr>
      </w:pPr>
      <w:r>
        <w:rPr>
          <w:rStyle w:val="PageNumber"/>
        </w:rPr>
        <w:t>REGULATORY ASSESSMENT REPORT</w:t>
      </w:r>
    </w:p>
    <w:p w:rsidR="002E194F" w:rsidRDefault="00076685" w:rsidP="00CE0CC6">
      <w:pPr>
        <w:jc w:val="center"/>
        <w:rPr>
          <w:rStyle w:val="PageNumber"/>
          <w:rFonts w:asciiTheme="majorHAnsi" w:hAnsiTheme="majorHAnsi"/>
          <w:b/>
          <w:color w:val="1F497D" w:themeColor="text2"/>
          <w:sz w:val="28"/>
          <w:szCs w:val="28"/>
        </w:rPr>
      </w:pPr>
      <w:r>
        <w:rPr>
          <w:rStyle w:val="PageNumber"/>
          <w:rFonts w:asciiTheme="majorHAnsi" w:hAnsiTheme="majorHAnsi"/>
          <w:b/>
          <w:color w:val="1F497D" w:themeColor="text2"/>
          <w:sz w:val="28"/>
          <w:szCs w:val="28"/>
        </w:rPr>
        <w:t xml:space="preserve">Assessment of </w:t>
      </w:r>
      <w:r w:rsidR="002E194F" w:rsidRPr="00076685">
        <w:rPr>
          <w:rStyle w:val="PageNumber"/>
          <w:rFonts w:asciiTheme="majorHAnsi" w:hAnsiTheme="majorHAnsi"/>
          <w:b/>
          <w:color w:val="1F497D" w:themeColor="text2"/>
          <w:sz w:val="28"/>
          <w:szCs w:val="28"/>
        </w:rPr>
        <w:t>Facility Licence Application A0</w:t>
      </w:r>
      <w:r w:rsidR="0074429D">
        <w:rPr>
          <w:rStyle w:val="PageNumber"/>
          <w:rFonts w:asciiTheme="majorHAnsi" w:hAnsiTheme="majorHAnsi"/>
          <w:b/>
          <w:color w:val="1F497D" w:themeColor="text2"/>
          <w:sz w:val="28"/>
          <w:szCs w:val="28"/>
        </w:rPr>
        <w:t>292</w:t>
      </w:r>
      <w:r>
        <w:rPr>
          <w:rStyle w:val="PageNumber"/>
          <w:rFonts w:asciiTheme="majorHAnsi" w:hAnsiTheme="majorHAnsi"/>
          <w:b/>
          <w:color w:val="1F497D" w:themeColor="text2"/>
          <w:sz w:val="28"/>
          <w:szCs w:val="28"/>
        </w:rPr>
        <w:t xml:space="preserve"> from</w:t>
      </w:r>
      <w:r w:rsidR="003C61A5">
        <w:rPr>
          <w:rStyle w:val="PageNumber"/>
          <w:rFonts w:asciiTheme="majorHAnsi" w:hAnsiTheme="majorHAnsi"/>
          <w:b/>
          <w:color w:val="1F497D" w:themeColor="text2"/>
          <w:sz w:val="28"/>
          <w:szCs w:val="28"/>
        </w:rPr>
        <w:t xml:space="preserve"> the</w:t>
      </w:r>
    </w:p>
    <w:p w:rsidR="00076685" w:rsidRPr="00076685" w:rsidRDefault="00076685" w:rsidP="00076685">
      <w:pPr>
        <w:jc w:val="center"/>
        <w:rPr>
          <w:rStyle w:val="PageNumber"/>
          <w:rFonts w:asciiTheme="majorHAnsi" w:hAnsiTheme="majorHAnsi"/>
          <w:b/>
          <w:color w:val="1F497D" w:themeColor="text2"/>
          <w:sz w:val="28"/>
          <w:szCs w:val="28"/>
        </w:rPr>
      </w:pPr>
      <w:r w:rsidRPr="00076685">
        <w:rPr>
          <w:rStyle w:val="PageNumber"/>
          <w:rFonts w:asciiTheme="majorHAnsi" w:hAnsiTheme="majorHAnsi"/>
          <w:b/>
          <w:color w:val="1F497D" w:themeColor="text2"/>
          <w:sz w:val="28"/>
          <w:szCs w:val="28"/>
        </w:rPr>
        <w:t>Australian Nuclear Science and Technology Organisation</w:t>
      </w:r>
      <w:r w:rsidR="003C61A5">
        <w:rPr>
          <w:rStyle w:val="PageNumber"/>
          <w:rFonts w:asciiTheme="majorHAnsi" w:hAnsiTheme="majorHAnsi"/>
          <w:b/>
          <w:color w:val="1F497D" w:themeColor="text2"/>
          <w:sz w:val="28"/>
          <w:szCs w:val="28"/>
        </w:rPr>
        <w:t xml:space="preserve"> (ANSTO)</w:t>
      </w:r>
    </w:p>
    <w:p w:rsidR="002E194F" w:rsidRPr="00076685" w:rsidRDefault="003C61A5" w:rsidP="00CE0CC6">
      <w:pPr>
        <w:jc w:val="center"/>
        <w:rPr>
          <w:rFonts w:asciiTheme="majorHAnsi" w:hAnsiTheme="majorHAnsi"/>
          <w:b/>
          <w:color w:val="1F497D" w:themeColor="text2"/>
          <w:sz w:val="28"/>
          <w:szCs w:val="28"/>
        </w:rPr>
      </w:pPr>
      <w:proofErr w:type="gramStart"/>
      <w:r>
        <w:rPr>
          <w:rFonts w:asciiTheme="majorHAnsi" w:hAnsiTheme="majorHAnsi"/>
          <w:b/>
          <w:color w:val="1F497D" w:themeColor="text2"/>
          <w:sz w:val="28"/>
          <w:szCs w:val="28"/>
        </w:rPr>
        <w:t>t</w:t>
      </w:r>
      <w:r w:rsidR="00076685">
        <w:rPr>
          <w:rFonts w:asciiTheme="majorHAnsi" w:hAnsiTheme="majorHAnsi"/>
          <w:b/>
          <w:color w:val="1F497D" w:themeColor="text2"/>
          <w:sz w:val="28"/>
          <w:szCs w:val="28"/>
        </w:rPr>
        <w:t>o</w:t>
      </w:r>
      <w:proofErr w:type="gramEnd"/>
      <w:r w:rsidR="005E1236" w:rsidRPr="00076685">
        <w:rPr>
          <w:rFonts w:asciiTheme="majorHAnsi" w:hAnsiTheme="majorHAnsi"/>
          <w:b/>
          <w:color w:val="1F497D" w:themeColor="text2"/>
          <w:sz w:val="28"/>
          <w:szCs w:val="28"/>
        </w:rPr>
        <w:t xml:space="preserve"> </w:t>
      </w:r>
      <w:r w:rsidR="0074429D">
        <w:rPr>
          <w:rFonts w:asciiTheme="majorHAnsi" w:hAnsiTheme="majorHAnsi"/>
          <w:b/>
          <w:color w:val="1F497D" w:themeColor="text2"/>
          <w:sz w:val="28"/>
          <w:szCs w:val="28"/>
        </w:rPr>
        <w:t>operate</w:t>
      </w:r>
      <w:r w:rsidR="00076685">
        <w:rPr>
          <w:rFonts w:asciiTheme="majorHAnsi" w:hAnsiTheme="majorHAnsi"/>
          <w:b/>
          <w:color w:val="1F497D" w:themeColor="text2"/>
          <w:sz w:val="28"/>
          <w:szCs w:val="28"/>
        </w:rPr>
        <w:t xml:space="preserve"> </w:t>
      </w:r>
      <w:r w:rsidR="00876688">
        <w:rPr>
          <w:rFonts w:asciiTheme="majorHAnsi" w:hAnsiTheme="majorHAnsi"/>
          <w:b/>
          <w:color w:val="1F497D" w:themeColor="text2"/>
          <w:sz w:val="28"/>
          <w:szCs w:val="28"/>
        </w:rPr>
        <w:t>the</w:t>
      </w:r>
    </w:p>
    <w:p w:rsidR="00B81C55" w:rsidRPr="00076685" w:rsidRDefault="0074429D" w:rsidP="00CE0CC6">
      <w:pPr>
        <w:jc w:val="center"/>
        <w:rPr>
          <w:rFonts w:asciiTheme="majorHAnsi" w:hAnsiTheme="majorHAnsi"/>
          <w:b/>
          <w:color w:val="1F497D" w:themeColor="text2"/>
          <w:sz w:val="28"/>
          <w:szCs w:val="28"/>
        </w:rPr>
      </w:pPr>
      <w:r>
        <w:rPr>
          <w:rFonts w:asciiTheme="majorHAnsi" w:hAnsiTheme="majorHAnsi"/>
          <w:b/>
          <w:color w:val="1F497D" w:themeColor="text2"/>
          <w:sz w:val="28"/>
          <w:szCs w:val="28"/>
        </w:rPr>
        <w:t>Interim Waste Store (IWS)</w:t>
      </w:r>
      <w:r w:rsidR="00791FC1" w:rsidRPr="00076685">
        <w:rPr>
          <w:rFonts w:asciiTheme="majorHAnsi" w:hAnsiTheme="majorHAnsi"/>
          <w:b/>
          <w:color w:val="1F497D" w:themeColor="text2"/>
          <w:sz w:val="28"/>
          <w:szCs w:val="28"/>
        </w:rPr>
        <w:t xml:space="preserve"> </w:t>
      </w:r>
    </w:p>
    <w:p w:rsidR="002E194F" w:rsidRPr="00076685" w:rsidRDefault="002E194F" w:rsidP="00CE0CC6">
      <w:pPr>
        <w:jc w:val="center"/>
        <w:rPr>
          <w:rStyle w:val="PageNumber"/>
          <w:rFonts w:asciiTheme="majorHAnsi" w:hAnsiTheme="majorHAnsi"/>
          <w:b/>
          <w:color w:val="1F497D" w:themeColor="text2"/>
          <w:sz w:val="28"/>
          <w:szCs w:val="28"/>
        </w:rPr>
      </w:pPr>
    </w:p>
    <w:p w:rsidR="002E194F" w:rsidRPr="00076685" w:rsidRDefault="002E194F" w:rsidP="00CE0CC6">
      <w:pPr>
        <w:jc w:val="center"/>
        <w:rPr>
          <w:rStyle w:val="PageNumber"/>
          <w:rFonts w:asciiTheme="majorHAnsi" w:hAnsiTheme="majorHAnsi"/>
          <w:b/>
          <w:color w:val="1F497D" w:themeColor="text2"/>
          <w:sz w:val="28"/>
          <w:szCs w:val="28"/>
        </w:rPr>
      </w:pPr>
    </w:p>
    <w:p w:rsidR="00B81C55" w:rsidRPr="00076685" w:rsidRDefault="00B81C55" w:rsidP="00CE0CC6">
      <w:pPr>
        <w:jc w:val="center"/>
        <w:rPr>
          <w:rStyle w:val="PageNumber"/>
          <w:rFonts w:asciiTheme="majorHAnsi" w:hAnsiTheme="majorHAnsi"/>
          <w:b/>
          <w:color w:val="1F497D" w:themeColor="text2"/>
          <w:sz w:val="28"/>
          <w:szCs w:val="28"/>
        </w:rPr>
      </w:pPr>
    </w:p>
    <w:p w:rsidR="00076685" w:rsidRPr="00076685" w:rsidRDefault="00076685" w:rsidP="00CE0CC6">
      <w:pPr>
        <w:jc w:val="center"/>
        <w:rPr>
          <w:rStyle w:val="PageNumber"/>
          <w:rFonts w:asciiTheme="majorHAnsi" w:hAnsiTheme="majorHAnsi"/>
          <w:b/>
          <w:color w:val="1F497D" w:themeColor="text2"/>
          <w:sz w:val="28"/>
          <w:szCs w:val="28"/>
        </w:rPr>
      </w:pPr>
    </w:p>
    <w:p w:rsidR="00076685" w:rsidRPr="00076685" w:rsidRDefault="00076685" w:rsidP="00CE0CC6">
      <w:pPr>
        <w:jc w:val="center"/>
        <w:rPr>
          <w:rStyle w:val="PageNumber"/>
          <w:rFonts w:asciiTheme="majorHAnsi" w:hAnsiTheme="majorHAnsi"/>
          <w:b/>
          <w:color w:val="1F497D" w:themeColor="text2"/>
          <w:sz w:val="28"/>
          <w:szCs w:val="28"/>
        </w:rPr>
      </w:pPr>
    </w:p>
    <w:p w:rsidR="00C5146B" w:rsidRPr="00076685" w:rsidRDefault="00C5146B" w:rsidP="00C5146B">
      <w:pPr>
        <w:spacing w:line="400" w:lineRule="atLeast"/>
        <w:jc w:val="center"/>
        <w:rPr>
          <w:rFonts w:asciiTheme="majorHAnsi" w:hAnsiTheme="majorHAnsi"/>
          <w:b/>
          <w:color w:val="1F497D" w:themeColor="text2"/>
          <w:sz w:val="28"/>
          <w:szCs w:val="28"/>
        </w:rPr>
      </w:pPr>
      <w:r w:rsidRPr="00076685">
        <w:rPr>
          <w:rFonts w:asciiTheme="majorHAnsi" w:hAnsiTheme="majorHAnsi"/>
          <w:b/>
          <w:color w:val="1F497D" w:themeColor="text2"/>
          <w:sz w:val="28"/>
          <w:szCs w:val="28"/>
        </w:rPr>
        <w:t>Regulatory Services Branch</w:t>
      </w:r>
    </w:p>
    <w:p w:rsidR="002E194F" w:rsidRPr="00076685" w:rsidRDefault="002E194F" w:rsidP="00CE0CC6">
      <w:pPr>
        <w:jc w:val="center"/>
        <w:rPr>
          <w:rStyle w:val="PageNumber"/>
          <w:rFonts w:asciiTheme="majorHAnsi" w:hAnsiTheme="majorHAnsi"/>
          <w:b/>
          <w:color w:val="1F497D" w:themeColor="text2"/>
          <w:sz w:val="28"/>
          <w:szCs w:val="28"/>
        </w:rPr>
      </w:pPr>
      <w:r w:rsidRPr="00076685">
        <w:rPr>
          <w:rStyle w:val="PageNumber"/>
          <w:rFonts w:asciiTheme="majorHAnsi" w:hAnsiTheme="majorHAnsi"/>
          <w:b/>
          <w:color w:val="1F497D" w:themeColor="text2"/>
          <w:sz w:val="28"/>
          <w:szCs w:val="28"/>
        </w:rPr>
        <w:t>R</w:t>
      </w:r>
      <w:r w:rsidR="00B03949" w:rsidRPr="00076685">
        <w:rPr>
          <w:rStyle w:val="PageNumber"/>
          <w:rFonts w:asciiTheme="majorHAnsi" w:hAnsiTheme="majorHAnsi"/>
          <w:b/>
          <w:color w:val="1F497D" w:themeColor="text2"/>
          <w:sz w:val="28"/>
          <w:szCs w:val="28"/>
        </w:rPr>
        <w:t>1</w:t>
      </w:r>
      <w:r w:rsidR="0074429D">
        <w:rPr>
          <w:rStyle w:val="PageNumber"/>
          <w:rFonts w:asciiTheme="majorHAnsi" w:hAnsiTheme="majorHAnsi"/>
          <w:b/>
          <w:color w:val="1F497D" w:themeColor="text2"/>
          <w:sz w:val="28"/>
          <w:szCs w:val="28"/>
        </w:rPr>
        <w:t>5</w:t>
      </w:r>
      <w:r w:rsidR="00C430E9" w:rsidRPr="00076685">
        <w:rPr>
          <w:rStyle w:val="PageNumber"/>
          <w:rFonts w:asciiTheme="majorHAnsi" w:hAnsiTheme="majorHAnsi"/>
          <w:b/>
          <w:color w:val="1F497D" w:themeColor="text2"/>
          <w:sz w:val="28"/>
          <w:szCs w:val="28"/>
        </w:rPr>
        <w:t>/</w:t>
      </w:r>
      <w:r w:rsidR="00EB7DEF">
        <w:rPr>
          <w:rStyle w:val="PageNumber"/>
          <w:rFonts w:asciiTheme="majorHAnsi" w:hAnsiTheme="majorHAnsi"/>
          <w:b/>
          <w:color w:val="1F497D" w:themeColor="text2"/>
          <w:sz w:val="28"/>
          <w:szCs w:val="28"/>
        </w:rPr>
        <w:t>05147</w:t>
      </w:r>
    </w:p>
    <w:p w:rsidR="00B81C55" w:rsidRPr="00076685" w:rsidRDefault="00B012A3" w:rsidP="00CE0CC6">
      <w:pPr>
        <w:spacing w:line="400" w:lineRule="atLeast"/>
        <w:jc w:val="center"/>
        <w:rPr>
          <w:rFonts w:asciiTheme="majorHAnsi" w:hAnsiTheme="majorHAnsi"/>
          <w:b/>
          <w:color w:val="1F497D" w:themeColor="text2"/>
          <w:sz w:val="28"/>
          <w:szCs w:val="28"/>
        </w:rPr>
      </w:pPr>
      <w:r>
        <w:rPr>
          <w:rFonts w:asciiTheme="majorHAnsi" w:hAnsiTheme="majorHAnsi"/>
          <w:b/>
          <w:color w:val="1F497D" w:themeColor="text2"/>
          <w:sz w:val="28"/>
          <w:szCs w:val="28"/>
        </w:rPr>
        <w:t>7</w:t>
      </w:r>
      <w:r w:rsidR="00EC4CAA">
        <w:rPr>
          <w:rFonts w:asciiTheme="majorHAnsi" w:hAnsiTheme="majorHAnsi"/>
          <w:b/>
          <w:color w:val="1F497D" w:themeColor="text2"/>
          <w:sz w:val="28"/>
          <w:szCs w:val="28"/>
        </w:rPr>
        <w:t xml:space="preserve"> May</w:t>
      </w:r>
      <w:r w:rsidR="00394271" w:rsidRPr="00076685">
        <w:rPr>
          <w:rFonts w:asciiTheme="majorHAnsi" w:hAnsiTheme="majorHAnsi"/>
          <w:b/>
          <w:color w:val="1F497D" w:themeColor="text2"/>
          <w:sz w:val="28"/>
          <w:szCs w:val="28"/>
        </w:rPr>
        <w:t xml:space="preserve"> </w:t>
      </w:r>
      <w:r w:rsidR="001C42F0">
        <w:rPr>
          <w:rFonts w:asciiTheme="majorHAnsi" w:hAnsiTheme="majorHAnsi"/>
          <w:b/>
          <w:color w:val="1F497D" w:themeColor="text2"/>
          <w:sz w:val="28"/>
          <w:szCs w:val="28"/>
        </w:rPr>
        <w:t>201</w:t>
      </w:r>
      <w:r w:rsidR="0074429D">
        <w:rPr>
          <w:rFonts w:asciiTheme="majorHAnsi" w:hAnsiTheme="majorHAnsi"/>
          <w:b/>
          <w:color w:val="1F497D" w:themeColor="text2"/>
          <w:sz w:val="28"/>
          <w:szCs w:val="28"/>
        </w:rPr>
        <w:t>5</w:t>
      </w:r>
    </w:p>
    <w:p w:rsidR="00F2025F" w:rsidRPr="00F2025F" w:rsidRDefault="00B81C55" w:rsidP="00F2025F">
      <w:r>
        <w:br w:type="page"/>
      </w:r>
      <w:r w:rsidR="00F2025F" w:rsidRPr="00F2025F">
        <w:lastRenderedPageBreak/>
        <w:t>© Commonwealth of Australia 201</w:t>
      </w:r>
      <w:r w:rsidR="0074429D">
        <w:t>5</w:t>
      </w:r>
    </w:p>
    <w:p w:rsidR="00F2025F" w:rsidRPr="0051181B" w:rsidRDefault="00F2025F" w:rsidP="00F2025F">
      <w:pPr>
        <w:pBdr>
          <w:top w:val="single" w:sz="4" w:space="1" w:color="auto"/>
          <w:left w:val="single" w:sz="4" w:space="4" w:color="auto"/>
          <w:bottom w:val="single" w:sz="4" w:space="1" w:color="auto"/>
          <w:right w:val="single" w:sz="4" w:space="4" w:color="auto"/>
        </w:pBdr>
        <w:jc w:val="both"/>
        <w:rPr>
          <w:color w:val="1F497D"/>
        </w:rPr>
      </w:pPr>
      <w:r w:rsidRPr="0051181B">
        <w:rPr>
          <w:color w:val="1F497D"/>
        </w:rPr>
        <w:t>This publication is protected by copyright.  Copyright (and any other intellectual property rights, if any) in this publication is owned by the Commonwealth of Australia as represented by the Australian Radiation Protection and Nuclear Safety Agency (ARPANSA).</w:t>
      </w:r>
    </w:p>
    <w:p w:rsidR="00F2025F" w:rsidRPr="0051181B" w:rsidRDefault="00F2025F" w:rsidP="00F2025F">
      <w:pPr>
        <w:pBdr>
          <w:top w:val="single" w:sz="4" w:space="1" w:color="auto"/>
          <w:left w:val="single" w:sz="4" w:space="4" w:color="auto"/>
          <w:bottom w:val="single" w:sz="4" w:space="1" w:color="auto"/>
          <w:right w:val="single" w:sz="4" w:space="4" w:color="auto"/>
        </w:pBdr>
        <w:rPr>
          <w:color w:val="1F497D"/>
        </w:rPr>
      </w:pPr>
    </w:p>
    <w:p w:rsidR="00F2025F" w:rsidRPr="0051181B" w:rsidRDefault="00F2025F" w:rsidP="00F2025F">
      <w:pPr>
        <w:pBdr>
          <w:top w:val="single" w:sz="4" w:space="1" w:color="auto"/>
          <w:left w:val="single" w:sz="4" w:space="4" w:color="auto"/>
          <w:bottom w:val="single" w:sz="4" w:space="1" w:color="auto"/>
          <w:right w:val="single" w:sz="4" w:space="4" w:color="auto"/>
        </w:pBdr>
        <w:rPr>
          <w:color w:val="1F497D"/>
        </w:rPr>
      </w:pPr>
      <w:r>
        <w:rPr>
          <w:noProof/>
          <w:color w:val="1F497D"/>
        </w:rPr>
        <w:drawing>
          <wp:inline distT="0" distB="0" distL="0" distR="0" wp14:anchorId="4F71944E" wp14:editId="53536627">
            <wp:extent cx="982345" cy="351155"/>
            <wp:effectExtent l="0" t="0" r="8255" b="0"/>
            <wp:docPr id="1" name="Picture 1" descr="cid:image001.png@01CEB53F.7BA59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B53F.7BA597A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345" cy="351155"/>
                    </a:xfrm>
                    <a:prstGeom prst="rect">
                      <a:avLst/>
                    </a:prstGeom>
                    <a:noFill/>
                    <a:ln>
                      <a:noFill/>
                    </a:ln>
                  </pic:spPr>
                </pic:pic>
              </a:graphicData>
            </a:graphic>
          </wp:inline>
        </w:drawing>
      </w:r>
    </w:p>
    <w:p w:rsidR="00F2025F" w:rsidRPr="0051181B" w:rsidRDefault="00F2025F" w:rsidP="00F2025F">
      <w:pPr>
        <w:pBdr>
          <w:top w:val="single" w:sz="4" w:space="1" w:color="auto"/>
          <w:left w:val="single" w:sz="4" w:space="4" w:color="auto"/>
          <w:bottom w:val="single" w:sz="4" w:space="1" w:color="auto"/>
          <w:right w:val="single" w:sz="4" w:space="4" w:color="auto"/>
        </w:pBdr>
        <w:rPr>
          <w:color w:val="1F497D"/>
        </w:rPr>
      </w:pPr>
    </w:p>
    <w:p w:rsidR="00F2025F" w:rsidRPr="0051181B" w:rsidRDefault="00F2025F" w:rsidP="00F2025F">
      <w:pPr>
        <w:pBdr>
          <w:top w:val="single" w:sz="4" w:space="1" w:color="auto"/>
          <w:left w:val="single" w:sz="4" w:space="4" w:color="auto"/>
          <w:bottom w:val="single" w:sz="4" w:space="1" w:color="auto"/>
          <w:right w:val="single" w:sz="4" w:space="4" w:color="auto"/>
        </w:pBdr>
        <w:rPr>
          <w:b/>
          <w:bCs/>
          <w:color w:val="1F497D"/>
        </w:rPr>
      </w:pPr>
      <w:r w:rsidRPr="0051181B">
        <w:rPr>
          <w:b/>
          <w:bCs/>
          <w:color w:val="1F497D"/>
        </w:rPr>
        <w:t>Creative Commons</w:t>
      </w:r>
    </w:p>
    <w:p w:rsidR="00F2025F" w:rsidRPr="0051181B" w:rsidRDefault="00F2025F" w:rsidP="00F2025F">
      <w:pPr>
        <w:pBdr>
          <w:top w:val="single" w:sz="4" w:space="1" w:color="auto"/>
          <w:left w:val="single" w:sz="4" w:space="4" w:color="auto"/>
          <w:bottom w:val="single" w:sz="4" w:space="1" w:color="auto"/>
          <w:right w:val="single" w:sz="4" w:space="4" w:color="auto"/>
        </w:pBdr>
        <w:jc w:val="both"/>
        <w:rPr>
          <w:color w:val="1F497D"/>
        </w:rPr>
      </w:pPr>
      <w:r w:rsidRPr="0051181B">
        <w:rPr>
          <w:color w:val="1F497D"/>
        </w:rPr>
        <w:t xml:space="preserve">With the exception of the Commonwealth Coat of Arms, any ARPANSA logos and any content that is marked as being third party material, all material presented in this publication is provided under the Creative Commons Attribution 3.0 Australia (CC BY 3.0) licence. To view a copy of the license, visit </w:t>
      </w:r>
      <w:hyperlink r:id="rId10" w:history="1">
        <w:r w:rsidRPr="0051181B">
          <w:rPr>
            <w:rStyle w:val="Hyperlink"/>
          </w:rPr>
          <w:t>http://creativecommons.org/licenses/by/3.0/au/</w:t>
        </w:r>
      </w:hyperlink>
      <w:r w:rsidRPr="0051181B">
        <w:rPr>
          <w:color w:val="1F497D"/>
        </w:rPr>
        <w:t>.  It is a further condition of the licence that any numerical data referred to in this publication may not be changed. To the extent that copyright subsists in a third party, permission will be required from the third party to reuse the material.</w:t>
      </w:r>
    </w:p>
    <w:p w:rsidR="00F2025F" w:rsidRPr="0051181B" w:rsidRDefault="00F2025F" w:rsidP="00F2025F">
      <w:pPr>
        <w:pBdr>
          <w:top w:val="single" w:sz="4" w:space="1" w:color="auto"/>
          <w:left w:val="single" w:sz="4" w:space="4" w:color="auto"/>
          <w:bottom w:val="single" w:sz="4" w:space="1" w:color="auto"/>
          <w:right w:val="single" w:sz="4" w:space="4" w:color="auto"/>
        </w:pBdr>
        <w:jc w:val="both"/>
        <w:rPr>
          <w:color w:val="1F497D"/>
        </w:rPr>
      </w:pPr>
      <w:r w:rsidRPr="0051181B">
        <w:rPr>
          <w:color w:val="1F497D"/>
        </w:rPr>
        <w:t xml:space="preserve">In essence, you are free to copy, communicate and adapt the material as long as you attribute the work to ARPANSA and abide by the other licence terms.  The works are to be attributed to the Commonwealth as follows:- </w:t>
      </w:r>
    </w:p>
    <w:p w:rsidR="00F2025F" w:rsidRPr="00E55FAD" w:rsidRDefault="00F2025F" w:rsidP="00F2025F">
      <w:pPr>
        <w:pBdr>
          <w:top w:val="single" w:sz="4" w:space="1" w:color="auto"/>
          <w:left w:val="single" w:sz="4" w:space="4" w:color="auto"/>
          <w:bottom w:val="single" w:sz="4" w:space="1" w:color="auto"/>
          <w:right w:val="single" w:sz="4" w:space="4" w:color="auto"/>
        </w:pBdr>
        <w:rPr>
          <w:color w:val="1F497D"/>
          <w:sz w:val="20"/>
          <w:szCs w:val="20"/>
        </w:rPr>
      </w:pPr>
      <w:r w:rsidRPr="00E55FAD">
        <w:rPr>
          <w:color w:val="1F497D"/>
          <w:sz w:val="20"/>
          <w:szCs w:val="20"/>
        </w:rPr>
        <w:t>“© Commonwealth of Australia 201</w:t>
      </w:r>
      <w:r w:rsidR="0074429D">
        <w:rPr>
          <w:color w:val="1F497D"/>
          <w:sz w:val="20"/>
          <w:szCs w:val="20"/>
        </w:rPr>
        <w:t>5</w:t>
      </w:r>
      <w:r w:rsidRPr="00E55FAD">
        <w:rPr>
          <w:color w:val="1F497D"/>
          <w:sz w:val="20"/>
          <w:szCs w:val="20"/>
        </w:rPr>
        <w:t>, as represented by the Australian Radiation Protection and Nuclear Safety Agency (ARPANSA)”</w:t>
      </w:r>
    </w:p>
    <w:p w:rsidR="00F2025F" w:rsidRDefault="00F2025F" w:rsidP="00F2025F">
      <w:pPr>
        <w:pBdr>
          <w:top w:val="single" w:sz="4" w:space="1" w:color="auto"/>
          <w:left w:val="single" w:sz="4" w:space="4" w:color="auto"/>
          <w:bottom w:val="single" w:sz="4" w:space="1" w:color="auto"/>
          <w:right w:val="single" w:sz="4" w:space="4" w:color="auto"/>
        </w:pBdr>
        <w:rPr>
          <w:b/>
          <w:bCs/>
          <w:color w:val="1F497D"/>
        </w:rPr>
      </w:pPr>
    </w:p>
    <w:p w:rsidR="00F2025F" w:rsidRPr="0051181B" w:rsidRDefault="00F2025F" w:rsidP="00F2025F">
      <w:pPr>
        <w:pBdr>
          <w:top w:val="single" w:sz="4" w:space="1" w:color="auto"/>
          <w:left w:val="single" w:sz="4" w:space="4" w:color="auto"/>
          <w:bottom w:val="single" w:sz="4" w:space="1" w:color="auto"/>
          <w:right w:val="single" w:sz="4" w:space="4" w:color="auto"/>
        </w:pBdr>
        <w:rPr>
          <w:b/>
          <w:bCs/>
          <w:color w:val="1F497D"/>
        </w:rPr>
      </w:pPr>
      <w:r w:rsidRPr="0051181B">
        <w:rPr>
          <w:b/>
          <w:bCs/>
          <w:color w:val="1F497D"/>
        </w:rPr>
        <w:t>Use of the Coat of Arms</w:t>
      </w:r>
    </w:p>
    <w:p w:rsidR="00F2025F" w:rsidRPr="0051181B" w:rsidRDefault="00F2025F" w:rsidP="00F2025F">
      <w:pPr>
        <w:pBdr>
          <w:top w:val="single" w:sz="4" w:space="1" w:color="auto"/>
          <w:left w:val="single" w:sz="4" w:space="4" w:color="auto"/>
          <w:bottom w:val="single" w:sz="4" w:space="1" w:color="auto"/>
          <w:right w:val="single" w:sz="4" w:space="4" w:color="auto"/>
        </w:pBdr>
        <w:rPr>
          <w:color w:val="1F497D"/>
        </w:rPr>
      </w:pPr>
      <w:r w:rsidRPr="0051181B">
        <w:rPr>
          <w:color w:val="1F497D"/>
        </w:rPr>
        <w:t>The terms under which the Coat of Arms can be used are detailed on the It's an Honour (</w:t>
      </w:r>
      <w:hyperlink r:id="rId11" w:history="1">
        <w:r w:rsidRPr="0051181B">
          <w:rPr>
            <w:rStyle w:val="Hyperlink"/>
          </w:rPr>
          <w:t>http://www.itsanhonour.gov.au/coat-arms/index.cfm</w:t>
        </w:r>
      </w:hyperlink>
      <w:r w:rsidRPr="0051181B">
        <w:rPr>
          <w:color w:val="1F497D"/>
        </w:rPr>
        <w:t>) website.</w:t>
      </w:r>
    </w:p>
    <w:p w:rsidR="00F2025F" w:rsidRPr="009B3BB1" w:rsidRDefault="00F2025F" w:rsidP="00F2025F">
      <w:pPr>
        <w:pBdr>
          <w:top w:val="single" w:sz="4" w:space="1" w:color="auto"/>
          <w:left w:val="single" w:sz="4" w:space="4" w:color="auto"/>
          <w:bottom w:val="single" w:sz="4" w:space="1" w:color="auto"/>
          <w:right w:val="single" w:sz="4" w:space="4" w:color="auto"/>
        </w:pBdr>
        <w:jc w:val="center"/>
        <w:rPr>
          <w:b/>
          <w:color w:val="1F497D"/>
        </w:rPr>
      </w:pPr>
    </w:p>
    <w:p w:rsidR="00F2025F" w:rsidRPr="009B3BB1" w:rsidRDefault="00F2025F" w:rsidP="00F2025F">
      <w:pPr>
        <w:pBdr>
          <w:top w:val="single" w:sz="4" w:space="1" w:color="auto"/>
          <w:left w:val="single" w:sz="4" w:space="4" w:color="auto"/>
          <w:bottom w:val="single" w:sz="4" w:space="1" w:color="auto"/>
          <w:right w:val="single" w:sz="4" w:space="4" w:color="auto"/>
        </w:pBdr>
        <w:jc w:val="center"/>
        <w:rPr>
          <w:b/>
          <w:color w:val="1F497D"/>
        </w:rPr>
      </w:pPr>
      <w:r w:rsidRPr="009B3BB1">
        <w:rPr>
          <w:b/>
          <w:color w:val="1F497D"/>
        </w:rPr>
        <w:t>Disclaimer</w:t>
      </w:r>
    </w:p>
    <w:p w:rsidR="00F2025F" w:rsidRPr="009B3BB1" w:rsidRDefault="00F2025F" w:rsidP="00F2025F">
      <w:pPr>
        <w:pBdr>
          <w:top w:val="single" w:sz="4" w:space="1" w:color="auto"/>
          <w:left w:val="single" w:sz="4" w:space="4" w:color="auto"/>
          <w:bottom w:val="single" w:sz="4" w:space="1" w:color="auto"/>
          <w:right w:val="single" w:sz="4" w:space="4" w:color="auto"/>
        </w:pBdr>
        <w:jc w:val="both"/>
        <w:rPr>
          <w:color w:val="1F497D"/>
        </w:rPr>
      </w:pPr>
      <w:r w:rsidRPr="009B3BB1">
        <w:rPr>
          <w:color w:val="1F497D"/>
        </w:rPr>
        <w:t xml:space="preserve">This </w:t>
      </w:r>
      <w:r w:rsidR="00497270">
        <w:rPr>
          <w:color w:val="1F497D"/>
        </w:rPr>
        <w:t>Regulatory Assessment Report</w:t>
      </w:r>
      <w:r w:rsidRPr="009B3BB1">
        <w:rPr>
          <w:color w:val="1F497D"/>
        </w:rPr>
        <w:t xml:space="preserve"> has been </w:t>
      </w:r>
      <w:r w:rsidR="00497270">
        <w:rPr>
          <w:color w:val="1F497D"/>
        </w:rPr>
        <w:t xml:space="preserve">prepared by individual staff members of the Regulatory Services Branch of ARPANSA for the </w:t>
      </w:r>
      <w:r w:rsidRPr="009B3BB1">
        <w:rPr>
          <w:color w:val="1F497D"/>
        </w:rPr>
        <w:t xml:space="preserve">CEO of ARPANSA in connection with licence applications made under the </w:t>
      </w:r>
      <w:r w:rsidRPr="009B3BB1">
        <w:rPr>
          <w:i/>
          <w:color w:val="1F497D"/>
        </w:rPr>
        <w:t>Australian Protection and Nuclear Safety Act 1998</w:t>
      </w:r>
      <w:r w:rsidRPr="009B3BB1">
        <w:rPr>
          <w:color w:val="1F497D"/>
        </w:rPr>
        <w:t>. The authors have taken all reasonable care in the preparation of this report.</w:t>
      </w:r>
    </w:p>
    <w:p w:rsidR="00F2025F" w:rsidRPr="009B3BB1" w:rsidRDefault="00F2025F" w:rsidP="00F2025F">
      <w:pPr>
        <w:pBdr>
          <w:top w:val="single" w:sz="4" w:space="1" w:color="auto"/>
          <w:left w:val="single" w:sz="4" w:space="4" w:color="auto"/>
          <w:bottom w:val="single" w:sz="4" w:space="1" w:color="auto"/>
          <w:right w:val="single" w:sz="4" w:space="4" w:color="auto"/>
        </w:pBdr>
        <w:jc w:val="both"/>
        <w:rPr>
          <w:color w:val="1F497D"/>
        </w:rPr>
      </w:pPr>
      <w:r w:rsidRPr="009B3BB1">
        <w:rPr>
          <w:color w:val="1F497D"/>
        </w:rPr>
        <w:t>Any use outside the purpose indicated above is at the risk of individual concerned. No claim for damages or liability may rise against the CEO of ARPANSA, the Commonwealth of Australia or the staff of ARPANSA in connection with any unauthorised use or use outside the purpose indicated above.</w:t>
      </w:r>
    </w:p>
    <w:p w:rsidR="002E194F" w:rsidRPr="00C00BCB" w:rsidRDefault="002E194F" w:rsidP="00F2025F">
      <w:pPr>
        <w:jc w:val="center"/>
        <w:rPr>
          <w:color w:val="1F497D" w:themeColor="text2"/>
        </w:rPr>
      </w:pPr>
      <w:r w:rsidRPr="00C00BCB">
        <w:rPr>
          <w:color w:val="1F497D" w:themeColor="text2"/>
        </w:rPr>
        <w:t>ARPANSA is part of the Commonwealth of Australia</w:t>
      </w:r>
    </w:p>
    <w:p w:rsidR="00044A8C" w:rsidRPr="0098747C" w:rsidRDefault="00044A8C" w:rsidP="00CE0CC6">
      <w:pPr>
        <w:jc w:val="center"/>
        <w:rPr>
          <w:b/>
        </w:rPr>
      </w:pPr>
    </w:p>
    <w:p w:rsidR="00044A8C" w:rsidRPr="00FC1710" w:rsidRDefault="00044A8C" w:rsidP="003F45DE">
      <w:pPr>
        <w:pBdr>
          <w:top w:val="single" w:sz="4" w:space="1" w:color="auto"/>
          <w:left w:val="single" w:sz="4" w:space="4" w:color="auto"/>
          <w:bottom w:val="single" w:sz="4" w:space="1" w:color="auto"/>
          <w:right w:val="single" w:sz="4" w:space="4" w:color="auto"/>
        </w:pBdr>
        <w:jc w:val="both"/>
        <w:rPr>
          <w:color w:val="1F497D" w:themeColor="text2"/>
        </w:rPr>
      </w:pPr>
      <w:r w:rsidRPr="00FC1710">
        <w:rPr>
          <w:color w:val="1F497D" w:themeColor="text2"/>
        </w:rPr>
        <w:t>This Regulatory Assessment Report provides the basis for the decision of the CEO of ARPANSA and the licence conditions in Facility Licence F0</w:t>
      </w:r>
      <w:r w:rsidR="00BD1961" w:rsidRPr="00FC1710">
        <w:rPr>
          <w:color w:val="1F497D" w:themeColor="text2"/>
        </w:rPr>
        <w:t>2</w:t>
      </w:r>
      <w:r w:rsidR="0074429D">
        <w:rPr>
          <w:color w:val="1F497D" w:themeColor="text2"/>
        </w:rPr>
        <w:t>92</w:t>
      </w:r>
      <w:r w:rsidRPr="00FC1710">
        <w:rPr>
          <w:color w:val="1F497D" w:themeColor="text2"/>
        </w:rPr>
        <w:t>.  However, this Report does not fo</w:t>
      </w:r>
      <w:r w:rsidR="00B03949" w:rsidRPr="00FC1710">
        <w:rPr>
          <w:color w:val="1F497D" w:themeColor="text2"/>
        </w:rPr>
        <w:t>rm part of Facility Licence F02</w:t>
      </w:r>
      <w:r w:rsidR="0074429D">
        <w:rPr>
          <w:color w:val="1F497D" w:themeColor="text2"/>
        </w:rPr>
        <w:t>92</w:t>
      </w:r>
      <w:r w:rsidRPr="00FC1710">
        <w:rPr>
          <w:color w:val="1F497D" w:themeColor="text2"/>
        </w:rPr>
        <w:t xml:space="preserve"> and in the event of any inconsistency between the Licence and the Report, the requirements and licence conditions in Facility Licence F0</w:t>
      </w:r>
      <w:r w:rsidR="00303CF9" w:rsidRPr="00FC1710">
        <w:rPr>
          <w:color w:val="1F497D" w:themeColor="text2"/>
        </w:rPr>
        <w:t>2</w:t>
      </w:r>
      <w:r w:rsidR="0074429D">
        <w:rPr>
          <w:color w:val="1F497D" w:themeColor="text2"/>
        </w:rPr>
        <w:t>92</w:t>
      </w:r>
      <w:r w:rsidR="00303CF9" w:rsidRPr="00FC1710">
        <w:rPr>
          <w:color w:val="1F497D" w:themeColor="text2"/>
        </w:rPr>
        <w:t xml:space="preserve"> </w:t>
      </w:r>
      <w:r w:rsidRPr="00FC1710">
        <w:rPr>
          <w:color w:val="1F497D" w:themeColor="text2"/>
        </w:rPr>
        <w:t>will prevail.</w:t>
      </w:r>
    </w:p>
    <w:p w:rsidR="002E194F" w:rsidRPr="005040DC" w:rsidRDefault="002E194F" w:rsidP="005040DC">
      <w:pPr>
        <w:pStyle w:val="Appendix"/>
        <w:jc w:val="left"/>
        <w:rPr>
          <w:smallCaps/>
          <w:sz w:val="52"/>
          <w:szCs w:val="52"/>
        </w:rPr>
      </w:pPr>
      <w:r w:rsidRPr="00676C35">
        <w:rPr>
          <w:sz w:val="36"/>
        </w:rPr>
        <w:br w:type="page"/>
      </w:r>
      <w:bookmarkStart w:id="0" w:name="_Toc417974581"/>
      <w:r w:rsidRPr="005040DC">
        <w:rPr>
          <w:sz w:val="52"/>
          <w:szCs w:val="52"/>
        </w:rPr>
        <w:lastRenderedPageBreak/>
        <w:t>E</w:t>
      </w:r>
      <w:r w:rsidR="009D5EA6" w:rsidRPr="005040DC">
        <w:rPr>
          <w:sz w:val="52"/>
          <w:szCs w:val="52"/>
        </w:rPr>
        <w:t>xecutive</w:t>
      </w:r>
      <w:r w:rsidR="00A4039B">
        <w:rPr>
          <w:sz w:val="52"/>
          <w:szCs w:val="52"/>
        </w:rPr>
        <w:t xml:space="preserve"> Summary</w:t>
      </w:r>
      <w:bookmarkEnd w:id="0"/>
      <w:r w:rsidRPr="005040DC">
        <w:rPr>
          <w:smallCaps/>
          <w:sz w:val="52"/>
          <w:szCs w:val="52"/>
        </w:rPr>
        <w:t xml:space="preserve"> </w:t>
      </w:r>
    </w:p>
    <w:p w:rsidR="002E194F" w:rsidRPr="0098747C" w:rsidRDefault="002E194F" w:rsidP="00C3599E">
      <w:pPr>
        <w:pStyle w:val="Header"/>
        <w:tabs>
          <w:tab w:val="clear" w:pos="4153"/>
          <w:tab w:val="clear" w:pos="8306"/>
        </w:tabs>
        <w:spacing w:line="240" w:lineRule="auto"/>
        <w:jc w:val="both"/>
      </w:pPr>
      <w:r w:rsidRPr="0098747C">
        <w:t xml:space="preserve">On </w:t>
      </w:r>
      <w:r w:rsidR="003454EF">
        <w:t>10</w:t>
      </w:r>
      <w:r w:rsidR="001C42F0">
        <w:t xml:space="preserve"> November 201</w:t>
      </w:r>
      <w:r w:rsidR="00B7774D">
        <w:t>4</w:t>
      </w:r>
      <w:r w:rsidR="001E6B28" w:rsidRPr="0098747C">
        <w:t>,</w:t>
      </w:r>
      <w:r w:rsidR="00584E65" w:rsidRPr="0098747C">
        <w:t xml:space="preserve"> </w:t>
      </w:r>
      <w:r w:rsidR="001E6B28" w:rsidRPr="0098747C">
        <w:t xml:space="preserve">the CEO of </w:t>
      </w:r>
      <w:r w:rsidR="00584E65" w:rsidRPr="0098747C">
        <w:t>ARPANSA received an application</w:t>
      </w:r>
      <w:r w:rsidR="0040175C" w:rsidRPr="0098747C">
        <w:t xml:space="preserve"> (</w:t>
      </w:r>
      <w:r w:rsidR="00B7774D">
        <w:t>A0292</w:t>
      </w:r>
      <w:r w:rsidR="0040175C" w:rsidRPr="0098747C">
        <w:t>)</w:t>
      </w:r>
      <w:r w:rsidR="00584E65" w:rsidRPr="0098747C">
        <w:t xml:space="preserve"> </w:t>
      </w:r>
      <w:r w:rsidR="00D35354" w:rsidRPr="0098747C">
        <w:t xml:space="preserve">from </w:t>
      </w:r>
      <w:r w:rsidRPr="0098747C">
        <w:t>the Chief Executive Officer (CEO) of the Australian Nuclear Science and Technology Organisation (ANSTO)</w:t>
      </w:r>
      <w:r w:rsidR="00D74D1D" w:rsidRPr="0098747C">
        <w:t>,</w:t>
      </w:r>
      <w:r w:rsidRPr="0098747C">
        <w:t xml:space="preserve"> for authorisation to </w:t>
      </w:r>
      <w:r w:rsidR="00B7774D">
        <w:t>operate</w:t>
      </w:r>
      <w:r w:rsidR="005C5164" w:rsidRPr="0098747C">
        <w:t xml:space="preserve"> a controlled facility, namely </w:t>
      </w:r>
      <w:r w:rsidR="00D530E0" w:rsidRPr="0098747C">
        <w:t xml:space="preserve">the </w:t>
      </w:r>
      <w:r w:rsidR="00A814C8" w:rsidRPr="0098747C">
        <w:t xml:space="preserve">ANSTO </w:t>
      </w:r>
      <w:r w:rsidR="00B7774D">
        <w:t>Interim Waste Store (IWS).</w:t>
      </w:r>
    </w:p>
    <w:p w:rsidR="002E194F" w:rsidRPr="0098747C" w:rsidRDefault="005F6429" w:rsidP="00C3599E">
      <w:pPr>
        <w:pStyle w:val="Header"/>
        <w:tabs>
          <w:tab w:val="clear" w:pos="4153"/>
          <w:tab w:val="clear" w:pos="8306"/>
        </w:tabs>
        <w:spacing w:line="240" w:lineRule="auto"/>
        <w:jc w:val="both"/>
      </w:pPr>
      <w:r w:rsidRPr="0098747C">
        <w:t>The pr</w:t>
      </w:r>
      <w:r w:rsidR="00AC5AC5" w:rsidRPr="0098747C">
        <w:t>oposed facility will be used for</w:t>
      </w:r>
      <w:r w:rsidRPr="0098747C">
        <w:t xml:space="preserve"> </w:t>
      </w:r>
      <w:r w:rsidR="005273A8">
        <w:t xml:space="preserve">housing Intermediate </w:t>
      </w:r>
      <w:r w:rsidR="00876688">
        <w:t xml:space="preserve">Level </w:t>
      </w:r>
      <w:r w:rsidR="005273A8">
        <w:t>Solid Waste (ILSW) returned from France following the reprocessing of HIFAR spent fuel.</w:t>
      </w:r>
      <w:r w:rsidR="004C1609">
        <w:t xml:space="preserve"> The facility will store one TN81</w:t>
      </w:r>
      <w:r w:rsidR="00542903">
        <w:t xml:space="preserve"> transport/storage shielded container and six</w:t>
      </w:r>
      <w:r w:rsidR="00624678">
        <w:t xml:space="preserve"> </w:t>
      </w:r>
      <w:r w:rsidR="00542903">
        <w:t xml:space="preserve">cemented drums of technological wastes in a </w:t>
      </w:r>
      <w:r w:rsidR="005A2F06">
        <w:t>large</w:t>
      </w:r>
      <w:r w:rsidR="00542903">
        <w:t xml:space="preserve"> ISO shipping container.</w:t>
      </w:r>
    </w:p>
    <w:p w:rsidR="002E194F" w:rsidRPr="0098747C" w:rsidRDefault="002E194F" w:rsidP="00C3599E">
      <w:pPr>
        <w:spacing w:line="240" w:lineRule="auto"/>
        <w:jc w:val="both"/>
      </w:pPr>
      <w:r w:rsidRPr="0098747C">
        <w:t xml:space="preserve">When considering the licence application and making a decision as to whether to issue a licence, the CEO of ARPANSA is required to take into consideration certain </w:t>
      </w:r>
      <w:r w:rsidR="001214E7" w:rsidRPr="0098747C">
        <w:t xml:space="preserve">matters </w:t>
      </w:r>
      <w:r w:rsidRPr="0098747C">
        <w:t xml:space="preserve">prescribed </w:t>
      </w:r>
      <w:r w:rsidR="00D649E4" w:rsidRPr="0098747C">
        <w:t xml:space="preserve">in the </w:t>
      </w:r>
      <w:r w:rsidR="00D649E4" w:rsidRPr="0098747C">
        <w:rPr>
          <w:i/>
        </w:rPr>
        <w:t>Australian Radiation Protection and Nuclear Safety Act 1998</w:t>
      </w:r>
      <w:r w:rsidR="00D649E4" w:rsidRPr="0098747C">
        <w:t xml:space="preserve"> </w:t>
      </w:r>
      <w:r w:rsidR="00A83108" w:rsidRPr="0098747C">
        <w:t>(the Act)</w:t>
      </w:r>
      <w:r w:rsidRPr="0098747C">
        <w:t xml:space="preserve">. </w:t>
      </w:r>
      <w:r w:rsidR="00EC39D8" w:rsidRPr="0098747C">
        <w:t xml:space="preserve">The </w:t>
      </w:r>
      <w:r w:rsidRPr="0098747C">
        <w:t xml:space="preserve">ARPANSA </w:t>
      </w:r>
      <w:r w:rsidR="00751433" w:rsidRPr="0098747C">
        <w:t>assessor</w:t>
      </w:r>
      <w:r w:rsidRPr="0098747C">
        <w:t xml:space="preserve"> prepared this Regulatory Assessment Report (RAR) for the CEO of ARPANSA to address these matters.</w:t>
      </w:r>
    </w:p>
    <w:p w:rsidR="00DC5828" w:rsidRPr="0098747C" w:rsidRDefault="002E194F" w:rsidP="00C3599E">
      <w:pPr>
        <w:spacing w:line="240" w:lineRule="auto"/>
        <w:jc w:val="both"/>
      </w:pPr>
      <w:r w:rsidRPr="0098747C">
        <w:t xml:space="preserve">This RAR is based on the assessment of the information described in the application </w:t>
      </w:r>
      <w:r w:rsidR="00B7774D">
        <w:t>A0292</w:t>
      </w:r>
      <w:r w:rsidRPr="0098747C">
        <w:t>, additional supporting material</w:t>
      </w:r>
      <w:r w:rsidR="00DC5828" w:rsidRPr="0098747C">
        <w:t xml:space="preserve"> provided by ANSTO</w:t>
      </w:r>
      <w:r w:rsidRPr="0098747C">
        <w:t xml:space="preserve"> and discussions with facility representatives to clarify the application. The plans and arrangements for safety and other relevant information about the </w:t>
      </w:r>
      <w:r w:rsidR="007352A7">
        <w:t>operation</w:t>
      </w:r>
      <w:r w:rsidRPr="0098747C">
        <w:t xml:space="preserve"> of the facility have been reviewed against </w:t>
      </w:r>
      <w:r w:rsidR="00DC5828" w:rsidRPr="0098747C">
        <w:t xml:space="preserve">applicable </w:t>
      </w:r>
      <w:r w:rsidR="005A46E6" w:rsidRPr="0098747C">
        <w:t>guidelines and principles</w:t>
      </w:r>
      <w:r w:rsidRPr="0098747C">
        <w:t xml:space="preserve"> </w:t>
      </w:r>
      <w:r w:rsidR="00206238" w:rsidRPr="0098747C">
        <w:t xml:space="preserve">in </w:t>
      </w:r>
      <w:r w:rsidRPr="0098747C">
        <w:t xml:space="preserve">the ARPANSA </w:t>
      </w:r>
      <w:r w:rsidRPr="0098747C">
        <w:rPr>
          <w:i/>
        </w:rPr>
        <w:t>Regulatory Guideline for Plans and Arrangements</w:t>
      </w:r>
      <w:r w:rsidR="004F1520">
        <w:t>,</w:t>
      </w:r>
      <w:r w:rsidR="009C7C30" w:rsidRPr="0098747C">
        <w:t xml:space="preserve"> </w:t>
      </w:r>
      <w:r w:rsidRPr="0098747C">
        <w:t xml:space="preserve">ARPANSA </w:t>
      </w:r>
      <w:r w:rsidRPr="0098747C">
        <w:rPr>
          <w:i/>
        </w:rPr>
        <w:t>Regulatory Assessment Princ</w:t>
      </w:r>
      <w:r w:rsidR="00A81C67" w:rsidRPr="0098747C">
        <w:rPr>
          <w:i/>
        </w:rPr>
        <w:t>iples for Controlled Facilities</w:t>
      </w:r>
      <w:r w:rsidR="004F1520">
        <w:rPr>
          <w:i/>
        </w:rPr>
        <w:t xml:space="preserve"> </w:t>
      </w:r>
      <w:r w:rsidR="004F1520" w:rsidRPr="004F1520">
        <w:t xml:space="preserve">and </w:t>
      </w:r>
      <w:r w:rsidR="004F1520" w:rsidRPr="004F1520">
        <w:rPr>
          <w:i/>
        </w:rPr>
        <w:t>Regulatory Guide for Radioactive Storage and Disposal Facilities</w:t>
      </w:r>
      <w:r w:rsidRPr="0098747C">
        <w:t xml:space="preserve">. These </w:t>
      </w:r>
      <w:r w:rsidR="00DC5828" w:rsidRPr="0098747C">
        <w:t xml:space="preserve">regulatory documents </w:t>
      </w:r>
      <w:r w:rsidRPr="0098747C">
        <w:t xml:space="preserve">are based on national and international recommendations and </w:t>
      </w:r>
      <w:r w:rsidR="00DC5828" w:rsidRPr="0098747C">
        <w:t xml:space="preserve">guidance </w:t>
      </w:r>
      <w:r w:rsidRPr="0098747C">
        <w:t xml:space="preserve">for radiation protection and nuclear safety. </w:t>
      </w:r>
    </w:p>
    <w:p w:rsidR="00EB05C0" w:rsidRPr="0098747C" w:rsidRDefault="002E194F" w:rsidP="00C3599E">
      <w:pPr>
        <w:spacing w:line="240" w:lineRule="auto"/>
        <w:jc w:val="both"/>
      </w:pPr>
      <w:r w:rsidRPr="00F87BA5">
        <w:t xml:space="preserve">The application describes </w:t>
      </w:r>
      <w:r w:rsidR="003454EF" w:rsidRPr="00F87BA5">
        <w:t>operation</w:t>
      </w:r>
      <w:r w:rsidR="005A2F06">
        <w:t>al</w:t>
      </w:r>
      <w:r w:rsidR="00AC5AC5" w:rsidRPr="00F87BA5">
        <w:t xml:space="preserve"> aspects of the facility</w:t>
      </w:r>
      <w:r w:rsidRPr="00F87BA5">
        <w:t>, plans and arrangements for managing safety,</w:t>
      </w:r>
      <w:r w:rsidR="00FF1618" w:rsidRPr="00F87BA5">
        <w:t xml:space="preserve"> </w:t>
      </w:r>
      <w:r w:rsidR="009B79DC" w:rsidRPr="00F87BA5">
        <w:t>construction of the facility</w:t>
      </w:r>
      <w:r w:rsidR="000C4993" w:rsidRPr="00F87BA5">
        <w:t xml:space="preserve">, </w:t>
      </w:r>
      <w:r w:rsidR="009B79DC" w:rsidRPr="00F87BA5">
        <w:t>final</w:t>
      </w:r>
      <w:r w:rsidR="000C4993" w:rsidRPr="00F87BA5">
        <w:t xml:space="preserve"> safety analysis</w:t>
      </w:r>
      <w:r w:rsidR="009B79DC" w:rsidRPr="00F87BA5">
        <w:t>, operating limits and conditions,</w:t>
      </w:r>
      <w:r w:rsidR="009B2D04" w:rsidRPr="00F87BA5">
        <w:t xml:space="preserve"> arrangements for </w:t>
      </w:r>
      <w:r w:rsidR="009B79DC" w:rsidRPr="00F87BA5">
        <w:t>commissioning</w:t>
      </w:r>
      <w:r w:rsidR="005A2F06">
        <w:t>,</w:t>
      </w:r>
      <w:r w:rsidR="009B79DC" w:rsidRPr="00F87BA5">
        <w:t xml:space="preserve"> and arrangements for operation</w:t>
      </w:r>
      <w:r w:rsidRPr="00F87BA5">
        <w:t>.</w:t>
      </w:r>
      <w:r w:rsidR="00573DFB" w:rsidRPr="00F87BA5">
        <w:t xml:space="preserve"> </w:t>
      </w:r>
      <w:r w:rsidR="00EB05C0" w:rsidRPr="00F87BA5">
        <w:t>In assessing the application</w:t>
      </w:r>
      <w:r w:rsidR="005A2F06">
        <w:t>,</w:t>
      </w:r>
      <w:r w:rsidR="00EB05C0" w:rsidRPr="00F87BA5">
        <w:t xml:space="preserve"> </w:t>
      </w:r>
      <w:r w:rsidR="009527D2" w:rsidRPr="00F87BA5">
        <w:t xml:space="preserve">ARPANSA took into account </w:t>
      </w:r>
      <w:r w:rsidR="00D649E4" w:rsidRPr="00F87BA5">
        <w:t xml:space="preserve">relevant design and </w:t>
      </w:r>
      <w:r w:rsidR="009B79DC" w:rsidRPr="00F87BA5">
        <w:t>operational</w:t>
      </w:r>
      <w:r w:rsidR="00EB05C0" w:rsidRPr="00F87BA5">
        <w:t xml:space="preserve"> aspects of the proposed facility</w:t>
      </w:r>
      <w:r w:rsidR="005A2F06">
        <w:t>. This included</w:t>
      </w:r>
      <w:r w:rsidR="00EB05C0" w:rsidRPr="00F87BA5">
        <w:t xml:space="preserve"> the </w:t>
      </w:r>
      <w:r w:rsidR="009B79DC" w:rsidRPr="00F87BA5">
        <w:t>form of waste and</w:t>
      </w:r>
      <w:r w:rsidR="00EB05C0" w:rsidRPr="00F87BA5">
        <w:t xml:space="preserve"> similar </w:t>
      </w:r>
      <w:r w:rsidR="009B79DC" w:rsidRPr="00F87BA5">
        <w:t>practices</w:t>
      </w:r>
      <w:r w:rsidR="00EB05C0" w:rsidRPr="00F87BA5">
        <w:t xml:space="preserve"> </w:t>
      </w:r>
      <w:r w:rsidR="003332CB" w:rsidRPr="00F87BA5">
        <w:t>in other countries</w:t>
      </w:r>
      <w:r w:rsidR="009527D2" w:rsidRPr="00F87BA5">
        <w:t>.</w:t>
      </w:r>
      <w:r w:rsidR="00DA6DFD" w:rsidRPr="00F87BA5">
        <w:t xml:space="preserve"> </w:t>
      </w:r>
      <w:r w:rsidR="009B2D04" w:rsidRPr="00F87BA5">
        <w:t>ARPANSA</w:t>
      </w:r>
      <w:r w:rsidR="00B929F1" w:rsidRPr="00F87BA5">
        <w:t>’s</w:t>
      </w:r>
      <w:r w:rsidR="009B2D04" w:rsidRPr="00F87BA5">
        <w:t xml:space="preserve"> assessment also considered the matters identified in the assessment of </w:t>
      </w:r>
      <w:r w:rsidR="00B929F1" w:rsidRPr="00F87BA5">
        <w:t xml:space="preserve">the </w:t>
      </w:r>
      <w:r w:rsidR="009B2D04" w:rsidRPr="00F87BA5">
        <w:t>siting</w:t>
      </w:r>
      <w:r w:rsidR="009B79DC" w:rsidRPr="00F87BA5">
        <w:t xml:space="preserve"> and construction</w:t>
      </w:r>
      <w:r w:rsidR="009B2D04" w:rsidRPr="00F87BA5">
        <w:t xml:space="preserve"> licence application</w:t>
      </w:r>
      <w:r w:rsidR="005A2F06">
        <w:t>s</w:t>
      </w:r>
      <w:r w:rsidR="00787A7C" w:rsidRPr="00F87BA5">
        <w:t xml:space="preserve"> that</w:t>
      </w:r>
      <w:r w:rsidR="005A2F06">
        <w:t xml:space="preserve"> were</w:t>
      </w:r>
      <w:r w:rsidR="00787A7C" w:rsidRPr="00F87BA5">
        <w:t xml:space="preserve"> required to be addressed in the licence application to </w:t>
      </w:r>
      <w:r w:rsidR="009B79DC" w:rsidRPr="00F87BA5">
        <w:t>operate</w:t>
      </w:r>
      <w:r w:rsidR="00787A7C" w:rsidRPr="00F87BA5">
        <w:t xml:space="preserve"> the facility</w:t>
      </w:r>
      <w:r w:rsidR="009B2D04" w:rsidRPr="00F87BA5">
        <w:t xml:space="preserve">. </w:t>
      </w:r>
      <w:r w:rsidR="002122FF" w:rsidRPr="0098747C">
        <w:t xml:space="preserve"> </w:t>
      </w:r>
    </w:p>
    <w:p w:rsidR="003332CB" w:rsidRPr="0098747C" w:rsidRDefault="003424A0" w:rsidP="00C3599E">
      <w:pPr>
        <w:spacing w:line="240" w:lineRule="auto"/>
        <w:jc w:val="both"/>
      </w:pPr>
      <w:r w:rsidRPr="0098747C">
        <w:t>Considering the plans and arrangements for managing safety</w:t>
      </w:r>
      <w:r w:rsidR="00EC39D8" w:rsidRPr="0098747C">
        <w:t>,</w:t>
      </w:r>
      <w:r w:rsidRPr="0098747C">
        <w:t xml:space="preserve"> and the </w:t>
      </w:r>
      <w:r w:rsidR="009B79DC">
        <w:t>safety analysis</w:t>
      </w:r>
      <w:r w:rsidR="00EC39D8" w:rsidRPr="0098747C">
        <w:t>,</w:t>
      </w:r>
      <w:r w:rsidRPr="0098747C">
        <w:t xml:space="preserve"> it is expected </w:t>
      </w:r>
      <w:r w:rsidR="00D22A99" w:rsidRPr="0098747C">
        <w:t xml:space="preserve">that </w:t>
      </w:r>
      <w:r w:rsidRPr="0098747C">
        <w:t xml:space="preserve">the </w:t>
      </w:r>
      <w:r w:rsidR="009B79DC">
        <w:t>operation</w:t>
      </w:r>
      <w:r w:rsidRPr="0098747C">
        <w:t xml:space="preserve"> of the proposed </w:t>
      </w:r>
      <w:r w:rsidR="009B79DC">
        <w:t>IWS</w:t>
      </w:r>
      <w:r w:rsidR="00EA372A">
        <w:t xml:space="preserve"> Facility</w:t>
      </w:r>
      <w:r w:rsidRPr="0098747C">
        <w:t xml:space="preserve"> at </w:t>
      </w:r>
      <w:r w:rsidR="0084042D" w:rsidRPr="0098747C">
        <w:t>the ANSTO Lucas Heights Science and Technology Centre (</w:t>
      </w:r>
      <w:r w:rsidRPr="0098747C">
        <w:t>LHSTC</w:t>
      </w:r>
      <w:r w:rsidR="0084042D" w:rsidRPr="0098747C">
        <w:t>)</w:t>
      </w:r>
      <w:r w:rsidRPr="0098747C">
        <w:t xml:space="preserve"> </w:t>
      </w:r>
      <w:r w:rsidR="00C122FF" w:rsidRPr="0098747C">
        <w:t xml:space="preserve">will </w:t>
      </w:r>
      <w:r w:rsidR="00D8069A" w:rsidRPr="0098747C">
        <w:t xml:space="preserve">not </w:t>
      </w:r>
      <w:r w:rsidR="00C122FF" w:rsidRPr="0098747C">
        <w:t xml:space="preserve">result in the introduction of </w:t>
      </w:r>
      <w:r w:rsidR="00D8069A" w:rsidRPr="0098747C">
        <w:t xml:space="preserve">any </w:t>
      </w:r>
      <w:r w:rsidR="00226072">
        <w:t xml:space="preserve">significant </w:t>
      </w:r>
      <w:r w:rsidRPr="0098747C">
        <w:t>risks.</w:t>
      </w:r>
    </w:p>
    <w:p w:rsidR="002E194F" w:rsidRPr="0098747C" w:rsidRDefault="00EC39D8" w:rsidP="00C3599E">
      <w:pPr>
        <w:spacing w:line="240" w:lineRule="auto"/>
        <w:jc w:val="both"/>
      </w:pPr>
      <w:r w:rsidRPr="0098747C">
        <w:t xml:space="preserve">The </w:t>
      </w:r>
      <w:r w:rsidR="00800BE4" w:rsidRPr="0098747C">
        <w:t>ARPANSA a</w:t>
      </w:r>
      <w:r w:rsidR="00F96C39" w:rsidRPr="0098747C">
        <w:t>ssessor</w:t>
      </w:r>
      <w:r w:rsidR="002E194F" w:rsidRPr="0098747C">
        <w:t xml:space="preserve"> find</w:t>
      </w:r>
      <w:r w:rsidR="00F96C39" w:rsidRPr="0098747C">
        <w:t>s</w:t>
      </w:r>
      <w:r w:rsidR="002E194F" w:rsidRPr="0098747C">
        <w:t xml:space="preserve"> that the application has </w:t>
      </w:r>
      <w:r w:rsidR="00763935" w:rsidRPr="0098747C">
        <w:t xml:space="preserve">satisfactorily </w:t>
      </w:r>
      <w:r w:rsidR="002E194F" w:rsidRPr="0098747C">
        <w:t xml:space="preserve">addressed the matters </w:t>
      </w:r>
      <w:r w:rsidRPr="0098747C">
        <w:t>that must</w:t>
      </w:r>
      <w:r w:rsidR="002E194F" w:rsidRPr="0098747C">
        <w:t xml:space="preserve"> be taken into account by the CEO of ARPANSA in deciding whether to issue a</w:t>
      </w:r>
      <w:r w:rsidR="00800BE4" w:rsidRPr="0098747C">
        <w:t xml:space="preserve"> facility licence. </w:t>
      </w:r>
      <w:r w:rsidR="005A2F06">
        <w:t>He</w:t>
      </w:r>
      <w:r w:rsidR="002E194F" w:rsidRPr="0098747C">
        <w:t xml:space="preserve"> conclude</w:t>
      </w:r>
      <w:r w:rsidRPr="0098747C">
        <w:t>s</w:t>
      </w:r>
      <w:r w:rsidR="002E194F" w:rsidRPr="0098747C">
        <w:t xml:space="preserve"> that</w:t>
      </w:r>
      <w:r w:rsidR="005A2F06">
        <w:t>,</w:t>
      </w:r>
      <w:r w:rsidR="002E194F" w:rsidRPr="0098747C">
        <w:t xml:space="preserve"> </w:t>
      </w:r>
      <w:r w:rsidR="00AB4FF1" w:rsidRPr="0098747C">
        <w:t xml:space="preserve">based on </w:t>
      </w:r>
      <w:r w:rsidR="002E194F" w:rsidRPr="0098747C">
        <w:t xml:space="preserve">the </w:t>
      </w:r>
      <w:r w:rsidR="00003D6C">
        <w:t>a</w:t>
      </w:r>
      <w:r w:rsidR="002E194F" w:rsidRPr="0098747C">
        <w:t>pplication</w:t>
      </w:r>
      <w:r w:rsidR="005A2F06">
        <w:t>,</w:t>
      </w:r>
      <w:r w:rsidR="002E194F" w:rsidRPr="0098747C">
        <w:t xml:space="preserve"> the facility may be </w:t>
      </w:r>
      <w:r w:rsidR="00F87BA5">
        <w:t xml:space="preserve">operated </w:t>
      </w:r>
      <w:r w:rsidR="002E194F" w:rsidRPr="0098747C">
        <w:t>without undue risk to the health and safety of the people and the environment</w:t>
      </w:r>
      <w:r w:rsidR="00F96C39" w:rsidRPr="0098747C">
        <w:t>.</w:t>
      </w:r>
      <w:r w:rsidR="005A46E6" w:rsidRPr="0098747C">
        <w:t xml:space="preserve"> </w:t>
      </w:r>
    </w:p>
    <w:p w:rsidR="002E194F" w:rsidRPr="0098747C" w:rsidRDefault="00EC39D8" w:rsidP="00C3599E">
      <w:pPr>
        <w:spacing w:line="240" w:lineRule="auto"/>
        <w:jc w:val="both"/>
      </w:pPr>
      <w:r w:rsidRPr="0098747C">
        <w:t xml:space="preserve">The </w:t>
      </w:r>
      <w:r w:rsidR="007D6DA0" w:rsidRPr="0098747C">
        <w:t>ARPANSA a</w:t>
      </w:r>
      <w:r w:rsidR="002E194F" w:rsidRPr="0098747C">
        <w:t xml:space="preserve">ssessor </w:t>
      </w:r>
      <w:r w:rsidR="002E194F" w:rsidRPr="0098747C">
        <w:rPr>
          <w:bCs/>
        </w:rPr>
        <w:t>recommend</w:t>
      </w:r>
      <w:r w:rsidR="00F96C39" w:rsidRPr="0098747C">
        <w:rPr>
          <w:bCs/>
        </w:rPr>
        <w:t>s</w:t>
      </w:r>
      <w:r w:rsidR="002E194F" w:rsidRPr="0098747C">
        <w:rPr>
          <w:bCs/>
        </w:rPr>
        <w:t xml:space="preserve"> that the CEO of ARPANSA issue </w:t>
      </w:r>
      <w:r w:rsidR="00AD3DBC" w:rsidRPr="0098747C">
        <w:rPr>
          <w:bCs/>
        </w:rPr>
        <w:t>a</w:t>
      </w:r>
      <w:r w:rsidR="00D54F58" w:rsidRPr="0098747C">
        <w:rPr>
          <w:bCs/>
        </w:rPr>
        <w:t xml:space="preserve"> </w:t>
      </w:r>
      <w:r w:rsidR="002E194F" w:rsidRPr="0098747C">
        <w:rPr>
          <w:bCs/>
        </w:rPr>
        <w:t xml:space="preserve">facility licence to ANSTO authorising </w:t>
      </w:r>
      <w:r w:rsidR="000F6568" w:rsidRPr="0098747C">
        <w:rPr>
          <w:bCs/>
        </w:rPr>
        <w:t xml:space="preserve">the </w:t>
      </w:r>
      <w:r w:rsidR="00F87BA5">
        <w:rPr>
          <w:bCs/>
        </w:rPr>
        <w:t>operation</w:t>
      </w:r>
      <w:r w:rsidR="000F6568" w:rsidRPr="0098747C">
        <w:rPr>
          <w:bCs/>
        </w:rPr>
        <w:t xml:space="preserve"> of </w:t>
      </w:r>
      <w:r w:rsidR="00F237CB" w:rsidRPr="0098747C">
        <w:rPr>
          <w:bCs/>
        </w:rPr>
        <w:t xml:space="preserve">the </w:t>
      </w:r>
      <w:r w:rsidR="000F6568" w:rsidRPr="0098747C">
        <w:rPr>
          <w:bCs/>
        </w:rPr>
        <w:t xml:space="preserve">proposed </w:t>
      </w:r>
      <w:r w:rsidR="006E3A17">
        <w:rPr>
          <w:bCs/>
        </w:rPr>
        <w:t>f</w:t>
      </w:r>
      <w:r w:rsidR="00F237CB" w:rsidRPr="0098747C">
        <w:rPr>
          <w:bCs/>
        </w:rPr>
        <w:t>acility</w:t>
      </w:r>
      <w:r w:rsidR="009B2D04">
        <w:rPr>
          <w:bCs/>
        </w:rPr>
        <w:t xml:space="preserve"> subject to the licence condition</w:t>
      </w:r>
      <w:r w:rsidR="00852196">
        <w:rPr>
          <w:bCs/>
        </w:rPr>
        <w:t>s</w:t>
      </w:r>
      <w:r w:rsidR="009B2D04">
        <w:rPr>
          <w:bCs/>
        </w:rPr>
        <w:t xml:space="preserve"> set out in section </w:t>
      </w:r>
      <w:r w:rsidR="000C4993">
        <w:rPr>
          <w:bCs/>
        </w:rPr>
        <w:t>5</w:t>
      </w:r>
      <w:r w:rsidR="009B2D04">
        <w:rPr>
          <w:bCs/>
        </w:rPr>
        <w:t>.2 of this report.</w:t>
      </w:r>
    </w:p>
    <w:p w:rsidR="00F237CB" w:rsidRPr="00676C35" w:rsidRDefault="00F237CB" w:rsidP="00C3599E">
      <w:pPr>
        <w:spacing w:line="240" w:lineRule="auto"/>
        <w:jc w:val="both"/>
      </w:pPr>
      <w:r w:rsidRPr="00676C35">
        <w:br w:type="page"/>
      </w:r>
    </w:p>
    <w:p w:rsidR="000A0687" w:rsidRDefault="002E194F" w:rsidP="00181448">
      <w:pPr>
        <w:pStyle w:val="H11"/>
        <w:jc w:val="center"/>
        <w:rPr>
          <w:color w:val="auto"/>
          <w:szCs w:val="24"/>
        </w:rPr>
      </w:pPr>
      <w:r w:rsidRPr="00407317">
        <w:lastRenderedPageBreak/>
        <w:t>TABLE OF CONTENTS</w:t>
      </w:r>
    </w:p>
    <w:p w:rsidR="00F656C3" w:rsidRDefault="00181448">
      <w:pPr>
        <w:pStyle w:val="TOC1"/>
        <w:rPr>
          <w:b w:val="0"/>
          <w:bCs w:val="0"/>
          <w:caps w:val="0"/>
          <w:color w:val="auto"/>
          <w:szCs w:val="22"/>
        </w:rPr>
      </w:pPr>
      <w:r>
        <w:rPr>
          <w:szCs w:val="24"/>
        </w:rPr>
        <w:fldChar w:fldCharType="begin"/>
      </w:r>
      <w:r>
        <w:rPr>
          <w:szCs w:val="24"/>
        </w:rPr>
        <w:instrText xml:space="preserve"> TOC \o "2-3" \h \z \t "Heading 1,1,Appendix,1" </w:instrText>
      </w:r>
      <w:r>
        <w:rPr>
          <w:szCs w:val="24"/>
        </w:rPr>
        <w:fldChar w:fldCharType="separate"/>
      </w:r>
      <w:hyperlink w:anchor="_Toc417974581" w:history="1">
        <w:r w:rsidR="00F656C3" w:rsidRPr="00952BF3">
          <w:rPr>
            <w:rStyle w:val="Hyperlink"/>
          </w:rPr>
          <w:t>Executive Summary</w:t>
        </w:r>
        <w:r w:rsidR="00F656C3">
          <w:rPr>
            <w:webHidden/>
          </w:rPr>
          <w:tab/>
        </w:r>
        <w:r w:rsidR="00F656C3">
          <w:rPr>
            <w:webHidden/>
          </w:rPr>
          <w:fldChar w:fldCharType="begin"/>
        </w:r>
        <w:r w:rsidR="00F656C3">
          <w:rPr>
            <w:webHidden/>
          </w:rPr>
          <w:instrText xml:space="preserve"> PAGEREF _Toc417974581 \h </w:instrText>
        </w:r>
        <w:r w:rsidR="00F656C3">
          <w:rPr>
            <w:webHidden/>
          </w:rPr>
        </w:r>
        <w:r w:rsidR="00F656C3">
          <w:rPr>
            <w:webHidden/>
          </w:rPr>
          <w:fldChar w:fldCharType="separate"/>
        </w:r>
        <w:r w:rsidR="006453D1">
          <w:rPr>
            <w:webHidden/>
          </w:rPr>
          <w:t>4</w:t>
        </w:r>
        <w:r w:rsidR="00F656C3">
          <w:rPr>
            <w:webHidden/>
          </w:rPr>
          <w:fldChar w:fldCharType="end"/>
        </w:r>
      </w:hyperlink>
    </w:p>
    <w:p w:rsidR="00F656C3" w:rsidRDefault="00EF56F0">
      <w:pPr>
        <w:pStyle w:val="TOC1"/>
        <w:rPr>
          <w:b w:val="0"/>
          <w:bCs w:val="0"/>
          <w:caps w:val="0"/>
          <w:color w:val="auto"/>
          <w:szCs w:val="22"/>
        </w:rPr>
      </w:pPr>
      <w:hyperlink w:anchor="_Toc417974582" w:history="1">
        <w:r w:rsidR="00F656C3" w:rsidRPr="00952BF3">
          <w:rPr>
            <w:rStyle w:val="Hyperlink"/>
            <w:rFonts w:ascii="Cambria" w:hAnsi="Cambria"/>
          </w:rPr>
          <w:t>1.</w:t>
        </w:r>
        <w:r w:rsidR="00F656C3">
          <w:rPr>
            <w:b w:val="0"/>
            <w:bCs w:val="0"/>
            <w:caps w:val="0"/>
            <w:color w:val="auto"/>
            <w:szCs w:val="22"/>
          </w:rPr>
          <w:tab/>
        </w:r>
        <w:r w:rsidR="00F656C3" w:rsidRPr="00952BF3">
          <w:rPr>
            <w:rStyle w:val="Hyperlink"/>
          </w:rPr>
          <w:t>INTRODUCTION</w:t>
        </w:r>
        <w:r w:rsidR="00F656C3">
          <w:rPr>
            <w:webHidden/>
          </w:rPr>
          <w:tab/>
        </w:r>
        <w:r w:rsidR="00F656C3">
          <w:rPr>
            <w:webHidden/>
          </w:rPr>
          <w:fldChar w:fldCharType="begin"/>
        </w:r>
        <w:r w:rsidR="00F656C3">
          <w:rPr>
            <w:webHidden/>
          </w:rPr>
          <w:instrText xml:space="preserve"> PAGEREF _Toc417974582 \h </w:instrText>
        </w:r>
        <w:r w:rsidR="00F656C3">
          <w:rPr>
            <w:webHidden/>
          </w:rPr>
        </w:r>
        <w:r w:rsidR="00F656C3">
          <w:rPr>
            <w:webHidden/>
          </w:rPr>
          <w:fldChar w:fldCharType="separate"/>
        </w:r>
        <w:r w:rsidR="006453D1">
          <w:rPr>
            <w:webHidden/>
          </w:rPr>
          <w:t>7</w:t>
        </w:r>
        <w:r w:rsidR="00F656C3">
          <w:rPr>
            <w:webHidden/>
          </w:rPr>
          <w:fldChar w:fldCharType="end"/>
        </w:r>
      </w:hyperlink>
    </w:p>
    <w:p w:rsidR="00F656C3" w:rsidRDefault="00EF56F0">
      <w:pPr>
        <w:pStyle w:val="TOC2"/>
        <w:rPr>
          <w:bCs w:val="0"/>
          <w:szCs w:val="22"/>
        </w:rPr>
      </w:pPr>
      <w:hyperlink w:anchor="_Toc417974583" w:history="1">
        <w:r w:rsidR="00F656C3" w:rsidRPr="00952BF3">
          <w:rPr>
            <w:rStyle w:val="Hyperlink"/>
            <w:rFonts w:ascii="Cambria" w:hAnsi="Cambria"/>
          </w:rPr>
          <w:t>1.1</w:t>
        </w:r>
        <w:r w:rsidR="00F656C3">
          <w:rPr>
            <w:bCs w:val="0"/>
            <w:szCs w:val="22"/>
          </w:rPr>
          <w:tab/>
        </w:r>
        <w:r w:rsidR="00F656C3" w:rsidRPr="00952BF3">
          <w:rPr>
            <w:rStyle w:val="Hyperlink"/>
          </w:rPr>
          <w:t>Receipt of Application</w:t>
        </w:r>
        <w:r w:rsidR="00F656C3">
          <w:rPr>
            <w:webHidden/>
          </w:rPr>
          <w:tab/>
        </w:r>
        <w:r w:rsidR="00F656C3">
          <w:rPr>
            <w:webHidden/>
          </w:rPr>
          <w:fldChar w:fldCharType="begin"/>
        </w:r>
        <w:r w:rsidR="00F656C3">
          <w:rPr>
            <w:webHidden/>
          </w:rPr>
          <w:instrText xml:space="preserve"> PAGEREF _Toc417974583 \h </w:instrText>
        </w:r>
        <w:r w:rsidR="00F656C3">
          <w:rPr>
            <w:webHidden/>
          </w:rPr>
        </w:r>
        <w:r w:rsidR="00F656C3">
          <w:rPr>
            <w:webHidden/>
          </w:rPr>
          <w:fldChar w:fldCharType="separate"/>
        </w:r>
        <w:r w:rsidR="006453D1">
          <w:rPr>
            <w:webHidden/>
          </w:rPr>
          <w:t>7</w:t>
        </w:r>
        <w:r w:rsidR="00F656C3">
          <w:rPr>
            <w:webHidden/>
          </w:rPr>
          <w:fldChar w:fldCharType="end"/>
        </w:r>
      </w:hyperlink>
    </w:p>
    <w:p w:rsidR="00F656C3" w:rsidRDefault="00EF56F0">
      <w:pPr>
        <w:pStyle w:val="TOC2"/>
        <w:rPr>
          <w:bCs w:val="0"/>
          <w:szCs w:val="22"/>
        </w:rPr>
      </w:pPr>
      <w:hyperlink w:anchor="_Toc417974584" w:history="1">
        <w:r w:rsidR="00F656C3" w:rsidRPr="00952BF3">
          <w:rPr>
            <w:rStyle w:val="Hyperlink"/>
            <w:rFonts w:ascii="Cambria" w:hAnsi="Cambria"/>
          </w:rPr>
          <w:t>1.2</w:t>
        </w:r>
        <w:r w:rsidR="00F656C3">
          <w:rPr>
            <w:bCs w:val="0"/>
            <w:szCs w:val="22"/>
          </w:rPr>
          <w:tab/>
        </w:r>
        <w:r w:rsidR="00F656C3" w:rsidRPr="00952BF3">
          <w:rPr>
            <w:rStyle w:val="Hyperlink"/>
          </w:rPr>
          <w:t>Purpose and Format</w:t>
        </w:r>
        <w:r w:rsidR="00F656C3">
          <w:rPr>
            <w:webHidden/>
          </w:rPr>
          <w:tab/>
        </w:r>
        <w:r w:rsidR="00F656C3">
          <w:rPr>
            <w:webHidden/>
          </w:rPr>
          <w:fldChar w:fldCharType="begin"/>
        </w:r>
        <w:r w:rsidR="00F656C3">
          <w:rPr>
            <w:webHidden/>
          </w:rPr>
          <w:instrText xml:space="preserve"> PAGEREF _Toc417974584 \h </w:instrText>
        </w:r>
        <w:r w:rsidR="00F656C3">
          <w:rPr>
            <w:webHidden/>
          </w:rPr>
        </w:r>
        <w:r w:rsidR="00F656C3">
          <w:rPr>
            <w:webHidden/>
          </w:rPr>
          <w:fldChar w:fldCharType="separate"/>
        </w:r>
        <w:r w:rsidR="006453D1">
          <w:rPr>
            <w:webHidden/>
          </w:rPr>
          <w:t>7</w:t>
        </w:r>
        <w:r w:rsidR="00F656C3">
          <w:rPr>
            <w:webHidden/>
          </w:rPr>
          <w:fldChar w:fldCharType="end"/>
        </w:r>
      </w:hyperlink>
    </w:p>
    <w:p w:rsidR="00F656C3" w:rsidRDefault="00EF56F0">
      <w:pPr>
        <w:pStyle w:val="TOC2"/>
        <w:rPr>
          <w:bCs w:val="0"/>
          <w:szCs w:val="22"/>
        </w:rPr>
      </w:pPr>
      <w:hyperlink w:anchor="_Toc417974585" w:history="1">
        <w:r w:rsidR="00F656C3" w:rsidRPr="00952BF3">
          <w:rPr>
            <w:rStyle w:val="Hyperlink"/>
            <w:rFonts w:ascii="Cambria" w:hAnsi="Cambria"/>
          </w:rPr>
          <w:t>1.3</w:t>
        </w:r>
        <w:r w:rsidR="00F656C3">
          <w:rPr>
            <w:bCs w:val="0"/>
            <w:szCs w:val="22"/>
          </w:rPr>
          <w:tab/>
        </w:r>
        <w:r w:rsidR="00F656C3" w:rsidRPr="00952BF3">
          <w:rPr>
            <w:rStyle w:val="Hyperlink"/>
          </w:rPr>
          <w:t>Assessment Process</w:t>
        </w:r>
        <w:r w:rsidR="00F656C3">
          <w:rPr>
            <w:webHidden/>
          </w:rPr>
          <w:tab/>
        </w:r>
        <w:r w:rsidR="00F656C3">
          <w:rPr>
            <w:webHidden/>
          </w:rPr>
          <w:fldChar w:fldCharType="begin"/>
        </w:r>
        <w:r w:rsidR="00F656C3">
          <w:rPr>
            <w:webHidden/>
          </w:rPr>
          <w:instrText xml:space="preserve"> PAGEREF _Toc417974585 \h </w:instrText>
        </w:r>
        <w:r w:rsidR="00F656C3">
          <w:rPr>
            <w:webHidden/>
          </w:rPr>
        </w:r>
        <w:r w:rsidR="00F656C3">
          <w:rPr>
            <w:webHidden/>
          </w:rPr>
          <w:fldChar w:fldCharType="separate"/>
        </w:r>
        <w:r w:rsidR="006453D1">
          <w:rPr>
            <w:webHidden/>
          </w:rPr>
          <w:t>8</w:t>
        </w:r>
        <w:r w:rsidR="00F656C3">
          <w:rPr>
            <w:webHidden/>
          </w:rPr>
          <w:fldChar w:fldCharType="end"/>
        </w:r>
      </w:hyperlink>
    </w:p>
    <w:p w:rsidR="00F656C3" w:rsidRDefault="00EF56F0">
      <w:pPr>
        <w:pStyle w:val="TOC2"/>
        <w:rPr>
          <w:bCs w:val="0"/>
          <w:szCs w:val="22"/>
        </w:rPr>
      </w:pPr>
      <w:hyperlink w:anchor="_Toc417974586" w:history="1">
        <w:r w:rsidR="00F656C3" w:rsidRPr="00952BF3">
          <w:rPr>
            <w:rStyle w:val="Hyperlink"/>
            <w:rFonts w:ascii="Cambria" w:hAnsi="Cambria"/>
          </w:rPr>
          <w:t>1.4</w:t>
        </w:r>
        <w:r w:rsidR="00F656C3">
          <w:rPr>
            <w:bCs w:val="0"/>
            <w:szCs w:val="22"/>
          </w:rPr>
          <w:tab/>
        </w:r>
        <w:r w:rsidR="00F656C3" w:rsidRPr="00952BF3">
          <w:rPr>
            <w:rStyle w:val="Hyperlink"/>
          </w:rPr>
          <w:t>Legislative Framework</w:t>
        </w:r>
        <w:r w:rsidR="00F656C3">
          <w:rPr>
            <w:webHidden/>
          </w:rPr>
          <w:tab/>
        </w:r>
        <w:r w:rsidR="00F656C3">
          <w:rPr>
            <w:webHidden/>
          </w:rPr>
          <w:fldChar w:fldCharType="begin"/>
        </w:r>
        <w:r w:rsidR="00F656C3">
          <w:rPr>
            <w:webHidden/>
          </w:rPr>
          <w:instrText xml:space="preserve"> PAGEREF _Toc417974586 \h </w:instrText>
        </w:r>
        <w:r w:rsidR="00F656C3">
          <w:rPr>
            <w:webHidden/>
          </w:rPr>
        </w:r>
        <w:r w:rsidR="00F656C3">
          <w:rPr>
            <w:webHidden/>
          </w:rPr>
          <w:fldChar w:fldCharType="separate"/>
        </w:r>
        <w:r w:rsidR="006453D1">
          <w:rPr>
            <w:webHidden/>
          </w:rPr>
          <w:t>8</w:t>
        </w:r>
        <w:r w:rsidR="00F656C3">
          <w:rPr>
            <w:webHidden/>
          </w:rPr>
          <w:fldChar w:fldCharType="end"/>
        </w:r>
      </w:hyperlink>
    </w:p>
    <w:p w:rsidR="00F656C3" w:rsidRDefault="00EF56F0">
      <w:pPr>
        <w:pStyle w:val="TOC1"/>
        <w:rPr>
          <w:b w:val="0"/>
          <w:bCs w:val="0"/>
          <w:caps w:val="0"/>
          <w:color w:val="auto"/>
          <w:szCs w:val="22"/>
        </w:rPr>
      </w:pPr>
      <w:hyperlink w:anchor="_Toc417974587" w:history="1">
        <w:r w:rsidR="00F656C3" w:rsidRPr="00952BF3">
          <w:rPr>
            <w:rStyle w:val="Hyperlink"/>
            <w:rFonts w:ascii="Cambria" w:hAnsi="Cambria"/>
          </w:rPr>
          <w:t>2.</w:t>
        </w:r>
        <w:r w:rsidR="00F656C3">
          <w:rPr>
            <w:b w:val="0"/>
            <w:bCs w:val="0"/>
            <w:caps w:val="0"/>
            <w:color w:val="auto"/>
            <w:szCs w:val="22"/>
          </w:rPr>
          <w:tab/>
        </w:r>
        <w:r w:rsidR="00F656C3" w:rsidRPr="00952BF3">
          <w:rPr>
            <w:rStyle w:val="Hyperlink"/>
          </w:rPr>
          <w:t>REVIEW OF INFORMATION</w:t>
        </w:r>
        <w:r w:rsidR="00F656C3">
          <w:rPr>
            <w:webHidden/>
          </w:rPr>
          <w:tab/>
        </w:r>
        <w:r w:rsidR="00F656C3">
          <w:rPr>
            <w:webHidden/>
          </w:rPr>
          <w:fldChar w:fldCharType="begin"/>
        </w:r>
        <w:r w:rsidR="00F656C3">
          <w:rPr>
            <w:webHidden/>
          </w:rPr>
          <w:instrText xml:space="preserve"> PAGEREF _Toc417974587 \h </w:instrText>
        </w:r>
        <w:r w:rsidR="00F656C3">
          <w:rPr>
            <w:webHidden/>
          </w:rPr>
        </w:r>
        <w:r w:rsidR="00F656C3">
          <w:rPr>
            <w:webHidden/>
          </w:rPr>
          <w:fldChar w:fldCharType="separate"/>
        </w:r>
        <w:r w:rsidR="006453D1">
          <w:rPr>
            <w:webHidden/>
          </w:rPr>
          <w:t>10</w:t>
        </w:r>
        <w:r w:rsidR="00F656C3">
          <w:rPr>
            <w:webHidden/>
          </w:rPr>
          <w:fldChar w:fldCharType="end"/>
        </w:r>
      </w:hyperlink>
    </w:p>
    <w:p w:rsidR="00F656C3" w:rsidRDefault="00EF56F0">
      <w:pPr>
        <w:pStyle w:val="TOC2"/>
        <w:rPr>
          <w:bCs w:val="0"/>
          <w:szCs w:val="22"/>
        </w:rPr>
      </w:pPr>
      <w:hyperlink w:anchor="_Toc417974588" w:history="1">
        <w:r w:rsidR="00F656C3" w:rsidRPr="00952BF3">
          <w:rPr>
            <w:rStyle w:val="Hyperlink"/>
            <w:rFonts w:ascii="Cambria" w:hAnsi="Cambria"/>
          </w:rPr>
          <w:t>2.1</w:t>
        </w:r>
        <w:r w:rsidR="00F656C3">
          <w:rPr>
            <w:bCs w:val="0"/>
            <w:szCs w:val="22"/>
          </w:rPr>
          <w:tab/>
        </w:r>
        <w:r w:rsidR="00F656C3" w:rsidRPr="00952BF3">
          <w:rPr>
            <w:rStyle w:val="Hyperlink"/>
          </w:rPr>
          <w:t>General Information</w:t>
        </w:r>
        <w:r w:rsidR="00F656C3">
          <w:rPr>
            <w:webHidden/>
          </w:rPr>
          <w:tab/>
        </w:r>
        <w:r w:rsidR="00F656C3">
          <w:rPr>
            <w:webHidden/>
          </w:rPr>
          <w:fldChar w:fldCharType="begin"/>
        </w:r>
        <w:r w:rsidR="00F656C3">
          <w:rPr>
            <w:webHidden/>
          </w:rPr>
          <w:instrText xml:space="preserve"> PAGEREF _Toc417974588 \h </w:instrText>
        </w:r>
        <w:r w:rsidR="00F656C3">
          <w:rPr>
            <w:webHidden/>
          </w:rPr>
        </w:r>
        <w:r w:rsidR="00F656C3">
          <w:rPr>
            <w:webHidden/>
          </w:rPr>
          <w:fldChar w:fldCharType="separate"/>
        </w:r>
        <w:r w:rsidR="006453D1">
          <w:rPr>
            <w:webHidden/>
          </w:rPr>
          <w:t>10</w:t>
        </w:r>
        <w:r w:rsidR="00F656C3">
          <w:rPr>
            <w:webHidden/>
          </w:rPr>
          <w:fldChar w:fldCharType="end"/>
        </w:r>
      </w:hyperlink>
    </w:p>
    <w:p w:rsidR="00F656C3" w:rsidRDefault="00EF56F0">
      <w:pPr>
        <w:pStyle w:val="TOC3"/>
        <w:rPr>
          <w:noProof/>
          <w:szCs w:val="22"/>
        </w:rPr>
      </w:pPr>
      <w:hyperlink w:anchor="_Toc417974589" w:history="1">
        <w:r w:rsidR="00F656C3" w:rsidRPr="00952BF3">
          <w:rPr>
            <w:rStyle w:val="Hyperlink"/>
            <w:rFonts w:ascii="Cambria" w:hAnsi="Cambria"/>
            <w:noProof/>
          </w:rPr>
          <w:t>2.1.1</w:t>
        </w:r>
        <w:r w:rsidR="00F656C3">
          <w:rPr>
            <w:noProof/>
            <w:szCs w:val="22"/>
          </w:rPr>
          <w:tab/>
        </w:r>
        <w:r w:rsidR="00F656C3" w:rsidRPr="00952BF3">
          <w:rPr>
            <w:rStyle w:val="Hyperlink"/>
            <w:noProof/>
          </w:rPr>
          <w:t>Applicant information [Item 1]</w:t>
        </w:r>
        <w:r w:rsidR="00F656C3">
          <w:rPr>
            <w:noProof/>
            <w:webHidden/>
          </w:rPr>
          <w:tab/>
        </w:r>
        <w:r w:rsidR="00F656C3">
          <w:rPr>
            <w:noProof/>
            <w:webHidden/>
          </w:rPr>
          <w:fldChar w:fldCharType="begin"/>
        </w:r>
        <w:r w:rsidR="00F656C3">
          <w:rPr>
            <w:noProof/>
            <w:webHidden/>
          </w:rPr>
          <w:instrText xml:space="preserve"> PAGEREF _Toc417974589 \h </w:instrText>
        </w:r>
        <w:r w:rsidR="00F656C3">
          <w:rPr>
            <w:noProof/>
            <w:webHidden/>
          </w:rPr>
        </w:r>
        <w:r w:rsidR="00F656C3">
          <w:rPr>
            <w:noProof/>
            <w:webHidden/>
          </w:rPr>
          <w:fldChar w:fldCharType="separate"/>
        </w:r>
        <w:r w:rsidR="006453D1">
          <w:rPr>
            <w:noProof/>
            <w:webHidden/>
          </w:rPr>
          <w:t>10</w:t>
        </w:r>
        <w:r w:rsidR="00F656C3">
          <w:rPr>
            <w:noProof/>
            <w:webHidden/>
          </w:rPr>
          <w:fldChar w:fldCharType="end"/>
        </w:r>
      </w:hyperlink>
    </w:p>
    <w:p w:rsidR="00F656C3" w:rsidRDefault="00EF56F0">
      <w:pPr>
        <w:pStyle w:val="TOC3"/>
        <w:rPr>
          <w:noProof/>
          <w:szCs w:val="22"/>
        </w:rPr>
      </w:pPr>
      <w:hyperlink w:anchor="_Toc417974590" w:history="1">
        <w:r w:rsidR="00F656C3" w:rsidRPr="00952BF3">
          <w:rPr>
            <w:rStyle w:val="Hyperlink"/>
            <w:rFonts w:ascii="Cambria" w:hAnsi="Cambria"/>
            <w:noProof/>
          </w:rPr>
          <w:t>2.1.2</w:t>
        </w:r>
        <w:r w:rsidR="00F656C3">
          <w:rPr>
            <w:noProof/>
            <w:szCs w:val="22"/>
          </w:rPr>
          <w:tab/>
        </w:r>
        <w:r w:rsidR="00F656C3" w:rsidRPr="00952BF3">
          <w:rPr>
            <w:rStyle w:val="Hyperlink"/>
            <w:noProof/>
          </w:rPr>
          <w:t>Description of the purpose of the facility [Item 2]</w:t>
        </w:r>
        <w:r w:rsidR="00F656C3">
          <w:rPr>
            <w:noProof/>
            <w:webHidden/>
          </w:rPr>
          <w:tab/>
        </w:r>
        <w:r w:rsidR="00F656C3">
          <w:rPr>
            <w:noProof/>
            <w:webHidden/>
          </w:rPr>
          <w:fldChar w:fldCharType="begin"/>
        </w:r>
        <w:r w:rsidR="00F656C3">
          <w:rPr>
            <w:noProof/>
            <w:webHidden/>
          </w:rPr>
          <w:instrText xml:space="preserve"> PAGEREF _Toc417974590 \h </w:instrText>
        </w:r>
        <w:r w:rsidR="00F656C3">
          <w:rPr>
            <w:noProof/>
            <w:webHidden/>
          </w:rPr>
        </w:r>
        <w:r w:rsidR="00F656C3">
          <w:rPr>
            <w:noProof/>
            <w:webHidden/>
          </w:rPr>
          <w:fldChar w:fldCharType="separate"/>
        </w:r>
        <w:r w:rsidR="006453D1">
          <w:rPr>
            <w:noProof/>
            <w:webHidden/>
          </w:rPr>
          <w:t>10</w:t>
        </w:r>
        <w:r w:rsidR="00F656C3">
          <w:rPr>
            <w:noProof/>
            <w:webHidden/>
          </w:rPr>
          <w:fldChar w:fldCharType="end"/>
        </w:r>
      </w:hyperlink>
    </w:p>
    <w:p w:rsidR="00F656C3" w:rsidRDefault="00EF56F0">
      <w:pPr>
        <w:pStyle w:val="TOC3"/>
        <w:rPr>
          <w:noProof/>
          <w:szCs w:val="22"/>
        </w:rPr>
      </w:pPr>
      <w:hyperlink w:anchor="_Toc417974591" w:history="1">
        <w:r w:rsidR="00F656C3" w:rsidRPr="00952BF3">
          <w:rPr>
            <w:rStyle w:val="Hyperlink"/>
            <w:rFonts w:ascii="Cambria" w:hAnsi="Cambria"/>
            <w:noProof/>
          </w:rPr>
          <w:t>2.1.3</w:t>
        </w:r>
        <w:r w:rsidR="00F656C3">
          <w:rPr>
            <w:noProof/>
            <w:szCs w:val="22"/>
          </w:rPr>
          <w:tab/>
        </w:r>
        <w:r w:rsidR="00F656C3" w:rsidRPr="00952BF3">
          <w:rPr>
            <w:rStyle w:val="Hyperlink"/>
            <w:noProof/>
          </w:rPr>
          <w:t>Detailed description of the facility and site [Item 3]</w:t>
        </w:r>
        <w:r w:rsidR="00F656C3">
          <w:rPr>
            <w:noProof/>
            <w:webHidden/>
          </w:rPr>
          <w:tab/>
        </w:r>
        <w:r w:rsidR="00F656C3">
          <w:rPr>
            <w:noProof/>
            <w:webHidden/>
          </w:rPr>
          <w:fldChar w:fldCharType="begin"/>
        </w:r>
        <w:r w:rsidR="00F656C3">
          <w:rPr>
            <w:noProof/>
            <w:webHidden/>
          </w:rPr>
          <w:instrText xml:space="preserve"> PAGEREF _Toc417974591 \h </w:instrText>
        </w:r>
        <w:r w:rsidR="00F656C3">
          <w:rPr>
            <w:noProof/>
            <w:webHidden/>
          </w:rPr>
        </w:r>
        <w:r w:rsidR="00F656C3">
          <w:rPr>
            <w:noProof/>
            <w:webHidden/>
          </w:rPr>
          <w:fldChar w:fldCharType="separate"/>
        </w:r>
        <w:r w:rsidR="006453D1">
          <w:rPr>
            <w:noProof/>
            <w:webHidden/>
          </w:rPr>
          <w:t>11</w:t>
        </w:r>
        <w:r w:rsidR="00F656C3">
          <w:rPr>
            <w:noProof/>
            <w:webHidden/>
          </w:rPr>
          <w:fldChar w:fldCharType="end"/>
        </w:r>
      </w:hyperlink>
    </w:p>
    <w:p w:rsidR="00F656C3" w:rsidRDefault="00EF56F0">
      <w:pPr>
        <w:pStyle w:val="TOC3"/>
        <w:rPr>
          <w:noProof/>
          <w:szCs w:val="22"/>
        </w:rPr>
      </w:pPr>
      <w:hyperlink w:anchor="_Toc417974592" w:history="1">
        <w:r w:rsidR="00F656C3" w:rsidRPr="00952BF3">
          <w:rPr>
            <w:rStyle w:val="Hyperlink"/>
            <w:rFonts w:ascii="Cambria" w:hAnsi="Cambria"/>
            <w:noProof/>
          </w:rPr>
          <w:t>2.1.4</w:t>
        </w:r>
        <w:r w:rsidR="00F656C3">
          <w:rPr>
            <w:noProof/>
            <w:szCs w:val="22"/>
          </w:rPr>
          <w:tab/>
        </w:r>
        <w:r w:rsidR="00F656C3" w:rsidRPr="00952BF3">
          <w:rPr>
            <w:rStyle w:val="Hyperlink"/>
            <w:noProof/>
          </w:rPr>
          <w:t>Facility History</w:t>
        </w:r>
        <w:r w:rsidR="00F656C3">
          <w:rPr>
            <w:noProof/>
            <w:webHidden/>
          </w:rPr>
          <w:tab/>
        </w:r>
        <w:r w:rsidR="00F656C3">
          <w:rPr>
            <w:noProof/>
            <w:webHidden/>
          </w:rPr>
          <w:fldChar w:fldCharType="begin"/>
        </w:r>
        <w:r w:rsidR="00F656C3">
          <w:rPr>
            <w:noProof/>
            <w:webHidden/>
          </w:rPr>
          <w:instrText xml:space="preserve"> PAGEREF _Toc417974592 \h </w:instrText>
        </w:r>
        <w:r w:rsidR="00F656C3">
          <w:rPr>
            <w:noProof/>
            <w:webHidden/>
          </w:rPr>
        </w:r>
        <w:r w:rsidR="00F656C3">
          <w:rPr>
            <w:noProof/>
            <w:webHidden/>
          </w:rPr>
          <w:fldChar w:fldCharType="separate"/>
        </w:r>
        <w:r w:rsidR="006453D1">
          <w:rPr>
            <w:noProof/>
            <w:webHidden/>
          </w:rPr>
          <w:t>11</w:t>
        </w:r>
        <w:r w:rsidR="00F656C3">
          <w:rPr>
            <w:noProof/>
            <w:webHidden/>
          </w:rPr>
          <w:fldChar w:fldCharType="end"/>
        </w:r>
      </w:hyperlink>
    </w:p>
    <w:p w:rsidR="00F656C3" w:rsidRDefault="00EF56F0">
      <w:pPr>
        <w:pStyle w:val="TOC2"/>
        <w:rPr>
          <w:bCs w:val="0"/>
          <w:szCs w:val="22"/>
        </w:rPr>
      </w:pPr>
      <w:hyperlink w:anchor="_Toc417974593" w:history="1">
        <w:r w:rsidR="00F656C3" w:rsidRPr="00952BF3">
          <w:rPr>
            <w:rStyle w:val="Hyperlink"/>
            <w:rFonts w:ascii="Cambria" w:hAnsi="Cambria"/>
          </w:rPr>
          <w:t>2.2</w:t>
        </w:r>
        <w:r w:rsidR="00F656C3">
          <w:rPr>
            <w:bCs w:val="0"/>
            <w:szCs w:val="22"/>
          </w:rPr>
          <w:tab/>
        </w:r>
        <w:r w:rsidR="00F656C3" w:rsidRPr="00952BF3">
          <w:rPr>
            <w:rStyle w:val="Hyperlink"/>
          </w:rPr>
          <w:t>Plans and Arrangements for Managing Safety</w:t>
        </w:r>
        <w:r w:rsidR="00F656C3">
          <w:rPr>
            <w:webHidden/>
          </w:rPr>
          <w:tab/>
        </w:r>
        <w:r w:rsidR="00F656C3">
          <w:rPr>
            <w:webHidden/>
          </w:rPr>
          <w:fldChar w:fldCharType="begin"/>
        </w:r>
        <w:r w:rsidR="00F656C3">
          <w:rPr>
            <w:webHidden/>
          </w:rPr>
          <w:instrText xml:space="preserve"> PAGEREF _Toc417974593 \h </w:instrText>
        </w:r>
        <w:r w:rsidR="00F656C3">
          <w:rPr>
            <w:webHidden/>
          </w:rPr>
        </w:r>
        <w:r w:rsidR="00F656C3">
          <w:rPr>
            <w:webHidden/>
          </w:rPr>
          <w:fldChar w:fldCharType="separate"/>
        </w:r>
        <w:r w:rsidR="006453D1">
          <w:rPr>
            <w:webHidden/>
          </w:rPr>
          <w:t>12</w:t>
        </w:r>
        <w:r w:rsidR="00F656C3">
          <w:rPr>
            <w:webHidden/>
          </w:rPr>
          <w:fldChar w:fldCharType="end"/>
        </w:r>
      </w:hyperlink>
    </w:p>
    <w:p w:rsidR="00F656C3" w:rsidRDefault="00EF56F0">
      <w:pPr>
        <w:pStyle w:val="TOC3"/>
        <w:rPr>
          <w:noProof/>
          <w:szCs w:val="22"/>
        </w:rPr>
      </w:pPr>
      <w:hyperlink w:anchor="_Toc417974594" w:history="1">
        <w:r w:rsidR="00F656C3" w:rsidRPr="00952BF3">
          <w:rPr>
            <w:rStyle w:val="Hyperlink"/>
            <w:rFonts w:ascii="Cambria" w:hAnsi="Cambria"/>
            <w:noProof/>
          </w:rPr>
          <w:t>2.2.1</w:t>
        </w:r>
        <w:r w:rsidR="00F656C3">
          <w:rPr>
            <w:noProof/>
            <w:szCs w:val="22"/>
          </w:rPr>
          <w:tab/>
        </w:r>
        <w:r w:rsidR="00F656C3" w:rsidRPr="00952BF3">
          <w:rPr>
            <w:rStyle w:val="Hyperlink"/>
            <w:noProof/>
          </w:rPr>
          <w:t>Arrangements for maintaining effective control [Item 4(a)]</w:t>
        </w:r>
        <w:r w:rsidR="00F656C3">
          <w:rPr>
            <w:noProof/>
            <w:webHidden/>
          </w:rPr>
          <w:tab/>
        </w:r>
        <w:r w:rsidR="00F656C3">
          <w:rPr>
            <w:noProof/>
            <w:webHidden/>
          </w:rPr>
          <w:fldChar w:fldCharType="begin"/>
        </w:r>
        <w:r w:rsidR="00F656C3">
          <w:rPr>
            <w:noProof/>
            <w:webHidden/>
          </w:rPr>
          <w:instrText xml:space="preserve"> PAGEREF _Toc417974594 \h </w:instrText>
        </w:r>
        <w:r w:rsidR="00F656C3">
          <w:rPr>
            <w:noProof/>
            <w:webHidden/>
          </w:rPr>
        </w:r>
        <w:r w:rsidR="00F656C3">
          <w:rPr>
            <w:noProof/>
            <w:webHidden/>
          </w:rPr>
          <w:fldChar w:fldCharType="separate"/>
        </w:r>
        <w:r w:rsidR="006453D1">
          <w:rPr>
            <w:noProof/>
            <w:webHidden/>
          </w:rPr>
          <w:t>12</w:t>
        </w:r>
        <w:r w:rsidR="00F656C3">
          <w:rPr>
            <w:noProof/>
            <w:webHidden/>
          </w:rPr>
          <w:fldChar w:fldCharType="end"/>
        </w:r>
      </w:hyperlink>
    </w:p>
    <w:p w:rsidR="00F656C3" w:rsidRDefault="00EF56F0">
      <w:pPr>
        <w:pStyle w:val="TOC3"/>
        <w:rPr>
          <w:noProof/>
          <w:szCs w:val="22"/>
        </w:rPr>
      </w:pPr>
      <w:hyperlink w:anchor="_Toc417974595" w:history="1">
        <w:r w:rsidR="00F656C3" w:rsidRPr="00952BF3">
          <w:rPr>
            <w:rStyle w:val="Hyperlink"/>
            <w:rFonts w:ascii="Cambria" w:hAnsi="Cambria"/>
            <w:noProof/>
          </w:rPr>
          <w:t>2.2.2</w:t>
        </w:r>
        <w:r w:rsidR="00F656C3">
          <w:rPr>
            <w:noProof/>
            <w:szCs w:val="22"/>
          </w:rPr>
          <w:tab/>
        </w:r>
        <w:r w:rsidR="00F656C3" w:rsidRPr="00952BF3">
          <w:rPr>
            <w:rStyle w:val="Hyperlink"/>
            <w:noProof/>
          </w:rPr>
          <w:t>Safety management plan [Item 4(b)]</w:t>
        </w:r>
        <w:r w:rsidR="00F656C3">
          <w:rPr>
            <w:noProof/>
            <w:webHidden/>
          </w:rPr>
          <w:tab/>
        </w:r>
        <w:r w:rsidR="00F656C3">
          <w:rPr>
            <w:noProof/>
            <w:webHidden/>
          </w:rPr>
          <w:fldChar w:fldCharType="begin"/>
        </w:r>
        <w:r w:rsidR="00F656C3">
          <w:rPr>
            <w:noProof/>
            <w:webHidden/>
          </w:rPr>
          <w:instrText xml:space="preserve"> PAGEREF _Toc417974595 \h </w:instrText>
        </w:r>
        <w:r w:rsidR="00F656C3">
          <w:rPr>
            <w:noProof/>
            <w:webHidden/>
          </w:rPr>
        </w:r>
        <w:r w:rsidR="00F656C3">
          <w:rPr>
            <w:noProof/>
            <w:webHidden/>
          </w:rPr>
          <w:fldChar w:fldCharType="separate"/>
        </w:r>
        <w:r w:rsidR="006453D1">
          <w:rPr>
            <w:noProof/>
            <w:webHidden/>
          </w:rPr>
          <w:t>15</w:t>
        </w:r>
        <w:r w:rsidR="00F656C3">
          <w:rPr>
            <w:noProof/>
            <w:webHidden/>
          </w:rPr>
          <w:fldChar w:fldCharType="end"/>
        </w:r>
      </w:hyperlink>
    </w:p>
    <w:p w:rsidR="00F656C3" w:rsidRDefault="00EF56F0">
      <w:pPr>
        <w:pStyle w:val="TOC3"/>
        <w:rPr>
          <w:noProof/>
          <w:szCs w:val="22"/>
        </w:rPr>
      </w:pPr>
      <w:hyperlink w:anchor="_Toc417974596" w:history="1">
        <w:r w:rsidR="00F656C3" w:rsidRPr="00952BF3">
          <w:rPr>
            <w:rStyle w:val="Hyperlink"/>
            <w:rFonts w:ascii="Cambria" w:hAnsi="Cambria"/>
            <w:noProof/>
          </w:rPr>
          <w:t>2.2.3</w:t>
        </w:r>
        <w:r w:rsidR="00F656C3">
          <w:rPr>
            <w:noProof/>
            <w:szCs w:val="22"/>
          </w:rPr>
          <w:tab/>
        </w:r>
        <w:r w:rsidR="00F656C3" w:rsidRPr="00952BF3">
          <w:rPr>
            <w:rStyle w:val="Hyperlink"/>
            <w:noProof/>
          </w:rPr>
          <w:t>Radiation protection plan [Item 4(c)]</w:t>
        </w:r>
        <w:r w:rsidR="00F656C3">
          <w:rPr>
            <w:noProof/>
            <w:webHidden/>
          </w:rPr>
          <w:tab/>
        </w:r>
        <w:r w:rsidR="00F656C3">
          <w:rPr>
            <w:noProof/>
            <w:webHidden/>
          </w:rPr>
          <w:fldChar w:fldCharType="begin"/>
        </w:r>
        <w:r w:rsidR="00F656C3">
          <w:rPr>
            <w:noProof/>
            <w:webHidden/>
          </w:rPr>
          <w:instrText xml:space="preserve"> PAGEREF _Toc417974596 \h </w:instrText>
        </w:r>
        <w:r w:rsidR="00F656C3">
          <w:rPr>
            <w:noProof/>
            <w:webHidden/>
          </w:rPr>
        </w:r>
        <w:r w:rsidR="00F656C3">
          <w:rPr>
            <w:noProof/>
            <w:webHidden/>
          </w:rPr>
          <w:fldChar w:fldCharType="separate"/>
        </w:r>
        <w:r w:rsidR="006453D1">
          <w:rPr>
            <w:noProof/>
            <w:webHidden/>
          </w:rPr>
          <w:t>18</w:t>
        </w:r>
        <w:r w:rsidR="00F656C3">
          <w:rPr>
            <w:noProof/>
            <w:webHidden/>
          </w:rPr>
          <w:fldChar w:fldCharType="end"/>
        </w:r>
      </w:hyperlink>
    </w:p>
    <w:p w:rsidR="00F656C3" w:rsidRDefault="00EF56F0">
      <w:pPr>
        <w:pStyle w:val="TOC3"/>
        <w:rPr>
          <w:noProof/>
          <w:szCs w:val="22"/>
        </w:rPr>
      </w:pPr>
      <w:hyperlink w:anchor="_Toc417974597" w:history="1">
        <w:r w:rsidR="00F656C3" w:rsidRPr="00952BF3">
          <w:rPr>
            <w:rStyle w:val="Hyperlink"/>
            <w:rFonts w:ascii="Cambria" w:hAnsi="Cambria"/>
            <w:noProof/>
          </w:rPr>
          <w:t>2.2.4</w:t>
        </w:r>
        <w:r w:rsidR="00F656C3">
          <w:rPr>
            <w:noProof/>
            <w:szCs w:val="22"/>
          </w:rPr>
          <w:tab/>
        </w:r>
        <w:r w:rsidR="00F656C3" w:rsidRPr="00952BF3">
          <w:rPr>
            <w:rStyle w:val="Hyperlink"/>
            <w:noProof/>
          </w:rPr>
          <w:t>Radioactive waste management plan [Item 4(d)]</w:t>
        </w:r>
        <w:r w:rsidR="00F656C3">
          <w:rPr>
            <w:noProof/>
            <w:webHidden/>
          </w:rPr>
          <w:tab/>
        </w:r>
        <w:r w:rsidR="00F656C3">
          <w:rPr>
            <w:noProof/>
            <w:webHidden/>
          </w:rPr>
          <w:fldChar w:fldCharType="begin"/>
        </w:r>
        <w:r w:rsidR="00F656C3">
          <w:rPr>
            <w:noProof/>
            <w:webHidden/>
          </w:rPr>
          <w:instrText xml:space="preserve"> PAGEREF _Toc417974597 \h </w:instrText>
        </w:r>
        <w:r w:rsidR="00F656C3">
          <w:rPr>
            <w:noProof/>
            <w:webHidden/>
          </w:rPr>
        </w:r>
        <w:r w:rsidR="00F656C3">
          <w:rPr>
            <w:noProof/>
            <w:webHidden/>
          </w:rPr>
          <w:fldChar w:fldCharType="separate"/>
        </w:r>
        <w:r w:rsidR="006453D1">
          <w:rPr>
            <w:noProof/>
            <w:webHidden/>
          </w:rPr>
          <w:t>22</w:t>
        </w:r>
        <w:r w:rsidR="00F656C3">
          <w:rPr>
            <w:noProof/>
            <w:webHidden/>
          </w:rPr>
          <w:fldChar w:fldCharType="end"/>
        </w:r>
      </w:hyperlink>
    </w:p>
    <w:p w:rsidR="00F656C3" w:rsidRDefault="00EF56F0">
      <w:pPr>
        <w:pStyle w:val="TOC3"/>
        <w:rPr>
          <w:noProof/>
          <w:szCs w:val="22"/>
        </w:rPr>
      </w:pPr>
      <w:hyperlink w:anchor="_Toc417974598" w:history="1">
        <w:r w:rsidR="00F656C3" w:rsidRPr="00952BF3">
          <w:rPr>
            <w:rStyle w:val="Hyperlink"/>
            <w:rFonts w:ascii="Cambria" w:hAnsi="Cambria"/>
            <w:noProof/>
          </w:rPr>
          <w:t>2.2.5</w:t>
        </w:r>
        <w:r w:rsidR="00F656C3">
          <w:rPr>
            <w:noProof/>
            <w:szCs w:val="22"/>
          </w:rPr>
          <w:tab/>
        </w:r>
        <w:r w:rsidR="00F656C3" w:rsidRPr="00952BF3">
          <w:rPr>
            <w:rStyle w:val="Hyperlink"/>
            <w:noProof/>
          </w:rPr>
          <w:t>Security plan [Item 4(e)]</w:t>
        </w:r>
        <w:r w:rsidR="00F656C3">
          <w:rPr>
            <w:noProof/>
            <w:webHidden/>
          </w:rPr>
          <w:tab/>
        </w:r>
        <w:r w:rsidR="00F656C3">
          <w:rPr>
            <w:noProof/>
            <w:webHidden/>
          </w:rPr>
          <w:fldChar w:fldCharType="begin"/>
        </w:r>
        <w:r w:rsidR="00F656C3">
          <w:rPr>
            <w:noProof/>
            <w:webHidden/>
          </w:rPr>
          <w:instrText xml:space="preserve"> PAGEREF _Toc417974598 \h </w:instrText>
        </w:r>
        <w:r w:rsidR="00F656C3">
          <w:rPr>
            <w:noProof/>
            <w:webHidden/>
          </w:rPr>
        </w:r>
        <w:r w:rsidR="00F656C3">
          <w:rPr>
            <w:noProof/>
            <w:webHidden/>
          </w:rPr>
          <w:fldChar w:fldCharType="separate"/>
        </w:r>
        <w:r w:rsidR="006453D1">
          <w:rPr>
            <w:noProof/>
            <w:webHidden/>
          </w:rPr>
          <w:t>25</w:t>
        </w:r>
        <w:r w:rsidR="00F656C3">
          <w:rPr>
            <w:noProof/>
            <w:webHidden/>
          </w:rPr>
          <w:fldChar w:fldCharType="end"/>
        </w:r>
      </w:hyperlink>
    </w:p>
    <w:p w:rsidR="00F656C3" w:rsidRDefault="00EF56F0">
      <w:pPr>
        <w:pStyle w:val="TOC3"/>
        <w:rPr>
          <w:noProof/>
          <w:szCs w:val="22"/>
        </w:rPr>
      </w:pPr>
      <w:hyperlink w:anchor="_Toc417974599" w:history="1">
        <w:r w:rsidR="00F656C3" w:rsidRPr="00952BF3">
          <w:rPr>
            <w:rStyle w:val="Hyperlink"/>
            <w:rFonts w:ascii="Cambria" w:hAnsi="Cambria"/>
            <w:noProof/>
          </w:rPr>
          <w:t>2.2.6</w:t>
        </w:r>
        <w:r w:rsidR="00F656C3">
          <w:rPr>
            <w:noProof/>
            <w:szCs w:val="22"/>
          </w:rPr>
          <w:tab/>
        </w:r>
        <w:r w:rsidR="00F656C3" w:rsidRPr="00952BF3">
          <w:rPr>
            <w:rStyle w:val="Hyperlink"/>
            <w:noProof/>
          </w:rPr>
          <w:t>Emergency plan [Item 4(f)]</w:t>
        </w:r>
        <w:r w:rsidR="00F656C3">
          <w:rPr>
            <w:noProof/>
            <w:webHidden/>
          </w:rPr>
          <w:tab/>
        </w:r>
        <w:r w:rsidR="00F656C3">
          <w:rPr>
            <w:noProof/>
            <w:webHidden/>
          </w:rPr>
          <w:fldChar w:fldCharType="begin"/>
        </w:r>
        <w:r w:rsidR="00F656C3">
          <w:rPr>
            <w:noProof/>
            <w:webHidden/>
          </w:rPr>
          <w:instrText xml:space="preserve"> PAGEREF _Toc417974599 \h </w:instrText>
        </w:r>
        <w:r w:rsidR="00F656C3">
          <w:rPr>
            <w:noProof/>
            <w:webHidden/>
          </w:rPr>
        </w:r>
        <w:r w:rsidR="00F656C3">
          <w:rPr>
            <w:noProof/>
            <w:webHidden/>
          </w:rPr>
          <w:fldChar w:fldCharType="separate"/>
        </w:r>
        <w:r w:rsidR="006453D1">
          <w:rPr>
            <w:noProof/>
            <w:webHidden/>
          </w:rPr>
          <w:t>27</w:t>
        </w:r>
        <w:r w:rsidR="00F656C3">
          <w:rPr>
            <w:noProof/>
            <w:webHidden/>
          </w:rPr>
          <w:fldChar w:fldCharType="end"/>
        </w:r>
      </w:hyperlink>
    </w:p>
    <w:p w:rsidR="00F656C3" w:rsidRDefault="00EF56F0">
      <w:pPr>
        <w:pStyle w:val="TOC2"/>
        <w:rPr>
          <w:bCs w:val="0"/>
          <w:szCs w:val="22"/>
        </w:rPr>
      </w:pPr>
      <w:hyperlink w:anchor="_Toc417974600" w:history="1">
        <w:r w:rsidR="00F656C3" w:rsidRPr="00952BF3">
          <w:rPr>
            <w:rStyle w:val="Hyperlink"/>
            <w:rFonts w:ascii="Cambria" w:hAnsi="Cambria"/>
          </w:rPr>
          <w:t>2.3</w:t>
        </w:r>
        <w:r w:rsidR="00F656C3">
          <w:rPr>
            <w:bCs w:val="0"/>
            <w:szCs w:val="22"/>
          </w:rPr>
          <w:tab/>
        </w:r>
        <w:r w:rsidR="00F656C3" w:rsidRPr="00952BF3">
          <w:rPr>
            <w:rStyle w:val="Hyperlink"/>
          </w:rPr>
          <w:t>ADDITIONAL INFORMATION FOR AUTHORISATION TO OPERATE</w:t>
        </w:r>
        <w:r w:rsidR="00F656C3">
          <w:rPr>
            <w:webHidden/>
          </w:rPr>
          <w:tab/>
        </w:r>
        <w:r w:rsidR="00F656C3">
          <w:rPr>
            <w:webHidden/>
          </w:rPr>
          <w:fldChar w:fldCharType="begin"/>
        </w:r>
        <w:r w:rsidR="00F656C3">
          <w:rPr>
            <w:webHidden/>
          </w:rPr>
          <w:instrText xml:space="preserve"> PAGEREF _Toc417974600 \h </w:instrText>
        </w:r>
        <w:r w:rsidR="00F656C3">
          <w:rPr>
            <w:webHidden/>
          </w:rPr>
        </w:r>
        <w:r w:rsidR="00F656C3">
          <w:rPr>
            <w:webHidden/>
          </w:rPr>
          <w:fldChar w:fldCharType="separate"/>
        </w:r>
        <w:r w:rsidR="006453D1">
          <w:rPr>
            <w:webHidden/>
          </w:rPr>
          <w:t>28</w:t>
        </w:r>
        <w:r w:rsidR="00F656C3">
          <w:rPr>
            <w:webHidden/>
          </w:rPr>
          <w:fldChar w:fldCharType="end"/>
        </w:r>
      </w:hyperlink>
    </w:p>
    <w:p w:rsidR="00F656C3" w:rsidRDefault="00EF56F0">
      <w:pPr>
        <w:pStyle w:val="TOC3"/>
        <w:rPr>
          <w:noProof/>
          <w:szCs w:val="22"/>
        </w:rPr>
      </w:pPr>
      <w:hyperlink w:anchor="_Toc417974601" w:history="1">
        <w:r w:rsidR="00F656C3" w:rsidRPr="00952BF3">
          <w:rPr>
            <w:rStyle w:val="Hyperlink"/>
            <w:rFonts w:ascii="Cambria" w:hAnsi="Cambria" w:cs="Calibri"/>
            <w:noProof/>
          </w:rPr>
          <w:t>2.3.1</w:t>
        </w:r>
        <w:r w:rsidR="00F656C3">
          <w:rPr>
            <w:noProof/>
            <w:szCs w:val="22"/>
          </w:rPr>
          <w:tab/>
        </w:r>
        <w:r w:rsidR="00F656C3" w:rsidRPr="00952BF3">
          <w:rPr>
            <w:rStyle w:val="Hyperlink"/>
            <w:rFonts w:ascii="Calibri" w:hAnsi="Calibri" w:cs="Calibri"/>
            <w:noProof/>
          </w:rPr>
          <w:t>Description of the facility as constructed [Item 15]</w:t>
        </w:r>
        <w:r w:rsidR="00F656C3">
          <w:rPr>
            <w:noProof/>
            <w:webHidden/>
          </w:rPr>
          <w:tab/>
        </w:r>
        <w:r w:rsidR="00F656C3">
          <w:rPr>
            <w:noProof/>
            <w:webHidden/>
          </w:rPr>
          <w:fldChar w:fldCharType="begin"/>
        </w:r>
        <w:r w:rsidR="00F656C3">
          <w:rPr>
            <w:noProof/>
            <w:webHidden/>
          </w:rPr>
          <w:instrText xml:space="preserve"> PAGEREF _Toc417974601 \h </w:instrText>
        </w:r>
        <w:r w:rsidR="00F656C3">
          <w:rPr>
            <w:noProof/>
            <w:webHidden/>
          </w:rPr>
        </w:r>
        <w:r w:rsidR="00F656C3">
          <w:rPr>
            <w:noProof/>
            <w:webHidden/>
          </w:rPr>
          <w:fldChar w:fldCharType="separate"/>
        </w:r>
        <w:r w:rsidR="006453D1">
          <w:rPr>
            <w:noProof/>
            <w:webHidden/>
          </w:rPr>
          <w:t>28</w:t>
        </w:r>
        <w:r w:rsidR="00F656C3">
          <w:rPr>
            <w:noProof/>
            <w:webHidden/>
          </w:rPr>
          <w:fldChar w:fldCharType="end"/>
        </w:r>
      </w:hyperlink>
    </w:p>
    <w:p w:rsidR="00F656C3" w:rsidRDefault="00EF56F0">
      <w:pPr>
        <w:pStyle w:val="TOC3"/>
        <w:rPr>
          <w:noProof/>
          <w:szCs w:val="22"/>
        </w:rPr>
      </w:pPr>
      <w:hyperlink w:anchor="_Toc417974602" w:history="1">
        <w:r w:rsidR="00F656C3" w:rsidRPr="00952BF3">
          <w:rPr>
            <w:rStyle w:val="Hyperlink"/>
            <w:rFonts w:ascii="Cambria" w:hAnsi="Cambria" w:cs="Calibri"/>
            <w:noProof/>
          </w:rPr>
          <w:t>2.3.2</w:t>
        </w:r>
        <w:r w:rsidR="00F656C3">
          <w:rPr>
            <w:noProof/>
            <w:szCs w:val="22"/>
          </w:rPr>
          <w:tab/>
        </w:r>
        <w:r w:rsidR="00F656C3" w:rsidRPr="00952BF3">
          <w:rPr>
            <w:rStyle w:val="Hyperlink"/>
            <w:rFonts w:ascii="Calibri" w:hAnsi="Calibri" w:cs="Calibri"/>
            <w:noProof/>
          </w:rPr>
          <w:t>Final safety analysis report [Item 16]</w:t>
        </w:r>
        <w:r w:rsidR="00F656C3">
          <w:rPr>
            <w:noProof/>
            <w:webHidden/>
          </w:rPr>
          <w:tab/>
        </w:r>
        <w:r w:rsidR="00F656C3">
          <w:rPr>
            <w:noProof/>
            <w:webHidden/>
          </w:rPr>
          <w:fldChar w:fldCharType="begin"/>
        </w:r>
        <w:r w:rsidR="00F656C3">
          <w:rPr>
            <w:noProof/>
            <w:webHidden/>
          </w:rPr>
          <w:instrText xml:space="preserve"> PAGEREF _Toc417974602 \h </w:instrText>
        </w:r>
        <w:r w:rsidR="00F656C3">
          <w:rPr>
            <w:noProof/>
            <w:webHidden/>
          </w:rPr>
        </w:r>
        <w:r w:rsidR="00F656C3">
          <w:rPr>
            <w:noProof/>
            <w:webHidden/>
          </w:rPr>
          <w:fldChar w:fldCharType="separate"/>
        </w:r>
        <w:r w:rsidR="006453D1">
          <w:rPr>
            <w:noProof/>
            <w:webHidden/>
          </w:rPr>
          <w:t>31</w:t>
        </w:r>
        <w:r w:rsidR="00F656C3">
          <w:rPr>
            <w:noProof/>
            <w:webHidden/>
          </w:rPr>
          <w:fldChar w:fldCharType="end"/>
        </w:r>
      </w:hyperlink>
    </w:p>
    <w:p w:rsidR="00F656C3" w:rsidRDefault="00EF56F0">
      <w:pPr>
        <w:pStyle w:val="TOC3"/>
        <w:rPr>
          <w:noProof/>
          <w:szCs w:val="22"/>
        </w:rPr>
      </w:pPr>
      <w:hyperlink w:anchor="_Toc417974603" w:history="1">
        <w:r w:rsidR="00F656C3" w:rsidRPr="00952BF3">
          <w:rPr>
            <w:rStyle w:val="Hyperlink"/>
            <w:rFonts w:ascii="Cambria" w:hAnsi="Cambria"/>
            <w:noProof/>
          </w:rPr>
          <w:t>2.3.3</w:t>
        </w:r>
        <w:r w:rsidR="00F656C3">
          <w:rPr>
            <w:noProof/>
            <w:szCs w:val="22"/>
          </w:rPr>
          <w:tab/>
        </w:r>
        <w:r w:rsidR="00F656C3" w:rsidRPr="00952BF3">
          <w:rPr>
            <w:rStyle w:val="Hyperlink"/>
            <w:noProof/>
          </w:rPr>
          <w:t>Operational limits and conditions [Item 17]</w:t>
        </w:r>
        <w:r w:rsidR="00F656C3">
          <w:rPr>
            <w:noProof/>
            <w:webHidden/>
          </w:rPr>
          <w:tab/>
        </w:r>
        <w:r w:rsidR="00F656C3">
          <w:rPr>
            <w:noProof/>
            <w:webHidden/>
          </w:rPr>
          <w:fldChar w:fldCharType="begin"/>
        </w:r>
        <w:r w:rsidR="00F656C3">
          <w:rPr>
            <w:noProof/>
            <w:webHidden/>
          </w:rPr>
          <w:instrText xml:space="preserve"> PAGEREF _Toc417974603 \h </w:instrText>
        </w:r>
        <w:r w:rsidR="00F656C3">
          <w:rPr>
            <w:noProof/>
            <w:webHidden/>
          </w:rPr>
        </w:r>
        <w:r w:rsidR="00F656C3">
          <w:rPr>
            <w:noProof/>
            <w:webHidden/>
          </w:rPr>
          <w:fldChar w:fldCharType="separate"/>
        </w:r>
        <w:r w:rsidR="006453D1">
          <w:rPr>
            <w:noProof/>
            <w:webHidden/>
          </w:rPr>
          <w:t>34</w:t>
        </w:r>
        <w:r w:rsidR="00F656C3">
          <w:rPr>
            <w:noProof/>
            <w:webHidden/>
          </w:rPr>
          <w:fldChar w:fldCharType="end"/>
        </w:r>
      </w:hyperlink>
    </w:p>
    <w:p w:rsidR="00F656C3" w:rsidRDefault="00EF56F0">
      <w:pPr>
        <w:pStyle w:val="TOC3"/>
        <w:rPr>
          <w:noProof/>
          <w:szCs w:val="22"/>
        </w:rPr>
      </w:pPr>
      <w:hyperlink w:anchor="_Toc417974604" w:history="1">
        <w:r w:rsidR="00F656C3" w:rsidRPr="00952BF3">
          <w:rPr>
            <w:rStyle w:val="Hyperlink"/>
            <w:rFonts w:ascii="Cambria" w:hAnsi="Cambria"/>
            <w:noProof/>
          </w:rPr>
          <w:t>2.3.4</w:t>
        </w:r>
        <w:r w:rsidR="00F656C3">
          <w:rPr>
            <w:noProof/>
            <w:szCs w:val="22"/>
          </w:rPr>
          <w:tab/>
        </w:r>
        <w:r w:rsidR="00F656C3" w:rsidRPr="00952BF3">
          <w:rPr>
            <w:rStyle w:val="Hyperlink"/>
            <w:noProof/>
          </w:rPr>
          <w:t>Arrangements for commissioning [Item 18]</w:t>
        </w:r>
        <w:r w:rsidR="00F656C3">
          <w:rPr>
            <w:noProof/>
            <w:webHidden/>
          </w:rPr>
          <w:tab/>
        </w:r>
        <w:r w:rsidR="00F656C3">
          <w:rPr>
            <w:noProof/>
            <w:webHidden/>
          </w:rPr>
          <w:fldChar w:fldCharType="begin"/>
        </w:r>
        <w:r w:rsidR="00F656C3">
          <w:rPr>
            <w:noProof/>
            <w:webHidden/>
          </w:rPr>
          <w:instrText xml:space="preserve"> PAGEREF _Toc417974604 \h </w:instrText>
        </w:r>
        <w:r w:rsidR="00F656C3">
          <w:rPr>
            <w:noProof/>
            <w:webHidden/>
          </w:rPr>
        </w:r>
        <w:r w:rsidR="00F656C3">
          <w:rPr>
            <w:noProof/>
            <w:webHidden/>
          </w:rPr>
          <w:fldChar w:fldCharType="separate"/>
        </w:r>
        <w:r w:rsidR="006453D1">
          <w:rPr>
            <w:noProof/>
            <w:webHidden/>
          </w:rPr>
          <w:t>35</w:t>
        </w:r>
        <w:r w:rsidR="00F656C3">
          <w:rPr>
            <w:noProof/>
            <w:webHidden/>
          </w:rPr>
          <w:fldChar w:fldCharType="end"/>
        </w:r>
      </w:hyperlink>
    </w:p>
    <w:p w:rsidR="00F656C3" w:rsidRDefault="00EF56F0">
      <w:pPr>
        <w:pStyle w:val="TOC3"/>
        <w:rPr>
          <w:noProof/>
          <w:szCs w:val="22"/>
        </w:rPr>
      </w:pPr>
      <w:hyperlink w:anchor="_Toc417974605" w:history="1">
        <w:r w:rsidR="00F656C3" w:rsidRPr="00952BF3">
          <w:rPr>
            <w:rStyle w:val="Hyperlink"/>
            <w:rFonts w:ascii="Cambria" w:hAnsi="Cambria"/>
            <w:noProof/>
          </w:rPr>
          <w:t>2.3.5</w:t>
        </w:r>
        <w:r w:rsidR="00F656C3">
          <w:rPr>
            <w:noProof/>
            <w:szCs w:val="22"/>
          </w:rPr>
          <w:tab/>
        </w:r>
        <w:r w:rsidR="00F656C3" w:rsidRPr="00952BF3">
          <w:rPr>
            <w:rStyle w:val="Hyperlink"/>
            <w:noProof/>
          </w:rPr>
          <w:t>Arrangements for operation [Item 19]</w:t>
        </w:r>
        <w:r w:rsidR="00F656C3">
          <w:rPr>
            <w:noProof/>
            <w:webHidden/>
          </w:rPr>
          <w:tab/>
        </w:r>
        <w:r w:rsidR="00F656C3">
          <w:rPr>
            <w:noProof/>
            <w:webHidden/>
          </w:rPr>
          <w:fldChar w:fldCharType="begin"/>
        </w:r>
        <w:r w:rsidR="00F656C3">
          <w:rPr>
            <w:noProof/>
            <w:webHidden/>
          </w:rPr>
          <w:instrText xml:space="preserve"> PAGEREF _Toc417974605 \h </w:instrText>
        </w:r>
        <w:r w:rsidR="00F656C3">
          <w:rPr>
            <w:noProof/>
            <w:webHidden/>
          </w:rPr>
        </w:r>
        <w:r w:rsidR="00F656C3">
          <w:rPr>
            <w:noProof/>
            <w:webHidden/>
          </w:rPr>
          <w:fldChar w:fldCharType="separate"/>
        </w:r>
        <w:r w:rsidR="006453D1">
          <w:rPr>
            <w:noProof/>
            <w:webHidden/>
          </w:rPr>
          <w:t>37</w:t>
        </w:r>
        <w:r w:rsidR="00F656C3">
          <w:rPr>
            <w:noProof/>
            <w:webHidden/>
          </w:rPr>
          <w:fldChar w:fldCharType="end"/>
        </w:r>
      </w:hyperlink>
    </w:p>
    <w:p w:rsidR="00F656C3" w:rsidRDefault="00EF56F0">
      <w:pPr>
        <w:pStyle w:val="TOC2"/>
        <w:rPr>
          <w:bCs w:val="0"/>
          <w:szCs w:val="22"/>
        </w:rPr>
      </w:pPr>
      <w:hyperlink w:anchor="_Toc417974606" w:history="1">
        <w:r w:rsidR="00F656C3" w:rsidRPr="00952BF3">
          <w:rPr>
            <w:rStyle w:val="Hyperlink"/>
            <w:rFonts w:ascii="Cambria" w:hAnsi="Cambria"/>
          </w:rPr>
          <w:t>2.4</w:t>
        </w:r>
        <w:r w:rsidR="00F656C3">
          <w:rPr>
            <w:bCs w:val="0"/>
            <w:szCs w:val="22"/>
          </w:rPr>
          <w:tab/>
        </w:r>
        <w:r w:rsidR="00F656C3" w:rsidRPr="00952BF3">
          <w:rPr>
            <w:rStyle w:val="Hyperlink"/>
          </w:rPr>
          <w:t>Other Matters for Consideration</w:t>
        </w:r>
        <w:r w:rsidR="00F656C3">
          <w:rPr>
            <w:webHidden/>
          </w:rPr>
          <w:tab/>
        </w:r>
        <w:r w:rsidR="00F656C3">
          <w:rPr>
            <w:webHidden/>
          </w:rPr>
          <w:fldChar w:fldCharType="begin"/>
        </w:r>
        <w:r w:rsidR="00F656C3">
          <w:rPr>
            <w:webHidden/>
          </w:rPr>
          <w:instrText xml:space="preserve"> PAGEREF _Toc417974606 \h </w:instrText>
        </w:r>
        <w:r w:rsidR="00F656C3">
          <w:rPr>
            <w:webHidden/>
          </w:rPr>
        </w:r>
        <w:r w:rsidR="00F656C3">
          <w:rPr>
            <w:webHidden/>
          </w:rPr>
          <w:fldChar w:fldCharType="separate"/>
        </w:r>
        <w:r w:rsidR="006453D1">
          <w:rPr>
            <w:webHidden/>
          </w:rPr>
          <w:t>38</w:t>
        </w:r>
        <w:r w:rsidR="00F656C3">
          <w:rPr>
            <w:webHidden/>
          </w:rPr>
          <w:fldChar w:fldCharType="end"/>
        </w:r>
      </w:hyperlink>
    </w:p>
    <w:p w:rsidR="00F656C3" w:rsidRDefault="00EF56F0">
      <w:pPr>
        <w:pStyle w:val="TOC3"/>
        <w:rPr>
          <w:noProof/>
          <w:szCs w:val="22"/>
        </w:rPr>
      </w:pPr>
      <w:hyperlink w:anchor="_Toc417974607" w:history="1">
        <w:r w:rsidR="00F656C3" w:rsidRPr="00952BF3">
          <w:rPr>
            <w:rStyle w:val="Hyperlink"/>
            <w:rFonts w:ascii="Cambria" w:hAnsi="Cambria"/>
            <w:noProof/>
          </w:rPr>
          <w:t>2.4.1</w:t>
        </w:r>
        <w:r w:rsidR="00F656C3">
          <w:rPr>
            <w:noProof/>
            <w:szCs w:val="22"/>
          </w:rPr>
          <w:tab/>
        </w:r>
        <w:r w:rsidR="00F656C3" w:rsidRPr="00952BF3">
          <w:rPr>
            <w:rStyle w:val="Hyperlink"/>
            <w:noProof/>
          </w:rPr>
          <w:t>Whether the information establishes that the proposed conduct</w:t>
        </w:r>
        <w:r w:rsidR="00AA33EE">
          <w:rPr>
            <w:rStyle w:val="Hyperlink"/>
            <w:noProof/>
          </w:rPr>
          <w:t xml:space="preserve"> </w:t>
        </w:r>
        <w:r w:rsidR="00F656C3" w:rsidRPr="00952BF3">
          <w:rPr>
            <w:rStyle w:val="Hyperlink"/>
            <w:noProof/>
          </w:rPr>
          <w:t>can</w:t>
        </w:r>
        <w:r w:rsidR="00AA33EE">
          <w:rPr>
            <w:rStyle w:val="Hyperlink"/>
            <w:noProof/>
          </w:rPr>
          <w:br/>
        </w:r>
        <w:r w:rsidR="00F656C3" w:rsidRPr="00952BF3">
          <w:rPr>
            <w:rStyle w:val="Hyperlink"/>
            <w:noProof/>
          </w:rPr>
          <w:t>be carried out without undue risk to the health and safety of</w:t>
        </w:r>
        <w:r w:rsidR="00AA33EE">
          <w:rPr>
            <w:rStyle w:val="Hyperlink"/>
            <w:noProof/>
          </w:rPr>
          <w:t xml:space="preserve"> </w:t>
        </w:r>
        <w:r w:rsidR="00F656C3" w:rsidRPr="00952BF3">
          <w:rPr>
            <w:rStyle w:val="Hyperlink"/>
            <w:noProof/>
          </w:rPr>
          <w:t xml:space="preserve"> people, </w:t>
        </w:r>
        <w:r w:rsidR="00AA33EE">
          <w:rPr>
            <w:rStyle w:val="Hyperlink"/>
            <w:noProof/>
          </w:rPr>
          <w:br/>
        </w:r>
        <w:r w:rsidR="00F656C3" w:rsidRPr="00952BF3">
          <w:rPr>
            <w:rStyle w:val="Hyperlink"/>
            <w:noProof/>
          </w:rPr>
          <w:t>and to the environment [paragraph 41(3)(b) of the Regulations]</w:t>
        </w:r>
        <w:r w:rsidR="00F656C3">
          <w:rPr>
            <w:noProof/>
            <w:webHidden/>
          </w:rPr>
          <w:tab/>
        </w:r>
        <w:r w:rsidR="00F656C3">
          <w:rPr>
            <w:noProof/>
            <w:webHidden/>
          </w:rPr>
          <w:fldChar w:fldCharType="begin"/>
        </w:r>
        <w:r w:rsidR="00F656C3">
          <w:rPr>
            <w:noProof/>
            <w:webHidden/>
          </w:rPr>
          <w:instrText xml:space="preserve"> PAGEREF _Toc417974607 \h </w:instrText>
        </w:r>
        <w:r w:rsidR="00F656C3">
          <w:rPr>
            <w:noProof/>
            <w:webHidden/>
          </w:rPr>
        </w:r>
        <w:r w:rsidR="00F656C3">
          <w:rPr>
            <w:noProof/>
            <w:webHidden/>
          </w:rPr>
          <w:fldChar w:fldCharType="separate"/>
        </w:r>
        <w:r w:rsidR="006453D1">
          <w:rPr>
            <w:noProof/>
            <w:webHidden/>
          </w:rPr>
          <w:t>38</w:t>
        </w:r>
        <w:r w:rsidR="00F656C3">
          <w:rPr>
            <w:noProof/>
            <w:webHidden/>
          </w:rPr>
          <w:fldChar w:fldCharType="end"/>
        </w:r>
      </w:hyperlink>
    </w:p>
    <w:p w:rsidR="00F656C3" w:rsidRDefault="00EF56F0">
      <w:pPr>
        <w:pStyle w:val="TOC3"/>
        <w:rPr>
          <w:noProof/>
          <w:szCs w:val="22"/>
        </w:rPr>
      </w:pPr>
      <w:hyperlink w:anchor="_Toc417974608" w:history="1">
        <w:r w:rsidR="00F656C3" w:rsidRPr="00952BF3">
          <w:rPr>
            <w:rStyle w:val="Hyperlink"/>
            <w:rFonts w:ascii="Cambria" w:hAnsi="Cambria"/>
            <w:noProof/>
          </w:rPr>
          <w:t>2.4.2</w:t>
        </w:r>
        <w:r w:rsidR="00F656C3">
          <w:rPr>
            <w:noProof/>
            <w:szCs w:val="22"/>
          </w:rPr>
          <w:tab/>
        </w:r>
        <w:r w:rsidR="00F656C3" w:rsidRPr="00952BF3">
          <w:rPr>
            <w:rStyle w:val="Hyperlink"/>
            <w:noProof/>
          </w:rPr>
          <w:t>Whether there is a net benefit from the conduct [paragraph 41(3)(c) of the Regulations]</w:t>
        </w:r>
        <w:r w:rsidR="00F656C3">
          <w:rPr>
            <w:noProof/>
            <w:webHidden/>
          </w:rPr>
          <w:tab/>
        </w:r>
        <w:r w:rsidR="00F656C3">
          <w:rPr>
            <w:noProof/>
            <w:webHidden/>
          </w:rPr>
          <w:fldChar w:fldCharType="begin"/>
        </w:r>
        <w:r w:rsidR="00F656C3">
          <w:rPr>
            <w:noProof/>
            <w:webHidden/>
          </w:rPr>
          <w:instrText xml:space="preserve"> PAGEREF _Toc417974608 \h </w:instrText>
        </w:r>
        <w:r w:rsidR="00F656C3">
          <w:rPr>
            <w:noProof/>
            <w:webHidden/>
          </w:rPr>
        </w:r>
        <w:r w:rsidR="00F656C3">
          <w:rPr>
            <w:noProof/>
            <w:webHidden/>
          </w:rPr>
          <w:fldChar w:fldCharType="separate"/>
        </w:r>
        <w:r w:rsidR="006453D1">
          <w:rPr>
            <w:noProof/>
            <w:webHidden/>
          </w:rPr>
          <w:t>38</w:t>
        </w:r>
        <w:r w:rsidR="00F656C3">
          <w:rPr>
            <w:noProof/>
            <w:webHidden/>
          </w:rPr>
          <w:fldChar w:fldCharType="end"/>
        </w:r>
      </w:hyperlink>
    </w:p>
    <w:p w:rsidR="00F656C3" w:rsidRDefault="00EF56F0">
      <w:pPr>
        <w:pStyle w:val="TOC3"/>
        <w:rPr>
          <w:noProof/>
          <w:szCs w:val="22"/>
        </w:rPr>
      </w:pPr>
      <w:hyperlink w:anchor="_Toc417974609" w:history="1">
        <w:r w:rsidR="00F656C3" w:rsidRPr="00952BF3">
          <w:rPr>
            <w:rStyle w:val="Hyperlink"/>
            <w:rFonts w:ascii="Cambria" w:hAnsi="Cambria"/>
            <w:noProof/>
          </w:rPr>
          <w:t>2.4.3</w:t>
        </w:r>
        <w:r w:rsidR="00F656C3">
          <w:rPr>
            <w:noProof/>
            <w:szCs w:val="22"/>
          </w:rPr>
          <w:tab/>
        </w:r>
        <w:r w:rsidR="00F656C3" w:rsidRPr="00952BF3">
          <w:rPr>
            <w:rStyle w:val="Hyperlink"/>
            <w:noProof/>
          </w:rPr>
          <w:t>Whether the doses are as low as reasonably achievable, having regard</w:t>
        </w:r>
        <w:r w:rsidR="00AA33EE">
          <w:rPr>
            <w:rStyle w:val="Hyperlink"/>
            <w:noProof/>
          </w:rPr>
          <w:br/>
        </w:r>
        <w:r w:rsidR="00F656C3" w:rsidRPr="00952BF3">
          <w:rPr>
            <w:rStyle w:val="Hyperlink"/>
            <w:noProof/>
          </w:rPr>
          <w:t>to economic and social factors [paragraph 41(3)(d) of the Regulations]</w:t>
        </w:r>
        <w:r w:rsidR="00F656C3">
          <w:rPr>
            <w:noProof/>
            <w:webHidden/>
          </w:rPr>
          <w:tab/>
        </w:r>
        <w:r w:rsidR="00F656C3">
          <w:rPr>
            <w:noProof/>
            <w:webHidden/>
          </w:rPr>
          <w:fldChar w:fldCharType="begin"/>
        </w:r>
        <w:r w:rsidR="00F656C3">
          <w:rPr>
            <w:noProof/>
            <w:webHidden/>
          </w:rPr>
          <w:instrText xml:space="preserve"> PAGEREF _Toc417974609 \h </w:instrText>
        </w:r>
        <w:r w:rsidR="00F656C3">
          <w:rPr>
            <w:noProof/>
            <w:webHidden/>
          </w:rPr>
        </w:r>
        <w:r w:rsidR="00F656C3">
          <w:rPr>
            <w:noProof/>
            <w:webHidden/>
          </w:rPr>
          <w:fldChar w:fldCharType="separate"/>
        </w:r>
        <w:r w:rsidR="006453D1">
          <w:rPr>
            <w:noProof/>
            <w:webHidden/>
          </w:rPr>
          <w:t>39</w:t>
        </w:r>
        <w:r w:rsidR="00F656C3">
          <w:rPr>
            <w:noProof/>
            <w:webHidden/>
          </w:rPr>
          <w:fldChar w:fldCharType="end"/>
        </w:r>
      </w:hyperlink>
    </w:p>
    <w:p w:rsidR="00F656C3" w:rsidRDefault="00EF56F0">
      <w:pPr>
        <w:pStyle w:val="TOC3"/>
        <w:rPr>
          <w:noProof/>
          <w:szCs w:val="22"/>
        </w:rPr>
      </w:pPr>
      <w:hyperlink w:anchor="_Toc417974610" w:history="1">
        <w:r w:rsidR="00F656C3" w:rsidRPr="00952BF3">
          <w:rPr>
            <w:rStyle w:val="Hyperlink"/>
            <w:rFonts w:ascii="Cambria" w:hAnsi="Cambria"/>
            <w:noProof/>
          </w:rPr>
          <w:t>2.4.4</w:t>
        </w:r>
        <w:r w:rsidR="00F656C3">
          <w:rPr>
            <w:noProof/>
            <w:szCs w:val="22"/>
          </w:rPr>
          <w:tab/>
        </w:r>
        <w:r w:rsidR="00F656C3" w:rsidRPr="00952BF3">
          <w:rPr>
            <w:rStyle w:val="Hyperlink"/>
            <w:noProof/>
          </w:rPr>
          <w:t>Whether the Applicant can comply with the regulations and the licence</w:t>
        </w:r>
        <w:r w:rsidR="00AA33EE">
          <w:rPr>
            <w:rStyle w:val="Hyperlink"/>
            <w:noProof/>
          </w:rPr>
          <w:br/>
        </w:r>
        <w:r w:rsidR="00F656C3" w:rsidRPr="00952BF3">
          <w:rPr>
            <w:rStyle w:val="Hyperlink"/>
            <w:noProof/>
          </w:rPr>
          <w:t>conditions [paragraph 41(3)(e) of the Regulations]</w:t>
        </w:r>
        <w:r w:rsidR="00F656C3">
          <w:rPr>
            <w:noProof/>
            <w:webHidden/>
          </w:rPr>
          <w:tab/>
        </w:r>
        <w:r w:rsidR="00F656C3">
          <w:rPr>
            <w:noProof/>
            <w:webHidden/>
          </w:rPr>
          <w:fldChar w:fldCharType="begin"/>
        </w:r>
        <w:r w:rsidR="00F656C3">
          <w:rPr>
            <w:noProof/>
            <w:webHidden/>
          </w:rPr>
          <w:instrText xml:space="preserve"> PAGEREF _Toc417974610 \h </w:instrText>
        </w:r>
        <w:r w:rsidR="00F656C3">
          <w:rPr>
            <w:noProof/>
            <w:webHidden/>
          </w:rPr>
        </w:r>
        <w:r w:rsidR="00F656C3">
          <w:rPr>
            <w:noProof/>
            <w:webHidden/>
          </w:rPr>
          <w:fldChar w:fldCharType="separate"/>
        </w:r>
        <w:r w:rsidR="006453D1">
          <w:rPr>
            <w:noProof/>
            <w:webHidden/>
          </w:rPr>
          <w:t>39</w:t>
        </w:r>
        <w:r w:rsidR="00F656C3">
          <w:rPr>
            <w:noProof/>
            <w:webHidden/>
          </w:rPr>
          <w:fldChar w:fldCharType="end"/>
        </w:r>
      </w:hyperlink>
    </w:p>
    <w:p w:rsidR="00F656C3" w:rsidRDefault="00EF56F0">
      <w:pPr>
        <w:pStyle w:val="TOC3"/>
        <w:rPr>
          <w:noProof/>
          <w:szCs w:val="22"/>
        </w:rPr>
      </w:pPr>
      <w:hyperlink w:anchor="_Toc417974611" w:history="1">
        <w:r w:rsidR="00F656C3" w:rsidRPr="00952BF3">
          <w:rPr>
            <w:rStyle w:val="Hyperlink"/>
            <w:rFonts w:ascii="Cambria" w:hAnsi="Cambria"/>
            <w:noProof/>
          </w:rPr>
          <w:t>2.4.5</w:t>
        </w:r>
        <w:r w:rsidR="00F656C3">
          <w:rPr>
            <w:noProof/>
            <w:szCs w:val="22"/>
          </w:rPr>
          <w:tab/>
        </w:r>
        <w:r w:rsidR="00F656C3" w:rsidRPr="00952BF3">
          <w:rPr>
            <w:rStyle w:val="Hyperlink"/>
            <w:noProof/>
          </w:rPr>
          <w:t>Whether the Application has been signed by an authorised person</w:t>
        </w:r>
        <w:r w:rsidR="00AA33EE">
          <w:rPr>
            <w:rStyle w:val="Hyperlink"/>
            <w:noProof/>
          </w:rPr>
          <w:br/>
        </w:r>
        <w:r w:rsidR="00F656C3" w:rsidRPr="00952BF3">
          <w:rPr>
            <w:rStyle w:val="Hyperlink"/>
            <w:noProof/>
          </w:rPr>
          <w:t>[paragraph 41(3)(f) of the Regulations]</w:t>
        </w:r>
        <w:r w:rsidR="00F656C3">
          <w:rPr>
            <w:noProof/>
            <w:webHidden/>
          </w:rPr>
          <w:tab/>
        </w:r>
        <w:r w:rsidR="00F656C3">
          <w:rPr>
            <w:noProof/>
            <w:webHidden/>
          </w:rPr>
          <w:fldChar w:fldCharType="begin"/>
        </w:r>
        <w:r w:rsidR="00F656C3">
          <w:rPr>
            <w:noProof/>
            <w:webHidden/>
          </w:rPr>
          <w:instrText xml:space="preserve"> PAGEREF _Toc417974611 \h </w:instrText>
        </w:r>
        <w:r w:rsidR="00F656C3">
          <w:rPr>
            <w:noProof/>
            <w:webHidden/>
          </w:rPr>
        </w:r>
        <w:r w:rsidR="00F656C3">
          <w:rPr>
            <w:noProof/>
            <w:webHidden/>
          </w:rPr>
          <w:fldChar w:fldCharType="separate"/>
        </w:r>
        <w:r w:rsidR="006453D1">
          <w:rPr>
            <w:noProof/>
            <w:webHidden/>
          </w:rPr>
          <w:t>39</w:t>
        </w:r>
        <w:r w:rsidR="00F656C3">
          <w:rPr>
            <w:noProof/>
            <w:webHidden/>
          </w:rPr>
          <w:fldChar w:fldCharType="end"/>
        </w:r>
      </w:hyperlink>
    </w:p>
    <w:p w:rsidR="00F656C3" w:rsidRDefault="00EF56F0">
      <w:pPr>
        <w:pStyle w:val="TOC3"/>
        <w:rPr>
          <w:noProof/>
          <w:szCs w:val="22"/>
        </w:rPr>
      </w:pPr>
      <w:hyperlink w:anchor="_Toc417974612" w:history="1">
        <w:r w:rsidR="00F656C3" w:rsidRPr="00952BF3">
          <w:rPr>
            <w:rStyle w:val="Hyperlink"/>
            <w:rFonts w:ascii="Cambria" w:hAnsi="Cambria"/>
            <w:noProof/>
          </w:rPr>
          <w:t>2.4.6</w:t>
        </w:r>
        <w:r w:rsidR="00F656C3">
          <w:rPr>
            <w:noProof/>
            <w:szCs w:val="22"/>
          </w:rPr>
          <w:tab/>
        </w:r>
        <w:r w:rsidR="00F656C3" w:rsidRPr="00952BF3">
          <w:rPr>
            <w:rStyle w:val="Hyperlink"/>
            <w:noProof/>
          </w:rPr>
          <w:t xml:space="preserve">If the Application is for a facility licence for a nuclear installation - the </w:t>
        </w:r>
        <w:r w:rsidR="00AA33EE">
          <w:rPr>
            <w:rStyle w:val="Hyperlink"/>
            <w:noProof/>
          </w:rPr>
          <w:br/>
        </w:r>
        <w:r w:rsidR="00F656C3" w:rsidRPr="00952BF3">
          <w:rPr>
            <w:rStyle w:val="Hyperlink"/>
            <w:noProof/>
          </w:rPr>
          <w:t>content of any public submissions [paragraph 41(3)(g) of the Regulations]</w:t>
        </w:r>
        <w:r w:rsidR="00F656C3">
          <w:rPr>
            <w:noProof/>
            <w:webHidden/>
          </w:rPr>
          <w:tab/>
        </w:r>
        <w:r w:rsidR="00F656C3">
          <w:rPr>
            <w:noProof/>
            <w:webHidden/>
          </w:rPr>
          <w:fldChar w:fldCharType="begin"/>
        </w:r>
        <w:r w:rsidR="00F656C3">
          <w:rPr>
            <w:noProof/>
            <w:webHidden/>
          </w:rPr>
          <w:instrText xml:space="preserve"> PAGEREF _Toc417974612 \h </w:instrText>
        </w:r>
        <w:r w:rsidR="00F656C3">
          <w:rPr>
            <w:noProof/>
            <w:webHidden/>
          </w:rPr>
        </w:r>
        <w:r w:rsidR="00F656C3">
          <w:rPr>
            <w:noProof/>
            <w:webHidden/>
          </w:rPr>
          <w:fldChar w:fldCharType="separate"/>
        </w:r>
        <w:r w:rsidR="006453D1">
          <w:rPr>
            <w:noProof/>
            <w:webHidden/>
          </w:rPr>
          <w:t>39</w:t>
        </w:r>
        <w:r w:rsidR="00F656C3">
          <w:rPr>
            <w:noProof/>
            <w:webHidden/>
          </w:rPr>
          <w:fldChar w:fldCharType="end"/>
        </w:r>
      </w:hyperlink>
    </w:p>
    <w:p w:rsidR="00F656C3" w:rsidRDefault="00EF56F0">
      <w:pPr>
        <w:pStyle w:val="TOC3"/>
        <w:rPr>
          <w:noProof/>
          <w:szCs w:val="22"/>
        </w:rPr>
      </w:pPr>
      <w:hyperlink w:anchor="_Toc417974613" w:history="1">
        <w:r w:rsidR="00F656C3" w:rsidRPr="00952BF3">
          <w:rPr>
            <w:rStyle w:val="Hyperlink"/>
            <w:rFonts w:ascii="Cambria" w:hAnsi="Cambria"/>
            <w:noProof/>
          </w:rPr>
          <w:t>2.4.7</w:t>
        </w:r>
        <w:r w:rsidR="00F656C3">
          <w:rPr>
            <w:noProof/>
            <w:szCs w:val="22"/>
          </w:rPr>
          <w:tab/>
        </w:r>
        <w:r w:rsidR="00F656C3" w:rsidRPr="00952BF3">
          <w:rPr>
            <w:rStyle w:val="Hyperlink"/>
            <w:noProof/>
          </w:rPr>
          <w:t>International Best Practice</w:t>
        </w:r>
        <w:r w:rsidR="00F656C3">
          <w:rPr>
            <w:noProof/>
            <w:webHidden/>
          </w:rPr>
          <w:tab/>
        </w:r>
        <w:r w:rsidR="00F656C3">
          <w:rPr>
            <w:noProof/>
            <w:webHidden/>
          </w:rPr>
          <w:fldChar w:fldCharType="begin"/>
        </w:r>
        <w:r w:rsidR="00F656C3">
          <w:rPr>
            <w:noProof/>
            <w:webHidden/>
          </w:rPr>
          <w:instrText xml:space="preserve"> PAGEREF _Toc417974613 \h </w:instrText>
        </w:r>
        <w:r w:rsidR="00F656C3">
          <w:rPr>
            <w:noProof/>
            <w:webHidden/>
          </w:rPr>
        </w:r>
        <w:r w:rsidR="00F656C3">
          <w:rPr>
            <w:noProof/>
            <w:webHidden/>
          </w:rPr>
          <w:fldChar w:fldCharType="separate"/>
        </w:r>
        <w:r w:rsidR="006453D1">
          <w:rPr>
            <w:noProof/>
            <w:webHidden/>
          </w:rPr>
          <w:t>40</w:t>
        </w:r>
        <w:r w:rsidR="00F656C3">
          <w:rPr>
            <w:noProof/>
            <w:webHidden/>
          </w:rPr>
          <w:fldChar w:fldCharType="end"/>
        </w:r>
      </w:hyperlink>
    </w:p>
    <w:p w:rsidR="00F656C3" w:rsidRDefault="00EF56F0">
      <w:pPr>
        <w:pStyle w:val="TOC1"/>
        <w:rPr>
          <w:b w:val="0"/>
          <w:bCs w:val="0"/>
          <w:caps w:val="0"/>
          <w:color w:val="auto"/>
          <w:szCs w:val="22"/>
        </w:rPr>
      </w:pPr>
      <w:hyperlink w:anchor="_Toc417974614" w:history="1">
        <w:r w:rsidR="00F656C3" w:rsidRPr="00952BF3">
          <w:rPr>
            <w:rStyle w:val="Hyperlink"/>
            <w:rFonts w:ascii="Cambria" w:hAnsi="Cambria"/>
          </w:rPr>
          <w:t>3.</w:t>
        </w:r>
        <w:r w:rsidR="00F656C3">
          <w:rPr>
            <w:b w:val="0"/>
            <w:bCs w:val="0"/>
            <w:caps w:val="0"/>
            <w:color w:val="auto"/>
            <w:szCs w:val="22"/>
          </w:rPr>
          <w:tab/>
        </w:r>
        <w:r w:rsidR="00F656C3" w:rsidRPr="00952BF3">
          <w:rPr>
            <w:rStyle w:val="Hyperlink"/>
          </w:rPr>
          <w:t>ARPANSA CONSIDERATION OF MATTERS IDENTIFED IN THE SITING AND CONSTRUCTION ASSESSMENT</w:t>
        </w:r>
        <w:r w:rsidR="00F656C3">
          <w:rPr>
            <w:webHidden/>
          </w:rPr>
          <w:tab/>
        </w:r>
        <w:r w:rsidR="00F656C3">
          <w:rPr>
            <w:webHidden/>
          </w:rPr>
          <w:fldChar w:fldCharType="begin"/>
        </w:r>
        <w:r w:rsidR="00F656C3">
          <w:rPr>
            <w:webHidden/>
          </w:rPr>
          <w:instrText xml:space="preserve"> PAGEREF _Toc417974614 \h </w:instrText>
        </w:r>
        <w:r w:rsidR="00F656C3">
          <w:rPr>
            <w:webHidden/>
          </w:rPr>
        </w:r>
        <w:r w:rsidR="00F656C3">
          <w:rPr>
            <w:webHidden/>
          </w:rPr>
          <w:fldChar w:fldCharType="separate"/>
        </w:r>
        <w:r w:rsidR="006453D1">
          <w:rPr>
            <w:webHidden/>
          </w:rPr>
          <w:t>41</w:t>
        </w:r>
        <w:r w:rsidR="00F656C3">
          <w:rPr>
            <w:webHidden/>
          </w:rPr>
          <w:fldChar w:fldCharType="end"/>
        </w:r>
      </w:hyperlink>
    </w:p>
    <w:p w:rsidR="00F656C3" w:rsidRDefault="00EF56F0">
      <w:pPr>
        <w:pStyle w:val="TOC2"/>
        <w:rPr>
          <w:bCs w:val="0"/>
          <w:szCs w:val="22"/>
        </w:rPr>
      </w:pPr>
      <w:hyperlink w:anchor="_Toc417974615" w:history="1">
        <w:r w:rsidR="00F656C3" w:rsidRPr="00952BF3">
          <w:rPr>
            <w:rStyle w:val="Hyperlink"/>
            <w:rFonts w:ascii="Cambria" w:hAnsi="Cambria"/>
          </w:rPr>
          <w:t>3.1</w:t>
        </w:r>
        <w:r w:rsidR="00F656C3">
          <w:rPr>
            <w:bCs w:val="0"/>
            <w:szCs w:val="22"/>
          </w:rPr>
          <w:tab/>
        </w:r>
        <w:r w:rsidR="00F656C3" w:rsidRPr="00952BF3">
          <w:rPr>
            <w:rStyle w:val="Hyperlink"/>
          </w:rPr>
          <w:t>Radionuclide inventory</w:t>
        </w:r>
        <w:r w:rsidR="00F656C3">
          <w:rPr>
            <w:webHidden/>
          </w:rPr>
          <w:tab/>
        </w:r>
        <w:r w:rsidR="00F656C3">
          <w:rPr>
            <w:webHidden/>
          </w:rPr>
          <w:fldChar w:fldCharType="begin"/>
        </w:r>
        <w:r w:rsidR="00F656C3">
          <w:rPr>
            <w:webHidden/>
          </w:rPr>
          <w:instrText xml:space="preserve"> PAGEREF _Toc417974615 \h </w:instrText>
        </w:r>
        <w:r w:rsidR="00F656C3">
          <w:rPr>
            <w:webHidden/>
          </w:rPr>
        </w:r>
        <w:r w:rsidR="00F656C3">
          <w:rPr>
            <w:webHidden/>
          </w:rPr>
          <w:fldChar w:fldCharType="separate"/>
        </w:r>
        <w:r w:rsidR="006453D1">
          <w:rPr>
            <w:webHidden/>
          </w:rPr>
          <w:t>41</w:t>
        </w:r>
        <w:r w:rsidR="00F656C3">
          <w:rPr>
            <w:webHidden/>
          </w:rPr>
          <w:fldChar w:fldCharType="end"/>
        </w:r>
      </w:hyperlink>
    </w:p>
    <w:p w:rsidR="00F656C3" w:rsidRDefault="00EF56F0">
      <w:pPr>
        <w:pStyle w:val="TOC2"/>
        <w:rPr>
          <w:bCs w:val="0"/>
          <w:szCs w:val="22"/>
        </w:rPr>
      </w:pPr>
      <w:hyperlink w:anchor="_Toc417974616" w:history="1">
        <w:r w:rsidR="00F656C3" w:rsidRPr="00952BF3">
          <w:rPr>
            <w:rStyle w:val="Hyperlink"/>
            <w:rFonts w:ascii="Cambria" w:hAnsi="Cambria"/>
          </w:rPr>
          <w:t>3.2</w:t>
        </w:r>
        <w:r w:rsidR="00F656C3">
          <w:rPr>
            <w:bCs w:val="0"/>
            <w:szCs w:val="22"/>
          </w:rPr>
          <w:tab/>
        </w:r>
        <w:r w:rsidR="00F656C3" w:rsidRPr="00952BF3">
          <w:rPr>
            <w:rStyle w:val="Hyperlink"/>
          </w:rPr>
          <w:t>ANSTO Contingency Plan</w:t>
        </w:r>
        <w:r w:rsidR="00F656C3">
          <w:rPr>
            <w:webHidden/>
          </w:rPr>
          <w:tab/>
        </w:r>
        <w:r w:rsidR="00F656C3">
          <w:rPr>
            <w:webHidden/>
          </w:rPr>
          <w:fldChar w:fldCharType="begin"/>
        </w:r>
        <w:r w:rsidR="00F656C3">
          <w:rPr>
            <w:webHidden/>
          </w:rPr>
          <w:instrText xml:space="preserve"> PAGEREF _Toc417974616 \h </w:instrText>
        </w:r>
        <w:r w:rsidR="00F656C3">
          <w:rPr>
            <w:webHidden/>
          </w:rPr>
        </w:r>
        <w:r w:rsidR="00F656C3">
          <w:rPr>
            <w:webHidden/>
          </w:rPr>
          <w:fldChar w:fldCharType="separate"/>
        </w:r>
        <w:r w:rsidR="006453D1">
          <w:rPr>
            <w:webHidden/>
          </w:rPr>
          <w:t>41</w:t>
        </w:r>
        <w:r w:rsidR="00F656C3">
          <w:rPr>
            <w:webHidden/>
          </w:rPr>
          <w:fldChar w:fldCharType="end"/>
        </w:r>
      </w:hyperlink>
    </w:p>
    <w:p w:rsidR="00F656C3" w:rsidRDefault="00EF56F0">
      <w:pPr>
        <w:pStyle w:val="TOC3"/>
        <w:rPr>
          <w:noProof/>
          <w:szCs w:val="22"/>
        </w:rPr>
      </w:pPr>
      <w:hyperlink w:anchor="_Toc417974617" w:history="1">
        <w:r w:rsidR="00F656C3" w:rsidRPr="00952BF3">
          <w:rPr>
            <w:rStyle w:val="Hyperlink"/>
            <w:rFonts w:ascii="Cambria" w:hAnsi="Cambria"/>
            <w:noProof/>
          </w:rPr>
          <w:t>3.2.1</w:t>
        </w:r>
        <w:r w:rsidR="00F656C3">
          <w:rPr>
            <w:noProof/>
            <w:szCs w:val="22"/>
          </w:rPr>
          <w:tab/>
        </w:r>
        <w:r w:rsidR="00F656C3" w:rsidRPr="00952BF3">
          <w:rPr>
            <w:rStyle w:val="Hyperlink"/>
            <w:noProof/>
          </w:rPr>
          <w:t>Lifetime and future use of the facility</w:t>
        </w:r>
        <w:r w:rsidR="00F656C3">
          <w:rPr>
            <w:noProof/>
            <w:webHidden/>
          </w:rPr>
          <w:tab/>
        </w:r>
        <w:r w:rsidR="00F656C3">
          <w:rPr>
            <w:noProof/>
            <w:webHidden/>
          </w:rPr>
          <w:fldChar w:fldCharType="begin"/>
        </w:r>
        <w:r w:rsidR="00F656C3">
          <w:rPr>
            <w:noProof/>
            <w:webHidden/>
          </w:rPr>
          <w:instrText xml:space="preserve"> PAGEREF _Toc417974617 \h </w:instrText>
        </w:r>
        <w:r w:rsidR="00F656C3">
          <w:rPr>
            <w:noProof/>
            <w:webHidden/>
          </w:rPr>
        </w:r>
        <w:r w:rsidR="00F656C3">
          <w:rPr>
            <w:noProof/>
            <w:webHidden/>
          </w:rPr>
          <w:fldChar w:fldCharType="separate"/>
        </w:r>
        <w:r w:rsidR="006453D1">
          <w:rPr>
            <w:noProof/>
            <w:webHidden/>
          </w:rPr>
          <w:t>41</w:t>
        </w:r>
        <w:r w:rsidR="00F656C3">
          <w:rPr>
            <w:noProof/>
            <w:webHidden/>
          </w:rPr>
          <w:fldChar w:fldCharType="end"/>
        </w:r>
      </w:hyperlink>
    </w:p>
    <w:p w:rsidR="00F656C3" w:rsidRDefault="00EF56F0">
      <w:pPr>
        <w:pStyle w:val="TOC3"/>
        <w:rPr>
          <w:noProof/>
          <w:szCs w:val="22"/>
        </w:rPr>
      </w:pPr>
      <w:hyperlink w:anchor="_Toc417974618" w:history="1">
        <w:r w:rsidR="00F656C3" w:rsidRPr="00952BF3">
          <w:rPr>
            <w:rStyle w:val="Hyperlink"/>
            <w:rFonts w:ascii="Cambria" w:hAnsi="Cambria"/>
            <w:noProof/>
          </w:rPr>
          <w:t>3.2.2</w:t>
        </w:r>
        <w:r w:rsidR="00F656C3">
          <w:rPr>
            <w:noProof/>
            <w:szCs w:val="22"/>
          </w:rPr>
          <w:tab/>
        </w:r>
        <w:r w:rsidR="00F656C3" w:rsidRPr="00952BF3">
          <w:rPr>
            <w:rStyle w:val="Hyperlink"/>
            <w:noProof/>
          </w:rPr>
          <w:t>Long term storage of waste and final disposal</w:t>
        </w:r>
        <w:r w:rsidR="00F656C3">
          <w:rPr>
            <w:noProof/>
            <w:webHidden/>
          </w:rPr>
          <w:tab/>
        </w:r>
        <w:r w:rsidR="00F656C3">
          <w:rPr>
            <w:noProof/>
            <w:webHidden/>
          </w:rPr>
          <w:fldChar w:fldCharType="begin"/>
        </w:r>
        <w:r w:rsidR="00F656C3">
          <w:rPr>
            <w:noProof/>
            <w:webHidden/>
          </w:rPr>
          <w:instrText xml:space="preserve"> PAGEREF _Toc417974618 \h </w:instrText>
        </w:r>
        <w:r w:rsidR="00F656C3">
          <w:rPr>
            <w:noProof/>
            <w:webHidden/>
          </w:rPr>
        </w:r>
        <w:r w:rsidR="00F656C3">
          <w:rPr>
            <w:noProof/>
            <w:webHidden/>
          </w:rPr>
          <w:fldChar w:fldCharType="separate"/>
        </w:r>
        <w:r w:rsidR="006453D1">
          <w:rPr>
            <w:noProof/>
            <w:webHidden/>
          </w:rPr>
          <w:t>42</w:t>
        </w:r>
        <w:r w:rsidR="00F656C3">
          <w:rPr>
            <w:noProof/>
            <w:webHidden/>
          </w:rPr>
          <w:fldChar w:fldCharType="end"/>
        </w:r>
      </w:hyperlink>
    </w:p>
    <w:p w:rsidR="00F656C3" w:rsidRDefault="00EF56F0">
      <w:pPr>
        <w:pStyle w:val="TOC3"/>
        <w:rPr>
          <w:noProof/>
          <w:szCs w:val="22"/>
        </w:rPr>
      </w:pPr>
      <w:hyperlink w:anchor="_Toc417974619" w:history="1">
        <w:r w:rsidR="00F656C3" w:rsidRPr="00952BF3">
          <w:rPr>
            <w:rStyle w:val="Hyperlink"/>
            <w:rFonts w:ascii="Cambria" w:hAnsi="Cambria"/>
            <w:noProof/>
          </w:rPr>
          <w:t>3.2.3</w:t>
        </w:r>
        <w:r w:rsidR="00F656C3">
          <w:rPr>
            <w:noProof/>
            <w:szCs w:val="22"/>
          </w:rPr>
          <w:tab/>
        </w:r>
        <w:r w:rsidR="00F656C3" w:rsidRPr="00952BF3">
          <w:rPr>
            <w:rStyle w:val="Hyperlink"/>
            <w:noProof/>
          </w:rPr>
          <w:t>Contingency options</w:t>
        </w:r>
        <w:r w:rsidR="00F656C3">
          <w:rPr>
            <w:noProof/>
            <w:webHidden/>
          </w:rPr>
          <w:tab/>
        </w:r>
        <w:r w:rsidR="00F656C3">
          <w:rPr>
            <w:noProof/>
            <w:webHidden/>
          </w:rPr>
          <w:fldChar w:fldCharType="begin"/>
        </w:r>
        <w:r w:rsidR="00F656C3">
          <w:rPr>
            <w:noProof/>
            <w:webHidden/>
          </w:rPr>
          <w:instrText xml:space="preserve"> PAGEREF _Toc417974619 \h </w:instrText>
        </w:r>
        <w:r w:rsidR="00F656C3">
          <w:rPr>
            <w:noProof/>
            <w:webHidden/>
          </w:rPr>
        </w:r>
        <w:r w:rsidR="00F656C3">
          <w:rPr>
            <w:noProof/>
            <w:webHidden/>
          </w:rPr>
          <w:fldChar w:fldCharType="separate"/>
        </w:r>
        <w:r w:rsidR="006453D1">
          <w:rPr>
            <w:noProof/>
            <w:webHidden/>
          </w:rPr>
          <w:t>42</w:t>
        </w:r>
        <w:r w:rsidR="00F656C3">
          <w:rPr>
            <w:noProof/>
            <w:webHidden/>
          </w:rPr>
          <w:fldChar w:fldCharType="end"/>
        </w:r>
      </w:hyperlink>
    </w:p>
    <w:p w:rsidR="00F656C3" w:rsidRDefault="00EF56F0">
      <w:pPr>
        <w:pStyle w:val="TOC2"/>
        <w:rPr>
          <w:bCs w:val="0"/>
          <w:szCs w:val="22"/>
        </w:rPr>
      </w:pPr>
      <w:hyperlink w:anchor="_Toc417974620" w:history="1">
        <w:r w:rsidR="00F656C3" w:rsidRPr="00952BF3">
          <w:rPr>
            <w:rStyle w:val="Hyperlink"/>
            <w:rFonts w:ascii="Cambria" w:hAnsi="Cambria"/>
          </w:rPr>
          <w:t>3.3</w:t>
        </w:r>
        <w:r w:rsidR="00F656C3">
          <w:rPr>
            <w:bCs w:val="0"/>
            <w:szCs w:val="22"/>
          </w:rPr>
          <w:tab/>
        </w:r>
        <w:r w:rsidR="00F656C3" w:rsidRPr="00952BF3">
          <w:rPr>
            <w:rStyle w:val="Hyperlink"/>
          </w:rPr>
          <w:t>The safety case</w:t>
        </w:r>
        <w:r w:rsidR="00F656C3">
          <w:rPr>
            <w:webHidden/>
          </w:rPr>
          <w:tab/>
        </w:r>
        <w:r w:rsidR="00F656C3">
          <w:rPr>
            <w:webHidden/>
          </w:rPr>
          <w:fldChar w:fldCharType="begin"/>
        </w:r>
        <w:r w:rsidR="00F656C3">
          <w:rPr>
            <w:webHidden/>
          </w:rPr>
          <w:instrText xml:space="preserve"> PAGEREF _Toc417974620 \h </w:instrText>
        </w:r>
        <w:r w:rsidR="00F656C3">
          <w:rPr>
            <w:webHidden/>
          </w:rPr>
        </w:r>
        <w:r w:rsidR="00F656C3">
          <w:rPr>
            <w:webHidden/>
          </w:rPr>
          <w:fldChar w:fldCharType="separate"/>
        </w:r>
        <w:r w:rsidR="006453D1">
          <w:rPr>
            <w:webHidden/>
          </w:rPr>
          <w:t>43</w:t>
        </w:r>
        <w:r w:rsidR="00F656C3">
          <w:rPr>
            <w:webHidden/>
          </w:rPr>
          <w:fldChar w:fldCharType="end"/>
        </w:r>
      </w:hyperlink>
    </w:p>
    <w:p w:rsidR="00F656C3" w:rsidRDefault="00EF56F0">
      <w:pPr>
        <w:pStyle w:val="TOC1"/>
        <w:rPr>
          <w:b w:val="0"/>
          <w:bCs w:val="0"/>
          <w:caps w:val="0"/>
          <w:color w:val="auto"/>
          <w:szCs w:val="22"/>
        </w:rPr>
      </w:pPr>
      <w:hyperlink w:anchor="_Toc417974621" w:history="1">
        <w:r w:rsidR="00F656C3" w:rsidRPr="00952BF3">
          <w:rPr>
            <w:rStyle w:val="Hyperlink"/>
            <w:rFonts w:ascii="Cambria" w:hAnsi="Cambria"/>
          </w:rPr>
          <w:t>4.</w:t>
        </w:r>
        <w:r w:rsidR="00F656C3">
          <w:rPr>
            <w:b w:val="0"/>
            <w:bCs w:val="0"/>
            <w:caps w:val="0"/>
            <w:color w:val="auto"/>
            <w:szCs w:val="22"/>
          </w:rPr>
          <w:tab/>
        </w:r>
        <w:r w:rsidR="00F656C3" w:rsidRPr="00952BF3">
          <w:rPr>
            <w:rStyle w:val="Hyperlink"/>
          </w:rPr>
          <w:t>CONCLUSIONS</w:t>
        </w:r>
        <w:r w:rsidR="00F656C3">
          <w:rPr>
            <w:webHidden/>
          </w:rPr>
          <w:tab/>
        </w:r>
        <w:r w:rsidR="00F656C3">
          <w:rPr>
            <w:webHidden/>
          </w:rPr>
          <w:fldChar w:fldCharType="begin"/>
        </w:r>
        <w:r w:rsidR="00F656C3">
          <w:rPr>
            <w:webHidden/>
          </w:rPr>
          <w:instrText xml:space="preserve"> PAGEREF _Toc417974621 \h </w:instrText>
        </w:r>
        <w:r w:rsidR="00F656C3">
          <w:rPr>
            <w:webHidden/>
          </w:rPr>
        </w:r>
        <w:r w:rsidR="00F656C3">
          <w:rPr>
            <w:webHidden/>
          </w:rPr>
          <w:fldChar w:fldCharType="separate"/>
        </w:r>
        <w:r w:rsidR="006453D1">
          <w:rPr>
            <w:webHidden/>
          </w:rPr>
          <w:t>44</w:t>
        </w:r>
        <w:r w:rsidR="00F656C3">
          <w:rPr>
            <w:webHidden/>
          </w:rPr>
          <w:fldChar w:fldCharType="end"/>
        </w:r>
      </w:hyperlink>
    </w:p>
    <w:p w:rsidR="00F656C3" w:rsidRDefault="00EF56F0">
      <w:pPr>
        <w:pStyle w:val="TOC1"/>
        <w:rPr>
          <w:b w:val="0"/>
          <w:bCs w:val="0"/>
          <w:caps w:val="0"/>
          <w:color w:val="auto"/>
          <w:szCs w:val="22"/>
        </w:rPr>
      </w:pPr>
      <w:hyperlink w:anchor="_Toc417974622" w:history="1">
        <w:r w:rsidR="00F656C3" w:rsidRPr="00952BF3">
          <w:rPr>
            <w:rStyle w:val="Hyperlink"/>
            <w:rFonts w:ascii="Cambria" w:hAnsi="Cambria"/>
          </w:rPr>
          <w:t>5.</w:t>
        </w:r>
        <w:r w:rsidR="00F656C3">
          <w:rPr>
            <w:b w:val="0"/>
            <w:bCs w:val="0"/>
            <w:caps w:val="0"/>
            <w:color w:val="auto"/>
            <w:szCs w:val="22"/>
          </w:rPr>
          <w:tab/>
        </w:r>
        <w:r w:rsidR="00F656C3" w:rsidRPr="00952BF3">
          <w:rPr>
            <w:rStyle w:val="Hyperlink"/>
          </w:rPr>
          <w:t>RECOMMENDATIONS</w:t>
        </w:r>
        <w:r w:rsidR="00F656C3">
          <w:rPr>
            <w:webHidden/>
          </w:rPr>
          <w:tab/>
        </w:r>
        <w:r w:rsidR="00F656C3">
          <w:rPr>
            <w:webHidden/>
          </w:rPr>
          <w:fldChar w:fldCharType="begin"/>
        </w:r>
        <w:r w:rsidR="00F656C3">
          <w:rPr>
            <w:webHidden/>
          </w:rPr>
          <w:instrText xml:space="preserve"> PAGEREF _Toc417974622 \h </w:instrText>
        </w:r>
        <w:r w:rsidR="00F656C3">
          <w:rPr>
            <w:webHidden/>
          </w:rPr>
        </w:r>
        <w:r w:rsidR="00F656C3">
          <w:rPr>
            <w:webHidden/>
          </w:rPr>
          <w:fldChar w:fldCharType="separate"/>
        </w:r>
        <w:r w:rsidR="006453D1">
          <w:rPr>
            <w:webHidden/>
          </w:rPr>
          <w:t>45</w:t>
        </w:r>
        <w:r w:rsidR="00F656C3">
          <w:rPr>
            <w:webHidden/>
          </w:rPr>
          <w:fldChar w:fldCharType="end"/>
        </w:r>
      </w:hyperlink>
    </w:p>
    <w:p w:rsidR="00F656C3" w:rsidRDefault="00EF56F0">
      <w:pPr>
        <w:pStyle w:val="TOC2"/>
        <w:rPr>
          <w:bCs w:val="0"/>
          <w:szCs w:val="22"/>
        </w:rPr>
      </w:pPr>
      <w:hyperlink w:anchor="_Toc417974623" w:history="1">
        <w:r w:rsidR="00F656C3" w:rsidRPr="00952BF3">
          <w:rPr>
            <w:rStyle w:val="Hyperlink"/>
            <w:rFonts w:ascii="Cambria" w:hAnsi="Cambria"/>
          </w:rPr>
          <w:t>5.1</w:t>
        </w:r>
        <w:r w:rsidR="00F656C3">
          <w:rPr>
            <w:bCs w:val="0"/>
            <w:szCs w:val="22"/>
          </w:rPr>
          <w:tab/>
        </w:r>
        <w:r w:rsidR="00F656C3" w:rsidRPr="00952BF3">
          <w:rPr>
            <w:rStyle w:val="Hyperlink"/>
          </w:rPr>
          <w:t>Issue of Licence</w:t>
        </w:r>
        <w:r w:rsidR="00F656C3">
          <w:rPr>
            <w:webHidden/>
          </w:rPr>
          <w:tab/>
        </w:r>
        <w:r w:rsidR="00F656C3">
          <w:rPr>
            <w:webHidden/>
          </w:rPr>
          <w:fldChar w:fldCharType="begin"/>
        </w:r>
        <w:r w:rsidR="00F656C3">
          <w:rPr>
            <w:webHidden/>
          </w:rPr>
          <w:instrText xml:space="preserve"> PAGEREF _Toc417974623 \h </w:instrText>
        </w:r>
        <w:r w:rsidR="00F656C3">
          <w:rPr>
            <w:webHidden/>
          </w:rPr>
        </w:r>
        <w:r w:rsidR="00F656C3">
          <w:rPr>
            <w:webHidden/>
          </w:rPr>
          <w:fldChar w:fldCharType="separate"/>
        </w:r>
        <w:r w:rsidR="006453D1">
          <w:rPr>
            <w:webHidden/>
          </w:rPr>
          <w:t>45</w:t>
        </w:r>
        <w:r w:rsidR="00F656C3">
          <w:rPr>
            <w:webHidden/>
          </w:rPr>
          <w:fldChar w:fldCharType="end"/>
        </w:r>
      </w:hyperlink>
    </w:p>
    <w:p w:rsidR="00F656C3" w:rsidRDefault="00EF56F0">
      <w:pPr>
        <w:pStyle w:val="TOC2"/>
        <w:rPr>
          <w:bCs w:val="0"/>
          <w:szCs w:val="22"/>
        </w:rPr>
      </w:pPr>
      <w:hyperlink w:anchor="_Toc417974624" w:history="1">
        <w:r w:rsidR="00F656C3" w:rsidRPr="00952BF3">
          <w:rPr>
            <w:rStyle w:val="Hyperlink"/>
            <w:rFonts w:ascii="Cambria" w:hAnsi="Cambria"/>
          </w:rPr>
          <w:t>5.2</w:t>
        </w:r>
        <w:r w:rsidR="00F656C3">
          <w:rPr>
            <w:bCs w:val="0"/>
            <w:szCs w:val="22"/>
          </w:rPr>
          <w:tab/>
        </w:r>
        <w:r w:rsidR="00F656C3" w:rsidRPr="00952BF3">
          <w:rPr>
            <w:rStyle w:val="Hyperlink"/>
          </w:rPr>
          <w:t>Licence Conditions</w:t>
        </w:r>
        <w:r w:rsidR="00F656C3">
          <w:rPr>
            <w:webHidden/>
          </w:rPr>
          <w:tab/>
        </w:r>
        <w:r w:rsidR="00F656C3">
          <w:rPr>
            <w:webHidden/>
          </w:rPr>
          <w:fldChar w:fldCharType="begin"/>
        </w:r>
        <w:r w:rsidR="00F656C3">
          <w:rPr>
            <w:webHidden/>
          </w:rPr>
          <w:instrText xml:space="preserve"> PAGEREF _Toc417974624 \h </w:instrText>
        </w:r>
        <w:r w:rsidR="00F656C3">
          <w:rPr>
            <w:webHidden/>
          </w:rPr>
        </w:r>
        <w:r w:rsidR="00F656C3">
          <w:rPr>
            <w:webHidden/>
          </w:rPr>
          <w:fldChar w:fldCharType="separate"/>
        </w:r>
        <w:r w:rsidR="006453D1">
          <w:rPr>
            <w:webHidden/>
          </w:rPr>
          <w:t>45</w:t>
        </w:r>
        <w:r w:rsidR="00F656C3">
          <w:rPr>
            <w:webHidden/>
          </w:rPr>
          <w:fldChar w:fldCharType="end"/>
        </w:r>
      </w:hyperlink>
    </w:p>
    <w:p w:rsidR="00F656C3" w:rsidRDefault="00EF56F0">
      <w:pPr>
        <w:pStyle w:val="TOC1"/>
        <w:rPr>
          <w:b w:val="0"/>
          <w:bCs w:val="0"/>
          <w:caps w:val="0"/>
          <w:color w:val="auto"/>
          <w:szCs w:val="22"/>
        </w:rPr>
      </w:pPr>
      <w:hyperlink w:anchor="_Toc417974625" w:history="1">
        <w:r w:rsidR="00F656C3" w:rsidRPr="00952BF3">
          <w:rPr>
            <w:rStyle w:val="Hyperlink"/>
            <w:rFonts w:ascii="Cambria" w:hAnsi="Cambria"/>
          </w:rPr>
          <w:t>6.</w:t>
        </w:r>
        <w:r w:rsidR="00F656C3">
          <w:rPr>
            <w:b w:val="0"/>
            <w:bCs w:val="0"/>
            <w:caps w:val="0"/>
            <w:color w:val="auto"/>
            <w:szCs w:val="22"/>
          </w:rPr>
          <w:tab/>
        </w:r>
        <w:r w:rsidR="00F656C3" w:rsidRPr="00952BF3">
          <w:rPr>
            <w:rStyle w:val="Hyperlink"/>
          </w:rPr>
          <w:t>REFERENCES</w:t>
        </w:r>
        <w:r w:rsidR="00F656C3">
          <w:rPr>
            <w:webHidden/>
          </w:rPr>
          <w:tab/>
        </w:r>
        <w:r w:rsidR="00F656C3">
          <w:rPr>
            <w:webHidden/>
          </w:rPr>
          <w:fldChar w:fldCharType="begin"/>
        </w:r>
        <w:r w:rsidR="00F656C3">
          <w:rPr>
            <w:webHidden/>
          </w:rPr>
          <w:instrText xml:space="preserve"> PAGEREF _Toc417974625 \h </w:instrText>
        </w:r>
        <w:r w:rsidR="00F656C3">
          <w:rPr>
            <w:webHidden/>
          </w:rPr>
        </w:r>
        <w:r w:rsidR="00F656C3">
          <w:rPr>
            <w:webHidden/>
          </w:rPr>
          <w:fldChar w:fldCharType="separate"/>
        </w:r>
        <w:r w:rsidR="006453D1">
          <w:rPr>
            <w:webHidden/>
          </w:rPr>
          <w:t>47</w:t>
        </w:r>
        <w:r w:rsidR="00F656C3">
          <w:rPr>
            <w:webHidden/>
          </w:rPr>
          <w:fldChar w:fldCharType="end"/>
        </w:r>
      </w:hyperlink>
    </w:p>
    <w:p w:rsidR="00F656C3" w:rsidRDefault="00EF56F0">
      <w:pPr>
        <w:pStyle w:val="TOC1"/>
        <w:rPr>
          <w:b w:val="0"/>
          <w:bCs w:val="0"/>
          <w:caps w:val="0"/>
          <w:color w:val="auto"/>
          <w:szCs w:val="22"/>
        </w:rPr>
      </w:pPr>
      <w:hyperlink w:anchor="_Toc417974626" w:history="1">
        <w:r w:rsidR="00F656C3" w:rsidRPr="00952BF3">
          <w:rPr>
            <w:rStyle w:val="Hyperlink"/>
          </w:rPr>
          <w:t>APPENDIX-1</w:t>
        </w:r>
        <w:r w:rsidR="00F656C3">
          <w:rPr>
            <w:webHidden/>
          </w:rPr>
          <w:tab/>
        </w:r>
        <w:r w:rsidR="00F656C3">
          <w:rPr>
            <w:webHidden/>
          </w:rPr>
          <w:fldChar w:fldCharType="begin"/>
        </w:r>
        <w:r w:rsidR="00F656C3">
          <w:rPr>
            <w:webHidden/>
          </w:rPr>
          <w:instrText xml:space="preserve"> PAGEREF _Toc417974626 \h </w:instrText>
        </w:r>
        <w:r w:rsidR="00F656C3">
          <w:rPr>
            <w:webHidden/>
          </w:rPr>
        </w:r>
        <w:r w:rsidR="00F656C3">
          <w:rPr>
            <w:webHidden/>
          </w:rPr>
          <w:fldChar w:fldCharType="separate"/>
        </w:r>
        <w:r w:rsidR="006453D1">
          <w:rPr>
            <w:webHidden/>
          </w:rPr>
          <w:t>48</w:t>
        </w:r>
        <w:r w:rsidR="00F656C3">
          <w:rPr>
            <w:webHidden/>
          </w:rPr>
          <w:fldChar w:fldCharType="end"/>
        </w:r>
      </w:hyperlink>
    </w:p>
    <w:p w:rsidR="0035022C" w:rsidRDefault="00181448" w:rsidP="002E194F">
      <w:pPr>
        <w:rPr>
          <w:b/>
          <w:bCs/>
          <w:caps/>
          <w:noProof/>
          <w:szCs w:val="24"/>
        </w:rPr>
      </w:pPr>
      <w:r>
        <w:rPr>
          <w:noProof/>
          <w:color w:val="0070C0"/>
          <w:szCs w:val="24"/>
        </w:rPr>
        <w:fldChar w:fldCharType="end"/>
      </w:r>
    </w:p>
    <w:p w:rsidR="0035022C" w:rsidRDefault="0035022C">
      <w:pPr>
        <w:rPr>
          <w:b/>
          <w:bCs/>
          <w:caps/>
          <w:noProof/>
          <w:szCs w:val="24"/>
        </w:rPr>
      </w:pPr>
      <w:r>
        <w:rPr>
          <w:b/>
          <w:bCs/>
          <w:caps/>
          <w:noProof/>
          <w:szCs w:val="24"/>
        </w:rPr>
        <w:br w:type="page"/>
      </w:r>
    </w:p>
    <w:p w:rsidR="002E194F" w:rsidRPr="000B5FEC" w:rsidRDefault="002E194F" w:rsidP="0065410E">
      <w:pPr>
        <w:pStyle w:val="Heading1"/>
      </w:pPr>
      <w:bookmarkStart w:id="1" w:name="_Toc35926810"/>
      <w:bookmarkStart w:id="2" w:name="_Toc297107177"/>
      <w:bookmarkStart w:id="3" w:name="_Toc417974582"/>
      <w:r w:rsidRPr="000B5FEC">
        <w:lastRenderedPageBreak/>
        <w:t>INTRODUCTION</w:t>
      </w:r>
      <w:bookmarkEnd w:id="1"/>
      <w:bookmarkEnd w:id="2"/>
      <w:bookmarkEnd w:id="3"/>
    </w:p>
    <w:p w:rsidR="002E194F" w:rsidRPr="0098747C" w:rsidRDefault="002E194F" w:rsidP="00496435">
      <w:pPr>
        <w:jc w:val="both"/>
      </w:pPr>
      <w:r w:rsidRPr="0098747C">
        <w:t xml:space="preserve">Commonwealth entities that undertake activities involving controlled facilities, controlled apparatus or controlled material must comply with the requirements of the </w:t>
      </w:r>
      <w:r w:rsidR="001701D1" w:rsidRPr="001701D1">
        <w:rPr>
          <w:i/>
        </w:rPr>
        <w:t>Australian Ra</w:t>
      </w:r>
      <w:r w:rsidR="001701D1">
        <w:rPr>
          <w:i/>
        </w:rPr>
        <w:t>diation Protection and Nuclear S</w:t>
      </w:r>
      <w:r w:rsidR="001701D1" w:rsidRPr="001701D1">
        <w:rPr>
          <w:i/>
        </w:rPr>
        <w:t xml:space="preserve">afety </w:t>
      </w:r>
      <w:r w:rsidRPr="001701D1">
        <w:rPr>
          <w:i/>
        </w:rPr>
        <w:t>Act</w:t>
      </w:r>
      <w:r w:rsidR="00076685">
        <w:t xml:space="preserve"> </w:t>
      </w:r>
      <w:r w:rsidR="001701D1">
        <w:t xml:space="preserve">(the Act) </w:t>
      </w:r>
      <w:r w:rsidR="00501788" w:rsidRPr="0098747C">
        <w:t>[1]</w:t>
      </w:r>
      <w:r w:rsidRPr="0098747C">
        <w:t xml:space="preserve"> and </w:t>
      </w:r>
      <w:r w:rsidR="001701D1">
        <w:t xml:space="preserve">the </w:t>
      </w:r>
      <w:r w:rsidR="001701D1" w:rsidRPr="00877BCC">
        <w:t>Australian Radiation Protection and Nuclear Safety Regulations</w:t>
      </w:r>
      <w:r w:rsidR="001701D1">
        <w:t xml:space="preserve"> (</w:t>
      </w:r>
      <w:r w:rsidRPr="0098747C">
        <w:t>the Regulations</w:t>
      </w:r>
      <w:r w:rsidR="001701D1">
        <w:t>)</w:t>
      </w:r>
      <w:r w:rsidR="00076685">
        <w:t xml:space="preserve"> </w:t>
      </w:r>
      <w:r w:rsidR="00501788" w:rsidRPr="0098747C">
        <w:t>[2]</w:t>
      </w:r>
      <w:r w:rsidRPr="0098747C">
        <w:t>.</w:t>
      </w:r>
    </w:p>
    <w:p w:rsidR="002E194F" w:rsidRPr="0098747C" w:rsidRDefault="002E194F" w:rsidP="00496435">
      <w:pPr>
        <w:jc w:val="both"/>
      </w:pPr>
      <w:r w:rsidRPr="0098747C">
        <w:t>The object of the Act is to protect the health and safety of people and the environment from the harmful effects of radiation.</w:t>
      </w:r>
    </w:p>
    <w:p w:rsidR="002E194F" w:rsidRPr="0098747C" w:rsidRDefault="002E194F" w:rsidP="00496435">
      <w:pPr>
        <w:jc w:val="both"/>
      </w:pPr>
      <w:r w:rsidRPr="0098747C">
        <w:t xml:space="preserve">Under the Act, </w:t>
      </w:r>
      <w:r w:rsidR="00873704" w:rsidRPr="0098747C">
        <w:t xml:space="preserve">a controlled person (which includes a </w:t>
      </w:r>
      <w:r w:rsidRPr="0098747C">
        <w:t>Commonwealth entit</w:t>
      </w:r>
      <w:r w:rsidR="00873704" w:rsidRPr="0098747C">
        <w:t>y)</w:t>
      </w:r>
      <w:r w:rsidRPr="0098747C">
        <w:t xml:space="preserve"> </w:t>
      </w:r>
      <w:r w:rsidR="00873704" w:rsidRPr="0098747C">
        <w:t>must not</w:t>
      </w:r>
      <w:r w:rsidRPr="0098747C">
        <w:t xml:space="preserve"> prepare a site for a </w:t>
      </w:r>
      <w:r w:rsidR="00873704" w:rsidRPr="0098747C">
        <w:t xml:space="preserve">controlled </w:t>
      </w:r>
      <w:r w:rsidRPr="0098747C">
        <w:t xml:space="preserve">facility, construct, possess </w:t>
      </w:r>
      <w:r w:rsidR="00873704" w:rsidRPr="0098747C">
        <w:t xml:space="preserve">or </w:t>
      </w:r>
      <w:r w:rsidRPr="0098747C">
        <w:t xml:space="preserve">control, operate, or decommission, dispose of or abandon a </w:t>
      </w:r>
      <w:r w:rsidR="00873704" w:rsidRPr="0098747C">
        <w:t xml:space="preserve">controlled </w:t>
      </w:r>
      <w:r w:rsidRPr="0098747C">
        <w:t xml:space="preserve">facility </w:t>
      </w:r>
      <w:r w:rsidR="00873704" w:rsidRPr="0098747C">
        <w:t>unless the person is authorised to do so by a facility licence or is exempt</w:t>
      </w:r>
      <w:r w:rsidRPr="0098747C">
        <w:t xml:space="preserve">.  </w:t>
      </w:r>
    </w:p>
    <w:p w:rsidR="002E194F" w:rsidRPr="0098747C" w:rsidRDefault="002E194F" w:rsidP="00496435">
      <w:pPr>
        <w:jc w:val="both"/>
      </w:pPr>
      <w:r w:rsidRPr="0098747C">
        <w:t>A facility licence is a licence issued by the C</w:t>
      </w:r>
      <w:r w:rsidR="001701D1">
        <w:t>hief Executive Officer (C</w:t>
      </w:r>
      <w:r w:rsidRPr="0098747C">
        <w:t>EO</w:t>
      </w:r>
      <w:r w:rsidR="001701D1">
        <w:t>)</w:t>
      </w:r>
      <w:r w:rsidRPr="0098747C">
        <w:t xml:space="preserve"> of</w:t>
      </w:r>
      <w:r w:rsidR="001701D1">
        <w:t xml:space="preserve"> the Australian </w:t>
      </w:r>
      <w:r w:rsidR="00B929F1">
        <w:t>R</w:t>
      </w:r>
      <w:r w:rsidR="001701D1">
        <w:t xml:space="preserve">adiation Protection and Nuclear </w:t>
      </w:r>
      <w:r w:rsidR="00B929F1">
        <w:t>S</w:t>
      </w:r>
      <w:r w:rsidR="001701D1">
        <w:t>afety Agency</w:t>
      </w:r>
      <w:r w:rsidRPr="0098747C">
        <w:t xml:space="preserve"> </w:t>
      </w:r>
      <w:r w:rsidR="001701D1">
        <w:t>(</w:t>
      </w:r>
      <w:r w:rsidRPr="0098747C">
        <w:t>ARPANSA</w:t>
      </w:r>
      <w:r w:rsidR="001701D1">
        <w:t>)</w:t>
      </w:r>
      <w:r w:rsidRPr="0098747C">
        <w:t xml:space="preserve">. </w:t>
      </w:r>
    </w:p>
    <w:p w:rsidR="002E194F" w:rsidRPr="0098747C" w:rsidRDefault="002E194F" w:rsidP="00496435">
      <w:pPr>
        <w:jc w:val="both"/>
      </w:pPr>
      <w:r w:rsidRPr="0098747C">
        <w:t>In the case of this application, the applicant, Dr Adrian Paterson</w:t>
      </w:r>
      <w:r w:rsidR="00003D6C">
        <w:t>,</w:t>
      </w:r>
      <w:r w:rsidRPr="0098747C">
        <w:t xml:space="preserve"> the CEO of ANSTO seeks a facility licence under </w:t>
      </w:r>
      <w:r w:rsidR="00840FA6" w:rsidRPr="0098747C">
        <w:t>sub-</w:t>
      </w:r>
      <w:r w:rsidRPr="0098747C">
        <w:t xml:space="preserve">section 32(1) of the Act to </w:t>
      </w:r>
      <w:r w:rsidR="001701D1">
        <w:t>construct</w:t>
      </w:r>
      <w:r w:rsidRPr="0098747C">
        <w:t xml:space="preserve"> the controlled facility known as the </w:t>
      </w:r>
      <w:r w:rsidR="00295C23" w:rsidRPr="0098747C">
        <w:t xml:space="preserve">ANSTO </w:t>
      </w:r>
      <w:r w:rsidR="00F35A4A">
        <w:t xml:space="preserve">Interim Waste Store </w:t>
      </w:r>
      <w:r w:rsidR="004079E9" w:rsidRPr="0098747C">
        <w:t>(</w:t>
      </w:r>
      <w:r w:rsidR="00F35A4A">
        <w:t>IWS</w:t>
      </w:r>
      <w:r w:rsidR="004079E9" w:rsidRPr="0098747C">
        <w:t>)</w:t>
      </w:r>
      <w:r w:rsidRPr="0098747C">
        <w:t xml:space="preserve">. </w:t>
      </w:r>
    </w:p>
    <w:p w:rsidR="002E194F" w:rsidRDefault="002E194F" w:rsidP="00496435">
      <w:pPr>
        <w:jc w:val="both"/>
      </w:pPr>
      <w:r w:rsidRPr="0098747C">
        <w:t xml:space="preserve">The Act defines a controlled facility as either a nuclear installation or a prescribed radiation facility. The </w:t>
      </w:r>
      <w:r w:rsidR="00F35A4A">
        <w:t>IWS</w:t>
      </w:r>
      <w:r w:rsidR="00EA372A">
        <w:t xml:space="preserve"> </w:t>
      </w:r>
      <w:r w:rsidR="00F35A4A">
        <w:t>f</w:t>
      </w:r>
      <w:r w:rsidR="00EA372A">
        <w:t>acility</w:t>
      </w:r>
      <w:r w:rsidRPr="0098747C">
        <w:t xml:space="preserve"> is a </w:t>
      </w:r>
      <w:r w:rsidR="009947DE" w:rsidRPr="0098747C">
        <w:t xml:space="preserve">nuclear installation </w:t>
      </w:r>
      <w:r w:rsidRPr="0098747C">
        <w:t xml:space="preserve">as defined in regulation </w:t>
      </w:r>
      <w:r w:rsidR="00621D57">
        <w:t>7</w:t>
      </w:r>
      <w:r w:rsidR="00877BCC">
        <w:t>.</w:t>
      </w:r>
    </w:p>
    <w:p w:rsidR="002E194F" w:rsidRPr="000B5FEC" w:rsidRDefault="002E194F" w:rsidP="000B5FEC">
      <w:pPr>
        <w:pStyle w:val="Heading2"/>
      </w:pPr>
      <w:bookmarkStart w:id="4" w:name="_Toc13047970"/>
      <w:bookmarkStart w:id="5" w:name="_Toc13454281"/>
      <w:bookmarkStart w:id="6" w:name="_Toc35926811"/>
      <w:bookmarkStart w:id="7" w:name="_Toc297107178"/>
      <w:bookmarkStart w:id="8" w:name="_Toc417974583"/>
      <w:r w:rsidRPr="000B5FEC">
        <w:t>R</w:t>
      </w:r>
      <w:r w:rsidR="00EF1AB6" w:rsidRPr="000B5FEC">
        <w:t>eceipt of Application</w:t>
      </w:r>
      <w:bookmarkEnd w:id="4"/>
      <w:bookmarkEnd w:id="5"/>
      <w:bookmarkEnd w:id="6"/>
      <w:bookmarkEnd w:id="7"/>
      <w:bookmarkEnd w:id="8"/>
      <w:r w:rsidRPr="000B5FEC">
        <w:t xml:space="preserve"> </w:t>
      </w:r>
    </w:p>
    <w:p w:rsidR="002E194F" w:rsidRPr="00F35A4A" w:rsidRDefault="002E194F" w:rsidP="00496435">
      <w:pPr>
        <w:jc w:val="both"/>
        <w:rPr>
          <w:highlight w:val="yellow"/>
        </w:rPr>
      </w:pPr>
      <w:r w:rsidRPr="00263319">
        <w:t>In accordance with the requirements of the Act,</w:t>
      </w:r>
      <w:r w:rsidR="00E24E21" w:rsidRPr="00263319">
        <w:t xml:space="preserve"> the </w:t>
      </w:r>
      <w:r w:rsidRPr="00263319">
        <w:t xml:space="preserve">CEO of ANSTO submitted an application for a facility licence on </w:t>
      </w:r>
      <w:r w:rsidR="00263319" w:rsidRPr="00263319">
        <w:t>10</w:t>
      </w:r>
      <w:r w:rsidR="009527D2" w:rsidRPr="00263319">
        <w:t xml:space="preserve"> </w:t>
      </w:r>
      <w:r w:rsidR="00026378" w:rsidRPr="00263319">
        <w:t>November</w:t>
      </w:r>
      <w:r w:rsidR="00A42E34" w:rsidRPr="00263319">
        <w:t xml:space="preserve"> 201</w:t>
      </w:r>
      <w:r w:rsidR="008D165C">
        <w:t>4</w:t>
      </w:r>
      <w:r w:rsidRPr="00263319">
        <w:t>.  The application is in an acceptable form</w:t>
      </w:r>
      <w:r w:rsidR="00134E7B" w:rsidRPr="00263319">
        <w:t>. T</w:t>
      </w:r>
      <w:r w:rsidRPr="00263319">
        <w:t xml:space="preserve">he appropriate </w:t>
      </w:r>
      <w:r w:rsidR="005B3C41" w:rsidRPr="00263319">
        <w:t xml:space="preserve">application </w:t>
      </w:r>
      <w:r w:rsidRPr="00263319">
        <w:t>fee</w:t>
      </w:r>
      <w:r w:rsidR="005B3C41" w:rsidRPr="00263319">
        <w:t xml:space="preserve"> has been paid</w:t>
      </w:r>
      <w:r w:rsidRPr="00263319">
        <w:t>.</w:t>
      </w:r>
    </w:p>
    <w:p w:rsidR="002E194F" w:rsidRPr="00F35A4A" w:rsidRDefault="002E194F" w:rsidP="00496435">
      <w:pPr>
        <w:jc w:val="both"/>
        <w:rPr>
          <w:highlight w:val="yellow"/>
        </w:rPr>
      </w:pPr>
      <w:r w:rsidRPr="008D165C">
        <w:t xml:space="preserve">As required by the Regulations, the CEO </w:t>
      </w:r>
      <w:r w:rsidR="002F6F4E" w:rsidRPr="008D165C">
        <w:t xml:space="preserve">of ARPANSA </w:t>
      </w:r>
      <w:r w:rsidRPr="008D165C">
        <w:t xml:space="preserve">published a notice in </w:t>
      </w:r>
      <w:r w:rsidRPr="008D165C">
        <w:rPr>
          <w:i/>
        </w:rPr>
        <w:t>The Australian</w:t>
      </w:r>
      <w:r w:rsidRPr="008D165C">
        <w:t xml:space="preserve"> </w:t>
      </w:r>
      <w:r w:rsidR="00EE0D2B" w:rsidRPr="008D165C">
        <w:t xml:space="preserve">newspaper </w:t>
      </w:r>
      <w:r w:rsidRPr="008D165C">
        <w:t>and in the</w:t>
      </w:r>
      <w:r w:rsidRPr="008D165C">
        <w:rPr>
          <w:i/>
        </w:rPr>
        <w:t xml:space="preserve"> Australia</w:t>
      </w:r>
      <w:r w:rsidR="00D22A99" w:rsidRPr="008D165C">
        <w:rPr>
          <w:i/>
        </w:rPr>
        <w:t>n</w:t>
      </w:r>
      <w:r w:rsidR="00EE0D2B" w:rsidRPr="008D165C">
        <w:rPr>
          <w:i/>
        </w:rPr>
        <w:t xml:space="preserve"> Government</w:t>
      </w:r>
      <w:r w:rsidRPr="008D165C">
        <w:rPr>
          <w:i/>
        </w:rPr>
        <w:t xml:space="preserve"> Gazette</w:t>
      </w:r>
      <w:r w:rsidRPr="008D165C">
        <w:t xml:space="preserve"> (</w:t>
      </w:r>
      <w:r w:rsidR="00100CD9" w:rsidRPr="008D165C">
        <w:t>C201</w:t>
      </w:r>
      <w:r w:rsidR="00026378" w:rsidRPr="008D165C">
        <w:t>4G</w:t>
      </w:r>
      <w:r w:rsidR="00421046">
        <w:t>02040</w:t>
      </w:r>
      <w:r w:rsidR="000B7F6D" w:rsidRPr="008D165C">
        <w:t>)</w:t>
      </w:r>
      <w:r w:rsidRPr="008D165C">
        <w:t xml:space="preserve"> on </w:t>
      </w:r>
      <w:r w:rsidR="008D165C" w:rsidRPr="008D165C">
        <w:t>10 December</w:t>
      </w:r>
      <w:r w:rsidR="00026378" w:rsidRPr="008D165C">
        <w:t xml:space="preserve"> 2014</w:t>
      </w:r>
      <w:r w:rsidRPr="008D165C">
        <w:t xml:space="preserve">, notifying the receipt of a facility </w:t>
      </w:r>
      <w:r w:rsidR="00E33C14" w:rsidRPr="008D165C">
        <w:t xml:space="preserve">licence </w:t>
      </w:r>
      <w:r w:rsidRPr="008D165C">
        <w:t xml:space="preserve">application from ANSTO and his intention to make a decision on the application. </w:t>
      </w:r>
    </w:p>
    <w:p w:rsidR="002E194F" w:rsidRDefault="002E194F" w:rsidP="00496435">
      <w:pPr>
        <w:jc w:val="both"/>
      </w:pPr>
      <w:r w:rsidRPr="00263319">
        <w:t>Additional information subsequently obtained from the applicant forms part of the</w:t>
      </w:r>
      <w:r w:rsidR="00496435">
        <w:t xml:space="preserve"> </w:t>
      </w:r>
      <w:r w:rsidRPr="00263319">
        <w:t>application.</w:t>
      </w:r>
    </w:p>
    <w:p w:rsidR="002E194F" w:rsidRPr="00407317" w:rsidRDefault="002E194F" w:rsidP="000B5FEC">
      <w:pPr>
        <w:pStyle w:val="Heading2"/>
      </w:pPr>
      <w:bookmarkStart w:id="9" w:name="_Toc492201626"/>
      <w:bookmarkStart w:id="10" w:name="_Toc492280663"/>
      <w:bookmarkStart w:id="11" w:name="_Toc492282532"/>
      <w:bookmarkStart w:id="12" w:name="_Toc492201630"/>
      <w:bookmarkStart w:id="13" w:name="_Toc492280667"/>
      <w:bookmarkStart w:id="14" w:name="_Toc492282534"/>
      <w:bookmarkStart w:id="15" w:name="_Toc493304019"/>
      <w:bookmarkStart w:id="16" w:name="_Toc497727917"/>
      <w:bookmarkStart w:id="17" w:name="_Toc13047974"/>
      <w:bookmarkStart w:id="18" w:name="_Toc13454285"/>
      <w:bookmarkStart w:id="19" w:name="_Toc35926812"/>
      <w:bookmarkStart w:id="20" w:name="_Toc297107179"/>
      <w:bookmarkStart w:id="21" w:name="_Toc388608044"/>
      <w:bookmarkStart w:id="22" w:name="_Toc417974584"/>
      <w:r w:rsidRPr="00407317">
        <w:t>P</w:t>
      </w:r>
      <w:r w:rsidR="00EF1AB6">
        <w:t>urpose and Format</w:t>
      </w:r>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F6F4E" w:rsidRDefault="002E194F" w:rsidP="00496435">
      <w:pPr>
        <w:jc w:val="both"/>
      </w:pPr>
      <w:r w:rsidRPr="0098747C">
        <w:t>The objective of this report is to document the assessment of information</w:t>
      </w:r>
      <w:r w:rsidR="002F6F4E">
        <w:t>, by the ARPANSA assessor,</w:t>
      </w:r>
      <w:r w:rsidRPr="0098747C">
        <w:t xml:space="preserve"> contained in ANSTO‘s application against the criteria set out in the Act and Regulations</w:t>
      </w:r>
      <w:r w:rsidR="002F6F4E">
        <w:t>, and to make recommendations to the CEO about a decision on the application.</w:t>
      </w:r>
    </w:p>
    <w:p w:rsidR="002F6F4E" w:rsidRDefault="002F6F4E" w:rsidP="00496435">
      <w:pPr>
        <w:jc w:val="both"/>
      </w:pPr>
      <w:r>
        <w:t>The purpose of the review is to determine whether</w:t>
      </w:r>
      <w:r w:rsidR="004561EB">
        <w:t xml:space="preserve"> </w:t>
      </w:r>
      <w:r>
        <w:t xml:space="preserve">the conduct of </w:t>
      </w:r>
      <w:r w:rsidR="008D165C">
        <w:t xml:space="preserve">operation can be carried out </w:t>
      </w:r>
      <w:r>
        <w:t>for its purpose while protecting</w:t>
      </w:r>
      <w:r w:rsidR="000C4993">
        <w:t xml:space="preserve"> health and safety of</w:t>
      </w:r>
      <w:r>
        <w:t xml:space="preserve"> people and the environment from the harmful effects of radiation.</w:t>
      </w:r>
    </w:p>
    <w:p w:rsidR="002E194F" w:rsidRPr="0098747C" w:rsidRDefault="002E194F" w:rsidP="00496435">
      <w:pPr>
        <w:jc w:val="both"/>
      </w:pPr>
      <w:r w:rsidRPr="0098747C">
        <w:t xml:space="preserve">Consideration is given to the matters to be taken into account by the CEO under </w:t>
      </w:r>
      <w:r w:rsidR="00840FA6" w:rsidRPr="0098747C">
        <w:t>sub-s</w:t>
      </w:r>
      <w:r w:rsidRPr="0098747C">
        <w:t>ection 32(3) of the Act, that is, international best practice in radiation protection and nuclear safety</w:t>
      </w:r>
      <w:r w:rsidR="005C7B45" w:rsidRPr="0098747C">
        <w:t xml:space="preserve"> as it relates to the </w:t>
      </w:r>
      <w:r w:rsidR="005C7B45" w:rsidRPr="0098747C">
        <w:lastRenderedPageBreak/>
        <w:t>application</w:t>
      </w:r>
      <w:r w:rsidRPr="0098747C">
        <w:t>, those matters set out in regulation 41</w:t>
      </w:r>
      <w:r w:rsidR="004D7E91" w:rsidRPr="0098747C">
        <w:t xml:space="preserve"> and information obtained under Part 1 of Schedule 3 to the Regulations</w:t>
      </w:r>
      <w:r w:rsidRPr="0098747C">
        <w:t>.</w:t>
      </w:r>
    </w:p>
    <w:p w:rsidR="002E194F" w:rsidRPr="0098747C" w:rsidRDefault="002E194F" w:rsidP="00C3599E">
      <w:pPr>
        <w:spacing w:line="240" w:lineRule="auto"/>
        <w:jc w:val="both"/>
      </w:pPr>
      <w:r w:rsidRPr="0098747C">
        <w:t xml:space="preserve">Section 2 of this report details the review of information contained in the application. The conclusions of the ARPANSA assessor appear in Section </w:t>
      </w:r>
      <w:r w:rsidR="00D22A99" w:rsidRPr="0098747C">
        <w:t xml:space="preserve">4 </w:t>
      </w:r>
      <w:r w:rsidRPr="0098747C">
        <w:t xml:space="preserve">and inform the assessment of matters to be taken into account by the CEO in making a decision on the application. Section </w:t>
      </w:r>
      <w:r w:rsidR="00D22A99" w:rsidRPr="0098747C">
        <w:t xml:space="preserve">5 </w:t>
      </w:r>
      <w:r w:rsidRPr="0098747C">
        <w:t xml:space="preserve">sets out the assessor’s recommendations to the CEO regarding the issue of a licence and any licence conditions. </w:t>
      </w:r>
    </w:p>
    <w:p w:rsidR="002E194F" w:rsidRPr="0098747C" w:rsidRDefault="002E194F" w:rsidP="00C3599E">
      <w:pPr>
        <w:spacing w:line="240" w:lineRule="auto"/>
        <w:jc w:val="both"/>
      </w:pPr>
      <w:r w:rsidRPr="0098747C">
        <w:t xml:space="preserve">The assessor relied on the following documents and information in </w:t>
      </w:r>
      <w:r w:rsidR="000214F6" w:rsidRPr="0098747C">
        <w:t xml:space="preserve">developing </w:t>
      </w:r>
      <w:r w:rsidR="005C7B45" w:rsidRPr="0098747C">
        <w:t xml:space="preserve">his </w:t>
      </w:r>
      <w:r w:rsidRPr="0098747C">
        <w:t>recommendations to the CEO:</w:t>
      </w:r>
    </w:p>
    <w:p w:rsidR="002E194F" w:rsidRPr="0098747C" w:rsidRDefault="0044382D" w:rsidP="0044382D">
      <w:pPr>
        <w:pStyle w:val="ListParagraph"/>
        <w:numPr>
          <w:ilvl w:val="0"/>
          <w:numId w:val="3"/>
        </w:numPr>
        <w:ind w:left="709" w:hanging="283"/>
        <w:jc w:val="both"/>
      </w:pPr>
      <w:r>
        <w:t>T</w:t>
      </w:r>
      <w:r w:rsidR="002E194F" w:rsidRPr="0098747C">
        <w:t>he information contained in the initial application (</w:t>
      </w:r>
      <w:r w:rsidR="00B7774D">
        <w:t>A0292</w:t>
      </w:r>
      <w:r w:rsidR="002E194F" w:rsidRPr="0098747C">
        <w:t>)</w:t>
      </w:r>
      <w:r>
        <w:t>.</w:t>
      </w:r>
    </w:p>
    <w:p w:rsidR="002E194F" w:rsidRPr="0098747C" w:rsidRDefault="0044382D" w:rsidP="0044382D">
      <w:pPr>
        <w:pStyle w:val="ListParagraph"/>
        <w:numPr>
          <w:ilvl w:val="0"/>
          <w:numId w:val="3"/>
        </w:numPr>
        <w:ind w:left="709" w:hanging="283"/>
        <w:jc w:val="both"/>
      </w:pPr>
      <w:r>
        <w:t>A</w:t>
      </w:r>
      <w:r w:rsidR="00872C85" w:rsidRPr="0098747C">
        <w:t>dditional i</w:t>
      </w:r>
      <w:r w:rsidR="002E194F" w:rsidRPr="0098747C">
        <w:t>nformation obtained from the app</w:t>
      </w:r>
      <w:r w:rsidR="00C836CF" w:rsidRPr="0098747C">
        <w:t xml:space="preserve">licant following receipt of </w:t>
      </w:r>
      <w:r w:rsidR="002E194F" w:rsidRPr="0098747C">
        <w:t>the application</w:t>
      </w:r>
      <w:r>
        <w:t>.</w:t>
      </w:r>
    </w:p>
    <w:p w:rsidR="002E194F" w:rsidRPr="0098747C" w:rsidRDefault="0044382D" w:rsidP="0044382D">
      <w:pPr>
        <w:pStyle w:val="ListParagraph"/>
        <w:numPr>
          <w:ilvl w:val="0"/>
          <w:numId w:val="3"/>
        </w:numPr>
        <w:ind w:left="709" w:hanging="283"/>
        <w:jc w:val="both"/>
      </w:pPr>
      <w:r>
        <w:t>M</w:t>
      </w:r>
      <w:r w:rsidR="002E194F" w:rsidRPr="0098747C">
        <w:t>eetings and discussions with the applicant and/or their representatives</w:t>
      </w:r>
      <w:r>
        <w:t>.</w:t>
      </w:r>
    </w:p>
    <w:p w:rsidR="002E194F" w:rsidRDefault="0044382D" w:rsidP="0044382D">
      <w:pPr>
        <w:pStyle w:val="ListParagraph"/>
        <w:numPr>
          <w:ilvl w:val="0"/>
          <w:numId w:val="3"/>
        </w:numPr>
        <w:ind w:left="709" w:hanging="283"/>
        <w:jc w:val="both"/>
      </w:pPr>
      <w:r>
        <w:t>O</w:t>
      </w:r>
      <w:r w:rsidR="002E194F" w:rsidRPr="0098747C">
        <w:t>ther</w:t>
      </w:r>
      <w:r>
        <w:t xml:space="preserve"> </w:t>
      </w:r>
      <w:r w:rsidR="002E194F" w:rsidRPr="0098747C">
        <w:t>documents referred to in the body of this report.</w:t>
      </w:r>
      <w:r>
        <w:t xml:space="preserve"> </w:t>
      </w:r>
    </w:p>
    <w:p w:rsidR="002E194F" w:rsidRPr="00407317" w:rsidRDefault="002E194F" w:rsidP="000B5FEC">
      <w:pPr>
        <w:pStyle w:val="Heading2"/>
      </w:pPr>
      <w:bookmarkStart w:id="23" w:name="_Hlt16049211"/>
      <w:bookmarkStart w:id="24" w:name="_Toc35926813"/>
      <w:bookmarkStart w:id="25" w:name="_Toc297107180"/>
      <w:bookmarkStart w:id="26" w:name="_Toc417974585"/>
      <w:bookmarkEnd w:id="23"/>
      <w:r w:rsidRPr="00407317">
        <w:t>A</w:t>
      </w:r>
      <w:r w:rsidR="00EF1AB6">
        <w:t>ssessment Process</w:t>
      </w:r>
      <w:bookmarkEnd w:id="24"/>
      <w:bookmarkEnd w:id="25"/>
      <w:bookmarkEnd w:id="26"/>
    </w:p>
    <w:p w:rsidR="002E194F" w:rsidRPr="0098747C" w:rsidRDefault="002E194F" w:rsidP="00253B52">
      <w:r w:rsidRPr="0098747C">
        <w:t xml:space="preserve">The following documents </w:t>
      </w:r>
      <w:r w:rsidR="004561EB">
        <w:t>were</w:t>
      </w:r>
      <w:r w:rsidRPr="0098747C">
        <w:t xml:space="preserve"> used in the assessment of this application:</w:t>
      </w:r>
    </w:p>
    <w:p w:rsidR="009527D2" w:rsidRPr="0098747C" w:rsidRDefault="009527D2" w:rsidP="00B47A72">
      <w:pPr>
        <w:pStyle w:val="ListParagraph"/>
        <w:numPr>
          <w:ilvl w:val="0"/>
          <w:numId w:val="6"/>
        </w:numPr>
        <w:jc w:val="both"/>
      </w:pPr>
      <w:r w:rsidRPr="0098747C">
        <w:rPr>
          <w:i/>
        </w:rPr>
        <w:t>Australian Radiation Protection and Nuclear Safety Act 1998</w:t>
      </w:r>
      <w:r w:rsidRPr="0098747C">
        <w:t>[1]</w:t>
      </w:r>
    </w:p>
    <w:p w:rsidR="009527D2" w:rsidRPr="0098747C" w:rsidRDefault="009527D2" w:rsidP="00B47A72">
      <w:pPr>
        <w:pStyle w:val="ListParagraph"/>
        <w:numPr>
          <w:ilvl w:val="0"/>
          <w:numId w:val="6"/>
        </w:numPr>
        <w:jc w:val="both"/>
        <w:rPr>
          <w:i/>
        </w:rPr>
      </w:pPr>
      <w:r w:rsidRPr="0098747C">
        <w:t>Australian Radiation Protection and Nuclear Safety Regulations 1999[2]</w:t>
      </w:r>
    </w:p>
    <w:p w:rsidR="009527D2" w:rsidRPr="0098747C" w:rsidRDefault="009527D2" w:rsidP="00496435">
      <w:pPr>
        <w:pStyle w:val="ListParagraph"/>
        <w:numPr>
          <w:ilvl w:val="0"/>
          <w:numId w:val="6"/>
        </w:numPr>
        <w:ind w:left="714" w:hanging="357"/>
        <w:jc w:val="both"/>
      </w:pPr>
      <w:r w:rsidRPr="0098747C">
        <w:t xml:space="preserve">Australian Radiation Protection and Nuclear Safety Agency, </w:t>
      </w:r>
      <w:r w:rsidRPr="0098747C">
        <w:rPr>
          <w:i/>
        </w:rPr>
        <w:t>Regulatory Guide: Plans &amp; Arrangements for Managing Safety</w:t>
      </w:r>
      <w:r w:rsidRPr="0098747C">
        <w:t xml:space="preserve"> v</w:t>
      </w:r>
      <w:r w:rsidR="00C16E55">
        <w:t>5</w:t>
      </w:r>
      <w:r w:rsidRPr="0098747C">
        <w:t xml:space="preserve"> (RG) (</w:t>
      </w:r>
      <w:r w:rsidR="00C16E55">
        <w:t>May</w:t>
      </w:r>
      <w:r w:rsidRPr="0098747C">
        <w:t xml:space="preserve"> 201</w:t>
      </w:r>
      <w:r w:rsidR="00C16E55">
        <w:t>4</w:t>
      </w:r>
      <w:r w:rsidRPr="0098747C">
        <w:t>) [3]</w:t>
      </w:r>
    </w:p>
    <w:p w:rsidR="009527D2" w:rsidRPr="0098747C" w:rsidRDefault="00C05A02" w:rsidP="00B47A72">
      <w:pPr>
        <w:pStyle w:val="ListParagraph"/>
        <w:numPr>
          <w:ilvl w:val="0"/>
          <w:numId w:val="6"/>
        </w:numPr>
        <w:jc w:val="both"/>
      </w:pPr>
      <w:r w:rsidRPr="0098747C">
        <w:t xml:space="preserve">Australian Radiation Protection and Nuclear Safety Agency, </w:t>
      </w:r>
      <w:r w:rsidRPr="0098747C">
        <w:rPr>
          <w:i/>
        </w:rPr>
        <w:t>Regulatory Assessment Principles for Controlled Facilities</w:t>
      </w:r>
      <w:r w:rsidR="00D649E4" w:rsidRPr="0098747C">
        <w:rPr>
          <w:i/>
        </w:rPr>
        <w:t xml:space="preserve"> </w:t>
      </w:r>
      <w:r w:rsidR="00D649E4" w:rsidRPr="00877BCC">
        <w:rPr>
          <w:i/>
        </w:rPr>
        <w:t>(RAPS)</w:t>
      </w:r>
      <w:r w:rsidRPr="00877BCC">
        <w:rPr>
          <w:i/>
        </w:rPr>
        <w:t>,</w:t>
      </w:r>
      <w:r w:rsidRPr="0098747C">
        <w:t xml:space="preserve"> ARPANSA, RB-STD-42-00, Revision 1, October 2001 </w:t>
      </w:r>
      <w:r w:rsidR="009527D2" w:rsidRPr="0098747C">
        <w:t>[4]</w:t>
      </w:r>
    </w:p>
    <w:p w:rsidR="00AD148D" w:rsidRDefault="002B6406" w:rsidP="00B47A72">
      <w:pPr>
        <w:pStyle w:val="ListParagraph"/>
        <w:numPr>
          <w:ilvl w:val="0"/>
          <w:numId w:val="6"/>
        </w:numPr>
        <w:spacing w:after="120"/>
        <w:ind w:left="714" w:hanging="357"/>
        <w:jc w:val="both"/>
      </w:pPr>
      <w:r w:rsidRPr="0060066D">
        <w:rPr>
          <w:noProof/>
        </w:rPr>
        <w:t xml:space="preserve">ARPANSA, </w:t>
      </w:r>
      <w:r w:rsidRPr="00877BCC">
        <w:rPr>
          <w:i/>
          <w:noProof/>
        </w:rPr>
        <w:t>Regulatory Guide: Licensing of Radioactive Waste Storage and Disposal Facilities,</w:t>
      </w:r>
      <w:r w:rsidRPr="001603EB">
        <w:rPr>
          <w:noProof/>
        </w:rPr>
        <w:t xml:space="preserve"> v2, OS-LA-SUP-240L, March 2013</w:t>
      </w:r>
      <w:r>
        <w:rPr>
          <w:noProof/>
        </w:rPr>
        <w:t xml:space="preserve"> </w:t>
      </w:r>
      <w:r w:rsidR="000D0B78" w:rsidRPr="0098747C">
        <w:t>[</w:t>
      </w:r>
      <w:r w:rsidR="00A32C85">
        <w:t>5</w:t>
      </w:r>
      <w:r w:rsidR="000D0B78" w:rsidRPr="0098747C">
        <w:t>]</w:t>
      </w:r>
      <w:r w:rsidR="00AD148D" w:rsidRPr="0098747C">
        <w:t xml:space="preserve"> </w:t>
      </w:r>
    </w:p>
    <w:p w:rsidR="002E194F" w:rsidRPr="00407317" w:rsidRDefault="002E194F" w:rsidP="000B5FEC">
      <w:pPr>
        <w:pStyle w:val="Heading2"/>
      </w:pPr>
      <w:bookmarkStart w:id="27" w:name="_Toc35926814"/>
      <w:bookmarkStart w:id="28" w:name="_Toc297107181"/>
      <w:bookmarkStart w:id="29" w:name="_Toc417974586"/>
      <w:r w:rsidRPr="00407317">
        <w:t>L</w:t>
      </w:r>
      <w:r w:rsidR="00EF1AB6">
        <w:t>egislative Framework</w:t>
      </w:r>
      <w:bookmarkEnd w:id="27"/>
      <w:bookmarkEnd w:id="28"/>
      <w:bookmarkEnd w:id="29"/>
    </w:p>
    <w:p w:rsidR="002E194F" w:rsidRPr="0098747C" w:rsidRDefault="002E194F" w:rsidP="00496435">
      <w:pPr>
        <w:pStyle w:val="BodyText2"/>
        <w:jc w:val="both"/>
      </w:pPr>
      <w:r w:rsidRPr="0098747C">
        <w:t xml:space="preserve">Under sub-section 30(1) of the Act, a controlled person must not prepare a site for a </w:t>
      </w:r>
      <w:r w:rsidR="00A7691F" w:rsidRPr="0098747C">
        <w:t xml:space="preserve">controlled </w:t>
      </w:r>
      <w:r w:rsidRPr="0098747C">
        <w:t xml:space="preserve">facility, construct, possess </w:t>
      </w:r>
      <w:r w:rsidR="00873704" w:rsidRPr="0098747C">
        <w:t xml:space="preserve">or </w:t>
      </w:r>
      <w:r w:rsidRPr="0098747C">
        <w:t xml:space="preserve">control, operate, or decommission, dispose of or abandon a </w:t>
      </w:r>
      <w:r w:rsidR="00A7691F" w:rsidRPr="0098747C">
        <w:t xml:space="preserve">controlled </w:t>
      </w:r>
      <w:r w:rsidRPr="0098747C">
        <w:t>facility unless authorised to do so by a facility licence, or unless the controlled person is exempted in relation to the conduct concerned under the Regulations.</w:t>
      </w:r>
    </w:p>
    <w:p w:rsidR="002E194F" w:rsidRPr="0098747C" w:rsidRDefault="002E194F" w:rsidP="00C3599E">
      <w:pPr>
        <w:spacing w:line="240" w:lineRule="auto"/>
        <w:jc w:val="both"/>
      </w:pPr>
      <w:r w:rsidRPr="0098747C">
        <w:t xml:space="preserve">Sub-section 32(3) of the Act </w:t>
      </w:r>
      <w:r w:rsidR="00253B52" w:rsidRPr="0098747C">
        <w:t>states</w:t>
      </w:r>
      <w:r w:rsidRPr="0098747C">
        <w:t>:</w:t>
      </w:r>
    </w:p>
    <w:p w:rsidR="002E194F" w:rsidRPr="0098747C" w:rsidRDefault="00EF1AB6" w:rsidP="00496435">
      <w:pPr>
        <w:tabs>
          <w:tab w:val="left" w:pos="426"/>
        </w:tabs>
        <w:ind w:left="425" w:right="765"/>
        <w:jc w:val="both"/>
        <w:rPr>
          <w:i/>
        </w:rPr>
      </w:pPr>
      <w:r>
        <w:rPr>
          <w:i/>
        </w:rPr>
        <w:t>“</w:t>
      </w:r>
      <w:r w:rsidR="002E194F" w:rsidRPr="0098747C">
        <w:rPr>
          <w:i/>
        </w:rPr>
        <w:t>In deciding whether to issue a licence under subsection (1), the CEO must take into account</w:t>
      </w:r>
      <w:r w:rsidR="00B929F1">
        <w:rPr>
          <w:i/>
        </w:rPr>
        <w:t xml:space="preserve"> </w:t>
      </w:r>
      <w:r w:rsidR="002E194F" w:rsidRPr="0098747C">
        <w:rPr>
          <w:i/>
        </w:rPr>
        <w:t>the matters (if any) specified in the regulations, and must also take into account international best practice in relation to radiation protection and nuclear safety.</w:t>
      </w:r>
      <w:r>
        <w:rPr>
          <w:i/>
        </w:rPr>
        <w:t>”</w:t>
      </w:r>
    </w:p>
    <w:p w:rsidR="002E194F" w:rsidRPr="0098747C" w:rsidRDefault="002E194F" w:rsidP="00496435">
      <w:pPr>
        <w:pStyle w:val="BodyText2"/>
        <w:jc w:val="both"/>
      </w:pPr>
      <w:r w:rsidRPr="0098747C">
        <w:t xml:space="preserve">In addition to international best practice in radiation protection and nuclear safety, the CEO must also take into account the following matters </w:t>
      </w:r>
      <w:r w:rsidR="005F71CB" w:rsidRPr="0098747C">
        <w:t>listed in sub-r</w:t>
      </w:r>
      <w:r w:rsidRPr="0098747C">
        <w:t>egulation 41(3):</w:t>
      </w:r>
    </w:p>
    <w:p w:rsidR="002E194F" w:rsidRPr="0098747C" w:rsidRDefault="002E194F" w:rsidP="00496435">
      <w:pPr>
        <w:numPr>
          <w:ilvl w:val="0"/>
          <w:numId w:val="1"/>
        </w:numPr>
        <w:ind w:left="1145"/>
        <w:jc w:val="both"/>
        <w:rPr>
          <w:i/>
        </w:rPr>
      </w:pPr>
      <w:r w:rsidRPr="0098747C">
        <w:rPr>
          <w:i/>
        </w:rPr>
        <w:t>whether the applicant includes the information asked for by the CEO; and</w:t>
      </w:r>
    </w:p>
    <w:p w:rsidR="002E194F" w:rsidRPr="0098747C" w:rsidRDefault="002E194F" w:rsidP="00496435">
      <w:pPr>
        <w:numPr>
          <w:ilvl w:val="0"/>
          <w:numId w:val="1"/>
        </w:numPr>
        <w:ind w:left="1145"/>
        <w:jc w:val="both"/>
        <w:rPr>
          <w:i/>
        </w:rPr>
      </w:pPr>
      <w:r w:rsidRPr="0098747C">
        <w:rPr>
          <w:i/>
        </w:rPr>
        <w:lastRenderedPageBreak/>
        <w:t>whether the information establishes that the proposed conduct can be carried out without undue risk to the health and safety of people and to the environment; and</w:t>
      </w:r>
    </w:p>
    <w:p w:rsidR="002E194F" w:rsidRPr="0098747C" w:rsidRDefault="002E194F" w:rsidP="00496435">
      <w:pPr>
        <w:numPr>
          <w:ilvl w:val="0"/>
          <w:numId w:val="1"/>
        </w:numPr>
        <w:ind w:left="1145"/>
        <w:jc w:val="both"/>
        <w:rPr>
          <w:i/>
        </w:rPr>
      </w:pPr>
      <w:r w:rsidRPr="0098747C">
        <w:rPr>
          <w:i/>
        </w:rPr>
        <w:t>whether the applicant has shown that there is a net benefit from carrying out the conduct relating to the controlled facility; and</w:t>
      </w:r>
    </w:p>
    <w:p w:rsidR="002E194F" w:rsidRPr="0098747C" w:rsidRDefault="002E194F" w:rsidP="00496435">
      <w:pPr>
        <w:numPr>
          <w:ilvl w:val="0"/>
          <w:numId w:val="1"/>
        </w:numPr>
        <w:ind w:left="1145"/>
        <w:jc w:val="both"/>
        <w:rPr>
          <w:i/>
        </w:rPr>
      </w:pPr>
      <w:r w:rsidRPr="0098747C">
        <w:rPr>
          <w:i/>
        </w:rPr>
        <w:t>whether the applicant has shown that the magnitude of individual doses, the number of people exposed, and the likelihood that exposure will happen, are as low as reasonably achievable, having regard to economic and social factors; and</w:t>
      </w:r>
    </w:p>
    <w:p w:rsidR="002E194F" w:rsidRPr="0098747C" w:rsidRDefault="002E194F" w:rsidP="00496435">
      <w:pPr>
        <w:numPr>
          <w:ilvl w:val="0"/>
          <w:numId w:val="1"/>
        </w:numPr>
        <w:jc w:val="both"/>
        <w:rPr>
          <w:i/>
        </w:rPr>
      </w:pPr>
      <w:r w:rsidRPr="0098747C">
        <w:rPr>
          <w:i/>
        </w:rPr>
        <w:t>whether the applicant has shown a capacity for complying with these regulations and the licence conditions that would be imposed under Section 35 of the Act; and</w:t>
      </w:r>
    </w:p>
    <w:p w:rsidR="002E194F" w:rsidRPr="0098747C" w:rsidRDefault="002E194F" w:rsidP="00496435">
      <w:pPr>
        <w:numPr>
          <w:ilvl w:val="0"/>
          <w:numId w:val="1"/>
        </w:numPr>
        <w:ind w:left="1145"/>
        <w:jc w:val="both"/>
        <w:rPr>
          <w:i/>
        </w:rPr>
      </w:pPr>
      <w:r w:rsidRPr="0098747C">
        <w:rPr>
          <w:i/>
        </w:rPr>
        <w:t>whether the application has been signed by an office holder of the applicant, or a person authorised by an office holder of the applicant; and</w:t>
      </w:r>
    </w:p>
    <w:p w:rsidR="002E194F" w:rsidRPr="0098747C" w:rsidRDefault="002E194F" w:rsidP="00496435">
      <w:pPr>
        <w:numPr>
          <w:ilvl w:val="0"/>
          <w:numId w:val="1"/>
        </w:numPr>
        <w:jc w:val="both"/>
        <w:rPr>
          <w:i/>
        </w:rPr>
      </w:pPr>
      <w:proofErr w:type="gramStart"/>
      <w:r w:rsidRPr="0098747C">
        <w:rPr>
          <w:i/>
        </w:rPr>
        <w:t>if</w:t>
      </w:r>
      <w:proofErr w:type="gramEnd"/>
      <w:r w:rsidRPr="0098747C">
        <w:rPr>
          <w:i/>
        </w:rPr>
        <w:t xml:space="preserve"> the application is for a facility licence for a nuclear installation – the content of any submissions made by members of the public about the application.</w:t>
      </w:r>
    </w:p>
    <w:p w:rsidR="002E194F" w:rsidRPr="0098747C" w:rsidRDefault="00F76F62" w:rsidP="00A41D81">
      <w:pPr>
        <w:pStyle w:val="BodyText2"/>
        <w:jc w:val="both"/>
      </w:pPr>
      <w:r w:rsidRPr="0098747C">
        <w:t>Sub-r</w:t>
      </w:r>
      <w:r w:rsidR="002E194F" w:rsidRPr="0098747C">
        <w:t xml:space="preserve">egulation 39(2) </w:t>
      </w:r>
      <w:r w:rsidR="00D649E4" w:rsidRPr="0098747C">
        <w:t>permits</w:t>
      </w:r>
      <w:r w:rsidR="002E194F" w:rsidRPr="0098747C">
        <w:t xml:space="preserve"> the CEO to request information from the applicant relating to the conduct for which the licence is sought. The following information (as listed in Part 1 of Schedule 3 to the Regulations) </w:t>
      </w:r>
      <w:r w:rsidRPr="0098747C">
        <w:t xml:space="preserve">was </w:t>
      </w:r>
      <w:r w:rsidR="002E194F" w:rsidRPr="0098747C">
        <w:t xml:space="preserve">requested by the CEO in </w:t>
      </w:r>
      <w:r w:rsidRPr="0098747C">
        <w:t xml:space="preserve">guidelines </w:t>
      </w:r>
      <w:r w:rsidR="00A7691F" w:rsidRPr="0098747C">
        <w:t xml:space="preserve">published </w:t>
      </w:r>
      <w:r w:rsidRPr="0098747C">
        <w:t xml:space="preserve">to assist </w:t>
      </w:r>
      <w:r w:rsidR="00A7691F" w:rsidRPr="0098747C">
        <w:t xml:space="preserve">a </w:t>
      </w:r>
      <w:r w:rsidR="001C6FA5" w:rsidRPr="0098747C">
        <w:t>controlled person mak</w:t>
      </w:r>
      <w:r w:rsidR="00A7691F" w:rsidRPr="0098747C">
        <w:t xml:space="preserve">e an </w:t>
      </w:r>
      <w:r w:rsidR="001C6FA5" w:rsidRPr="0098747C">
        <w:t xml:space="preserve">application </w:t>
      </w:r>
      <w:r w:rsidR="002E194F" w:rsidRPr="0098747C">
        <w:t xml:space="preserve">for a licence to </w:t>
      </w:r>
      <w:r w:rsidR="000C4993">
        <w:t>construct</w:t>
      </w:r>
      <w:r w:rsidR="001C6FA5" w:rsidRPr="0098747C">
        <w:t xml:space="preserve"> </w:t>
      </w:r>
      <w:r w:rsidR="002E194F" w:rsidRPr="0098747C">
        <w:t>a controlled facility:</w:t>
      </w:r>
    </w:p>
    <w:p w:rsidR="002E194F" w:rsidRPr="00EF1AB6" w:rsidRDefault="002E194F" w:rsidP="00056085">
      <w:pPr>
        <w:pStyle w:val="Heading7"/>
        <w:spacing w:after="240"/>
        <w:rPr>
          <w:rFonts w:asciiTheme="minorHAnsi" w:hAnsiTheme="minorHAnsi"/>
          <w:b/>
        </w:rPr>
      </w:pPr>
      <w:r w:rsidRPr="00EF1AB6">
        <w:rPr>
          <w:rFonts w:asciiTheme="minorHAnsi" w:hAnsiTheme="minorHAnsi"/>
          <w:b/>
        </w:rPr>
        <w:t>General Information</w:t>
      </w:r>
    </w:p>
    <w:p w:rsidR="002E194F" w:rsidRPr="001430B2" w:rsidRDefault="00253B52" w:rsidP="00496435">
      <w:pPr>
        <w:pStyle w:val="Heading8"/>
        <w:spacing w:before="0" w:after="200"/>
        <w:ind w:left="1276" w:hanging="1276"/>
        <w:rPr>
          <w:rFonts w:asciiTheme="minorHAnsi" w:hAnsiTheme="minorHAnsi"/>
          <w:i/>
          <w:sz w:val="22"/>
          <w:szCs w:val="22"/>
        </w:rPr>
      </w:pPr>
      <w:r w:rsidRPr="001430B2">
        <w:rPr>
          <w:rFonts w:asciiTheme="minorHAnsi" w:hAnsiTheme="minorHAnsi"/>
          <w:i/>
          <w:sz w:val="22"/>
          <w:szCs w:val="22"/>
        </w:rPr>
        <w:t>Item 1</w:t>
      </w:r>
      <w:r w:rsidRPr="001430B2">
        <w:rPr>
          <w:rFonts w:asciiTheme="minorHAnsi" w:hAnsiTheme="minorHAnsi"/>
          <w:i/>
          <w:sz w:val="22"/>
          <w:szCs w:val="22"/>
        </w:rPr>
        <w:tab/>
      </w:r>
      <w:r w:rsidR="002E194F" w:rsidRPr="001430B2">
        <w:rPr>
          <w:rFonts w:asciiTheme="minorHAnsi" w:hAnsiTheme="minorHAnsi"/>
          <w:i/>
          <w:sz w:val="22"/>
          <w:szCs w:val="22"/>
        </w:rPr>
        <w:t>The applicant’s full name, position and business address</w:t>
      </w:r>
    </w:p>
    <w:p w:rsidR="002E194F" w:rsidRPr="0098747C" w:rsidRDefault="002E194F" w:rsidP="00496435">
      <w:pPr>
        <w:pStyle w:val="BodyTextIndent2"/>
        <w:ind w:left="1276" w:hanging="1276"/>
      </w:pPr>
      <w:r w:rsidRPr="0098747C">
        <w:t xml:space="preserve">Item 2 </w:t>
      </w:r>
      <w:r w:rsidRPr="0098747C">
        <w:tab/>
        <w:t>A description of the purpose of the facility that is to be authorised by the facility licence</w:t>
      </w:r>
    </w:p>
    <w:p w:rsidR="002E194F" w:rsidRPr="0098747C" w:rsidRDefault="002E194F" w:rsidP="00496435">
      <w:pPr>
        <w:ind w:left="1276" w:hanging="1276"/>
        <w:rPr>
          <w:i/>
        </w:rPr>
      </w:pPr>
      <w:r w:rsidRPr="0098747C">
        <w:rPr>
          <w:i/>
        </w:rPr>
        <w:t>Item 3</w:t>
      </w:r>
      <w:r w:rsidRPr="0098747C">
        <w:rPr>
          <w:i/>
        </w:rPr>
        <w:tab/>
        <w:t xml:space="preserve">A detailed </w:t>
      </w:r>
      <w:proofErr w:type="gramStart"/>
      <w:r w:rsidRPr="0098747C">
        <w:rPr>
          <w:i/>
        </w:rPr>
        <w:t>description</w:t>
      </w:r>
      <w:proofErr w:type="gramEnd"/>
      <w:r w:rsidRPr="0098747C">
        <w:rPr>
          <w:i/>
        </w:rPr>
        <w:t xml:space="preserve"> of the controlled facility and the site for that facility</w:t>
      </w:r>
    </w:p>
    <w:p w:rsidR="002E194F" w:rsidRPr="0098747C" w:rsidRDefault="002E194F" w:rsidP="00496435">
      <w:pPr>
        <w:spacing w:after="120"/>
        <w:ind w:left="1276" w:hanging="1276"/>
        <w:rPr>
          <w:i/>
        </w:rPr>
      </w:pPr>
      <w:r w:rsidRPr="0098747C">
        <w:rPr>
          <w:i/>
        </w:rPr>
        <w:t>Item 4</w:t>
      </w:r>
      <w:r w:rsidRPr="0098747C">
        <w:rPr>
          <w:i/>
        </w:rPr>
        <w:tab/>
        <w:t>Plans and arrangements describing how the applicant proposes to manage the controlled facility to ensure the health and safety of people and the protection of the environment including the following information:</w:t>
      </w:r>
    </w:p>
    <w:p w:rsidR="002E194F" w:rsidRPr="0098747C" w:rsidRDefault="002E194F" w:rsidP="00C3599E">
      <w:pPr>
        <w:numPr>
          <w:ilvl w:val="0"/>
          <w:numId w:val="2"/>
        </w:numPr>
        <w:tabs>
          <w:tab w:val="clear" w:pos="2271"/>
          <w:tab w:val="num" w:pos="1843"/>
        </w:tabs>
        <w:spacing w:after="120" w:line="240" w:lineRule="auto"/>
        <w:ind w:left="1849" w:hanging="573"/>
        <w:rPr>
          <w:i/>
        </w:rPr>
      </w:pPr>
      <w:r w:rsidRPr="0098747C">
        <w:rPr>
          <w:i/>
        </w:rPr>
        <w:t>the applicant’s arrangements for maintaining effective control;</w:t>
      </w:r>
    </w:p>
    <w:p w:rsidR="002E194F" w:rsidRPr="0098747C" w:rsidRDefault="002E194F" w:rsidP="00C3599E">
      <w:pPr>
        <w:numPr>
          <w:ilvl w:val="0"/>
          <w:numId w:val="2"/>
        </w:numPr>
        <w:tabs>
          <w:tab w:val="clear" w:pos="2271"/>
          <w:tab w:val="num" w:pos="1843"/>
        </w:tabs>
        <w:spacing w:after="120" w:line="240" w:lineRule="auto"/>
        <w:ind w:left="1849" w:hanging="573"/>
        <w:rPr>
          <w:i/>
        </w:rPr>
      </w:pPr>
      <w:r w:rsidRPr="0098747C">
        <w:rPr>
          <w:i/>
        </w:rPr>
        <w:t>the safety management plan for the controlled facility;</w:t>
      </w:r>
    </w:p>
    <w:p w:rsidR="002E194F" w:rsidRPr="0098747C" w:rsidRDefault="002E194F" w:rsidP="00C3599E">
      <w:pPr>
        <w:numPr>
          <w:ilvl w:val="0"/>
          <w:numId w:val="2"/>
        </w:numPr>
        <w:tabs>
          <w:tab w:val="clear" w:pos="2271"/>
          <w:tab w:val="num" w:pos="1843"/>
        </w:tabs>
        <w:spacing w:after="120" w:line="240" w:lineRule="auto"/>
        <w:ind w:left="1849" w:hanging="573"/>
        <w:rPr>
          <w:i/>
        </w:rPr>
      </w:pPr>
      <w:r w:rsidRPr="0098747C">
        <w:rPr>
          <w:i/>
        </w:rPr>
        <w:t>the radiation protection plan for the controlled facility;</w:t>
      </w:r>
    </w:p>
    <w:p w:rsidR="002E194F" w:rsidRPr="0098747C" w:rsidRDefault="002E194F" w:rsidP="00C3599E">
      <w:pPr>
        <w:numPr>
          <w:ilvl w:val="0"/>
          <w:numId w:val="2"/>
        </w:numPr>
        <w:tabs>
          <w:tab w:val="clear" w:pos="2271"/>
          <w:tab w:val="num" w:pos="1843"/>
        </w:tabs>
        <w:spacing w:after="120" w:line="240" w:lineRule="auto"/>
        <w:ind w:left="1849" w:hanging="573"/>
        <w:rPr>
          <w:i/>
        </w:rPr>
      </w:pPr>
      <w:r w:rsidRPr="0098747C">
        <w:rPr>
          <w:i/>
        </w:rPr>
        <w:t>the radioactive waste management plan for the controlled facility;</w:t>
      </w:r>
    </w:p>
    <w:p w:rsidR="002E194F" w:rsidRPr="0098747C" w:rsidRDefault="002E194F" w:rsidP="00C3599E">
      <w:pPr>
        <w:numPr>
          <w:ilvl w:val="0"/>
          <w:numId w:val="2"/>
        </w:numPr>
        <w:tabs>
          <w:tab w:val="clear" w:pos="2271"/>
          <w:tab w:val="num" w:pos="1843"/>
        </w:tabs>
        <w:spacing w:after="120" w:line="240" w:lineRule="auto"/>
        <w:ind w:left="1849" w:hanging="573"/>
        <w:rPr>
          <w:i/>
        </w:rPr>
      </w:pPr>
      <w:r w:rsidRPr="0098747C">
        <w:rPr>
          <w:i/>
        </w:rPr>
        <w:t>the security plan for the controlled facility;</w:t>
      </w:r>
    </w:p>
    <w:p w:rsidR="002E194F" w:rsidRPr="0098747C" w:rsidRDefault="002E194F" w:rsidP="001430B2">
      <w:pPr>
        <w:numPr>
          <w:ilvl w:val="0"/>
          <w:numId w:val="2"/>
        </w:numPr>
        <w:tabs>
          <w:tab w:val="clear" w:pos="2271"/>
          <w:tab w:val="num" w:pos="1843"/>
        </w:tabs>
        <w:spacing w:after="240" w:line="240" w:lineRule="auto"/>
        <w:ind w:left="1849" w:hanging="573"/>
        <w:rPr>
          <w:i/>
        </w:rPr>
      </w:pPr>
      <w:proofErr w:type="gramStart"/>
      <w:r w:rsidRPr="0098747C">
        <w:rPr>
          <w:i/>
        </w:rPr>
        <w:t>the</w:t>
      </w:r>
      <w:proofErr w:type="gramEnd"/>
      <w:r w:rsidRPr="0098747C">
        <w:rPr>
          <w:i/>
        </w:rPr>
        <w:t xml:space="preserve"> emergency plan for the controlled facility.</w:t>
      </w:r>
    </w:p>
    <w:p w:rsidR="00026378" w:rsidRPr="00026378" w:rsidRDefault="002F6F4E" w:rsidP="00A90011">
      <w:pPr>
        <w:pStyle w:val="Heading9"/>
        <w:spacing w:before="120" w:after="120"/>
        <w:rPr>
          <w:rFonts w:ascii="Calibri" w:hAnsi="Calibri" w:cs="Calibri"/>
          <w:b/>
          <w:sz w:val="22"/>
          <w:szCs w:val="22"/>
        </w:rPr>
      </w:pPr>
      <w:r>
        <w:rPr>
          <w:rFonts w:ascii="Calibri" w:hAnsi="Calibri" w:cs="Calibri"/>
          <w:b/>
          <w:sz w:val="22"/>
          <w:szCs w:val="22"/>
        </w:rPr>
        <w:t xml:space="preserve">Additional Information for </w:t>
      </w:r>
      <w:r w:rsidR="00026378" w:rsidRPr="00026378">
        <w:rPr>
          <w:rFonts w:ascii="Calibri" w:hAnsi="Calibri" w:cs="Calibri"/>
          <w:b/>
          <w:sz w:val="22"/>
          <w:szCs w:val="22"/>
        </w:rPr>
        <w:t xml:space="preserve">Authorisation to </w:t>
      </w:r>
      <w:r w:rsidR="00E95341">
        <w:rPr>
          <w:rFonts w:ascii="Calibri" w:hAnsi="Calibri" w:cs="Calibri"/>
          <w:b/>
          <w:sz w:val="22"/>
          <w:szCs w:val="22"/>
        </w:rPr>
        <w:t>operate</w:t>
      </w:r>
      <w:r w:rsidR="00026378" w:rsidRPr="00026378">
        <w:rPr>
          <w:rFonts w:ascii="Calibri" w:hAnsi="Calibri" w:cs="Calibri"/>
          <w:b/>
          <w:sz w:val="22"/>
          <w:szCs w:val="22"/>
        </w:rPr>
        <w:t xml:space="preserve"> a controlled facility</w:t>
      </w:r>
    </w:p>
    <w:p w:rsidR="00026378" w:rsidRPr="003E6737" w:rsidRDefault="00E95341" w:rsidP="00496435">
      <w:pPr>
        <w:spacing w:after="120"/>
        <w:ind w:left="992" w:hanging="992"/>
        <w:jc w:val="both"/>
        <w:rPr>
          <w:rFonts w:ascii="Calibri" w:hAnsi="Calibri" w:cs="Calibri"/>
          <w:i/>
          <w:iCs/>
        </w:rPr>
      </w:pPr>
      <w:r>
        <w:rPr>
          <w:rFonts w:ascii="Calibri" w:hAnsi="Calibri" w:cs="Calibri"/>
          <w:i/>
          <w:iCs/>
        </w:rPr>
        <w:t>Item 15</w:t>
      </w:r>
      <w:r w:rsidR="00026378" w:rsidRPr="003E6737">
        <w:rPr>
          <w:rFonts w:ascii="Calibri" w:hAnsi="Calibri" w:cs="Calibri"/>
          <w:i/>
          <w:iCs/>
        </w:rPr>
        <w:tab/>
      </w:r>
      <w:r>
        <w:rPr>
          <w:rFonts w:ascii="Calibri" w:hAnsi="Calibri" w:cs="Calibri"/>
          <w:i/>
          <w:iCs/>
        </w:rPr>
        <w:t xml:space="preserve">A </w:t>
      </w:r>
      <w:proofErr w:type="gramStart"/>
      <w:r>
        <w:rPr>
          <w:rFonts w:ascii="Calibri" w:hAnsi="Calibri" w:cs="Calibri"/>
          <w:i/>
          <w:iCs/>
        </w:rPr>
        <w:t>description</w:t>
      </w:r>
      <w:proofErr w:type="gramEnd"/>
      <w:r>
        <w:rPr>
          <w:rFonts w:ascii="Calibri" w:hAnsi="Calibri" w:cs="Calibri"/>
          <w:i/>
          <w:iCs/>
        </w:rPr>
        <w:t xml:space="preserve"> of the structures, components, systems and equipment of the controlled facility as they have constructed.</w:t>
      </w:r>
    </w:p>
    <w:p w:rsidR="00026378" w:rsidRPr="003E6737" w:rsidRDefault="00026378" w:rsidP="00496435">
      <w:pPr>
        <w:spacing w:after="120"/>
        <w:ind w:left="992" w:hanging="992"/>
        <w:jc w:val="both"/>
        <w:rPr>
          <w:rFonts w:ascii="Calibri" w:hAnsi="Calibri" w:cs="Calibri"/>
          <w:i/>
          <w:iCs/>
        </w:rPr>
      </w:pPr>
      <w:r w:rsidRPr="003E6737">
        <w:rPr>
          <w:rFonts w:ascii="Calibri" w:hAnsi="Calibri" w:cs="Calibri"/>
          <w:i/>
          <w:iCs/>
        </w:rPr>
        <w:lastRenderedPageBreak/>
        <w:t xml:space="preserve">Item </w:t>
      </w:r>
      <w:r w:rsidR="00E95341">
        <w:rPr>
          <w:rFonts w:ascii="Calibri" w:hAnsi="Calibri" w:cs="Calibri"/>
          <w:i/>
          <w:iCs/>
        </w:rPr>
        <w:t>16</w:t>
      </w:r>
      <w:r w:rsidRPr="003E6737">
        <w:rPr>
          <w:rFonts w:ascii="Calibri" w:hAnsi="Calibri" w:cs="Calibri"/>
          <w:i/>
          <w:iCs/>
        </w:rPr>
        <w:tab/>
        <w:t>A</w:t>
      </w:r>
      <w:r w:rsidR="00E95341">
        <w:rPr>
          <w:rFonts w:ascii="Calibri" w:hAnsi="Calibri" w:cs="Calibri"/>
          <w:i/>
          <w:iCs/>
        </w:rPr>
        <w:t xml:space="preserve"> final safety analysis </w:t>
      </w:r>
      <w:proofErr w:type="gramStart"/>
      <w:r w:rsidR="00E95341">
        <w:rPr>
          <w:rFonts w:ascii="Calibri" w:hAnsi="Calibri" w:cs="Calibri"/>
          <w:i/>
          <w:iCs/>
        </w:rPr>
        <w:t>report</w:t>
      </w:r>
      <w:proofErr w:type="gramEnd"/>
      <w:r w:rsidR="00E95341">
        <w:rPr>
          <w:rFonts w:ascii="Calibri" w:hAnsi="Calibri" w:cs="Calibri"/>
          <w:i/>
          <w:iCs/>
        </w:rPr>
        <w:t xml:space="preserve"> that demonstrates</w:t>
      </w:r>
      <w:r w:rsidR="003F612D">
        <w:rPr>
          <w:rFonts w:ascii="Calibri" w:hAnsi="Calibri" w:cs="Calibri"/>
          <w:i/>
          <w:iCs/>
        </w:rPr>
        <w:t xml:space="preserve"> the adequacy of the design of the controlled facility, and includes the results of commissioning tests</w:t>
      </w:r>
      <w:r w:rsidRPr="003E6737">
        <w:rPr>
          <w:rFonts w:ascii="Calibri" w:hAnsi="Calibri" w:cs="Calibri"/>
          <w:i/>
          <w:iCs/>
        </w:rPr>
        <w:t>.</w:t>
      </w:r>
    </w:p>
    <w:p w:rsidR="00026378" w:rsidRPr="003E6737" w:rsidRDefault="00026378" w:rsidP="00A90011">
      <w:pPr>
        <w:spacing w:after="120" w:line="240" w:lineRule="auto"/>
        <w:ind w:left="992" w:hanging="992"/>
        <w:jc w:val="both"/>
        <w:rPr>
          <w:rFonts w:ascii="Calibri" w:hAnsi="Calibri" w:cs="Calibri"/>
          <w:i/>
          <w:iCs/>
        </w:rPr>
      </w:pPr>
      <w:r w:rsidRPr="003E6737">
        <w:rPr>
          <w:rFonts w:ascii="Calibri" w:hAnsi="Calibri" w:cs="Calibri"/>
          <w:i/>
          <w:iCs/>
        </w:rPr>
        <w:t>Item 1</w:t>
      </w:r>
      <w:r w:rsidR="00F0528D">
        <w:rPr>
          <w:rFonts w:ascii="Calibri" w:hAnsi="Calibri" w:cs="Calibri"/>
          <w:i/>
          <w:iCs/>
        </w:rPr>
        <w:t>7</w:t>
      </w:r>
      <w:r w:rsidRPr="003E6737">
        <w:rPr>
          <w:rFonts w:ascii="Calibri" w:hAnsi="Calibri" w:cs="Calibri"/>
          <w:i/>
          <w:iCs/>
        </w:rPr>
        <w:tab/>
        <w:t xml:space="preserve">The </w:t>
      </w:r>
      <w:r w:rsidR="00F0528D">
        <w:rPr>
          <w:rFonts w:ascii="Calibri" w:hAnsi="Calibri" w:cs="Calibri"/>
          <w:i/>
          <w:iCs/>
        </w:rPr>
        <w:t>operational limits and conditions of the controlled facility</w:t>
      </w:r>
      <w:r w:rsidRPr="003E6737">
        <w:rPr>
          <w:rFonts w:ascii="Calibri" w:hAnsi="Calibri" w:cs="Calibri"/>
          <w:i/>
          <w:iCs/>
        </w:rPr>
        <w:t>.</w:t>
      </w:r>
    </w:p>
    <w:p w:rsidR="00026378" w:rsidRDefault="00026378" w:rsidP="00A90011">
      <w:pPr>
        <w:spacing w:after="120" w:line="240" w:lineRule="auto"/>
        <w:ind w:left="992" w:hanging="992"/>
        <w:jc w:val="both"/>
        <w:rPr>
          <w:rFonts w:ascii="Calibri" w:hAnsi="Calibri" w:cs="Calibri"/>
          <w:i/>
          <w:iCs/>
        </w:rPr>
      </w:pPr>
      <w:r w:rsidRPr="003E6737">
        <w:rPr>
          <w:rFonts w:ascii="Calibri" w:hAnsi="Calibri" w:cs="Calibri"/>
          <w:i/>
          <w:iCs/>
        </w:rPr>
        <w:t>Item 1</w:t>
      </w:r>
      <w:r w:rsidR="00F0528D">
        <w:rPr>
          <w:rFonts w:ascii="Calibri" w:hAnsi="Calibri" w:cs="Calibri"/>
          <w:i/>
          <w:iCs/>
        </w:rPr>
        <w:t>8</w:t>
      </w:r>
      <w:r w:rsidRPr="003E6737">
        <w:rPr>
          <w:rFonts w:ascii="Calibri" w:hAnsi="Calibri" w:cs="Calibri"/>
          <w:i/>
          <w:iCs/>
        </w:rPr>
        <w:tab/>
      </w:r>
      <w:r w:rsidR="00F0528D">
        <w:rPr>
          <w:rFonts w:ascii="Calibri" w:hAnsi="Calibri" w:cs="Calibri"/>
          <w:i/>
          <w:iCs/>
        </w:rPr>
        <w:t>The arrangements for commissioning the controlled facility</w:t>
      </w:r>
      <w:r w:rsidRPr="003E6737">
        <w:rPr>
          <w:rFonts w:ascii="Calibri" w:hAnsi="Calibri" w:cs="Calibri"/>
          <w:i/>
          <w:iCs/>
        </w:rPr>
        <w:t>.</w:t>
      </w:r>
    </w:p>
    <w:p w:rsidR="00295C23" w:rsidRPr="00F0528D" w:rsidRDefault="00026378" w:rsidP="00F0528D">
      <w:pPr>
        <w:spacing w:after="120" w:line="240" w:lineRule="auto"/>
        <w:ind w:left="992" w:hanging="992"/>
        <w:jc w:val="both"/>
        <w:rPr>
          <w:rFonts w:ascii="Calibri" w:hAnsi="Calibri" w:cs="Calibri"/>
          <w:i/>
          <w:iCs/>
        </w:rPr>
      </w:pPr>
      <w:r w:rsidRPr="00F0528D">
        <w:rPr>
          <w:rFonts w:ascii="Calibri" w:hAnsi="Calibri" w:cs="Calibri"/>
          <w:i/>
          <w:iCs/>
        </w:rPr>
        <w:t>Item 1</w:t>
      </w:r>
      <w:r w:rsidR="00F0528D" w:rsidRPr="00F0528D">
        <w:rPr>
          <w:rFonts w:ascii="Calibri" w:hAnsi="Calibri" w:cs="Calibri"/>
          <w:i/>
          <w:iCs/>
        </w:rPr>
        <w:t>9</w:t>
      </w:r>
      <w:r w:rsidRPr="00F0528D">
        <w:rPr>
          <w:rFonts w:ascii="Calibri" w:hAnsi="Calibri" w:cs="Calibri"/>
          <w:i/>
          <w:iCs/>
        </w:rPr>
        <w:tab/>
        <w:t xml:space="preserve">The arrangements for </w:t>
      </w:r>
      <w:r w:rsidR="00F0528D">
        <w:rPr>
          <w:rFonts w:ascii="Calibri" w:hAnsi="Calibri" w:cs="Calibri"/>
          <w:i/>
          <w:iCs/>
        </w:rPr>
        <w:t>operating the controlled facility</w:t>
      </w:r>
      <w:r w:rsidRPr="00F0528D">
        <w:rPr>
          <w:rFonts w:ascii="Calibri" w:hAnsi="Calibri" w:cs="Calibri"/>
          <w:i/>
          <w:iCs/>
        </w:rPr>
        <w:t>.</w:t>
      </w:r>
    </w:p>
    <w:p w:rsidR="00531431" w:rsidRPr="00531431" w:rsidRDefault="00531431" w:rsidP="00A90011">
      <w:pPr>
        <w:spacing w:line="240" w:lineRule="auto"/>
        <w:ind w:left="1065" w:hanging="1065"/>
        <w:jc w:val="both"/>
        <w:rPr>
          <w:i/>
        </w:rPr>
      </w:pPr>
    </w:p>
    <w:p w:rsidR="002E194F" w:rsidRPr="008E33D8" w:rsidRDefault="002E194F" w:rsidP="000B5FEC">
      <w:pPr>
        <w:pStyle w:val="Heading1"/>
      </w:pPr>
      <w:bookmarkStart w:id="30" w:name="_Toc35926815"/>
      <w:bookmarkStart w:id="31" w:name="_Toc297107182"/>
      <w:bookmarkStart w:id="32" w:name="_Toc417974587"/>
      <w:bookmarkStart w:id="33" w:name="_Toc476533090"/>
      <w:bookmarkStart w:id="34" w:name="_Toc476719052"/>
      <w:r w:rsidRPr="008E33D8">
        <w:t>REVIEW OF INFORMATION</w:t>
      </w:r>
      <w:bookmarkEnd w:id="30"/>
      <w:bookmarkEnd w:id="31"/>
      <w:bookmarkEnd w:id="32"/>
    </w:p>
    <w:p w:rsidR="002E194F" w:rsidRPr="0098747C" w:rsidRDefault="002E194F" w:rsidP="00253B52">
      <w:r w:rsidRPr="0098747C">
        <w:t>This section describes the review of information provided in the application and subsequently received from the applicant with respect to the matters to be taken into account by the CEO</w:t>
      </w:r>
      <w:r w:rsidR="00134E7B" w:rsidRPr="0098747C">
        <w:t>, particularly:</w:t>
      </w:r>
    </w:p>
    <w:p w:rsidR="005229C4" w:rsidRPr="0098747C" w:rsidRDefault="00134E7B" w:rsidP="00496435">
      <w:pPr>
        <w:pStyle w:val="ListParagraph"/>
        <w:numPr>
          <w:ilvl w:val="0"/>
          <w:numId w:val="9"/>
        </w:numPr>
        <w:tabs>
          <w:tab w:val="left" w:pos="993"/>
        </w:tabs>
        <w:ind w:left="714" w:hanging="357"/>
      </w:pPr>
      <w:r w:rsidRPr="0098747C">
        <w:t>The l</w:t>
      </w:r>
      <w:r w:rsidR="005229C4" w:rsidRPr="0098747C">
        <w:t xml:space="preserve">etter from the CEO of ANSTO dated </w:t>
      </w:r>
      <w:r w:rsidR="008D165C">
        <w:t>10</w:t>
      </w:r>
      <w:r w:rsidR="00026378">
        <w:t xml:space="preserve"> November 201</w:t>
      </w:r>
      <w:r w:rsidR="008D165C">
        <w:t>4</w:t>
      </w:r>
    </w:p>
    <w:p w:rsidR="005229C4" w:rsidRPr="0098747C" w:rsidRDefault="00134E7B" w:rsidP="00496435">
      <w:pPr>
        <w:pStyle w:val="ListParagraph"/>
        <w:numPr>
          <w:ilvl w:val="0"/>
          <w:numId w:val="9"/>
        </w:numPr>
        <w:tabs>
          <w:tab w:val="left" w:pos="993"/>
        </w:tabs>
        <w:ind w:left="714" w:hanging="357"/>
      </w:pPr>
      <w:r w:rsidRPr="0098747C">
        <w:t xml:space="preserve">ANSTO </w:t>
      </w:r>
      <w:r w:rsidR="005229C4" w:rsidRPr="0098747C">
        <w:t xml:space="preserve">Facility Licence Application, </w:t>
      </w:r>
      <w:r w:rsidR="00B7774D">
        <w:t>A0292</w:t>
      </w:r>
      <w:r w:rsidR="00EB03DE">
        <w:t xml:space="preserve"> </w:t>
      </w:r>
      <w:r w:rsidR="00942FBE" w:rsidRPr="0098747C">
        <w:t>(OS-LA-FORM-</w:t>
      </w:r>
      <w:r w:rsidR="00295C23" w:rsidRPr="0098747C">
        <w:t>240C</w:t>
      </w:r>
      <w:r w:rsidR="005229C4" w:rsidRPr="0098747C">
        <w:t xml:space="preserve">, </w:t>
      </w:r>
      <w:r w:rsidR="00942FBE" w:rsidRPr="0098747C">
        <w:t>NI</w:t>
      </w:r>
      <w:r w:rsidR="005229C4" w:rsidRPr="0098747C">
        <w:t xml:space="preserve"> v</w:t>
      </w:r>
      <w:r w:rsidR="00026378">
        <w:t>7</w:t>
      </w:r>
      <w:r w:rsidR="005229C4" w:rsidRPr="0098747C">
        <w:t>)</w:t>
      </w:r>
    </w:p>
    <w:p w:rsidR="00B751ED" w:rsidRDefault="0044382D" w:rsidP="00496435">
      <w:pPr>
        <w:pStyle w:val="ListParagraph"/>
        <w:numPr>
          <w:ilvl w:val="0"/>
          <w:numId w:val="9"/>
        </w:numPr>
        <w:tabs>
          <w:tab w:val="left" w:pos="993"/>
        </w:tabs>
        <w:ind w:left="714" w:hanging="357"/>
      </w:pPr>
      <w:r>
        <w:t>D</w:t>
      </w:r>
      <w:r w:rsidR="000C211F" w:rsidRPr="0098747C">
        <w:t>ocuments listed in Appendix 1</w:t>
      </w:r>
    </w:p>
    <w:p w:rsidR="002E194F" w:rsidRPr="008E33D8" w:rsidRDefault="002E194F" w:rsidP="005F64C4">
      <w:pPr>
        <w:pStyle w:val="Heading2"/>
      </w:pPr>
      <w:bookmarkStart w:id="35" w:name="_Toc497727921"/>
      <w:bookmarkStart w:id="36" w:name="_Toc13047981"/>
      <w:bookmarkStart w:id="37" w:name="_Toc13454292"/>
      <w:bookmarkStart w:id="38" w:name="_Toc35926816"/>
      <w:bookmarkStart w:id="39" w:name="_Toc297107183"/>
      <w:bookmarkStart w:id="40" w:name="_Toc417974588"/>
      <w:bookmarkEnd w:id="33"/>
      <w:bookmarkEnd w:id="34"/>
      <w:r w:rsidRPr="008E33D8">
        <w:t>G</w:t>
      </w:r>
      <w:r w:rsidR="00EF1AB6">
        <w:t>eneral Information</w:t>
      </w:r>
      <w:bookmarkEnd w:id="35"/>
      <w:bookmarkEnd w:id="36"/>
      <w:bookmarkEnd w:id="37"/>
      <w:bookmarkEnd w:id="38"/>
      <w:bookmarkEnd w:id="39"/>
      <w:bookmarkEnd w:id="40"/>
    </w:p>
    <w:p w:rsidR="002E194F" w:rsidRPr="001002A7" w:rsidRDefault="002E194F" w:rsidP="00881C30">
      <w:pPr>
        <w:pStyle w:val="Heading3"/>
        <w:ind w:left="1163"/>
      </w:pPr>
      <w:bookmarkStart w:id="41" w:name="_Toc497727922"/>
      <w:bookmarkStart w:id="42" w:name="_Toc13454294"/>
      <w:bookmarkStart w:id="43" w:name="_Toc297107184"/>
      <w:bookmarkStart w:id="44" w:name="_Toc417974589"/>
      <w:r w:rsidRPr="001002A7">
        <w:t>Applicant information [Item 1]</w:t>
      </w:r>
      <w:bookmarkEnd w:id="41"/>
      <w:bookmarkEnd w:id="42"/>
      <w:bookmarkEnd w:id="43"/>
      <w:bookmarkEnd w:id="44"/>
    </w:p>
    <w:p w:rsidR="002E194F" w:rsidRPr="0098747C" w:rsidRDefault="006152B0" w:rsidP="00B81C55">
      <w:pPr>
        <w:jc w:val="both"/>
        <w:rPr>
          <w:i/>
        </w:rPr>
      </w:pPr>
      <w:r w:rsidRPr="0098747C">
        <w:rPr>
          <w:i/>
        </w:rPr>
        <w:t xml:space="preserve">Item </w:t>
      </w:r>
      <w:r w:rsidR="00810A4C" w:rsidRPr="0098747C">
        <w:rPr>
          <w:i/>
        </w:rPr>
        <w:t>1</w:t>
      </w:r>
      <w:r w:rsidRPr="0098747C">
        <w:rPr>
          <w:i/>
        </w:rPr>
        <w:t xml:space="preserve"> of Part 1 of Schedule 3 of the Regulations </w:t>
      </w:r>
      <w:r w:rsidR="00810A4C" w:rsidRPr="0098747C">
        <w:rPr>
          <w:i/>
        </w:rPr>
        <w:t>requires</w:t>
      </w:r>
      <w:r w:rsidRPr="0098747C">
        <w:rPr>
          <w:i/>
        </w:rPr>
        <w:t xml:space="preserve"> the applicant </w:t>
      </w:r>
      <w:r w:rsidR="00810A4C" w:rsidRPr="0098747C">
        <w:rPr>
          <w:i/>
        </w:rPr>
        <w:t>to provide details of the Applicant.</w:t>
      </w:r>
    </w:p>
    <w:p w:rsidR="002E194F" w:rsidRPr="0098747C" w:rsidRDefault="002E194F" w:rsidP="00B81C55">
      <w:pPr>
        <w:jc w:val="both"/>
      </w:pPr>
      <w:r w:rsidRPr="0098747C">
        <w:t xml:space="preserve">The </w:t>
      </w:r>
      <w:r w:rsidR="00B929F1">
        <w:t>a</w:t>
      </w:r>
      <w:r w:rsidRPr="0098747C">
        <w:t xml:space="preserve">pplication was made </w:t>
      </w:r>
      <w:r w:rsidR="00942FBE" w:rsidRPr="0098747C">
        <w:t>by the CEO of ANSTO, Dr Ad</w:t>
      </w:r>
      <w:r w:rsidR="00B334E7" w:rsidRPr="0098747C">
        <w:t>rian</w:t>
      </w:r>
      <w:r w:rsidR="00942FBE" w:rsidRPr="0098747C">
        <w:t xml:space="preserve"> Paterson</w:t>
      </w:r>
      <w:r w:rsidR="00A01253" w:rsidRPr="0098747C">
        <w:t>,</w:t>
      </w:r>
      <w:r w:rsidR="003E147F" w:rsidRPr="0098747C">
        <w:t xml:space="preserve"> and signed on </w:t>
      </w:r>
      <w:r w:rsidR="00F6547E">
        <w:t>5</w:t>
      </w:r>
      <w:r w:rsidR="00026378">
        <w:t xml:space="preserve"> November 2013</w:t>
      </w:r>
      <w:r w:rsidR="00D1561D" w:rsidRPr="0098747C">
        <w:t>.</w:t>
      </w:r>
      <w:r w:rsidR="005C436C" w:rsidRPr="0098747C">
        <w:t xml:space="preserve"> The person nominated to be in effective control of the facility is Mr </w:t>
      </w:r>
      <w:r w:rsidR="00856A8C">
        <w:t>Hefin Griffiths</w:t>
      </w:r>
      <w:r w:rsidR="005C436C" w:rsidRPr="0098747C">
        <w:t xml:space="preserve">, </w:t>
      </w:r>
      <w:r w:rsidR="00F6547E">
        <w:t xml:space="preserve">Head, </w:t>
      </w:r>
      <w:proofErr w:type="gramStart"/>
      <w:r w:rsidR="00F6547E">
        <w:t>Nuclear</w:t>
      </w:r>
      <w:proofErr w:type="gramEnd"/>
      <w:r w:rsidR="00F6547E">
        <w:t xml:space="preserve"> Services</w:t>
      </w:r>
      <w:r w:rsidR="005C436C" w:rsidRPr="0098747C">
        <w:t>.</w:t>
      </w:r>
    </w:p>
    <w:p w:rsidR="005C436C" w:rsidRPr="00BD7E93" w:rsidRDefault="005C436C" w:rsidP="00BD7E93">
      <w:pPr>
        <w:pStyle w:val="Conclusion"/>
      </w:pPr>
      <w:r w:rsidRPr="00BD7E93">
        <w:t>Conclusion</w:t>
      </w:r>
    </w:p>
    <w:p w:rsidR="002E194F" w:rsidRDefault="003B37EC" w:rsidP="00A41D81">
      <w:pPr>
        <w:pStyle w:val="p2"/>
        <w:tabs>
          <w:tab w:val="clear" w:pos="720"/>
        </w:tabs>
        <w:spacing w:line="276" w:lineRule="auto"/>
        <w:jc w:val="both"/>
      </w:pPr>
      <w:r w:rsidRPr="0098747C">
        <w:t xml:space="preserve">The </w:t>
      </w:r>
      <w:r w:rsidR="005C436C" w:rsidRPr="0098747C">
        <w:t xml:space="preserve">ARPANSA assessor considers that the </w:t>
      </w:r>
      <w:r w:rsidR="0044382D">
        <w:t>a</w:t>
      </w:r>
      <w:r w:rsidR="005C436C" w:rsidRPr="0098747C">
        <w:t>pplicant informat</w:t>
      </w:r>
      <w:r w:rsidR="00E10053" w:rsidRPr="0098747C">
        <w:t xml:space="preserve">ion described in the </w:t>
      </w:r>
      <w:r w:rsidR="0044382D">
        <w:t>a</w:t>
      </w:r>
      <w:r w:rsidR="00E10053" w:rsidRPr="0098747C">
        <w:t>pplication is satisfactory.</w:t>
      </w:r>
      <w:r w:rsidR="002E194F" w:rsidRPr="00676C35">
        <w:t xml:space="preserve"> </w:t>
      </w:r>
    </w:p>
    <w:p w:rsidR="002E194F" w:rsidRPr="001002A7" w:rsidRDefault="002E194F" w:rsidP="00881C30">
      <w:pPr>
        <w:pStyle w:val="Heading3"/>
        <w:ind w:left="1163"/>
      </w:pPr>
      <w:bookmarkStart w:id="45" w:name="_Toc497727923"/>
      <w:bookmarkStart w:id="46" w:name="_Toc13454296"/>
      <w:bookmarkStart w:id="47" w:name="_Toc297107185"/>
      <w:bookmarkStart w:id="48" w:name="_Toc417974590"/>
      <w:r w:rsidRPr="001002A7">
        <w:t>Description of the purpose of the facility [Item 2]</w:t>
      </w:r>
      <w:bookmarkEnd w:id="45"/>
      <w:bookmarkEnd w:id="46"/>
      <w:bookmarkEnd w:id="47"/>
      <w:bookmarkEnd w:id="48"/>
    </w:p>
    <w:p w:rsidR="006152B0" w:rsidRPr="0098747C" w:rsidRDefault="006152B0" w:rsidP="00B81C55">
      <w:pPr>
        <w:jc w:val="both"/>
      </w:pPr>
      <w:r w:rsidRPr="0098747C">
        <w:rPr>
          <w:i/>
        </w:rPr>
        <w:t>Item 2 of Part 1 of Schedule 3 of the Regulations require</w:t>
      </w:r>
      <w:r w:rsidR="00242344">
        <w:rPr>
          <w:i/>
        </w:rPr>
        <w:t>s</w:t>
      </w:r>
      <w:r w:rsidRPr="0098747C">
        <w:rPr>
          <w:i/>
        </w:rPr>
        <w:t xml:space="preserve"> the applicant </w:t>
      </w:r>
      <w:r w:rsidR="00810A4C" w:rsidRPr="0098747C">
        <w:rPr>
          <w:i/>
        </w:rPr>
        <w:t>to provide</w:t>
      </w:r>
      <w:r w:rsidRPr="0098747C">
        <w:rPr>
          <w:i/>
        </w:rPr>
        <w:t xml:space="preserve"> a description of the purpose of the facility</w:t>
      </w:r>
      <w:r w:rsidRPr="0098747C">
        <w:t>.</w:t>
      </w:r>
    </w:p>
    <w:p w:rsidR="00DF71CE" w:rsidRDefault="00DF71CE" w:rsidP="00DF71CE">
      <w:pPr>
        <w:jc w:val="both"/>
      </w:pPr>
      <w:r>
        <w:t xml:space="preserve">The facility will house the </w:t>
      </w:r>
      <w:r w:rsidR="00456FC0" w:rsidRPr="00456FC0">
        <w:t>Intermediate Level Solid Radioactive Waste (IL</w:t>
      </w:r>
      <w:r w:rsidR="007E5E84">
        <w:t>S</w:t>
      </w:r>
      <w:r w:rsidR="00456FC0" w:rsidRPr="00456FC0">
        <w:t>W) returned from France following the reprocessing of HIFAR used fuel</w:t>
      </w:r>
      <w:r>
        <w:t xml:space="preserve"> </w:t>
      </w:r>
      <w:r w:rsidR="00456FC0" w:rsidRPr="00456FC0">
        <w:t xml:space="preserve">assemblies. </w:t>
      </w:r>
      <w:r>
        <w:t xml:space="preserve">The IWS has been built to store the following ILSW packages </w:t>
      </w:r>
    </w:p>
    <w:p w:rsidR="00DF71CE" w:rsidRDefault="00DF71CE" w:rsidP="00C91EB0">
      <w:pPr>
        <w:pStyle w:val="ListParagraph"/>
        <w:numPr>
          <w:ilvl w:val="0"/>
          <w:numId w:val="20"/>
        </w:numPr>
        <w:jc w:val="both"/>
      </w:pPr>
      <w:r>
        <w:t>TN 81 transport/storage shielded container and</w:t>
      </w:r>
    </w:p>
    <w:p w:rsidR="00456FC0" w:rsidRDefault="00DF71CE" w:rsidP="00C91EB0">
      <w:pPr>
        <w:pStyle w:val="ListParagraph"/>
        <w:numPr>
          <w:ilvl w:val="0"/>
          <w:numId w:val="20"/>
        </w:numPr>
        <w:jc w:val="both"/>
      </w:pPr>
      <w:r>
        <w:t>The technological wastes (i.e. CBF-C2 cemented drums) within a</w:t>
      </w:r>
      <w:r w:rsidR="004561EB">
        <w:t>n</w:t>
      </w:r>
      <w:r>
        <w:t xml:space="preserve"> ISO shipping container, which together form an approved IP-2 Transport Package.</w:t>
      </w:r>
    </w:p>
    <w:p w:rsidR="000F2C7F" w:rsidRDefault="000F2C7F" w:rsidP="000F2C7F">
      <w:pPr>
        <w:pStyle w:val="ListParagraph"/>
        <w:jc w:val="both"/>
      </w:pPr>
    </w:p>
    <w:p w:rsidR="000F2C7F" w:rsidRDefault="000F2C7F" w:rsidP="00BD7E93">
      <w:pPr>
        <w:pStyle w:val="Conclusion"/>
      </w:pPr>
    </w:p>
    <w:p w:rsidR="006C759D" w:rsidRPr="006C732A" w:rsidRDefault="006C759D" w:rsidP="00BD7E93">
      <w:pPr>
        <w:pStyle w:val="Conclusion"/>
      </w:pPr>
      <w:r w:rsidRPr="006C732A">
        <w:lastRenderedPageBreak/>
        <w:t>Conclusion</w:t>
      </w:r>
    </w:p>
    <w:p w:rsidR="006C759D" w:rsidRDefault="003675AB" w:rsidP="00E00A23">
      <w:r w:rsidRPr="0098747C">
        <w:t xml:space="preserve">The description of the purpose of the facility described in the application is considered adequate by </w:t>
      </w:r>
      <w:r w:rsidR="003B37EC" w:rsidRPr="0098747C">
        <w:t xml:space="preserve">the </w:t>
      </w:r>
      <w:r w:rsidRPr="0098747C">
        <w:t>AR</w:t>
      </w:r>
      <w:r w:rsidR="003B37EC" w:rsidRPr="0098747C">
        <w:t>P</w:t>
      </w:r>
      <w:r w:rsidRPr="0098747C">
        <w:t>ANSA assessor.</w:t>
      </w:r>
      <w:r w:rsidR="00292D78" w:rsidRPr="0098747C">
        <w:t xml:space="preserve"> </w:t>
      </w:r>
    </w:p>
    <w:p w:rsidR="002E194F" w:rsidRPr="001002A7" w:rsidRDefault="002E194F" w:rsidP="00881C30">
      <w:pPr>
        <w:pStyle w:val="Heading3"/>
        <w:ind w:left="1163"/>
      </w:pPr>
      <w:bookmarkStart w:id="49" w:name="_Hlt16049215"/>
      <w:bookmarkStart w:id="50" w:name="_Toc497727924"/>
      <w:bookmarkStart w:id="51" w:name="_Toc13454298"/>
      <w:bookmarkStart w:id="52" w:name="_Toc297107186"/>
      <w:bookmarkStart w:id="53" w:name="_Toc417974591"/>
      <w:bookmarkEnd w:id="49"/>
      <w:r w:rsidRPr="001002A7">
        <w:t>Detailed description of the facility and site [Item 3]</w:t>
      </w:r>
      <w:bookmarkEnd w:id="50"/>
      <w:bookmarkEnd w:id="51"/>
      <w:bookmarkEnd w:id="52"/>
      <w:bookmarkEnd w:id="53"/>
    </w:p>
    <w:p w:rsidR="006152B0" w:rsidRPr="0098747C" w:rsidRDefault="006152B0" w:rsidP="00B81C55">
      <w:pPr>
        <w:jc w:val="both"/>
      </w:pPr>
      <w:r w:rsidRPr="0098747C">
        <w:rPr>
          <w:i/>
        </w:rPr>
        <w:t xml:space="preserve">Item 3 of Part 1 of Schedule 3 of the Regulations require the applicant </w:t>
      </w:r>
      <w:r w:rsidR="00810A4C" w:rsidRPr="0098747C">
        <w:rPr>
          <w:i/>
        </w:rPr>
        <w:t xml:space="preserve">to </w:t>
      </w:r>
      <w:r w:rsidRPr="0098747C">
        <w:rPr>
          <w:i/>
        </w:rPr>
        <w:t xml:space="preserve">provide a detailed description of the facility and </w:t>
      </w:r>
      <w:r w:rsidR="00242344">
        <w:rPr>
          <w:i/>
        </w:rPr>
        <w:t xml:space="preserve">the </w:t>
      </w:r>
      <w:r w:rsidRPr="0098747C">
        <w:rPr>
          <w:i/>
        </w:rPr>
        <w:t>site for the proposed facility</w:t>
      </w:r>
      <w:r w:rsidRPr="0098747C">
        <w:t>.</w:t>
      </w:r>
    </w:p>
    <w:p w:rsidR="00990A0B" w:rsidRPr="006C732A" w:rsidRDefault="00990A0B" w:rsidP="00881C30">
      <w:pPr>
        <w:pStyle w:val="Heading3"/>
        <w:ind w:left="1163"/>
      </w:pPr>
      <w:bookmarkStart w:id="54" w:name="_Toc287272551"/>
      <w:bookmarkStart w:id="55" w:name="_Toc306282415"/>
      <w:bookmarkStart w:id="56" w:name="_Toc417974592"/>
      <w:r w:rsidRPr="006C732A">
        <w:t>Facility History</w:t>
      </w:r>
      <w:bookmarkEnd w:id="54"/>
      <w:bookmarkEnd w:id="55"/>
      <w:bookmarkEnd w:id="56"/>
    </w:p>
    <w:p w:rsidR="0098747C" w:rsidRDefault="007E0FEF" w:rsidP="00B81C55">
      <w:pPr>
        <w:autoSpaceDE w:val="0"/>
        <w:autoSpaceDN w:val="0"/>
        <w:adjustRightInd w:val="0"/>
        <w:spacing w:after="240"/>
        <w:jc w:val="both"/>
      </w:pPr>
      <w:r w:rsidRPr="0098747C">
        <w:t xml:space="preserve">The proposed facility is </w:t>
      </w:r>
      <w:r w:rsidR="00024EE7" w:rsidRPr="0098747C">
        <w:t xml:space="preserve">a </w:t>
      </w:r>
      <w:r w:rsidRPr="0098747C">
        <w:t>new facility</w:t>
      </w:r>
      <w:r w:rsidR="00024EE7" w:rsidRPr="0098747C">
        <w:t xml:space="preserve">. </w:t>
      </w:r>
      <w:r w:rsidR="008365F0" w:rsidRPr="0098747C">
        <w:t xml:space="preserve">  </w:t>
      </w:r>
      <w:bookmarkStart w:id="57" w:name="_Toc306282416"/>
    </w:p>
    <w:p w:rsidR="0098747C" w:rsidRPr="006C732A" w:rsidRDefault="00DE5B93" w:rsidP="00F46F9F">
      <w:pPr>
        <w:pStyle w:val="Heading4"/>
        <w:ind w:left="1418" w:hanging="1276"/>
      </w:pPr>
      <w:r w:rsidRPr="006C732A">
        <w:t xml:space="preserve">Location of </w:t>
      </w:r>
      <w:r w:rsidR="003C5301" w:rsidRPr="006C732A">
        <w:t xml:space="preserve">the </w:t>
      </w:r>
      <w:r w:rsidRPr="006C732A">
        <w:t>Facility</w:t>
      </w:r>
      <w:bookmarkEnd w:id="57"/>
    </w:p>
    <w:p w:rsidR="00E23167" w:rsidRDefault="00E23167" w:rsidP="00A131C9">
      <w:pPr>
        <w:autoSpaceDE w:val="0"/>
        <w:autoSpaceDN w:val="0"/>
        <w:adjustRightInd w:val="0"/>
        <w:spacing w:after="240"/>
        <w:jc w:val="both"/>
      </w:pPr>
      <w:r>
        <w:t xml:space="preserve">Details of the location of the facility were assessed </w:t>
      </w:r>
      <w:r w:rsidR="00E33C14">
        <w:t xml:space="preserve">for </w:t>
      </w:r>
      <w:r>
        <w:t xml:space="preserve">the siting </w:t>
      </w:r>
      <w:r w:rsidR="00C04550">
        <w:t xml:space="preserve">and construction </w:t>
      </w:r>
      <w:r>
        <w:t xml:space="preserve">licence and were found suitable. The results of assessment have been recorded elsewhere </w:t>
      </w:r>
      <w:r w:rsidR="00B929F1">
        <w:t>(</w:t>
      </w:r>
      <w:r>
        <w:t>R13/</w:t>
      </w:r>
      <w:r w:rsidR="00EE36C9">
        <w:t>06576</w:t>
      </w:r>
      <w:r w:rsidR="00B929F1">
        <w:t>)</w:t>
      </w:r>
      <w:r>
        <w:t>.</w:t>
      </w:r>
    </w:p>
    <w:p w:rsidR="00DE5B93" w:rsidRPr="006C732A" w:rsidRDefault="00DE5B93" w:rsidP="00F46F9F">
      <w:pPr>
        <w:pStyle w:val="Heading4"/>
        <w:ind w:left="1418" w:hanging="1276"/>
      </w:pPr>
      <w:bookmarkStart w:id="58" w:name="_Toc306282418"/>
      <w:r w:rsidRPr="006C732A">
        <w:t xml:space="preserve">Description of the </w:t>
      </w:r>
      <w:bookmarkEnd w:id="58"/>
      <w:r w:rsidR="00F53EB4" w:rsidRPr="006C732A">
        <w:t>Facility</w:t>
      </w:r>
    </w:p>
    <w:p w:rsidR="003871F6" w:rsidRDefault="003871F6" w:rsidP="00A41D81">
      <w:pPr>
        <w:pStyle w:val="BodyText2"/>
        <w:jc w:val="both"/>
      </w:pPr>
      <w:r w:rsidRPr="003871F6">
        <w:t xml:space="preserve">The IWS is a </w:t>
      </w:r>
      <w:r>
        <w:t xml:space="preserve">purpose built </w:t>
      </w:r>
      <w:r w:rsidRPr="003871F6">
        <w:t>single storey bu</w:t>
      </w:r>
      <w:r>
        <w:t>ilding constructed</w:t>
      </w:r>
      <w:r w:rsidRPr="003871F6">
        <w:t xml:space="preserve"> for the interim storage of the intermediate level wastes arising from the reprocessing of used HIFAR fuel in France. The building has a floor area of approximately</w:t>
      </w:r>
      <w:r w:rsidR="00421046">
        <w:t xml:space="preserve"> </w:t>
      </w:r>
      <w:r w:rsidRPr="003871F6">
        <w:t>845 m</w:t>
      </w:r>
      <w:r w:rsidRPr="00421046">
        <w:rPr>
          <w:vertAlign w:val="superscript"/>
        </w:rPr>
        <w:t>2</w:t>
      </w:r>
      <w:r w:rsidRPr="003871F6">
        <w:t xml:space="preserve"> with a height of 21 m. The perimeter walls are of precast concrete panels approximately 170 mm thick measuring 5 min height from the floor level and fixed to a structural steel portal. The rest of the perimeter walls which is fixed on top of the precast concrete panels have been constructed with 200 mm thick</w:t>
      </w:r>
      <w:r>
        <w:t xml:space="preserve"> </w:t>
      </w:r>
      <w:r w:rsidRPr="003871F6">
        <w:t>insulated sheet-metal sandwich panels with thermal insulation. The roof of the facility has been constructed from 150 mm thick sheet-metal sandwich panel. It has shutter doors for the entry and exit of the ILW consignments.</w:t>
      </w:r>
      <w:r w:rsidR="008D3E56">
        <w:t xml:space="preserve"> The facility is located adjacent to other Radioactive waste Operations facilities such Nuclear Materials Store.</w:t>
      </w:r>
    </w:p>
    <w:p w:rsidR="003C42AA" w:rsidRDefault="003C42AA" w:rsidP="003C42AA">
      <w:pPr>
        <w:pStyle w:val="BodyText2"/>
      </w:pPr>
      <w:r>
        <w:t>The IWS is</w:t>
      </w:r>
      <w:r w:rsidR="00450026">
        <w:t xml:space="preserve"> equipped with the </w:t>
      </w:r>
      <w:r>
        <w:t>following services/systems:</w:t>
      </w:r>
    </w:p>
    <w:p w:rsidR="00371BCD" w:rsidRDefault="003C42AA" w:rsidP="00C91EB0">
      <w:pPr>
        <w:pStyle w:val="BodyText2"/>
        <w:numPr>
          <w:ilvl w:val="0"/>
          <w:numId w:val="21"/>
        </w:numPr>
        <w:spacing w:after="0"/>
        <w:ind w:left="714" w:hanging="357"/>
      </w:pPr>
      <w:r>
        <w:t>Ventilation system</w:t>
      </w:r>
    </w:p>
    <w:p w:rsidR="003C42AA" w:rsidRDefault="003C42AA" w:rsidP="00C91EB0">
      <w:pPr>
        <w:pStyle w:val="BodyText2"/>
        <w:numPr>
          <w:ilvl w:val="0"/>
          <w:numId w:val="21"/>
        </w:numPr>
        <w:spacing w:after="0"/>
        <w:ind w:left="714" w:hanging="357"/>
      </w:pPr>
      <w:r>
        <w:t>Compressed air system;</w:t>
      </w:r>
    </w:p>
    <w:p w:rsidR="003C42AA" w:rsidRDefault="003C42AA" w:rsidP="00C91EB0">
      <w:pPr>
        <w:pStyle w:val="BodyText2"/>
        <w:numPr>
          <w:ilvl w:val="0"/>
          <w:numId w:val="21"/>
        </w:numPr>
        <w:spacing w:after="0"/>
      </w:pPr>
      <w:r>
        <w:t>Helium gas cylinder and associated pipework;</w:t>
      </w:r>
    </w:p>
    <w:p w:rsidR="003C42AA" w:rsidRDefault="003C42AA" w:rsidP="00C91EB0">
      <w:pPr>
        <w:pStyle w:val="BodyText2"/>
        <w:numPr>
          <w:ilvl w:val="0"/>
          <w:numId w:val="21"/>
        </w:numPr>
        <w:spacing w:after="0"/>
      </w:pPr>
      <w:r>
        <w:t>Building crane with a capacity of 140T Dangerous Goods Rated (DGR);</w:t>
      </w:r>
    </w:p>
    <w:p w:rsidR="003C42AA" w:rsidRDefault="003C42AA" w:rsidP="00C91EB0">
      <w:pPr>
        <w:pStyle w:val="BodyText2"/>
        <w:numPr>
          <w:ilvl w:val="0"/>
          <w:numId w:val="21"/>
        </w:numPr>
        <w:spacing w:after="0"/>
      </w:pPr>
      <w:r>
        <w:t>Electrical power distribution/reticulation;</w:t>
      </w:r>
    </w:p>
    <w:p w:rsidR="003C42AA" w:rsidRDefault="003C42AA" w:rsidP="00C91EB0">
      <w:pPr>
        <w:pStyle w:val="BodyText2"/>
        <w:numPr>
          <w:ilvl w:val="0"/>
          <w:numId w:val="21"/>
        </w:numPr>
        <w:spacing w:after="0"/>
      </w:pPr>
      <w:r>
        <w:t>Active drainage system;</w:t>
      </w:r>
    </w:p>
    <w:p w:rsidR="003C42AA" w:rsidRDefault="003C42AA" w:rsidP="00C91EB0">
      <w:pPr>
        <w:pStyle w:val="BodyText2"/>
        <w:numPr>
          <w:ilvl w:val="0"/>
          <w:numId w:val="21"/>
        </w:numPr>
        <w:spacing w:after="0"/>
      </w:pPr>
      <w:r>
        <w:t>Fire detection and alarm system;</w:t>
      </w:r>
    </w:p>
    <w:p w:rsidR="003C42AA" w:rsidRDefault="003C42AA" w:rsidP="00C91EB0">
      <w:pPr>
        <w:pStyle w:val="BodyText2"/>
        <w:numPr>
          <w:ilvl w:val="0"/>
          <w:numId w:val="21"/>
        </w:numPr>
        <w:spacing w:after="0"/>
      </w:pPr>
      <w:r>
        <w:t>Security access system; and</w:t>
      </w:r>
    </w:p>
    <w:p w:rsidR="003C42AA" w:rsidRDefault="003C42AA" w:rsidP="00C91EB0">
      <w:pPr>
        <w:pStyle w:val="BodyText2"/>
        <w:numPr>
          <w:ilvl w:val="0"/>
          <w:numId w:val="21"/>
        </w:numPr>
        <w:ind w:left="714" w:hanging="357"/>
      </w:pPr>
      <w:r>
        <w:t>Fixed radiation monitor(s) (gamma monitor)</w:t>
      </w:r>
    </w:p>
    <w:p w:rsidR="007B363F" w:rsidRPr="005715CB" w:rsidRDefault="007B363F" w:rsidP="000F2C7F">
      <w:pPr>
        <w:pStyle w:val="Conclusion"/>
      </w:pPr>
      <w:r w:rsidRPr="00B81C55">
        <w:t>Conclusion</w:t>
      </w:r>
    </w:p>
    <w:p w:rsidR="002C33B9" w:rsidRDefault="007B39AB" w:rsidP="00B81C55">
      <w:pPr>
        <w:pStyle w:val="BodyText2"/>
        <w:jc w:val="both"/>
      </w:pPr>
      <w:r w:rsidRPr="00337D19">
        <w:t>The facility description includes the location of the facility</w:t>
      </w:r>
      <w:r w:rsidR="007B2E97" w:rsidRPr="00337D19">
        <w:t>,</w:t>
      </w:r>
      <w:r w:rsidRPr="00337D19">
        <w:t xml:space="preserve"> the </w:t>
      </w:r>
      <w:r w:rsidR="00242344">
        <w:t xml:space="preserve">layout and </w:t>
      </w:r>
      <w:r w:rsidRPr="00337D19">
        <w:t>main components comprising the facility</w:t>
      </w:r>
      <w:r w:rsidR="007B2E97" w:rsidRPr="00337D19">
        <w:t xml:space="preserve"> and the operating envelope of the facility</w:t>
      </w:r>
      <w:r w:rsidRPr="00337D19">
        <w:t xml:space="preserve">. </w:t>
      </w:r>
      <w:r w:rsidR="00C4528B" w:rsidRPr="00337D19">
        <w:t xml:space="preserve">The </w:t>
      </w:r>
      <w:r w:rsidR="002C33B9" w:rsidRPr="00337D19">
        <w:t xml:space="preserve">ARPANSA assessor considers that the description of the facility </w:t>
      </w:r>
      <w:r w:rsidR="00077F21">
        <w:t>is acceptable.</w:t>
      </w:r>
    </w:p>
    <w:p w:rsidR="002E194F" w:rsidRPr="008E33D8" w:rsidRDefault="002E194F" w:rsidP="000B5FEC">
      <w:pPr>
        <w:pStyle w:val="Heading2"/>
      </w:pPr>
      <w:bookmarkStart w:id="59" w:name="_Toc497727932"/>
      <w:bookmarkStart w:id="60" w:name="_Toc13047983"/>
      <w:bookmarkStart w:id="61" w:name="_Toc13454300"/>
      <w:bookmarkStart w:id="62" w:name="_Toc35926817"/>
      <w:bookmarkStart w:id="63" w:name="_Toc297107187"/>
      <w:bookmarkStart w:id="64" w:name="_Toc417974593"/>
      <w:r w:rsidRPr="008E33D8">
        <w:lastRenderedPageBreak/>
        <w:t>P</w:t>
      </w:r>
      <w:r w:rsidR="00FB5677">
        <w:t>lans and Arrangements for Managing Safety</w:t>
      </w:r>
      <w:bookmarkEnd w:id="59"/>
      <w:bookmarkEnd w:id="60"/>
      <w:bookmarkEnd w:id="61"/>
      <w:bookmarkEnd w:id="62"/>
      <w:bookmarkEnd w:id="63"/>
      <w:bookmarkEnd w:id="64"/>
    </w:p>
    <w:p w:rsidR="002E194F" w:rsidRDefault="002E194F" w:rsidP="00FB5677">
      <w:pPr>
        <w:jc w:val="both"/>
      </w:pPr>
      <w:r w:rsidRPr="00337D19">
        <w:t xml:space="preserve">Item 4 </w:t>
      </w:r>
      <w:r w:rsidR="00A437C1" w:rsidRPr="00337D19">
        <w:t>(Part 1 of Schedule 3 to the Regulations)</w:t>
      </w:r>
      <w:r w:rsidR="00295C23" w:rsidRPr="00337D19">
        <w:t xml:space="preserve"> </w:t>
      </w:r>
      <w:r w:rsidRPr="00337D19">
        <w:t>of the general information that may be requested by the CEO refers to plans and arrangements for managing safety</w:t>
      </w:r>
      <w:r w:rsidR="00EC4CAA">
        <w:t xml:space="preserve"> </w:t>
      </w:r>
      <w:r w:rsidRPr="00337D19">
        <w:t>of the controlled facility to ensure the health and safety of people and protection of the environment.</w:t>
      </w:r>
    </w:p>
    <w:p w:rsidR="00D133C7" w:rsidRDefault="00D133C7" w:rsidP="00A41D81">
      <w:pPr>
        <w:jc w:val="both"/>
        <w:rPr>
          <w:color w:val="000000"/>
        </w:rPr>
      </w:pPr>
      <w:r>
        <w:rPr>
          <w:color w:val="000000"/>
        </w:rPr>
        <w:t>The holder of an operating licen</w:t>
      </w:r>
      <w:r w:rsidR="00C76501">
        <w:rPr>
          <w:color w:val="000000"/>
        </w:rPr>
        <w:t>c</w:t>
      </w:r>
      <w:r>
        <w:rPr>
          <w:color w:val="000000"/>
        </w:rPr>
        <w:t xml:space="preserve">e must ensure that activities comply with the plans and arrangements for managing safety. In general, this means that </w:t>
      </w:r>
      <w:r w:rsidR="00C76501">
        <w:rPr>
          <w:color w:val="000000"/>
        </w:rPr>
        <w:t xml:space="preserve">the </w:t>
      </w:r>
      <w:r>
        <w:rPr>
          <w:color w:val="000000"/>
        </w:rPr>
        <w:t xml:space="preserve">licence holder is responsible for establishing and implementing procedures that ensure compliance with the Safety Analysis Report </w:t>
      </w:r>
      <w:r w:rsidR="00A41D81">
        <w:rPr>
          <w:color w:val="000000"/>
        </w:rPr>
        <w:t>(</w:t>
      </w:r>
      <w:r>
        <w:rPr>
          <w:color w:val="000000"/>
        </w:rPr>
        <w:t xml:space="preserve">SAR), as updated.  This includes the Operating Limits and Conditions (OLC), which are part of the SAR by reference. The SAR is a main component of the licensing basis of the facility. It is the responsibility of the licence holder to keep it up-to-date. </w:t>
      </w:r>
    </w:p>
    <w:p w:rsidR="004561EB" w:rsidRPr="00337D19" w:rsidRDefault="004561EB" w:rsidP="00FB5677">
      <w:pPr>
        <w:jc w:val="both"/>
      </w:pPr>
      <w:proofErr w:type="gramStart"/>
      <w:r>
        <w:rPr>
          <w:color w:val="000000"/>
        </w:rPr>
        <w:t>Compliance with “plans and arrangements” (P&amp;A) for managing safety is prescribed in Regulation 49.</w:t>
      </w:r>
      <w:proofErr w:type="gramEnd"/>
      <w:r>
        <w:rPr>
          <w:color w:val="000000"/>
        </w:rPr>
        <w:t xml:space="preserve"> In essence, licensees must ensure that their implementing procedures reflect the </w:t>
      </w:r>
      <w:r w:rsidR="00EC4CAA">
        <w:rPr>
          <w:color w:val="000000"/>
        </w:rPr>
        <w:t>Safety Analysis Report</w:t>
      </w:r>
      <w:r>
        <w:rPr>
          <w:color w:val="000000"/>
        </w:rPr>
        <w:t xml:space="preserve">. Another licence condition, reflected in regulation 50, requires the licensee to review and update P&amp;A periodically. </w:t>
      </w:r>
      <w:r w:rsidR="00A41D81">
        <w:rPr>
          <w:color w:val="000000"/>
        </w:rPr>
        <w:t>This includes the SAR</w:t>
      </w:r>
      <w:r>
        <w:rPr>
          <w:color w:val="000000"/>
        </w:rPr>
        <w:t>.</w:t>
      </w:r>
    </w:p>
    <w:p w:rsidR="002E194F" w:rsidRPr="001002A7" w:rsidRDefault="002E194F" w:rsidP="001002A7">
      <w:pPr>
        <w:pStyle w:val="Heading3"/>
      </w:pPr>
      <w:bookmarkStart w:id="65" w:name="_Toc492280679"/>
      <w:bookmarkStart w:id="66" w:name="_Toc492282540"/>
      <w:bookmarkStart w:id="67" w:name="_Toc493304025"/>
      <w:bookmarkStart w:id="68" w:name="_Toc497727933"/>
      <w:bookmarkStart w:id="69" w:name="_Toc13454302"/>
      <w:bookmarkStart w:id="70" w:name="_Toc297107188"/>
      <w:bookmarkStart w:id="71" w:name="_Toc417974594"/>
      <w:r w:rsidRPr="001002A7">
        <w:t>Arrangements for maintaining effective control</w:t>
      </w:r>
      <w:bookmarkEnd w:id="65"/>
      <w:bookmarkEnd w:id="66"/>
      <w:bookmarkEnd w:id="67"/>
      <w:r w:rsidRPr="001002A7">
        <w:t xml:space="preserve"> [Item 4(a)]</w:t>
      </w:r>
      <w:bookmarkEnd w:id="68"/>
      <w:bookmarkEnd w:id="69"/>
      <w:bookmarkEnd w:id="70"/>
      <w:bookmarkEnd w:id="71"/>
    </w:p>
    <w:p w:rsidR="002E194F" w:rsidRPr="00337D19" w:rsidRDefault="002E194F" w:rsidP="00A41D81">
      <w:pPr>
        <w:tabs>
          <w:tab w:val="left" w:pos="0"/>
          <w:tab w:val="left" w:pos="1440"/>
        </w:tabs>
        <w:suppressAutoHyphens/>
        <w:jc w:val="both"/>
        <w:rPr>
          <w:i/>
        </w:rPr>
      </w:pPr>
      <w:r w:rsidRPr="00337D19">
        <w:rPr>
          <w:i/>
        </w:rPr>
        <w:t>In applying for a facility licence, the applicant may nominate a person or position that would control the conduct for which a licence is sought, and demonstrate how the nominee would maintain that control.  The nominee must have appropriate responsibility, with adequate authority and control of material, human and financial resources to ensure safety of the conduct.  Ultimate accountability remains with the applicant</w:t>
      </w:r>
      <w:r w:rsidR="00AE036C" w:rsidRPr="00337D19">
        <w:rPr>
          <w:i/>
        </w:rPr>
        <w:t xml:space="preserve"> [3]</w:t>
      </w:r>
      <w:r w:rsidRPr="00337D19">
        <w:rPr>
          <w:i/>
        </w:rPr>
        <w:t>.</w:t>
      </w:r>
    </w:p>
    <w:p w:rsidR="00317AAD" w:rsidRPr="00337D19" w:rsidRDefault="002C6E6B" w:rsidP="00A41D81">
      <w:pPr>
        <w:jc w:val="both"/>
      </w:pPr>
      <w:r w:rsidRPr="00337D19">
        <w:t xml:space="preserve">The arrangements for effective control have been assessed </w:t>
      </w:r>
      <w:r w:rsidR="005F2B81" w:rsidRPr="00337D19">
        <w:t>using</w:t>
      </w:r>
      <w:r w:rsidR="00AE7809" w:rsidRPr="00337D19">
        <w:t xml:space="preserve"> </w:t>
      </w:r>
      <w:r w:rsidRPr="00337D19">
        <w:t xml:space="preserve">the </w:t>
      </w:r>
      <w:r w:rsidR="00047F7C">
        <w:t xml:space="preserve">ARPANSA </w:t>
      </w:r>
      <w:r w:rsidRPr="00337D19">
        <w:t xml:space="preserve">guidelines described in Section </w:t>
      </w:r>
      <w:r w:rsidR="000F0A7D" w:rsidRPr="00337D19">
        <w:t>1</w:t>
      </w:r>
      <w:r w:rsidRPr="00337D19">
        <w:t xml:space="preserve"> of the RG [3] </w:t>
      </w:r>
      <w:r w:rsidR="00970D06" w:rsidRPr="00337D19">
        <w:t xml:space="preserve">and </w:t>
      </w:r>
      <w:r w:rsidR="00047F7C">
        <w:t xml:space="preserve">the relevant </w:t>
      </w:r>
      <w:r w:rsidR="002E0265" w:rsidRPr="00337D19">
        <w:t xml:space="preserve">regulatory assessment </w:t>
      </w:r>
      <w:r w:rsidRPr="00337D19">
        <w:t xml:space="preserve">principles </w:t>
      </w:r>
      <w:r w:rsidR="00047F7C">
        <w:t>(</w:t>
      </w:r>
      <w:r w:rsidR="002E0265" w:rsidRPr="00337D19">
        <w:t>RAPS</w:t>
      </w:r>
      <w:r w:rsidR="00047F7C">
        <w:t>)</w:t>
      </w:r>
      <w:r w:rsidR="002E0265" w:rsidRPr="00337D19">
        <w:t xml:space="preserve"> [4]</w:t>
      </w:r>
      <w:r w:rsidRPr="00337D19">
        <w:t xml:space="preserve"> </w:t>
      </w:r>
      <w:r w:rsidR="00A437C1" w:rsidRPr="00337D19">
        <w:t>as given below</w:t>
      </w:r>
      <w:r w:rsidR="000B135B" w:rsidRPr="00337D19">
        <w:t>.</w:t>
      </w:r>
    </w:p>
    <w:p w:rsidR="002E194F" w:rsidRPr="006C732A" w:rsidRDefault="00D47041" w:rsidP="00881C30">
      <w:pPr>
        <w:pStyle w:val="Heading4"/>
        <w:ind w:left="1276" w:hanging="1134"/>
      </w:pPr>
      <w:bookmarkStart w:id="72" w:name="_Toc306282421"/>
      <w:r>
        <w:t>Statutory and re</w:t>
      </w:r>
      <w:bookmarkEnd w:id="72"/>
      <w:r>
        <w:t>gulatory compliance</w:t>
      </w:r>
    </w:p>
    <w:p w:rsidR="00DA6D25" w:rsidRPr="00337D19" w:rsidRDefault="00DA6D25" w:rsidP="002C2F37">
      <w:pPr>
        <w:autoSpaceDE w:val="0"/>
        <w:autoSpaceDN w:val="0"/>
        <w:adjustRightInd w:val="0"/>
        <w:jc w:val="both"/>
      </w:pPr>
      <w:r w:rsidRPr="00337D19">
        <w:rPr>
          <w:i/>
        </w:rPr>
        <w:t xml:space="preserve">The licence holder </w:t>
      </w:r>
      <w:r w:rsidR="00DB1BC1">
        <w:rPr>
          <w:i/>
        </w:rPr>
        <w:t>should demonstrate how statutory and regulatory compliance are achieved</w:t>
      </w:r>
      <w:r w:rsidRPr="00337D19">
        <w:t xml:space="preserve"> (RG 1.1-1.4) [3].</w:t>
      </w:r>
    </w:p>
    <w:p w:rsidR="001146ED" w:rsidRDefault="009D6739" w:rsidP="002C2F37">
      <w:pPr>
        <w:autoSpaceDE w:val="0"/>
        <w:autoSpaceDN w:val="0"/>
        <w:adjustRightInd w:val="0"/>
        <w:jc w:val="both"/>
      </w:pPr>
      <w:r w:rsidRPr="00337D19">
        <w:t>The CEO of ANSTO</w:t>
      </w:r>
      <w:r w:rsidR="00382248" w:rsidRPr="00337D19">
        <w:t xml:space="preserve"> signed and</w:t>
      </w:r>
      <w:r w:rsidRPr="00337D19">
        <w:t xml:space="preserve"> submitted the application, and</w:t>
      </w:r>
      <w:r w:rsidR="00382248" w:rsidRPr="00337D19">
        <w:t xml:space="preserve"> Mr </w:t>
      </w:r>
      <w:r w:rsidR="00661373">
        <w:t>Hefin</w:t>
      </w:r>
      <w:r w:rsidR="00382248" w:rsidRPr="00337D19">
        <w:t xml:space="preserve"> G</w:t>
      </w:r>
      <w:r w:rsidR="00661373">
        <w:t>riffiths</w:t>
      </w:r>
      <w:r w:rsidR="00382248" w:rsidRPr="00337D19">
        <w:t xml:space="preserve">, </w:t>
      </w:r>
      <w:r w:rsidR="00661373">
        <w:t xml:space="preserve">Head Nuclear Services, </w:t>
      </w:r>
      <w:r w:rsidR="00382248" w:rsidRPr="00337D19">
        <w:t>is the nominee</w:t>
      </w:r>
      <w:r w:rsidR="000B135B" w:rsidRPr="00337D19">
        <w:t xml:space="preserve">.  </w:t>
      </w:r>
      <w:r w:rsidR="002E0265" w:rsidRPr="00337D19">
        <w:t>The CEO has the ultimate responsibility to maintain effective control and for ensuring compliance with the A</w:t>
      </w:r>
      <w:r w:rsidR="005F2B81" w:rsidRPr="00337D19">
        <w:t>ct and the Regulations</w:t>
      </w:r>
      <w:r w:rsidR="002E0265" w:rsidRPr="00337D19">
        <w:t>.</w:t>
      </w:r>
      <w:r w:rsidR="00676C35" w:rsidRPr="00337D19">
        <w:t xml:space="preserve"> The nominee is responsible for day to day work and for </w:t>
      </w:r>
      <w:r w:rsidR="002E0265" w:rsidRPr="00337D19">
        <w:t xml:space="preserve">assisting the CEO in </w:t>
      </w:r>
      <w:r w:rsidR="00676C35" w:rsidRPr="00337D19">
        <w:t>ensuring compliance with legislative requirements.</w:t>
      </w:r>
      <w:r w:rsidR="00DB1BC1">
        <w:t xml:space="preserve"> </w:t>
      </w:r>
      <w:r w:rsidR="001146ED">
        <w:t>The IWS facility is part of A</w:t>
      </w:r>
      <w:r w:rsidR="005F2D44">
        <w:t>NSTO Waste Operations, which comes under Nuclear Services. In order to address the statutory and regulatory compliance Nuclear Services Business and Compliance Manual, G 5248, is followed. This manual outlines the processes and responsibilities for statutory and regulatory compliance.</w:t>
      </w:r>
      <w:r w:rsidR="00D4607B">
        <w:t xml:space="preserve"> In addition, there is a Guide on ARPA</w:t>
      </w:r>
      <w:r w:rsidR="008B5262">
        <w:t>NS</w:t>
      </w:r>
      <w:r w:rsidR="00D4607B">
        <w:t>A Requirements (AG 5445) that sets out the roles and responsibilities and the process of demonstrating compliance with licence conditions.</w:t>
      </w:r>
    </w:p>
    <w:p w:rsidR="003A65D5" w:rsidRPr="00337D19" w:rsidRDefault="0043196C" w:rsidP="008F0A33">
      <w:pPr>
        <w:autoSpaceDE w:val="0"/>
        <w:autoSpaceDN w:val="0"/>
        <w:adjustRightInd w:val="0"/>
        <w:jc w:val="both"/>
      </w:pPr>
      <w:r w:rsidRPr="00337D19">
        <w:t xml:space="preserve">The </w:t>
      </w:r>
      <w:r w:rsidR="003A65D5" w:rsidRPr="00337D19">
        <w:t xml:space="preserve">ARPANSA assessor considers that the information submitted in relation to </w:t>
      </w:r>
      <w:r w:rsidR="00D4607B">
        <w:t xml:space="preserve">statutory and regulatory compliance </w:t>
      </w:r>
      <w:r w:rsidR="003A65D5" w:rsidRPr="00337D19">
        <w:t>is acceptable.</w:t>
      </w:r>
    </w:p>
    <w:p w:rsidR="002E194F" w:rsidRPr="006C732A" w:rsidRDefault="00D47041" w:rsidP="00ED7CC3">
      <w:pPr>
        <w:pStyle w:val="Heading4"/>
        <w:ind w:left="1276" w:hanging="1134"/>
      </w:pPr>
      <w:r>
        <w:lastRenderedPageBreak/>
        <w:t>Management commitment</w:t>
      </w:r>
    </w:p>
    <w:p w:rsidR="00DA6D25" w:rsidRPr="00337D19" w:rsidRDefault="00DA6D25" w:rsidP="008F0A33">
      <w:pPr>
        <w:pStyle w:val="Default"/>
        <w:jc w:val="both"/>
        <w:rPr>
          <w:rFonts w:asciiTheme="minorHAnsi" w:hAnsiTheme="minorHAnsi"/>
          <w:color w:val="auto"/>
          <w:sz w:val="22"/>
          <w:szCs w:val="22"/>
        </w:rPr>
      </w:pPr>
      <w:r w:rsidRPr="00337D19">
        <w:rPr>
          <w:rFonts w:asciiTheme="minorHAnsi" w:hAnsiTheme="minorHAnsi"/>
          <w:i/>
          <w:sz w:val="22"/>
          <w:szCs w:val="22"/>
        </w:rPr>
        <w:t xml:space="preserve">The licence holder </w:t>
      </w:r>
      <w:r w:rsidR="00191142">
        <w:rPr>
          <w:rFonts w:asciiTheme="minorHAnsi" w:hAnsiTheme="minorHAnsi"/>
          <w:i/>
          <w:sz w:val="22"/>
          <w:szCs w:val="22"/>
        </w:rPr>
        <w:t>should show that management is committed</w:t>
      </w:r>
      <w:r w:rsidRPr="00337D19">
        <w:rPr>
          <w:rFonts w:asciiTheme="minorHAnsi" w:hAnsiTheme="minorHAnsi"/>
          <w:i/>
          <w:sz w:val="22"/>
          <w:szCs w:val="22"/>
        </w:rPr>
        <w:t xml:space="preserve"> </w:t>
      </w:r>
      <w:r w:rsidR="00191142">
        <w:rPr>
          <w:rFonts w:asciiTheme="minorHAnsi" w:hAnsiTheme="minorHAnsi"/>
          <w:i/>
          <w:sz w:val="22"/>
          <w:szCs w:val="22"/>
        </w:rPr>
        <w:t xml:space="preserve">to maintain both safe and secure operations and work environment </w:t>
      </w:r>
      <w:r w:rsidRPr="00337D19">
        <w:rPr>
          <w:rFonts w:asciiTheme="minorHAnsi" w:hAnsiTheme="minorHAnsi"/>
          <w:i/>
          <w:sz w:val="22"/>
          <w:szCs w:val="22"/>
        </w:rPr>
        <w:t>(RG1.5-1.</w:t>
      </w:r>
      <w:r w:rsidR="00186573">
        <w:rPr>
          <w:rFonts w:asciiTheme="minorHAnsi" w:hAnsiTheme="minorHAnsi"/>
          <w:i/>
          <w:sz w:val="22"/>
          <w:szCs w:val="22"/>
        </w:rPr>
        <w:t>7</w:t>
      </w:r>
      <w:r w:rsidRPr="00337D19">
        <w:rPr>
          <w:rFonts w:asciiTheme="minorHAnsi" w:hAnsiTheme="minorHAnsi"/>
          <w:i/>
          <w:sz w:val="22"/>
          <w:szCs w:val="22"/>
        </w:rPr>
        <w:t>) [3].</w:t>
      </w:r>
    </w:p>
    <w:p w:rsidR="00393724" w:rsidRDefault="00B43E10" w:rsidP="008F0A33">
      <w:pPr>
        <w:pStyle w:val="p2"/>
        <w:spacing w:line="276" w:lineRule="auto"/>
        <w:jc w:val="both"/>
      </w:pPr>
      <w:r>
        <w:t xml:space="preserve">The </w:t>
      </w:r>
      <w:r w:rsidR="00D71352" w:rsidRPr="00D71352">
        <w:t>Nuclear Services</w:t>
      </w:r>
      <w:r>
        <w:t xml:space="preserve"> operate according to </w:t>
      </w:r>
      <w:r w:rsidR="009B3C83">
        <w:t xml:space="preserve">its Framework (G 2725) that sets the commitments of the management team </w:t>
      </w:r>
      <w:r w:rsidR="00393724">
        <w:t>and employees to ensure safe operations and work environment. This includes:</w:t>
      </w:r>
    </w:p>
    <w:p w:rsidR="00191142" w:rsidRDefault="00393724" w:rsidP="00C91EB0">
      <w:pPr>
        <w:pStyle w:val="p2"/>
        <w:numPr>
          <w:ilvl w:val="0"/>
          <w:numId w:val="22"/>
        </w:numPr>
        <w:spacing w:line="276" w:lineRule="auto"/>
        <w:jc w:val="both"/>
      </w:pPr>
      <w:r>
        <w:t>Provision of a safe and healthy environment for all ANSTO employees and the general public</w:t>
      </w:r>
    </w:p>
    <w:p w:rsidR="00393724" w:rsidRDefault="00393724" w:rsidP="00C91EB0">
      <w:pPr>
        <w:pStyle w:val="p2"/>
        <w:numPr>
          <w:ilvl w:val="0"/>
          <w:numId w:val="22"/>
        </w:numPr>
        <w:spacing w:line="276" w:lineRule="auto"/>
        <w:jc w:val="both"/>
      </w:pPr>
      <w:r>
        <w:t>Compliance with relevant statutory and regulatory requirements</w:t>
      </w:r>
    </w:p>
    <w:p w:rsidR="00393724" w:rsidRDefault="00393724" w:rsidP="00C91EB0">
      <w:pPr>
        <w:pStyle w:val="p2"/>
        <w:numPr>
          <w:ilvl w:val="0"/>
          <w:numId w:val="22"/>
        </w:numPr>
        <w:spacing w:line="276" w:lineRule="auto"/>
        <w:jc w:val="both"/>
      </w:pPr>
      <w:r>
        <w:t>Regular management reviews to identify opportunities for continual improvement</w:t>
      </w:r>
    </w:p>
    <w:p w:rsidR="00393724" w:rsidRPr="00D71352" w:rsidRDefault="00393724" w:rsidP="00C91EB0">
      <w:pPr>
        <w:pStyle w:val="p2"/>
        <w:numPr>
          <w:ilvl w:val="0"/>
          <w:numId w:val="22"/>
        </w:numPr>
        <w:spacing w:line="276" w:lineRule="auto"/>
        <w:jc w:val="both"/>
      </w:pPr>
      <w:r>
        <w:t>Appropriate training to ensure staff are competent to perform their tasks</w:t>
      </w:r>
    </w:p>
    <w:p w:rsidR="00667E9C" w:rsidRDefault="0043196C" w:rsidP="008F0A33">
      <w:pPr>
        <w:pStyle w:val="p2"/>
        <w:tabs>
          <w:tab w:val="clear" w:pos="720"/>
        </w:tabs>
        <w:spacing w:line="276" w:lineRule="auto"/>
        <w:jc w:val="both"/>
      </w:pPr>
      <w:r w:rsidRPr="00337D19">
        <w:t xml:space="preserve">The </w:t>
      </w:r>
      <w:r w:rsidR="00667E9C" w:rsidRPr="00337D19">
        <w:t xml:space="preserve">ARPANSA assessor considers that the information provided </w:t>
      </w:r>
      <w:r w:rsidR="00AE11C8">
        <w:t xml:space="preserve">demonstrating management commitment for safe </w:t>
      </w:r>
      <w:r w:rsidR="00000D81">
        <w:t>and secure operations are adequate.</w:t>
      </w:r>
    </w:p>
    <w:p w:rsidR="002E194F" w:rsidRPr="0037717E" w:rsidRDefault="00000D81" w:rsidP="000F2C7F">
      <w:pPr>
        <w:pStyle w:val="Heading4"/>
        <w:spacing w:after="200"/>
        <w:ind w:left="1276" w:hanging="1134"/>
      </w:pPr>
      <w:r>
        <w:t>Accountabilities and Responsibilities</w:t>
      </w:r>
    </w:p>
    <w:p w:rsidR="00DA6D25" w:rsidRPr="00337D19" w:rsidRDefault="00DA6D25" w:rsidP="008F0A33">
      <w:pPr>
        <w:jc w:val="both"/>
        <w:rPr>
          <w:i/>
        </w:rPr>
      </w:pPr>
      <w:r w:rsidRPr="00337D19">
        <w:rPr>
          <w:i/>
        </w:rPr>
        <w:t xml:space="preserve">The </w:t>
      </w:r>
      <w:r w:rsidR="00000D81">
        <w:rPr>
          <w:i/>
        </w:rPr>
        <w:t>licence holder</w:t>
      </w:r>
      <w:r w:rsidRPr="00337D19">
        <w:rPr>
          <w:i/>
        </w:rPr>
        <w:t xml:space="preserve"> should </w:t>
      </w:r>
      <w:r w:rsidR="00000D81">
        <w:rPr>
          <w:i/>
        </w:rPr>
        <w:t>describe accountabilities and responsibilities for key functions and operations</w:t>
      </w:r>
      <w:r w:rsidRPr="00337D19">
        <w:rPr>
          <w:i/>
        </w:rPr>
        <w:t xml:space="preserve"> (RG 1.</w:t>
      </w:r>
      <w:r w:rsidR="00000D81">
        <w:rPr>
          <w:i/>
        </w:rPr>
        <w:t>8</w:t>
      </w:r>
      <w:r w:rsidRPr="00337D19">
        <w:rPr>
          <w:i/>
        </w:rPr>
        <w:t>-1.</w:t>
      </w:r>
      <w:r w:rsidR="00000D81">
        <w:rPr>
          <w:i/>
        </w:rPr>
        <w:t>11</w:t>
      </w:r>
      <w:r w:rsidRPr="00337D19">
        <w:rPr>
          <w:i/>
        </w:rPr>
        <w:t>) [3], (RAPS 13-14</w:t>
      </w:r>
      <w:proofErr w:type="gramStart"/>
      <w:r w:rsidRPr="00337D19">
        <w:rPr>
          <w:i/>
        </w:rPr>
        <w:t>)[</w:t>
      </w:r>
      <w:proofErr w:type="gramEnd"/>
      <w:r w:rsidRPr="00337D19">
        <w:rPr>
          <w:i/>
        </w:rPr>
        <w:t>4].</w:t>
      </w:r>
    </w:p>
    <w:p w:rsidR="008343B2" w:rsidRDefault="00384D08" w:rsidP="008F0A33">
      <w:pPr>
        <w:jc w:val="both"/>
      </w:pPr>
      <w:r>
        <w:t xml:space="preserve">ANSTO provided the organisational structure that shows the clear lines of functions and responsibilities of Nuclear Services under which IWS will operate as part of Waste Operations.  </w:t>
      </w:r>
      <w:r w:rsidR="00AF2B7D">
        <w:t>The details of accountabilities and responsibilities of key functions and operations are described in Nuclear Services Business Manual (G5248). For example,</w:t>
      </w:r>
    </w:p>
    <w:p w:rsidR="00AF2B7D" w:rsidRDefault="00AF2B7D" w:rsidP="00C91EB0">
      <w:pPr>
        <w:pStyle w:val="ListParagraph"/>
        <w:numPr>
          <w:ilvl w:val="0"/>
          <w:numId w:val="23"/>
        </w:numPr>
        <w:jc w:val="both"/>
      </w:pPr>
      <w:r>
        <w:t>Head, Nuclear Services, who is also the Chief Nuclear Officer</w:t>
      </w:r>
      <w:r w:rsidR="00A46269">
        <w:t xml:space="preserve"> (CNO)</w:t>
      </w:r>
      <w:r w:rsidR="00241310">
        <w:t xml:space="preserve">, is responsible for providing advice and </w:t>
      </w:r>
      <w:r w:rsidR="00A46269">
        <w:t>is delegated by the</w:t>
      </w:r>
      <w:r w:rsidR="00241310">
        <w:t xml:space="preserve"> CEO for ensuring regulatory compliance, and managing safety </w:t>
      </w:r>
      <w:r w:rsidR="00106EE8">
        <w:t xml:space="preserve">and security </w:t>
      </w:r>
      <w:r w:rsidR="00241310">
        <w:t>in day to day operations</w:t>
      </w:r>
      <w:r w:rsidR="0041224D">
        <w:t>.</w:t>
      </w:r>
      <w:r w:rsidR="00241310">
        <w:t xml:space="preserve"> </w:t>
      </w:r>
    </w:p>
    <w:p w:rsidR="00AF2B7D" w:rsidRDefault="00AF2B7D" w:rsidP="00C91EB0">
      <w:pPr>
        <w:pStyle w:val="ListParagraph"/>
        <w:numPr>
          <w:ilvl w:val="0"/>
          <w:numId w:val="23"/>
        </w:numPr>
        <w:jc w:val="both"/>
      </w:pPr>
      <w:r>
        <w:t xml:space="preserve">Manager, Waste Management Services, </w:t>
      </w:r>
      <w:r w:rsidR="0041224D">
        <w:t xml:space="preserve">reports to the Head Nuclear Services and </w:t>
      </w:r>
      <w:r>
        <w:t xml:space="preserve">is </w:t>
      </w:r>
      <w:r w:rsidR="0041224D">
        <w:t xml:space="preserve">responsible for making appropriate </w:t>
      </w:r>
      <w:r w:rsidR="00106EE8">
        <w:t>plans and arrangements, implementing effective controls and provision of resources.</w:t>
      </w:r>
    </w:p>
    <w:p w:rsidR="00000D81" w:rsidRDefault="00A46269" w:rsidP="00C91EB0">
      <w:pPr>
        <w:pStyle w:val="ListParagraph"/>
        <w:numPr>
          <w:ilvl w:val="0"/>
          <w:numId w:val="23"/>
        </w:numPr>
        <w:jc w:val="both"/>
      </w:pPr>
      <w:r>
        <w:t>Manager, Regulatory Affairs, reports to the CNO and supports him in implementing process for compliance with key regulatory requirements, and to facilitate ANSTO’s interactions with government agencies, departments an</w:t>
      </w:r>
      <w:bookmarkStart w:id="73" w:name="_GoBack"/>
      <w:bookmarkEnd w:id="73"/>
      <w:r>
        <w:t>d regulators on regulatory matters</w:t>
      </w:r>
      <w:r w:rsidR="0041224D">
        <w:t>.</w:t>
      </w:r>
    </w:p>
    <w:p w:rsidR="0041224D" w:rsidRDefault="00106EE8" w:rsidP="00C91EB0">
      <w:pPr>
        <w:pStyle w:val="ListParagraph"/>
        <w:numPr>
          <w:ilvl w:val="0"/>
          <w:numId w:val="23"/>
        </w:numPr>
        <w:jc w:val="both"/>
      </w:pPr>
      <w:r>
        <w:t>Licensing Officer, Waste Management Services, reporting to the Head Nuclear Services, is responsible for coordinating compliance with regulatory requirements in the controlled facilities and in dealings with controlled material and apparatus.</w:t>
      </w:r>
    </w:p>
    <w:p w:rsidR="000142D4" w:rsidRDefault="000142D4" w:rsidP="008F0A33">
      <w:pPr>
        <w:jc w:val="both"/>
      </w:pPr>
      <w:r>
        <w:t>Delegation of management responsibilities are described in Section 2.2 of the Business Manual with reference to ANSTO’s Delegation Manual.</w:t>
      </w:r>
    </w:p>
    <w:p w:rsidR="00000D81" w:rsidRDefault="00106EE8" w:rsidP="008F0A33">
      <w:pPr>
        <w:jc w:val="both"/>
      </w:pPr>
      <w:r>
        <w:t>For further details of accountabilities and responsibilities</w:t>
      </w:r>
      <w:r w:rsidR="00852196">
        <w:t>,</w:t>
      </w:r>
      <w:r>
        <w:t xml:space="preserve"> ANSTO </w:t>
      </w:r>
      <w:r w:rsidR="005137F3">
        <w:t>g</w:t>
      </w:r>
      <w:r>
        <w:t>uide entitled WHS Accountabilities</w:t>
      </w:r>
      <w:r w:rsidR="00703EB5">
        <w:t>, Responsibilities and Authorisation Guide AG-2362</w:t>
      </w:r>
      <w:r w:rsidR="00852196">
        <w:t xml:space="preserve"> was referred to</w:t>
      </w:r>
      <w:r w:rsidR="00703EB5">
        <w:t>.</w:t>
      </w:r>
    </w:p>
    <w:p w:rsidR="00106EE8" w:rsidRDefault="005137F3" w:rsidP="008F0A33">
      <w:pPr>
        <w:jc w:val="both"/>
      </w:pPr>
      <w:r>
        <w:lastRenderedPageBreak/>
        <w:t xml:space="preserve">The ARPANSA assessor considers that </w:t>
      </w:r>
      <w:r w:rsidR="00852196">
        <w:t xml:space="preserve">the </w:t>
      </w:r>
      <w:r>
        <w:t>framework of accountabilities and responsibilities for key functions and operations are adequate.</w:t>
      </w:r>
    </w:p>
    <w:p w:rsidR="002E194F" w:rsidRPr="006C732A" w:rsidRDefault="002E194F" w:rsidP="000F2C7F">
      <w:pPr>
        <w:pStyle w:val="Heading4"/>
        <w:ind w:left="1276" w:hanging="1134"/>
      </w:pPr>
      <w:bookmarkStart w:id="74" w:name="_Toc306282424"/>
      <w:r w:rsidRPr="006C732A">
        <w:t>Resources</w:t>
      </w:r>
      <w:bookmarkEnd w:id="74"/>
    </w:p>
    <w:p w:rsidR="0080107B" w:rsidRPr="00337D19" w:rsidRDefault="00DA6D25" w:rsidP="008F0A33">
      <w:pPr>
        <w:autoSpaceDE w:val="0"/>
        <w:autoSpaceDN w:val="0"/>
        <w:adjustRightInd w:val="0"/>
        <w:jc w:val="both"/>
      </w:pPr>
      <w:r w:rsidRPr="00337D19">
        <w:rPr>
          <w:i/>
        </w:rPr>
        <w:t>The licence holder is responsible for ensuring adequate and appropriate resources are available (RG 1.</w:t>
      </w:r>
      <w:r w:rsidR="000142D4">
        <w:rPr>
          <w:i/>
        </w:rPr>
        <w:t>12</w:t>
      </w:r>
      <w:r w:rsidRPr="00337D19">
        <w:rPr>
          <w:i/>
        </w:rPr>
        <w:t>-1.</w:t>
      </w:r>
      <w:r w:rsidR="000142D4">
        <w:rPr>
          <w:i/>
        </w:rPr>
        <w:t>16</w:t>
      </w:r>
      <w:r w:rsidRPr="00337D19">
        <w:rPr>
          <w:i/>
        </w:rPr>
        <w:t>) [3</w:t>
      </w:r>
      <w:r w:rsidRPr="00337D19">
        <w:t>].</w:t>
      </w:r>
    </w:p>
    <w:p w:rsidR="007C1B61" w:rsidRDefault="001673CB" w:rsidP="008F0A33">
      <w:pPr>
        <w:autoSpaceDE w:val="0"/>
        <w:autoSpaceDN w:val="0"/>
        <w:adjustRightInd w:val="0"/>
        <w:jc w:val="both"/>
        <w:rPr>
          <w:bCs/>
          <w:iCs/>
        </w:rPr>
      </w:pPr>
      <w:r>
        <w:rPr>
          <w:bCs/>
          <w:iCs/>
        </w:rPr>
        <w:t>R</w:t>
      </w:r>
      <w:r w:rsidR="00893290">
        <w:rPr>
          <w:bCs/>
          <w:iCs/>
        </w:rPr>
        <w:t>esourcing aspect</w:t>
      </w:r>
      <w:r>
        <w:rPr>
          <w:bCs/>
          <w:iCs/>
        </w:rPr>
        <w:t>s</w:t>
      </w:r>
      <w:r w:rsidR="00893290">
        <w:rPr>
          <w:bCs/>
          <w:iCs/>
        </w:rPr>
        <w:t xml:space="preserve"> w</w:t>
      </w:r>
      <w:r>
        <w:rPr>
          <w:bCs/>
          <w:iCs/>
        </w:rPr>
        <w:t>ere</w:t>
      </w:r>
      <w:r w:rsidR="00893290">
        <w:rPr>
          <w:bCs/>
          <w:iCs/>
        </w:rPr>
        <w:t xml:space="preserve"> considered during the assessment of </w:t>
      </w:r>
      <w:r>
        <w:rPr>
          <w:bCs/>
          <w:iCs/>
        </w:rPr>
        <w:t xml:space="preserve">the </w:t>
      </w:r>
      <w:r w:rsidR="00893290">
        <w:rPr>
          <w:bCs/>
          <w:iCs/>
        </w:rPr>
        <w:t>siting licence and found acceptable (</w:t>
      </w:r>
      <w:r w:rsidR="003C42AA">
        <w:rPr>
          <w:bCs/>
          <w:iCs/>
        </w:rPr>
        <w:t>R13/06576</w:t>
      </w:r>
      <w:r w:rsidR="00893290">
        <w:rPr>
          <w:bCs/>
          <w:iCs/>
        </w:rPr>
        <w:t>).</w:t>
      </w:r>
      <w:r w:rsidR="00A078C6">
        <w:rPr>
          <w:bCs/>
          <w:iCs/>
        </w:rPr>
        <w:t xml:space="preserve"> </w:t>
      </w:r>
    </w:p>
    <w:p w:rsidR="000142D4" w:rsidRDefault="005A0EA5" w:rsidP="008F0A33">
      <w:pPr>
        <w:autoSpaceDE w:val="0"/>
        <w:autoSpaceDN w:val="0"/>
        <w:adjustRightInd w:val="0"/>
        <w:jc w:val="both"/>
        <w:rPr>
          <w:bCs/>
          <w:iCs/>
        </w:rPr>
      </w:pPr>
      <w:r>
        <w:rPr>
          <w:bCs/>
          <w:iCs/>
        </w:rPr>
        <w:t xml:space="preserve">ANSTO states that funding approval processes for facilities’ on-going operation and maintenance works ensure there is sufficient funding available for the necessary equipment and human resources. </w:t>
      </w:r>
      <w:r w:rsidR="0084700B">
        <w:rPr>
          <w:bCs/>
          <w:iCs/>
        </w:rPr>
        <w:t>In addition,</w:t>
      </w:r>
      <w:r>
        <w:rPr>
          <w:bCs/>
          <w:iCs/>
        </w:rPr>
        <w:t xml:space="preserve"> Sect</w:t>
      </w:r>
      <w:r w:rsidR="0084700B">
        <w:rPr>
          <w:bCs/>
          <w:iCs/>
        </w:rPr>
        <w:t>ion 2.3 of the Business Manual describes budget and asset management where it states the Head, Nuclear Services and Section Managers are committed to prudential management of its financial affairs through annual budget, quarterly budget review and monthly 24 month forecast update processes in accordance with Forecast and Budget Planning Guidelines (AG 2689).</w:t>
      </w:r>
    </w:p>
    <w:p w:rsidR="00D82B02" w:rsidRDefault="00E20638" w:rsidP="008F0A33">
      <w:pPr>
        <w:autoSpaceDE w:val="0"/>
        <w:autoSpaceDN w:val="0"/>
        <w:adjustRightInd w:val="0"/>
        <w:jc w:val="both"/>
        <w:rPr>
          <w:bCs/>
          <w:iCs/>
        </w:rPr>
      </w:pPr>
      <w:r w:rsidRPr="00337D19">
        <w:rPr>
          <w:bCs/>
          <w:iCs/>
        </w:rPr>
        <w:t xml:space="preserve">The </w:t>
      </w:r>
      <w:r w:rsidR="00D82B02" w:rsidRPr="00337D19">
        <w:rPr>
          <w:bCs/>
          <w:iCs/>
        </w:rPr>
        <w:t xml:space="preserve">ARPANSA assessor considers that </w:t>
      </w:r>
      <w:r w:rsidR="00174F40">
        <w:rPr>
          <w:bCs/>
          <w:iCs/>
        </w:rPr>
        <w:t xml:space="preserve">the resourcing </w:t>
      </w:r>
      <w:r w:rsidR="00D82B02" w:rsidRPr="00337D19">
        <w:rPr>
          <w:bCs/>
          <w:iCs/>
        </w:rPr>
        <w:t>arrangements</w:t>
      </w:r>
      <w:r w:rsidR="00174F40">
        <w:rPr>
          <w:bCs/>
          <w:iCs/>
        </w:rPr>
        <w:t>,</w:t>
      </w:r>
      <w:r w:rsidR="00B30E84">
        <w:rPr>
          <w:bCs/>
          <w:iCs/>
        </w:rPr>
        <w:t xml:space="preserve"> including the</w:t>
      </w:r>
      <w:r w:rsidR="0084700B">
        <w:rPr>
          <w:bCs/>
          <w:iCs/>
        </w:rPr>
        <w:t>ir allocation and control</w:t>
      </w:r>
      <w:r w:rsidR="00B30E84">
        <w:rPr>
          <w:bCs/>
          <w:iCs/>
        </w:rPr>
        <w:t xml:space="preserve"> </w:t>
      </w:r>
      <w:r w:rsidR="00D82B02" w:rsidRPr="00337D19">
        <w:rPr>
          <w:bCs/>
          <w:iCs/>
        </w:rPr>
        <w:t xml:space="preserve">described in the </w:t>
      </w:r>
      <w:r w:rsidR="000F1AAF">
        <w:rPr>
          <w:bCs/>
          <w:iCs/>
        </w:rPr>
        <w:t>a</w:t>
      </w:r>
      <w:r w:rsidR="00D82B02" w:rsidRPr="00337D19">
        <w:rPr>
          <w:bCs/>
          <w:iCs/>
        </w:rPr>
        <w:t>pplication are acceptable.</w:t>
      </w:r>
    </w:p>
    <w:p w:rsidR="0084700B" w:rsidRDefault="0084700B" w:rsidP="0084700B">
      <w:pPr>
        <w:pStyle w:val="Heading4"/>
        <w:ind w:left="1276" w:hanging="1134"/>
        <w:rPr>
          <w:bCs w:val="0"/>
          <w:iCs w:val="0"/>
        </w:rPr>
      </w:pPr>
      <w:r>
        <w:rPr>
          <w:bCs w:val="0"/>
          <w:iCs w:val="0"/>
        </w:rPr>
        <w:t>Communication</w:t>
      </w:r>
    </w:p>
    <w:p w:rsidR="0084700B" w:rsidRDefault="007F0134" w:rsidP="008F0A33">
      <w:pPr>
        <w:autoSpaceDE w:val="0"/>
        <w:autoSpaceDN w:val="0"/>
        <w:adjustRightInd w:val="0"/>
        <w:jc w:val="both"/>
        <w:rPr>
          <w:bCs/>
          <w:iCs/>
        </w:rPr>
      </w:pPr>
      <w:r w:rsidRPr="00337D19">
        <w:rPr>
          <w:i/>
        </w:rPr>
        <w:t xml:space="preserve">The licence holder is responsible for ensuring </w:t>
      </w:r>
      <w:r>
        <w:rPr>
          <w:i/>
        </w:rPr>
        <w:t>effective communication including both vertical and horizontal approaches</w:t>
      </w:r>
      <w:r w:rsidRPr="00337D19">
        <w:rPr>
          <w:i/>
        </w:rPr>
        <w:t xml:space="preserve"> (RG 1.</w:t>
      </w:r>
      <w:r w:rsidR="00427286">
        <w:rPr>
          <w:i/>
        </w:rPr>
        <w:t>17</w:t>
      </w:r>
      <w:r w:rsidRPr="00337D19">
        <w:rPr>
          <w:i/>
        </w:rPr>
        <w:t>-1.</w:t>
      </w:r>
      <w:r w:rsidR="00427286">
        <w:rPr>
          <w:i/>
        </w:rPr>
        <w:t>20</w:t>
      </w:r>
      <w:r w:rsidRPr="00337D19">
        <w:rPr>
          <w:i/>
        </w:rPr>
        <w:t>) [3</w:t>
      </w:r>
      <w:r w:rsidRPr="00337D19">
        <w:t>]</w:t>
      </w:r>
    </w:p>
    <w:p w:rsidR="007F0134" w:rsidRDefault="00A4123B" w:rsidP="008F0A33">
      <w:pPr>
        <w:autoSpaceDE w:val="0"/>
        <w:autoSpaceDN w:val="0"/>
        <w:adjustRightInd w:val="0"/>
        <w:jc w:val="both"/>
      </w:pPr>
      <w:r>
        <w:rPr>
          <w:bCs/>
          <w:iCs/>
        </w:rPr>
        <w:t>The application provides a flow diagram to depict the lines of communication that shows the communication lines between different levels and up to the ANS</w:t>
      </w:r>
      <w:r w:rsidR="00427286">
        <w:rPr>
          <w:bCs/>
          <w:iCs/>
        </w:rPr>
        <w:t>T</w:t>
      </w:r>
      <w:r>
        <w:rPr>
          <w:bCs/>
          <w:iCs/>
        </w:rPr>
        <w:t>O B</w:t>
      </w:r>
      <w:r w:rsidR="00427286">
        <w:rPr>
          <w:bCs/>
          <w:iCs/>
        </w:rPr>
        <w:t>oard. ANSTO states that</w:t>
      </w:r>
      <w:r w:rsidR="007F0134" w:rsidRPr="00EA5783">
        <w:t xml:space="preserve"> information is exchanged through </w:t>
      </w:r>
      <w:r w:rsidR="005B47B9">
        <w:t xml:space="preserve">the </w:t>
      </w:r>
      <w:r w:rsidR="005B47B9">
        <w:rPr>
          <w:bCs/>
          <w:iCs/>
        </w:rPr>
        <w:t xml:space="preserve">ANSTO CEO staff Forums, </w:t>
      </w:r>
      <w:r w:rsidR="007F0134" w:rsidRPr="00EA5783">
        <w:t xml:space="preserve">various meetings, </w:t>
      </w:r>
      <w:r w:rsidR="007F0134">
        <w:t>toolbox talks, the i</w:t>
      </w:r>
      <w:r w:rsidR="007F0134" w:rsidRPr="00EA5783">
        <w:t>ntranet</w:t>
      </w:r>
      <w:r w:rsidR="007F0134">
        <w:t xml:space="preserve"> and other correspondence</w:t>
      </w:r>
      <w:r w:rsidR="00281D70">
        <w:t>s</w:t>
      </w:r>
      <w:r w:rsidR="007F0134">
        <w:t xml:space="preserve"> such as emails</w:t>
      </w:r>
      <w:r w:rsidR="007F0134" w:rsidRPr="00EA5783">
        <w:t xml:space="preserve">. </w:t>
      </w:r>
      <w:r w:rsidR="007D4B59">
        <w:t>Further</w:t>
      </w:r>
      <w:r w:rsidR="007D4B59" w:rsidRPr="007D4B59">
        <w:t xml:space="preserve">, </w:t>
      </w:r>
      <w:r w:rsidR="007F0134" w:rsidRPr="007D4B59">
        <w:t xml:space="preserve">Nuclear Services participate in various </w:t>
      </w:r>
      <w:hyperlink r:id="rId12" w:history="1">
        <w:r w:rsidR="007F0134" w:rsidRPr="007D4B59">
          <w:t>internal committees</w:t>
        </w:r>
      </w:hyperlink>
      <w:r w:rsidR="007F0134" w:rsidRPr="007D4B59">
        <w:t>, for example, the Safety Committee, Safety Assurance Committee and Environment Improvement Committee to review safety and environmental</w:t>
      </w:r>
      <w:r w:rsidR="007F0134">
        <w:t xml:space="preserve"> performance and assure the compliance of all activities undertaken by ANSTO. Nuclear services also takes part in </w:t>
      </w:r>
      <w:hyperlink r:id="rId13" w:history="1">
        <w:r w:rsidR="007F0134" w:rsidRPr="007F0134">
          <w:t>external committees</w:t>
        </w:r>
      </w:hyperlink>
      <w:r w:rsidR="007F0134">
        <w:t xml:space="preserve"> such as the ANSTO Health Safety and Environment Forum (chaired by an external stakeholder) to inform stakeholders of ANSTO’s health, </w:t>
      </w:r>
      <w:r w:rsidR="007F0134" w:rsidRPr="00D224B1">
        <w:t>safety and environmental performance and promote discussion and implementati</w:t>
      </w:r>
      <w:r w:rsidR="007F0134">
        <w:t xml:space="preserve">on of potential improvements. </w:t>
      </w:r>
    </w:p>
    <w:p w:rsidR="007F0134" w:rsidRDefault="007F0134" w:rsidP="008F0A33">
      <w:pPr>
        <w:jc w:val="both"/>
      </w:pPr>
      <w:proofErr w:type="gramStart"/>
      <w:r>
        <w:t>Staff are</w:t>
      </w:r>
      <w:proofErr w:type="gramEnd"/>
      <w:r>
        <w:t xml:space="preserve"> informed of any change in policy, legislations and regulations, or customer requirements, through information exchange, meetings or management review minutes.</w:t>
      </w:r>
    </w:p>
    <w:p w:rsidR="005B47B9" w:rsidRDefault="005B47B9" w:rsidP="008F0A33">
      <w:pPr>
        <w:autoSpaceDE w:val="0"/>
        <w:autoSpaceDN w:val="0"/>
        <w:adjustRightInd w:val="0"/>
        <w:jc w:val="both"/>
        <w:rPr>
          <w:bCs/>
          <w:iCs/>
        </w:rPr>
      </w:pPr>
      <w:r>
        <w:rPr>
          <w:bCs/>
          <w:iCs/>
        </w:rPr>
        <w:t>The ARPANSA assessor considers that the mechanisms of communication are acceptable.</w:t>
      </w:r>
    </w:p>
    <w:p w:rsidR="00321F51" w:rsidRDefault="00321F51" w:rsidP="00321F51">
      <w:pPr>
        <w:pStyle w:val="Heading4"/>
        <w:ind w:left="1276" w:hanging="1134"/>
        <w:rPr>
          <w:bCs w:val="0"/>
          <w:iCs w:val="0"/>
        </w:rPr>
      </w:pPr>
      <w:r>
        <w:rPr>
          <w:bCs w:val="0"/>
          <w:iCs w:val="0"/>
        </w:rPr>
        <w:t>Process Implementation</w:t>
      </w:r>
    </w:p>
    <w:p w:rsidR="00321F51" w:rsidRDefault="00321F51" w:rsidP="008F0A33">
      <w:pPr>
        <w:autoSpaceDE w:val="0"/>
        <w:autoSpaceDN w:val="0"/>
        <w:adjustRightInd w:val="0"/>
        <w:jc w:val="both"/>
        <w:rPr>
          <w:bCs/>
          <w:iCs/>
        </w:rPr>
      </w:pPr>
      <w:r w:rsidRPr="00337D19">
        <w:rPr>
          <w:i/>
        </w:rPr>
        <w:t xml:space="preserve">The licence holder </w:t>
      </w:r>
      <w:r>
        <w:rPr>
          <w:i/>
        </w:rPr>
        <w:t xml:space="preserve">should have a clear system in place for implementation and control of operations, processes, functions or activities </w:t>
      </w:r>
      <w:r w:rsidRPr="00337D19">
        <w:rPr>
          <w:i/>
        </w:rPr>
        <w:t>(RG 1.</w:t>
      </w:r>
      <w:r>
        <w:rPr>
          <w:i/>
        </w:rPr>
        <w:t>21</w:t>
      </w:r>
      <w:r w:rsidRPr="00337D19">
        <w:rPr>
          <w:i/>
        </w:rPr>
        <w:t>-1.</w:t>
      </w:r>
      <w:r>
        <w:rPr>
          <w:i/>
        </w:rPr>
        <w:t>24</w:t>
      </w:r>
      <w:r w:rsidRPr="00337D19">
        <w:rPr>
          <w:i/>
        </w:rPr>
        <w:t>) [3</w:t>
      </w:r>
      <w:r>
        <w:rPr>
          <w:i/>
        </w:rPr>
        <w:t>].</w:t>
      </w:r>
    </w:p>
    <w:p w:rsidR="00321F51" w:rsidRDefault="0046403F" w:rsidP="008F0A33">
      <w:pPr>
        <w:autoSpaceDE w:val="0"/>
        <w:autoSpaceDN w:val="0"/>
        <w:adjustRightInd w:val="0"/>
        <w:jc w:val="both"/>
        <w:rPr>
          <w:bCs/>
          <w:iCs/>
        </w:rPr>
      </w:pPr>
      <w:r>
        <w:rPr>
          <w:bCs/>
          <w:iCs/>
        </w:rPr>
        <w:t>Nuclear Services has a system for Process and Product Planning and Control that defines the different stages of executing and controlling a process. Processes are planned and developed to meet the requirements of customers and other stakeholders within a statutory/regulatory framework.</w:t>
      </w:r>
      <w:r w:rsidR="002A5568">
        <w:rPr>
          <w:bCs/>
          <w:iCs/>
        </w:rPr>
        <w:t xml:space="preserve"> </w:t>
      </w:r>
      <w:r w:rsidR="002A5568">
        <w:rPr>
          <w:bCs/>
          <w:iCs/>
        </w:rPr>
        <w:lastRenderedPageBreak/>
        <w:t xml:space="preserve">Modifications to a process including changes to a facility, safety features, components or systems that may have significant safety implications are subjected </w:t>
      </w:r>
      <w:r w:rsidR="00884464">
        <w:rPr>
          <w:bCs/>
          <w:iCs/>
        </w:rPr>
        <w:t xml:space="preserve">to </w:t>
      </w:r>
      <w:r w:rsidR="002A5568">
        <w:rPr>
          <w:bCs/>
          <w:iCs/>
        </w:rPr>
        <w:t xml:space="preserve">ANSTO internal review prior to submission for regulatory approval. </w:t>
      </w:r>
    </w:p>
    <w:p w:rsidR="00321F51" w:rsidRDefault="006473C1" w:rsidP="008F0A33">
      <w:pPr>
        <w:autoSpaceDE w:val="0"/>
        <w:autoSpaceDN w:val="0"/>
        <w:adjustRightInd w:val="0"/>
        <w:jc w:val="both"/>
        <w:rPr>
          <w:bCs/>
          <w:iCs/>
        </w:rPr>
      </w:pPr>
      <w:r>
        <w:rPr>
          <w:bCs/>
          <w:iCs/>
        </w:rPr>
        <w:t xml:space="preserve">Nuclear Services activities are controlled by a range </w:t>
      </w:r>
      <w:r w:rsidR="00D65D7D">
        <w:rPr>
          <w:bCs/>
          <w:iCs/>
        </w:rPr>
        <w:t>of standard operating procedures and detailed work instructions to ensure the provision of consistent products and services. Appropriate criteria are used to verify the efficacy of the processes, and appropriate procedures are in place to deal with non-conformances.</w:t>
      </w:r>
    </w:p>
    <w:p w:rsidR="00D65D7D" w:rsidRDefault="00D65D7D" w:rsidP="008F0A33">
      <w:pPr>
        <w:autoSpaceDE w:val="0"/>
        <w:autoSpaceDN w:val="0"/>
        <w:adjustRightInd w:val="0"/>
        <w:jc w:val="both"/>
        <w:rPr>
          <w:bCs/>
          <w:iCs/>
        </w:rPr>
      </w:pPr>
      <w:r>
        <w:rPr>
          <w:bCs/>
          <w:iCs/>
        </w:rPr>
        <w:t>The ARPANSA assessor considers that the arrangements for process implementation are acceptable.</w:t>
      </w:r>
    </w:p>
    <w:p w:rsidR="00321F51" w:rsidRDefault="00321F51" w:rsidP="00321F51">
      <w:pPr>
        <w:pStyle w:val="Heading4"/>
        <w:ind w:left="1276" w:hanging="1134"/>
        <w:rPr>
          <w:bCs w:val="0"/>
          <w:iCs w:val="0"/>
        </w:rPr>
      </w:pPr>
      <w:r>
        <w:rPr>
          <w:bCs w:val="0"/>
          <w:iCs w:val="0"/>
        </w:rPr>
        <w:t>Documentation and Document Control</w:t>
      </w:r>
    </w:p>
    <w:p w:rsidR="00321F51" w:rsidRDefault="00321F51" w:rsidP="00EF43BF">
      <w:pPr>
        <w:autoSpaceDE w:val="0"/>
        <w:autoSpaceDN w:val="0"/>
        <w:adjustRightInd w:val="0"/>
        <w:spacing w:line="240" w:lineRule="auto"/>
        <w:jc w:val="both"/>
        <w:rPr>
          <w:bCs/>
          <w:iCs/>
        </w:rPr>
      </w:pPr>
      <w:r w:rsidRPr="00337D19">
        <w:rPr>
          <w:i/>
        </w:rPr>
        <w:t xml:space="preserve">The licence holder </w:t>
      </w:r>
      <w:r>
        <w:rPr>
          <w:i/>
        </w:rPr>
        <w:t>should have an effective document management system</w:t>
      </w:r>
      <w:r w:rsidRPr="00337D19">
        <w:rPr>
          <w:i/>
        </w:rPr>
        <w:t xml:space="preserve"> (RG 1.</w:t>
      </w:r>
      <w:r>
        <w:rPr>
          <w:i/>
        </w:rPr>
        <w:t>25</w:t>
      </w:r>
      <w:r w:rsidRPr="00337D19">
        <w:rPr>
          <w:i/>
        </w:rPr>
        <w:t>-1.</w:t>
      </w:r>
      <w:r>
        <w:rPr>
          <w:i/>
        </w:rPr>
        <w:t>30</w:t>
      </w:r>
      <w:r w:rsidRPr="00337D19">
        <w:rPr>
          <w:i/>
        </w:rPr>
        <w:t>) [3</w:t>
      </w:r>
      <w:r>
        <w:rPr>
          <w:i/>
        </w:rPr>
        <w:t>]</w:t>
      </w:r>
    </w:p>
    <w:p w:rsidR="00C35330" w:rsidRDefault="00D65D7D" w:rsidP="00A75EAD">
      <w:r>
        <w:t xml:space="preserve">The application states that Nuclear Services documents are developed in accordance with the ISO 9001 certification. </w:t>
      </w:r>
      <w:r w:rsidR="00A75EAD" w:rsidRPr="00D65D7D">
        <w:t>W</w:t>
      </w:r>
      <w:r>
        <w:t xml:space="preserve">aste </w:t>
      </w:r>
      <w:r w:rsidR="00A75EAD" w:rsidRPr="00D65D7D">
        <w:t>O</w:t>
      </w:r>
      <w:r>
        <w:t>perations</w:t>
      </w:r>
      <w:r w:rsidR="00A75EAD" w:rsidRPr="00D65D7D">
        <w:t xml:space="preserve"> is operating under a Business Management System (BMS) that comprises procedures and work instructions. The </w:t>
      </w:r>
      <w:r w:rsidR="007E245A">
        <w:t xml:space="preserve">Nuclear Services </w:t>
      </w:r>
      <w:r w:rsidR="00A75EAD" w:rsidRPr="00D65D7D">
        <w:t>Quality System is ISO 9001 and ISO 14001 accredited.</w:t>
      </w:r>
      <w:r w:rsidR="00A75EAD">
        <w:t xml:space="preserve"> </w:t>
      </w:r>
      <w:r w:rsidR="009C7DF2">
        <w:t xml:space="preserve">The operational procedures and work instructions provide detailed instructions on how to carry out the tasks and they are categorised according to hierarchy. For example, according to ascending hierarchy work instructions is placed at the lowest level and Business Compliance Management Manual at the highest level; operational procedures and compliance procedures and Guidelines sit in between them. </w:t>
      </w:r>
      <w:r w:rsidR="00C35330">
        <w:t xml:space="preserve">The procedures and instructions under the BMS </w:t>
      </w:r>
      <w:r w:rsidR="00877BCC">
        <w:t>are easily</w:t>
      </w:r>
      <w:r w:rsidR="00C35330">
        <w:t xml:space="preserve"> accessible and traceable through the intranet. This was verified during an inspection of Waste Operations</w:t>
      </w:r>
      <w:r w:rsidR="00852196">
        <w:t xml:space="preserve"> in March 2015</w:t>
      </w:r>
      <w:r w:rsidR="00C35330">
        <w:t>.</w:t>
      </w:r>
      <w:r w:rsidR="007E245A">
        <w:t xml:space="preserve"> </w:t>
      </w:r>
    </w:p>
    <w:p w:rsidR="00A75EAD" w:rsidRDefault="00C35330" w:rsidP="00A75EAD">
      <w:r>
        <w:t xml:space="preserve">The ARPANSA assessor considers that the document management system of Nuclear Services is effective and in accordance with an appropriate quality system. </w:t>
      </w:r>
    </w:p>
    <w:p w:rsidR="0080107B" w:rsidRPr="006D5A0E" w:rsidRDefault="0080107B" w:rsidP="00BD7E93">
      <w:pPr>
        <w:pStyle w:val="Conclusion"/>
      </w:pPr>
      <w:r w:rsidRPr="00FB5677">
        <w:t>Conclusion</w:t>
      </w:r>
    </w:p>
    <w:p w:rsidR="002E194F" w:rsidRDefault="0010714B" w:rsidP="008F0A33">
      <w:pPr>
        <w:jc w:val="both"/>
      </w:pPr>
      <w:r w:rsidRPr="00337D19">
        <w:t xml:space="preserve">The </w:t>
      </w:r>
      <w:r w:rsidR="000F1AAF">
        <w:t>a</w:t>
      </w:r>
      <w:r w:rsidRPr="00337D19">
        <w:t>pplication describes the line</w:t>
      </w:r>
      <w:r w:rsidR="00E20638" w:rsidRPr="00337D19">
        <w:t>s</w:t>
      </w:r>
      <w:r w:rsidRPr="00337D19">
        <w:t xml:space="preserve"> of </w:t>
      </w:r>
      <w:r w:rsidR="007E245A">
        <w:t xml:space="preserve">communication, </w:t>
      </w:r>
      <w:r w:rsidRPr="00337D19">
        <w:t xml:space="preserve">responsibility and functions in maintaining control over all aspects of </w:t>
      </w:r>
      <w:r w:rsidR="007E245A">
        <w:t xml:space="preserve">operation </w:t>
      </w:r>
      <w:r w:rsidR="00B30E84">
        <w:t>of the facility</w:t>
      </w:r>
      <w:r w:rsidR="002C59D2" w:rsidRPr="00337D19">
        <w:t xml:space="preserve">. </w:t>
      </w:r>
      <w:r w:rsidR="00E20638" w:rsidRPr="00337D19">
        <w:t xml:space="preserve">Arrangements </w:t>
      </w:r>
      <w:r w:rsidR="002C59D2" w:rsidRPr="00337D19">
        <w:t xml:space="preserve">for </w:t>
      </w:r>
      <w:r w:rsidRPr="00337D19">
        <w:t xml:space="preserve">effective control </w:t>
      </w:r>
      <w:r w:rsidR="00174F40">
        <w:t xml:space="preserve">of </w:t>
      </w:r>
      <w:r w:rsidRPr="00337D19">
        <w:t xml:space="preserve">technical, administrative and human factors, </w:t>
      </w:r>
      <w:r w:rsidR="00E20638" w:rsidRPr="00337D19">
        <w:t xml:space="preserve">the </w:t>
      </w:r>
      <w:r w:rsidRPr="00337D19">
        <w:t xml:space="preserve">ISO </w:t>
      </w:r>
      <w:r w:rsidR="007C4900" w:rsidRPr="00337D19">
        <w:t>certified</w:t>
      </w:r>
      <w:r w:rsidRPr="00337D19">
        <w:t xml:space="preserve"> management system and adequate human, financial and material resources </w:t>
      </w:r>
      <w:r w:rsidR="002C59D2" w:rsidRPr="00337D19">
        <w:t xml:space="preserve">will be applied to </w:t>
      </w:r>
      <w:r w:rsidRPr="00337D19">
        <w:t xml:space="preserve">the proposed conduct. The arrangements for maintaining effective control </w:t>
      </w:r>
      <w:r w:rsidR="002C59D2" w:rsidRPr="00337D19">
        <w:t xml:space="preserve">of </w:t>
      </w:r>
      <w:r w:rsidRPr="00337D19">
        <w:t>the proposed conduct are acceptable</w:t>
      </w:r>
      <w:r w:rsidR="00E30BF1">
        <w:t xml:space="preserve"> to the ARPANSA assessor</w:t>
      </w:r>
      <w:r w:rsidRPr="00337D19">
        <w:t>.</w:t>
      </w:r>
    </w:p>
    <w:p w:rsidR="002E194F" w:rsidRPr="001002A7" w:rsidRDefault="002E194F" w:rsidP="001002A7">
      <w:pPr>
        <w:pStyle w:val="Heading3"/>
      </w:pPr>
      <w:bookmarkStart w:id="75" w:name="_Toc492280681"/>
      <w:bookmarkStart w:id="76" w:name="_Toc492282541"/>
      <w:bookmarkStart w:id="77" w:name="_Toc493304026"/>
      <w:bookmarkStart w:id="78" w:name="_Toc497727934"/>
      <w:bookmarkStart w:id="79" w:name="_Toc13454304"/>
      <w:bookmarkStart w:id="80" w:name="_Toc297107189"/>
      <w:bookmarkStart w:id="81" w:name="_Toc417974595"/>
      <w:r w:rsidRPr="001002A7">
        <w:t>Safety management plan</w:t>
      </w:r>
      <w:bookmarkEnd w:id="75"/>
      <w:bookmarkEnd w:id="76"/>
      <w:bookmarkEnd w:id="77"/>
      <w:r w:rsidRPr="001002A7">
        <w:t xml:space="preserve"> [Item 4(b)]</w:t>
      </w:r>
      <w:bookmarkEnd w:id="78"/>
      <w:bookmarkEnd w:id="79"/>
      <w:bookmarkEnd w:id="80"/>
      <w:bookmarkEnd w:id="81"/>
    </w:p>
    <w:p w:rsidR="00DA6D25" w:rsidRPr="00337D19" w:rsidRDefault="00DA6D25" w:rsidP="00D2597C">
      <w:pPr>
        <w:jc w:val="both"/>
        <w:rPr>
          <w:i/>
        </w:rPr>
      </w:pPr>
      <w:r w:rsidRPr="00337D19">
        <w:rPr>
          <w:i/>
        </w:rPr>
        <w:t xml:space="preserve">The </w:t>
      </w:r>
      <w:r w:rsidR="00AE036C" w:rsidRPr="00337D19">
        <w:rPr>
          <w:i/>
        </w:rPr>
        <w:t xml:space="preserve">application should include a </w:t>
      </w:r>
      <w:r w:rsidR="00B05505" w:rsidRPr="00337D19">
        <w:rPr>
          <w:i/>
        </w:rPr>
        <w:t xml:space="preserve">safety </w:t>
      </w:r>
      <w:r w:rsidR="00AE036C" w:rsidRPr="00337D19">
        <w:rPr>
          <w:i/>
        </w:rPr>
        <w:t xml:space="preserve">management </w:t>
      </w:r>
      <w:r w:rsidR="00B05505" w:rsidRPr="00337D19">
        <w:rPr>
          <w:i/>
        </w:rPr>
        <w:t xml:space="preserve">plan </w:t>
      </w:r>
      <w:r w:rsidR="00AE036C" w:rsidRPr="00337D19">
        <w:rPr>
          <w:i/>
        </w:rPr>
        <w:t>that demonstrates that safety management practices are in accordance with internationally accepted principles and practices and duty of care obligations [3].</w:t>
      </w:r>
    </w:p>
    <w:p w:rsidR="000A446D" w:rsidRDefault="000A446D" w:rsidP="00D2597C">
      <w:pPr>
        <w:jc w:val="both"/>
      </w:pPr>
      <w:r w:rsidRPr="00337D19">
        <w:t xml:space="preserve">The arrangements for managing safety in the facility have been assessed against the </w:t>
      </w:r>
      <w:r w:rsidR="00C210E4" w:rsidRPr="00337D19">
        <w:t>gui</w:t>
      </w:r>
      <w:r w:rsidR="00852196">
        <w:t>delines described in the RG [3]</w:t>
      </w:r>
      <w:r w:rsidR="00C210E4" w:rsidRPr="00337D19">
        <w:t xml:space="preserve">. </w:t>
      </w:r>
    </w:p>
    <w:p w:rsidR="002E194F" w:rsidRPr="00D460E4" w:rsidRDefault="00B36CBB" w:rsidP="005A5663">
      <w:pPr>
        <w:pStyle w:val="Heading4"/>
        <w:ind w:left="1418" w:hanging="1134"/>
      </w:pPr>
      <w:r w:rsidRPr="00D460E4">
        <w:t xml:space="preserve">Safety </w:t>
      </w:r>
      <w:r w:rsidR="00FB6FF6">
        <w:t>Policy and Objectives</w:t>
      </w:r>
    </w:p>
    <w:p w:rsidR="00AE036C" w:rsidRPr="00337D19" w:rsidRDefault="00AE036C" w:rsidP="00D2597C">
      <w:pPr>
        <w:jc w:val="both"/>
        <w:rPr>
          <w:i/>
        </w:rPr>
      </w:pPr>
      <w:r w:rsidRPr="00337D19">
        <w:rPr>
          <w:i/>
        </w:rPr>
        <w:t xml:space="preserve">The licence holder </w:t>
      </w:r>
      <w:r w:rsidR="00FB6FF6">
        <w:rPr>
          <w:i/>
        </w:rPr>
        <w:t>should outline overarching policies and objectives for safety (RG 2.1 – 2.5) [3</w:t>
      </w:r>
      <w:r w:rsidRPr="00337D19">
        <w:rPr>
          <w:i/>
        </w:rPr>
        <w:t xml:space="preserve">]. </w:t>
      </w:r>
    </w:p>
    <w:p w:rsidR="00FB6FF6" w:rsidRDefault="00CF378E" w:rsidP="00D2597C">
      <w:pPr>
        <w:pStyle w:val="p2"/>
        <w:tabs>
          <w:tab w:val="clear" w:pos="720"/>
        </w:tabs>
        <w:spacing w:line="276" w:lineRule="auto"/>
        <w:jc w:val="both"/>
      </w:pPr>
      <w:r>
        <w:lastRenderedPageBreak/>
        <w:t xml:space="preserve">Nuclear Services follow ANSTO Work Health </w:t>
      </w:r>
      <w:r w:rsidR="00A94523">
        <w:t xml:space="preserve">and </w:t>
      </w:r>
      <w:r>
        <w:t xml:space="preserve">Safety (WHS) and Environment Policy, WHS management arrangement and WHS Standards and Practices. These documents clearly outline the objectives and work practices to be followed to ensure safety of all employees, the community and the environment. </w:t>
      </w:r>
      <w:r w:rsidR="00A94523">
        <w:t xml:space="preserve">The ANSTO WHS and Environment Policy </w:t>
      </w:r>
      <w:proofErr w:type="gramStart"/>
      <w:r w:rsidR="00A94523">
        <w:t>show</w:t>
      </w:r>
      <w:r w:rsidR="002E609C">
        <w:t>s</w:t>
      </w:r>
      <w:proofErr w:type="gramEnd"/>
      <w:r w:rsidR="00A94523">
        <w:t xml:space="preserve"> the commitment of the organisation to undertake its activities in </w:t>
      </w:r>
      <w:r w:rsidR="002E609C">
        <w:t xml:space="preserve">a </w:t>
      </w:r>
      <w:r w:rsidR="00A94523">
        <w:t>manner that:</w:t>
      </w:r>
    </w:p>
    <w:p w:rsidR="00A94523" w:rsidRDefault="00A94523" w:rsidP="00C91EB0">
      <w:pPr>
        <w:pStyle w:val="p2"/>
        <w:numPr>
          <w:ilvl w:val="0"/>
          <w:numId w:val="24"/>
        </w:numPr>
        <w:tabs>
          <w:tab w:val="clear" w:pos="720"/>
        </w:tabs>
        <w:spacing w:line="276" w:lineRule="auto"/>
        <w:jc w:val="both"/>
      </w:pPr>
      <w:r>
        <w:t>ANSTO strive</w:t>
      </w:r>
      <w:r w:rsidR="002E609C">
        <w:t>s</w:t>
      </w:r>
      <w:r>
        <w:t xml:space="preserve"> to have a people-safe workplace and believe that no one should be harmed through ANSTO activities</w:t>
      </w:r>
    </w:p>
    <w:p w:rsidR="00A94523" w:rsidRDefault="00A94523" w:rsidP="00C91EB0">
      <w:pPr>
        <w:pStyle w:val="p2"/>
        <w:numPr>
          <w:ilvl w:val="0"/>
          <w:numId w:val="24"/>
        </w:numPr>
        <w:tabs>
          <w:tab w:val="clear" w:pos="720"/>
        </w:tabs>
        <w:spacing w:line="276" w:lineRule="auto"/>
        <w:jc w:val="both"/>
      </w:pPr>
      <w:r>
        <w:t>Promotes a positive safety culture and empowers its people for ownership of safety</w:t>
      </w:r>
    </w:p>
    <w:p w:rsidR="00A94523" w:rsidRDefault="00A94523" w:rsidP="00C91EB0">
      <w:pPr>
        <w:pStyle w:val="p2"/>
        <w:numPr>
          <w:ilvl w:val="0"/>
          <w:numId w:val="24"/>
        </w:numPr>
        <w:tabs>
          <w:tab w:val="clear" w:pos="720"/>
        </w:tabs>
        <w:spacing w:line="276" w:lineRule="auto"/>
        <w:jc w:val="both"/>
      </w:pPr>
      <w:r>
        <w:t>All ANSTO employees are responsible for environmental stewardship</w:t>
      </w:r>
    </w:p>
    <w:p w:rsidR="00A94523" w:rsidRDefault="00A94523" w:rsidP="00C91EB0">
      <w:pPr>
        <w:pStyle w:val="p2"/>
        <w:numPr>
          <w:ilvl w:val="0"/>
          <w:numId w:val="24"/>
        </w:numPr>
        <w:tabs>
          <w:tab w:val="clear" w:pos="720"/>
        </w:tabs>
        <w:spacing w:line="276" w:lineRule="auto"/>
        <w:jc w:val="both"/>
      </w:pPr>
      <w:r>
        <w:t>All ANSTO employees will work together to minimise ANSTO’s environmental footprint through sustainable use of resources and by the prevention, minimisation and control of pollution</w:t>
      </w:r>
    </w:p>
    <w:p w:rsidR="00A94523" w:rsidRDefault="00A94523" w:rsidP="00C91EB0">
      <w:pPr>
        <w:pStyle w:val="p2"/>
        <w:numPr>
          <w:ilvl w:val="0"/>
          <w:numId w:val="24"/>
        </w:numPr>
        <w:tabs>
          <w:tab w:val="clear" w:pos="720"/>
        </w:tabs>
        <w:spacing w:line="276" w:lineRule="auto"/>
        <w:jc w:val="both"/>
      </w:pPr>
      <w:r>
        <w:t>Strives for continual improvement using a blame-free learning approach to meet ANSTO’s commitments</w:t>
      </w:r>
      <w:r w:rsidR="002E609C">
        <w:t>,</w:t>
      </w:r>
      <w:r>
        <w:t xml:space="preserve"> a program of knowledge development and transfer, leadership, monitoring and auditing performance.</w:t>
      </w:r>
    </w:p>
    <w:p w:rsidR="0097178F" w:rsidRDefault="00852196" w:rsidP="00D2597C">
      <w:pPr>
        <w:pStyle w:val="p2"/>
        <w:tabs>
          <w:tab w:val="clear" w:pos="720"/>
        </w:tabs>
        <w:spacing w:line="276" w:lineRule="auto"/>
        <w:jc w:val="both"/>
      </w:pPr>
      <w:r>
        <w:t>The WHS management system</w:t>
      </w:r>
      <w:r w:rsidR="0097178F">
        <w:t xml:space="preserve"> covers a range of standards and practi</w:t>
      </w:r>
      <w:r w:rsidR="008D165C">
        <w:t xml:space="preserve">ces, guidelines and procedures such as </w:t>
      </w:r>
      <w:r w:rsidR="0097178F">
        <w:t xml:space="preserve">Risk Management, Hazardous Work, </w:t>
      </w:r>
      <w:r w:rsidR="007617AF">
        <w:t>R</w:t>
      </w:r>
      <w:r w:rsidR="0097178F">
        <w:t>adiation Safety, Nuclear Safety</w:t>
      </w:r>
      <w:r w:rsidR="00EF1A79">
        <w:t xml:space="preserve"> etc.</w:t>
      </w:r>
    </w:p>
    <w:p w:rsidR="0095655C" w:rsidRPr="00337D19" w:rsidRDefault="00B51A06" w:rsidP="00D2597C">
      <w:pPr>
        <w:pStyle w:val="p2"/>
        <w:tabs>
          <w:tab w:val="clear" w:pos="720"/>
        </w:tabs>
        <w:spacing w:line="276" w:lineRule="auto"/>
        <w:jc w:val="both"/>
      </w:pPr>
      <w:r>
        <w:t>Appropriate administrative controls</w:t>
      </w:r>
      <w:r w:rsidR="001435E0">
        <w:t>, for example safe work method statements</w:t>
      </w:r>
      <w:r>
        <w:t xml:space="preserve"> (SWMES)</w:t>
      </w:r>
      <w:r w:rsidR="001435E0">
        <w:t>,</w:t>
      </w:r>
      <w:r>
        <w:t xml:space="preserve"> </w:t>
      </w:r>
      <w:r w:rsidR="00E028B7">
        <w:t>are</w:t>
      </w:r>
      <w:r>
        <w:t xml:space="preserve"> in place for radiation protection to reduce the likelihood and potential consequences of any hazardous situations. </w:t>
      </w:r>
    </w:p>
    <w:p w:rsidR="00292586" w:rsidRDefault="0095177E" w:rsidP="00D2597C">
      <w:pPr>
        <w:pStyle w:val="p2"/>
        <w:tabs>
          <w:tab w:val="clear" w:pos="720"/>
        </w:tabs>
        <w:spacing w:line="276" w:lineRule="auto"/>
        <w:jc w:val="both"/>
      </w:pPr>
      <w:r w:rsidRPr="00337D19">
        <w:t xml:space="preserve">ANSTO </w:t>
      </w:r>
      <w:r w:rsidR="008135EC" w:rsidRPr="00337D19">
        <w:t xml:space="preserve">has given a </w:t>
      </w:r>
      <w:r w:rsidRPr="00337D19">
        <w:t xml:space="preserve">commitment </w:t>
      </w:r>
      <w:r w:rsidR="00292586" w:rsidRPr="00337D19">
        <w:t xml:space="preserve">to </w:t>
      </w:r>
      <w:r w:rsidR="00682EA4" w:rsidRPr="00337D19">
        <w:t xml:space="preserve">the </w:t>
      </w:r>
      <w:r w:rsidR="00292586" w:rsidRPr="00337D19">
        <w:t xml:space="preserve">highest level of safety, </w:t>
      </w:r>
      <w:r w:rsidRPr="00337D19">
        <w:t xml:space="preserve">and </w:t>
      </w:r>
      <w:r w:rsidR="008135EC" w:rsidRPr="00337D19">
        <w:t xml:space="preserve">has in place </w:t>
      </w:r>
      <w:r w:rsidR="00292586" w:rsidRPr="00337D19">
        <w:t>mechanisms</w:t>
      </w:r>
      <w:r w:rsidRPr="00337D19">
        <w:t xml:space="preserve"> for consultation</w:t>
      </w:r>
      <w:r w:rsidR="00292586" w:rsidRPr="00337D19">
        <w:t xml:space="preserve">, contractor </w:t>
      </w:r>
      <w:r w:rsidR="00D02D14" w:rsidRPr="00337D19">
        <w:t xml:space="preserve">supervision, </w:t>
      </w:r>
      <w:r w:rsidR="003F3615" w:rsidRPr="00337D19">
        <w:t>and communication</w:t>
      </w:r>
      <w:r w:rsidR="00D02D14" w:rsidRPr="00337D19">
        <w:t xml:space="preserve"> of safety matter</w:t>
      </w:r>
      <w:r w:rsidR="00682EA4" w:rsidRPr="00337D19">
        <w:t>s</w:t>
      </w:r>
      <w:r w:rsidRPr="00337D19">
        <w:t>.</w:t>
      </w:r>
    </w:p>
    <w:p w:rsidR="00E028B7" w:rsidRDefault="00E028B7" w:rsidP="00D2597C">
      <w:pPr>
        <w:pStyle w:val="p2"/>
        <w:tabs>
          <w:tab w:val="clear" w:pos="720"/>
        </w:tabs>
        <w:spacing w:line="276" w:lineRule="auto"/>
        <w:jc w:val="both"/>
      </w:pPr>
      <w:r>
        <w:t>All policies and procedures are reviewed and updated according to an appropriate quality system.</w:t>
      </w:r>
    </w:p>
    <w:p w:rsidR="00E028B7" w:rsidRPr="00337D19" w:rsidRDefault="00E028B7" w:rsidP="00D2597C">
      <w:pPr>
        <w:pStyle w:val="p2"/>
        <w:tabs>
          <w:tab w:val="clear" w:pos="720"/>
        </w:tabs>
        <w:spacing w:line="276" w:lineRule="auto"/>
        <w:jc w:val="both"/>
      </w:pPr>
      <w:r>
        <w:t xml:space="preserve">The ARPANSA assessor considers that safety policies and objectives are adequately addressed in the application. </w:t>
      </w:r>
    </w:p>
    <w:p w:rsidR="00B36CBB" w:rsidRPr="00D460E4" w:rsidRDefault="0097178F" w:rsidP="005A5663">
      <w:pPr>
        <w:pStyle w:val="Heading4"/>
        <w:ind w:left="1418" w:hanging="1134"/>
      </w:pPr>
      <w:r>
        <w:t>Monitoring and Measurement</w:t>
      </w:r>
    </w:p>
    <w:p w:rsidR="0095177E" w:rsidRPr="00337D19" w:rsidRDefault="003F3615" w:rsidP="00D2597C">
      <w:pPr>
        <w:pStyle w:val="p2"/>
        <w:spacing w:line="276" w:lineRule="auto"/>
        <w:jc w:val="both"/>
      </w:pPr>
      <w:r w:rsidRPr="00337D19">
        <w:rPr>
          <w:i/>
        </w:rPr>
        <w:t xml:space="preserve">The licence holder </w:t>
      </w:r>
      <w:r w:rsidR="0097178F">
        <w:rPr>
          <w:i/>
        </w:rPr>
        <w:t>should have appropriate system in place to track and monitor its operations</w:t>
      </w:r>
      <w:r w:rsidRPr="00337D19">
        <w:rPr>
          <w:i/>
        </w:rPr>
        <w:t xml:space="preserve"> (RG 2.</w:t>
      </w:r>
      <w:r w:rsidR="0097178F">
        <w:rPr>
          <w:i/>
        </w:rPr>
        <w:t>6</w:t>
      </w:r>
      <w:r w:rsidRPr="00337D19">
        <w:rPr>
          <w:i/>
        </w:rPr>
        <w:t>-2.</w:t>
      </w:r>
      <w:r w:rsidR="0097178F">
        <w:rPr>
          <w:i/>
        </w:rPr>
        <w:t>12</w:t>
      </w:r>
      <w:r w:rsidRPr="00337D19">
        <w:rPr>
          <w:i/>
        </w:rPr>
        <w:t>) [3]</w:t>
      </w:r>
      <w:r w:rsidRPr="00337D19">
        <w:t>.</w:t>
      </w:r>
    </w:p>
    <w:p w:rsidR="001C1EA8" w:rsidRPr="001C1EA8" w:rsidRDefault="001C1EA8" w:rsidP="00D2597C">
      <w:pPr>
        <w:jc w:val="both"/>
        <w:rPr>
          <w:lang w:val="en-US"/>
        </w:rPr>
      </w:pPr>
      <w:r w:rsidRPr="001C1EA8">
        <w:rPr>
          <w:lang w:val="en-US"/>
        </w:rPr>
        <w:t>All events including near misses at W</w:t>
      </w:r>
      <w:r>
        <w:rPr>
          <w:lang w:val="en-US"/>
        </w:rPr>
        <w:t xml:space="preserve">aste </w:t>
      </w:r>
      <w:r w:rsidRPr="001C1EA8">
        <w:rPr>
          <w:lang w:val="en-US"/>
        </w:rPr>
        <w:t>O</w:t>
      </w:r>
      <w:r>
        <w:rPr>
          <w:lang w:val="en-US"/>
        </w:rPr>
        <w:t>perations</w:t>
      </w:r>
      <w:r w:rsidRPr="001C1EA8">
        <w:rPr>
          <w:lang w:val="en-US"/>
        </w:rPr>
        <w:t xml:space="preserve"> are captured in the GRC (Governance, Risk Compliance and Assurance) Cloud system in accordance with the ANSTO Event Reporting Process. This ensures that all events are dealt with in </w:t>
      </w:r>
      <w:r w:rsidR="006477E9">
        <w:rPr>
          <w:lang w:val="en-US"/>
        </w:rPr>
        <w:t xml:space="preserve">an </w:t>
      </w:r>
      <w:r w:rsidRPr="001C1EA8">
        <w:rPr>
          <w:lang w:val="en-US"/>
        </w:rPr>
        <w:t xml:space="preserve">appropriate way to effectively manage safety and security in the facilities. </w:t>
      </w:r>
      <w:r>
        <w:rPr>
          <w:lang w:val="en-US"/>
        </w:rPr>
        <w:t xml:space="preserve">The </w:t>
      </w:r>
      <w:r w:rsidRPr="001C1EA8">
        <w:rPr>
          <w:lang w:val="en-US"/>
        </w:rPr>
        <w:t xml:space="preserve">ARPANSA </w:t>
      </w:r>
      <w:r>
        <w:rPr>
          <w:lang w:val="en-US"/>
        </w:rPr>
        <w:t xml:space="preserve">assessor </w:t>
      </w:r>
      <w:r w:rsidRPr="001C1EA8">
        <w:rPr>
          <w:lang w:val="en-US"/>
        </w:rPr>
        <w:t xml:space="preserve">reviewed the events that occurred in the past two years and found that the corrective actions taken following each event were satisfactory. WO management </w:t>
      </w:r>
      <w:proofErr w:type="spellStart"/>
      <w:r w:rsidRPr="001C1EA8">
        <w:rPr>
          <w:lang w:val="en-US"/>
        </w:rPr>
        <w:t>utilises</w:t>
      </w:r>
      <w:proofErr w:type="spellEnd"/>
      <w:r w:rsidRPr="001C1EA8">
        <w:rPr>
          <w:lang w:val="en-US"/>
        </w:rPr>
        <w:t xml:space="preserve"> the ‘Action Tracker’ system to ensure that all actions are followed up and completed. </w:t>
      </w:r>
      <w:r w:rsidRPr="001C1EA8">
        <w:t>Open actions and event investigations are standing items on the weekly management meeting agenda. Abnormal occurrences and near-misses are reported.  Events are triaged into categories based on consequence. Event outcomes are fed back to officers involved, weekly management meetings and various committees.</w:t>
      </w:r>
    </w:p>
    <w:p w:rsidR="001C1EA8" w:rsidRDefault="001C1EA8" w:rsidP="00D2597C">
      <w:pPr>
        <w:jc w:val="both"/>
        <w:rPr>
          <w:lang w:val="en-US"/>
        </w:rPr>
      </w:pPr>
      <w:r w:rsidRPr="001C1EA8">
        <w:rPr>
          <w:lang w:val="en-US"/>
        </w:rPr>
        <w:lastRenderedPageBreak/>
        <w:t>Various key performance indicators are used by ANSTO to monitor operational performance. For example, for safety performance indicators W</w:t>
      </w:r>
      <w:r>
        <w:rPr>
          <w:lang w:val="en-US"/>
        </w:rPr>
        <w:t xml:space="preserve">aste </w:t>
      </w:r>
      <w:r w:rsidRPr="001C1EA8">
        <w:rPr>
          <w:lang w:val="en-US"/>
        </w:rPr>
        <w:t>O</w:t>
      </w:r>
      <w:r>
        <w:rPr>
          <w:lang w:val="en-US"/>
        </w:rPr>
        <w:t xml:space="preserve">perations </w:t>
      </w:r>
      <w:r w:rsidRPr="001C1EA8">
        <w:rPr>
          <w:lang w:val="en-US"/>
        </w:rPr>
        <w:t>uses the number of events (moderate and above), staff dose, completion of event investigation, number of personal contamination events and lost time injuries.</w:t>
      </w:r>
    </w:p>
    <w:p w:rsidR="001C1EA8" w:rsidRDefault="009871D3" w:rsidP="00D2597C">
      <w:pPr>
        <w:jc w:val="both"/>
      </w:pPr>
      <w:r>
        <w:t xml:space="preserve">The application states that during operation of the facility, a minor level of radiation hazard (i.e. 0.1 – 1 </w:t>
      </w:r>
      <w:proofErr w:type="spellStart"/>
      <w:r>
        <w:t>mSv</w:t>
      </w:r>
      <w:proofErr w:type="spellEnd"/>
      <w:r>
        <w:t xml:space="preserve">) will exist at the time of routine inspection of technological waste packages. Waste Operations uses SWMES (Safe Work Method and Environmental Statements) to ensure that staff and contractors know the radiation and other hazards and controls. This </w:t>
      </w:r>
      <w:r w:rsidR="006477E9">
        <w:t xml:space="preserve">is </w:t>
      </w:r>
      <w:r>
        <w:t>reinforced by the toolbox safety talks with the work groups prior to the task.</w:t>
      </w:r>
      <w:r w:rsidR="008B240C">
        <w:t xml:space="preserve"> All of the working level arrangements for the control of hazards during operation of the facility are assessed and supplemented by the ANSTO internal SAC review and approval process, which was submitted as part of the application.</w:t>
      </w:r>
      <w:r>
        <w:t xml:space="preserve">  </w:t>
      </w:r>
    </w:p>
    <w:p w:rsidR="00255313" w:rsidRDefault="0073272A" w:rsidP="00D2597C">
      <w:pPr>
        <w:pStyle w:val="p2"/>
        <w:spacing w:line="276" w:lineRule="auto"/>
        <w:jc w:val="both"/>
      </w:pPr>
      <w:r w:rsidRPr="00337D19">
        <w:t xml:space="preserve">The </w:t>
      </w:r>
      <w:r w:rsidR="00255313" w:rsidRPr="00337D19">
        <w:t>ARPANSA assessor considers that the</w:t>
      </w:r>
      <w:r w:rsidR="00E13622" w:rsidRPr="00337D19">
        <w:t xml:space="preserve"> </w:t>
      </w:r>
      <w:r w:rsidR="00255313" w:rsidRPr="00337D19">
        <w:t>arrangements for</w:t>
      </w:r>
      <w:r w:rsidR="008B240C">
        <w:t xml:space="preserve"> monitoring and measurement are adequate</w:t>
      </w:r>
      <w:r w:rsidR="00C63FBF">
        <w:t>.</w:t>
      </w:r>
    </w:p>
    <w:p w:rsidR="00B36CBB" w:rsidRPr="00D460E4" w:rsidRDefault="008B240C" w:rsidP="005A5663">
      <w:pPr>
        <w:pStyle w:val="Heading4"/>
        <w:ind w:left="1418" w:hanging="1134"/>
      </w:pPr>
      <w:r>
        <w:t>Risk Assessment and Mitigation</w:t>
      </w:r>
    </w:p>
    <w:p w:rsidR="00F215B0" w:rsidRPr="00337D19" w:rsidRDefault="00320AD7" w:rsidP="00D2597C">
      <w:pPr>
        <w:pStyle w:val="p2"/>
        <w:tabs>
          <w:tab w:val="clear" w:pos="720"/>
        </w:tabs>
        <w:spacing w:line="276" w:lineRule="auto"/>
        <w:jc w:val="both"/>
      </w:pPr>
      <w:r w:rsidRPr="00337D19">
        <w:rPr>
          <w:i/>
        </w:rPr>
        <w:t>The licen</w:t>
      </w:r>
      <w:r w:rsidR="00F215B0" w:rsidRPr="00337D19">
        <w:rPr>
          <w:i/>
        </w:rPr>
        <w:t xml:space="preserve">ce holder is </w:t>
      </w:r>
      <w:r w:rsidR="008B240C">
        <w:rPr>
          <w:i/>
        </w:rPr>
        <w:t>should demonstrate effectiveness of risk assessment and mitigation strategies (RG 2.13</w:t>
      </w:r>
      <w:r w:rsidR="00F215B0" w:rsidRPr="00337D19">
        <w:rPr>
          <w:i/>
        </w:rPr>
        <w:t>-2.</w:t>
      </w:r>
      <w:r w:rsidR="008B240C">
        <w:rPr>
          <w:i/>
        </w:rPr>
        <w:t>20</w:t>
      </w:r>
      <w:r w:rsidR="00F215B0" w:rsidRPr="00337D19">
        <w:rPr>
          <w:i/>
        </w:rPr>
        <w:t>) [3]</w:t>
      </w:r>
    </w:p>
    <w:p w:rsidR="00B17D68" w:rsidRDefault="00BD3D1D" w:rsidP="00D2597C">
      <w:pPr>
        <w:pStyle w:val="p2"/>
        <w:tabs>
          <w:tab w:val="clear" w:pos="720"/>
        </w:tabs>
        <w:spacing w:line="276" w:lineRule="auto"/>
        <w:jc w:val="both"/>
      </w:pPr>
      <w:r>
        <w:t xml:space="preserve">Nuclear Services uses </w:t>
      </w:r>
      <w:r w:rsidR="006477E9">
        <w:t xml:space="preserve">the </w:t>
      </w:r>
      <w:r>
        <w:t xml:space="preserve">ANSTO Risk Analysis Matrix Guide, AG 2395, for risk assessment. The application is supported by a Safety Assessment of the IWS (ANSTO/T/TN/2012-03, rev 3) which details the risk assessment of the hazardous scenarios identified for the operation of the facility. </w:t>
      </w:r>
      <w:r w:rsidR="00615017">
        <w:t xml:space="preserve">Details of risk assessment are discussed in </w:t>
      </w:r>
      <w:r>
        <w:t>Section 2.3.3 of this report</w:t>
      </w:r>
      <w:r w:rsidR="00615017">
        <w:t>.</w:t>
      </w:r>
      <w:r>
        <w:t xml:space="preserve"> </w:t>
      </w:r>
    </w:p>
    <w:p w:rsidR="008B240C" w:rsidRDefault="00615017" w:rsidP="00D2597C">
      <w:pPr>
        <w:pStyle w:val="p2"/>
        <w:tabs>
          <w:tab w:val="clear" w:pos="720"/>
        </w:tabs>
        <w:spacing w:line="276" w:lineRule="auto"/>
        <w:jc w:val="both"/>
      </w:pPr>
      <w:r>
        <w:t xml:space="preserve">The </w:t>
      </w:r>
      <w:r w:rsidR="00E13622" w:rsidRPr="00337D19">
        <w:t xml:space="preserve">ARPANSA </w:t>
      </w:r>
      <w:r>
        <w:t xml:space="preserve">assessor </w:t>
      </w:r>
      <w:r w:rsidR="00E13622" w:rsidRPr="00337D19">
        <w:t xml:space="preserve">is satisfied </w:t>
      </w:r>
      <w:r>
        <w:t xml:space="preserve">that this aspect has </w:t>
      </w:r>
      <w:r w:rsidR="00E13622" w:rsidRPr="00337D19">
        <w:t xml:space="preserve">been </w:t>
      </w:r>
      <w:r w:rsidR="00B456FC" w:rsidRPr="00337D19">
        <w:t>adequately</w:t>
      </w:r>
      <w:r w:rsidR="00E13622" w:rsidRPr="00337D19">
        <w:t xml:space="preserve"> addressed by ANSTO.</w:t>
      </w:r>
    </w:p>
    <w:p w:rsidR="00B36CBB" w:rsidRPr="00D460E4" w:rsidRDefault="00843CDE" w:rsidP="004561EB">
      <w:pPr>
        <w:pStyle w:val="Heading4"/>
        <w:spacing w:before="0"/>
        <w:ind w:left="1418" w:hanging="1134"/>
      </w:pPr>
      <w:r>
        <w:t>Managing Change</w:t>
      </w:r>
    </w:p>
    <w:p w:rsidR="00C438DE" w:rsidRPr="00337D19" w:rsidRDefault="00BA3B71" w:rsidP="00D2597C">
      <w:pPr>
        <w:pStyle w:val="p2"/>
        <w:tabs>
          <w:tab w:val="clear" w:pos="720"/>
        </w:tabs>
        <w:spacing w:line="276" w:lineRule="auto"/>
        <w:jc w:val="both"/>
      </w:pPr>
      <w:r w:rsidRPr="00337D19">
        <w:rPr>
          <w:i/>
        </w:rPr>
        <w:t xml:space="preserve">The licence holder </w:t>
      </w:r>
      <w:r w:rsidR="00843CDE">
        <w:rPr>
          <w:i/>
        </w:rPr>
        <w:t xml:space="preserve">should specify how changes are safely managed </w:t>
      </w:r>
      <w:r w:rsidRPr="00337D19">
        <w:rPr>
          <w:i/>
        </w:rPr>
        <w:t>(RG 2.</w:t>
      </w:r>
      <w:r w:rsidR="00843CDE">
        <w:rPr>
          <w:i/>
        </w:rPr>
        <w:t>21-2.28</w:t>
      </w:r>
      <w:r w:rsidRPr="00337D19">
        <w:rPr>
          <w:i/>
        </w:rPr>
        <w:t xml:space="preserve">) </w:t>
      </w:r>
      <w:r w:rsidRPr="00337D19">
        <w:t>[3].</w:t>
      </w:r>
    </w:p>
    <w:p w:rsidR="007D4034" w:rsidRDefault="007D4034" w:rsidP="00D2597C">
      <w:pPr>
        <w:pStyle w:val="p2"/>
        <w:tabs>
          <w:tab w:val="clear" w:pos="720"/>
        </w:tabs>
        <w:spacing w:line="276" w:lineRule="auto"/>
        <w:jc w:val="both"/>
      </w:pPr>
      <w:r>
        <w:t>Nuclear Services categorise changes according to their safety implications according to WHS Categorisation of Activities Guide (AG 2525). All modification activities are approved by the line management and changes that come under category “A” require internal approval by SAC. Further, ANSTO has a procedure in place to determine the nuclear and radiological significance of any relevant changes having significant implications for safety. Details are described in AG 2395- Guidance for the Determination of Nuclear and Radiological Significance.</w:t>
      </w:r>
    </w:p>
    <w:p w:rsidR="0071429B" w:rsidRDefault="0071429B" w:rsidP="00D2597C">
      <w:pPr>
        <w:pStyle w:val="p2"/>
        <w:tabs>
          <w:tab w:val="clear" w:pos="720"/>
        </w:tabs>
        <w:spacing w:line="276" w:lineRule="auto"/>
        <w:jc w:val="both"/>
      </w:pPr>
      <w:r>
        <w:t>ANSTO states that the need for modifications/changes is determined by the Head, Nuclear Services in consultation with staff and ANSTO Support Services including Radiation Protection Services. Both normal operating experience and abnormal occurrences recorded in the event reporting system are considered in determining the need for mod</w:t>
      </w:r>
      <w:r w:rsidR="00A94523">
        <w:t>i</w:t>
      </w:r>
      <w:r>
        <w:t>fications.</w:t>
      </w:r>
    </w:p>
    <w:p w:rsidR="000B134E" w:rsidRDefault="007D4034" w:rsidP="00D2597C">
      <w:pPr>
        <w:pStyle w:val="p2"/>
        <w:tabs>
          <w:tab w:val="clear" w:pos="720"/>
        </w:tabs>
        <w:spacing w:line="276" w:lineRule="auto"/>
        <w:jc w:val="both"/>
      </w:pPr>
      <w:r>
        <w:t xml:space="preserve">The ARPANSA assessor considers that the arrangements for managing change are acceptable.  </w:t>
      </w:r>
    </w:p>
    <w:p w:rsidR="002F09A7" w:rsidRDefault="002F09A7" w:rsidP="004561EB">
      <w:pPr>
        <w:pStyle w:val="p2"/>
        <w:tabs>
          <w:tab w:val="clear" w:pos="720"/>
        </w:tabs>
        <w:spacing w:after="0" w:line="240" w:lineRule="auto"/>
        <w:jc w:val="both"/>
      </w:pPr>
    </w:p>
    <w:p w:rsidR="00B36CBB" w:rsidRPr="00D460E4" w:rsidRDefault="0071429B" w:rsidP="005A5663">
      <w:pPr>
        <w:pStyle w:val="Heading4"/>
        <w:ind w:left="1418" w:hanging="1134"/>
      </w:pPr>
      <w:r>
        <w:lastRenderedPageBreak/>
        <w:t>Learning and Continuous Improvement</w:t>
      </w:r>
    </w:p>
    <w:p w:rsidR="00BA3B71" w:rsidRPr="00337D19" w:rsidRDefault="00BA3B71" w:rsidP="008364FC">
      <w:pPr>
        <w:pStyle w:val="p2"/>
        <w:spacing w:line="276" w:lineRule="auto"/>
        <w:jc w:val="both"/>
      </w:pPr>
      <w:r w:rsidRPr="00337D19">
        <w:rPr>
          <w:i/>
        </w:rPr>
        <w:t xml:space="preserve">The licence holder </w:t>
      </w:r>
      <w:r w:rsidR="0071429B">
        <w:rPr>
          <w:i/>
        </w:rPr>
        <w:t xml:space="preserve">should have a system in place learning from experience and continuous improvement </w:t>
      </w:r>
      <w:r w:rsidRPr="00337D19">
        <w:rPr>
          <w:i/>
        </w:rPr>
        <w:t>(RG 2.</w:t>
      </w:r>
      <w:r w:rsidR="0071429B">
        <w:rPr>
          <w:i/>
        </w:rPr>
        <w:t>29</w:t>
      </w:r>
      <w:r w:rsidRPr="00337D19">
        <w:rPr>
          <w:i/>
        </w:rPr>
        <w:t>-2.</w:t>
      </w:r>
      <w:r w:rsidR="0071429B">
        <w:rPr>
          <w:i/>
        </w:rPr>
        <w:t>34</w:t>
      </w:r>
      <w:r w:rsidRPr="00337D19">
        <w:rPr>
          <w:i/>
        </w:rPr>
        <w:t>)</w:t>
      </w:r>
      <w:r w:rsidRPr="00337D19">
        <w:t xml:space="preserve"> [3].</w:t>
      </w:r>
    </w:p>
    <w:p w:rsidR="00A32F05" w:rsidRDefault="00542AC6" w:rsidP="008364FC">
      <w:pPr>
        <w:pStyle w:val="p2"/>
        <w:spacing w:line="276" w:lineRule="auto"/>
        <w:jc w:val="both"/>
      </w:pPr>
      <w:r>
        <w:t>ANSTO WHS and Environment Policy promotes continual improvement using a blame-free learning approach and maintaining a program of knowledge development and transfer, leadership, monitoring and auditing performance. Through Nuclear Services Business and Compliance Manual the Management gives commitment to regular management reviews to identify opportunities for continual improvement.</w:t>
      </w:r>
    </w:p>
    <w:p w:rsidR="00542AC6" w:rsidRDefault="00542AC6" w:rsidP="008364FC">
      <w:pPr>
        <w:pStyle w:val="p2"/>
        <w:spacing w:line="276" w:lineRule="auto"/>
        <w:jc w:val="both"/>
      </w:pPr>
      <w:r>
        <w:t xml:space="preserve">Nuclear Services has a system in place to include lessons learnt </w:t>
      </w:r>
      <w:r w:rsidR="0093223B">
        <w:t xml:space="preserve">in operating instructions and work practices. For example, a section of lessons learnt was added to SWMES, and </w:t>
      </w:r>
      <w:proofErr w:type="gramStart"/>
      <w:r w:rsidR="0093223B">
        <w:t>lessons learnt was</w:t>
      </w:r>
      <w:proofErr w:type="gramEnd"/>
      <w:r w:rsidR="0093223B">
        <w:t xml:space="preserve"> to include a risk assessment in operating instructions. This was verified during an inspection of Waste Operations in March 2015.</w:t>
      </w:r>
      <w:r>
        <w:t xml:space="preserve"> </w:t>
      </w:r>
    </w:p>
    <w:p w:rsidR="0071429B" w:rsidRDefault="0093223B" w:rsidP="008364FC">
      <w:pPr>
        <w:pStyle w:val="p2"/>
        <w:spacing w:line="276" w:lineRule="auto"/>
        <w:jc w:val="both"/>
      </w:pPr>
      <w:r>
        <w:t>The ARPANSA assessor considers that arrangements for lessons learnt and continuous improvement in safety are acceptable.</w:t>
      </w:r>
    </w:p>
    <w:p w:rsidR="00B36CBB" w:rsidRPr="0065410E" w:rsidRDefault="00791F3A" w:rsidP="005A5663">
      <w:pPr>
        <w:pStyle w:val="Heading4"/>
        <w:ind w:left="1418" w:hanging="1134"/>
      </w:pPr>
      <w:r>
        <w:t xml:space="preserve">Training </w:t>
      </w:r>
    </w:p>
    <w:p w:rsidR="001E0FFB" w:rsidRPr="00337D19" w:rsidRDefault="001E0FFB" w:rsidP="008364FC">
      <w:pPr>
        <w:pStyle w:val="p2"/>
        <w:spacing w:line="276" w:lineRule="auto"/>
        <w:jc w:val="both"/>
      </w:pPr>
      <w:r w:rsidRPr="00337D19">
        <w:rPr>
          <w:i/>
        </w:rPr>
        <w:t xml:space="preserve">The licence holder </w:t>
      </w:r>
      <w:r w:rsidR="00791F3A">
        <w:rPr>
          <w:i/>
        </w:rPr>
        <w:t xml:space="preserve">should have an appropriate training and education program </w:t>
      </w:r>
      <w:r w:rsidRPr="00337D19">
        <w:rPr>
          <w:i/>
        </w:rPr>
        <w:t>(RG 2.</w:t>
      </w:r>
      <w:r w:rsidR="00791F3A">
        <w:rPr>
          <w:i/>
        </w:rPr>
        <w:t>35</w:t>
      </w:r>
      <w:r w:rsidRPr="00337D19">
        <w:rPr>
          <w:i/>
        </w:rPr>
        <w:t>- 2.</w:t>
      </w:r>
      <w:r w:rsidR="00791F3A">
        <w:rPr>
          <w:i/>
        </w:rPr>
        <w:t>40</w:t>
      </w:r>
      <w:r w:rsidRPr="00337D19">
        <w:rPr>
          <w:i/>
        </w:rPr>
        <w:t xml:space="preserve">) </w:t>
      </w:r>
      <w:r w:rsidRPr="00791F3A">
        <w:t>[</w:t>
      </w:r>
      <w:r w:rsidRPr="00337D19">
        <w:t>3].</w:t>
      </w:r>
    </w:p>
    <w:p w:rsidR="00F52898" w:rsidRDefault="00F52898" w:rsidP="008364FC">
      <w:pPr>
        <w:pStyle w:val="p2"/>
        <w:spacing w:line="276" w:lineRule="auto"/>
        <w:jc w:val="both"/>
      </w:pPr>
      <w:r>
        <w:t>Nuclear Services follow ANSTO Guide 2363</w:t>
      </w:r>
      <w:r w:rsidR="009179A3">
        <w:t xml:space="preserve"> </w:t>
      </w:r>
      <w:r>
        <w:t xml:space="preserve">- Work Health and Safety Training, for specific safety competency. The application states that Waste Operations </w:t>
      </w:r>
      <w:proofErr w:type="gramStart"/>
      <w:r>
        <w:t>staff are</w:t>
      </w:r>
      <w:proofErr w:type="gramEnd"/>
      <w:r>
        <w:t xml:space="preserve"> trained in the areas of waste management and radiation protection, which is relevant to the routine inspection of the packages to be stored in the IWS.  ANSTO states that they have comprehensive processes which collectively ensure that potentially hazardous work is performed and supervised by properly authorised and qualified staff</w:t>
      </w:r>
      <w:r w:rsidR="00AA495C">
        <w:t>. This starts with the recruitment process for staff and long-term contractors where the selection is based on the technical and personal selection criteria for the role.</w:t>
      </w:r>
      <w:r>
        <w:t xml:space="preserve"> </w:t>
      </w:r>
      <w:r w:rsidR="00AA495C">
        <w:t>These criteria include the qualifications, knowledge and experience appropriate for the work</w:t>
      </w:r>
    </w:p>
    <w:p w:rsidR="00F52898" w:rsidRDefault="00F52898" w:rsidP="008364FC">
      <w:pPr>
        <w:pStyle w:val="p2"/>
        <w:spacing w:line="276" w:lineRule="auto"/>
        <w:jc w:val="both"/>
      </w:pPr>
      <w:r>
        <w:t>Further details of training are described in Section 5 of the Safety Management Plan (IWS-O-LA-D2).</w:t>
      </w:r>
    </w:p>
    <w:p w:rsidR="001555FB" w:rsidRDefault="00791F3A" w:rsidP="008364FC">
      <w:pPr>
        <w:pStyle w:val="p2"/>
        <w:spacing w:line="276" w:lineRule="auto"/>
        <w:jc w:val="both"/>
      </w:pPr>
      <w:r>
        <w:t xml:space="preserve">Training records are maintained in </w:t>
      </w:r>
      <w:r w:rsidR="009179A3">
        <w:t xml:space="preserve">the </w:t>
      </w:r>
      <w:r>
        <w:t>ANSTO Training Register.</w:t>
      </w:r>
    </w:p>
    <w:p w:rsidR="00AB490B" w:rsidRDefault="00AB490B" w:rsidP="008364FC">
      <w:pPr>
        <w:pStyle w:val="p2"/>
        <w:spacing w:line="276" w:lineRule="auto"/>
        <w:jc w:val="both"/>
      </w:pPr>
      <w:r>
        <w:t>The ARPANSA assessor considers that the training and education program is suitable for the operation of the facility.</w:t>
      </w:r>
    </w:p>
    <w:p w:rsidR="002E194F" w:rsidRPr="006D5A0E" w:rsidRDefault="00B72C3A" w:rsidP="00132322">
      <w:pPr>
        <w:pStyle w:val="Conclusion"/>
        <w:spacing w:after="120" w:line="240" w:lineRule="auto"/>
      </w:pPr>
      <w:r w:rsidRPr="00FB5677">
        <w:t>Conclusion</w:t>
      </w:r>
    </w:p>
    <w:p w:rsidR="00584955" w:rsidRDefault="00E61CE3" w:rsidP="008364FC">
      <w:pPr>
        <w:pStyle w:val="p2"/>
        <w:tabs>
          <w:tab w:val="clear" w:pos="720"/>
        </w:tabs>
        <w:spacing w:line="276" w:lineRule="auto"/>
        <w:jc w:val="both"/>
        <w:rPr>
          <w:szCs w:val="24"/>
        </w:rPr>
      </w:pPr>
      <w:r w:rsidRPr="00337D19">
        <w:t>The arrangements and procedures for managing safety described in the application are acceptable.</w:t>
      </w:r>
      <w:r w:rsidR="00B43E36" w:rsidRPr="00337D19">
        <w:t xml:space="preserve"> </w:t>
      </w:r>
    </w:p>
    <w:p w:rsidR="002E194F" w:rsidRPr="001002A7" w:rsidRDefault="002E194F" w:rsidP="001002A7">
      <w:pPr>
        <w:pStyle w:val="Heading3"/>
      </w:pPr>
      <w:bookmarkStart w:id="82" w:name="_Toc492280683"/>
      <w:bookmarkStart w:id="83" w:name="_Toc492282542"/>
      <w:bookmarkStart w:id="84" w:name="_Toc493304027"/>
      <w:bookmarkStart w:id="85" w:name="_Toc497727935"/>
      <w:bookmarkStart w:id="86" w:name="_Toc13454306"/>
      <w:bookmarkStart w:id="87" w:name="_Toc297107190"/>
      <w:bookmarkStart w:id="88" w:name="_Toc417974596"/>
      <w:r w:rsidRPr="001002A7">
        <w:t>Radiation protection plan</w:t>
      </w:r>
      <w:bookmarkEnd w:id="82"/>
      <w:bookmarkEnd w:id="83"/>
      <w:bookmarkEnd w:id="84"/>
      <w:r w:rsidRPr="001002A7">
        <w:t xml:space="preserve"> [Item 4(c)]</w:t>
      </w:r>
      <w:bookmarkEnd w:id="85"/>
      <w:bookmarkEnd w:id="86"/>
      <w:bookmarkEnd w:id="87"/>
      <w:bookmarkEnd w:id="88"/>
    </w:p>
    <w:p w:rsidR="002E194F" w:rsidRPr="00337D19" w:rsidRDefault="002E194F" w:rsidP="007D295E">
      <w:pPr>
        <w:jc w:val="both"/>
        <w:rPr>
          <w:i/>
        </w:rPr>
      </w:pPr>
      <w:r w:rsidRPr="00337D19">
        <w:rPr>
          <w:i/>
        </w:rPr>
        <w:t>The applicant is responsible for ensuring that arrangements are in place for meeting their responsibilities towards radiation protection and nuclear safety</w:t>
      </w:r>
      <w:r w:rsidR="00D873A3" w:rsidRPr="00337D19">
        <w:rPr>
          <w:i/>
        </w:rPr>
        <w:t xml:space="preserve"> [3]</w:t>
      </w:r>
      <w:r w:rsidRPr="00337D19">
        <w:rPr>
          <w:i/>
        </w:rPr>
        <w:t xml:space="preserve">. </w:t>
      </w:r>
    </w:p>
    <w:p w:rsidR="005341A5" w:rsidRPr="00337D19" w:rsidRDefault="002223F1" w:rsidP="007D295E">
      <w:pPr>
        <w:jc w:val="both"/>
      </w:pPr>
      <w:r w:rsidRPr="00337D19">
        <w:t>The arrangements for radiation protection have been assessed against the guid</w:t>
      </w:r>
      <w:r w:rsidR="001B3C52" w:rsidRPr="00337D19">
        <w:t>e</w:t>
      </w:r>
      <w:r w:rsidRPr="00337D19">
        <w:t>lin</w:t>
      </w:r>
      <w:r w:rsidR="001B3C52" w:rsidRPr="00337D19">
        <w:t>e</w:t>
      </w:r>
      <w:r w:rsidRPr="00337D19">
        <w:t>s</w:t>
      </w:r>
      <w:r w:rsidR="001B3C52" w:rsidRPr="00337D19">
        <w:t xml:space="preserve"> described in section 3 of the RG [3] and the principles 57-62 of the RAPs [4].</w:t>
      </w:r>
    </w:p>
    <w:p w:rsidR="008C73F2" w:rsidRPr="0065410E" w:rsidRDefault="008C73F2" w:rsidP="006820F1">
      <w:pPr>
        <w:pStyle w:val="Heading4"/>
        <w:ind w:left="1418" w:hanging="1134"/>
      </w:pPr>
      <w:r w:rsidRPr="0065410E">
        <w:lastRenderedPageBreak/>
        <w:t>Principle</w:t>
      </w:r>
      <w:r w:rsidR="006977BD" w:rsidRPr="0065410E">
        <w:t>s</w:t>
      </w:r>
      <w:r w:rsidRPr="0065410E">
        <w:t xml:space="preserve"> of Radiological Protection</w:t>
      </w:r>
    </w:p>
    <w:p w:rsidR="008C73F2" w:rsidRPr="00337D19" w:rsidRDefault="00163096" w:rsidP="008364FC">
      <w:pPr>
        <w:jc w:val="both"/>
        <w:rPr>
          <w:i/>
        </w:rPr>
      </w:pPr>
      <w:r w:rsidRPr="00337D19">
        <w:rPr>
          <w:i/>
        </w:rPr>
        <w:t xml:space="preserve">The licence holder should ensure that conducts and dealings are justified, </w:t>
      </w:r>
      <w:r w:rsidR="00CE27F9" w:rsidRPr="00337D19">
        <w:rPr>
          <w:i/>
        </w:rPr>
        <w:t xml:space="preserve">the </w:t>
      </w:r>
      <w:r w:rsidRPr="00337D19">
        <w:rPr>
          <w:i/>
        </w:rPr>
        <w:t>radiation protection system is optimised, dose</w:t>
      </w:r>
      <w:r w:rsidR="00C976D0" w:rsidRPr="00337D19">
        <w:rPr>
          <w:i/>
        </w:rPr>
        <w:t>s</w:t>
      </w:r>
      <w:r w:rsidRPr="00337D19">
        <w:rPr>
          <w:i/>
        </w:rPr>
        <w:t xml:space="preserve"> </w:t>
      </w:r>
      <w:r w:rsidR="00C976D0" w:rsidRPr="00337D19">
        <w:rPr>
          <w:i/>
        </w:rPr>
        <w:t>are</w:t>
      </w:r>
      <w:r w:rsidRPr="00337D19">
        <w:rPr>
          <w:i/>
        </w:rPr>
        <w:t xml:space="preserve"> within the statutory limits, there is net benefit from the conducts and dealings and doses are ALARA</w:t>
      </w:r>
      <w:r w:rsidR="00C02DBC" w:rsidRPr="00337D19">
        <w:rPr>
          <w:i/>
        </w:rPr>
        <w:t xml:space="preserve"> (RG 3.1-3.</w:t>
      </w:r>
      <w:r w:rsidR="000E2D37">
        <w:rPr>
          <w:i/>
        </w:rPr>
        <w:t>6</w:t>
      </w:r>
      <w:r w:rsidR="00C02DBC" w:rsidRPr="00337D19">
        <w:rPr>
          <w:i/>
        </w:rPr>
        <w:t>) [3], (RAPs 57-62) [4]</w:t>
      </w:r>
      <w:r w:rsidRPr="00337D19">
        <w:t>.</w:t>
      </w:r>
      <w:r w:rsidR="00F92AEF" w:rsidRPr="00337D19">
        <w:t xml:space="preserve"> </w:t>
      </w:r>
    </w:p>
    <w:p w:rsidR="000B39B7" w:rsidRPr="00337D19" w:rsidRDefault="008A2B15" w:rsidP="008364FC">
      <w:pPr>
        <w:autoSpaceDE w:val="0"/>
        <w:autoSpaceDN w:val="0"/>
        <w:adjustRightInd w:val="0"/>
        <w:jc w:val="both"/>
      </w:pPr>
      <w:r>
        <w:rPr>
          <w:noProof/>
        </w:rPr>
        <w:t xml:space="preserve">The principles of radiological protection followed by ANSTO were assessed for </w:t>
      </w:r>
      <w:r w:rsidR="0098583C">
        <w:rPr>
          <w:noProof/>
        </w:rPr>
        <w:t xml:space="preserve">the </w:t>
      </w:r>
      <w:r>
        <w:rPr>
          <w:noProof/>
        </w:rPr>
        <w:t xml:space="preserve">siting </w:t>
      </w:r>
      <w:r w:rsidR="004D3985">
        <w:rPr>
          <w:noProof/>
        </w:rPr>
        <w:t xml:space="preserve">and </w:t>
      </w:r>
      <w:r>
        <w:rPr>
          <w:noProof/>
        </w:rPr>
        <w:t>licence and were found acceptable (</w:t>
      </w:r>
      <w:r w:rsidR="003C42AA">
        <w:rPr>
          <w:noProof/>
        </w:rPr>
        <w:t>R13/06576</w:t>
      </w:r>
      <w:r>
        <w:rPr>
          <w:noProof/>
        </w:rPr>
        <w:t>)</w:t>
      </w:r>
      <w:r w:rsidR="00B456FC" w:rsidRPr="00337D19">
        <w:t>.</w:t>
      </w:r>
      <w:r>
        <w:t xml:space="preserve"> </w:t>
      </w:r>
    </w:p>
    <w:p w:rsidR="007D6D44" w:rsidRDefault="000E2D37" w:rsidP="008364FC">
      <w:pPr>
        <w:autoSpaceDE w:val="0"/>
        <w:autoSpaceDN w:val="0"/>
        <w:adjustRightInd w:val="0"/>
        <w:jc w:val="both"/>
        <w:rPr>
          <w:szCs w:val="24"/>
        </w:rPr>
      </w:pPr>
      <w:r>
        <w:rPr>
          <w:szCs w:val="24"/>
        </w:rPr>
        <w:t>The application states that ANSTO is committed</w:t>
      </w:r>
      <w:r w:rsidR="004D3985">
        <w:rPr>
          <w:szCs w:val="24"/>
        </w:rPr>
        <w:t xml:space="preserve"> to ensure that</w:t>
      </w:r>
      <w:r>
        <w:rPr>
          <w:szCs w:val="24"/>
        </w:rPr>
        <w:t>,</w:t>
      </w:r>
      <w:r w:rsidR="004D3985">
        <w:rPr>
          <w:szCs w:val="24"/>
        </w:rPr>
        <w:t xml:space="preserve"> for all operational activities for the IWS</w:t>
      </w:r>
      <w:r>
        <w:rPr>
          <w:szCs w:val="24"/>
        </w:rPr>
        <w:t xml:space="preserve">, effective doses to workers and members of the public do not exceed any dose constraints set by ANSTO. Health Physicist </w:t>
      </w:r>
      <w:r w:rsidR="00877BCC">
        <w:rPr>
          <w:szCs w:val="24"/>
        </w:rPr>
        <w:t>in</w:t>
      </w:r>
      <w:r>
        <w:rPr>
          <w:szCs w:val="24"/>
        </w:rPr>
        <w:t xml:space="preserve"> consultation with the Head Nuclear Services, or their nominated delegate will advise on the appropriate dose constraints across shorter time periods and for specific tasks.</w:t>
      </w:r>
    </w:p>
    <w:p w:rsidR="000B3215" w:rsidRDefault="000B3215" w:rsidP="008364FC">
      <w:pPr>
        <w:autoSpaceDE w:val="0"/>
        <w:autoSpaceDN w:val="0"/>
        <w:adjustRightInd w:val="0"/>
        <w:jc w:val="both"/>
        <w:rPr>
          <w:szCs w:val="24"/>
        </w:rPr>
      </w:pPr>
      <w:r>
        <w:rPr>
          <w:szCs w:val="24"/>
        </w:rPr>
        <w:t>Further, ANSTO gives commitment to work to lowering the threshold for the eye lens as recommended</w:t>
      </w:r>
      <w:r w:rsidR="00A06E50">
        <w:rPr>
          <w:szCs w:val="24"/>
        </w:rPr>
        <w:t xml:space="preserve"> by the ICRP</w:t>
      </w:r>
      <w:r>
        <w:rPr>
          <w:szCs w:val="24"/>
        </w:rPr>
        <w:t>. On 21 April 2011, ICRP states:</w:t>
      </w:r>
    </w:p>
    <w:p w:rsidR="000B3215" w:rsidRDefault="000B3215" w:rsidP="008364FC">
      <w:pPr>
        <w:autoSpaceDE w:val="0"/>
        <w:autoSpaceDN w:val="0"/>
        <w:adjustRightInd w:val="0"/>
        <w:jc w:val="both"/>
        <w:rPr>
          <w:szCs w:val="24"/>
        </w:rPr>
      </w:pPr>
      <w:r>
        <w:rPr>
          <w:szCs w:val="24"/>
        </w:rPr>
        <w:t>“</w:t>
      </w:r>
      <w:r w:rsidRPr="005040DC">
        <w:rPr>
          <w:i/>
          <w:szCs w:val="24"/>
        </w:rPr>
        <w:t xml:space="preserve">For occupational exposure in planned exposure situations the Commission now recommends an equivalent dose limit for the lens of the eye of 20 </w:t>
      </w:r>
      <w:proofErr w:type="spellStart"/>
      <w:r w:rsidRPr="005040DC">
        <w:rPr>
          <w:i/>
          <w:szCs w:val="24"/>
        </w:rPr>
        <w:t>mSv</w:t>
      </w:r>
      <w:proofErr w:type="spellEnd"/>
      <w:r w:rsidRPr="005040DC">
        <w:rPr>
          <w:i/>
          <w:szCs w:val="24"/>
        </w:rPr>
        <w:t xml:space="preserve"> in a year, averaged over defined periods of 5 years, with no single year exceeding 50 </w:t>
      </w:r>
      <w:proofErr w:type="spellStart"/>
      <w:r w:rsidRPr="005040DC">
        <w:rPr>
          <w:i/>
          <w:szCs w:val="24"/>
        </w:rPr>
        <w:t>mSv</w:t>
      </w:r>
      <w:proofErr w:type="spellEnd"/>
      <w:r w:rsidR="003E1775">
        <w:rPr>
          <w:szCs w:val="24"/>
        </w:rPr>
        <w:t>”</w:t>
      </w:r>
    </w:p>
    <w:p w:rsidR="003E1775" w:rsidRDefault="003E1775" w:rsidP="008364FC">
      <w:pPr>
        <w:autoSpaceDE w:val="0"/>
        <w:autoSpaceDN w:val="0"/>
        <w:adjustRightInd w:val="0"/>
        <w:jc w:val="both"/>
        <w:rPr>
          <w:szCs w:val="24"/>
        </w:rPr>
      </w:pPr>
      <w:r>
        <w:rPr>
          <w:szCs w:val="24"/>
        </w:rPr>
        <w:t xml:space="preserve">The ARPANSA assessor considers that ANSTO’s commitment to work </w:t>
      </w:r>
      <w:r w:rsidR="0098583C">
        <w:rPr>
          <w:szCs w:val="24"/>
        </w:rPr>
        <w:t xml:space="preserve">in accordance with the </w:t>
      </w:r>
      <w:r>
        <w:rPr>
          <w:szCs w:val="24"/>
        </w:rPr>
        <w:t>ICRP recommendations will further strengthen the principles of radiation protection.</w:t>
      </w:r>
    </w:p>
    <w:p w:rsidR="006977BD" w:rsidRPr="0065410E" w:rsidRDefault="006977BD" w:rsidP="006820F1">
      <w:pPr>
        <w:pStyle w:val="Heading4"/>
        <w:ind w:left="1418" w:hanging="1134"/>
      </w:pPr>
      <w:r w:rsidRPr="0065410E">
        <w:t>Radiation Safety Officer</w:t>
      </w:r>
      <w:r w:rsidR="00C02DBC" w:rsidRPr="0065410E">
        <w:t xml:space="preserve"> (RSO)</w:t>
      </w:r>
    </w:p>
    <w:p w:rsidR="00C02DBC" w:rsidRPr="00337D19" w:rsidRDefault="00C02DBC" w:rsidP="008364FC">
      <w:pPr>
        <w:autoSpaceDE w:val="0"/>
        <w:autoSpaceDN w:val="0"/>
        <w:adjustRightInd w:val="0"/>
        <w:jc w:val="both"/>
      </w:pPr>
      <w:r w:rsidRPr="00337D19">
        <w:rPr>
          <w:i/>
        </w:rPr>
        <w:t>The licence holder is responsible to appoint a suitably qualified RSO as appropriate to undertake specific duties (RG 3.</w:t>
      </w:r>
      <w:r w:rsidR="000E2D37">
        <w:rPr>
          <w:i/>
        </w:rPr>
        <w:t>7</w:t>
      </w:r>
      <w:r w:rsidRPr="00337D19">
        <w:rPr>
          <w:i/>
        </w:rPr>
        <w:t>-3.</w:t>
      </w:r>
      <w:r w:rsidR="000E2D37">
        <w:rPr>
          <w:i/>
        </w:rPr>
        <w:t>9</w:t>
      </w:r>
      <w:r w:rsidRPr="00337D19">
        <w:rPr>
          <w:i/>
        </w:rPr>
        <w:t>)</w:t>
      </w:r>
      <w:r w:rsidRPr="00337D19">
        <w:t xml:space="preserve"> [3].</w:t>
      </w:r>
    </w:p>
    <w:p w:rsidR="000B39B7" w:rsidRPr="00337D19" w:rsidRDefault="000B39B7" w:rsidP="008364FC">
      <w:pPr>
        <w:autoSpaceDE w:val="0"/>
        <w:autoSpaceDN w:val="0"/>
        <w:adjustRightInd w:val="0"/>
        <w:jc w:val="both"/>
      </w:pPr>
      <w:r w:rsidRPr="00337D19">
        <w:t xml:space="preserve">The provision of </w:t>
      </w:r>
      <w:r w:rsidR="008071FE" w:rsidRPr="00337D19">
        <w:t xml:space="preserve">a </w:t>
      </w:r>
      <w:r w:rsidRPr="00337D19">
        <w:t>RSO or equivalent</w:t>
      </w:r>
      <w:r w:rsidR="00B6544E" w:rsidRPr="00337D19">
        <w:t xml:space="preserve"> and his/her roles and responsibilities, knowledge and skills</w:t>
      </w:r>
      <w:r w:rsidR="00992500">
        <w:t xml:space="preserve"> </w:t>
      </w:r>
      <w:r w:rsidR="0081785E">
        <w:t>was assessed for the siting</w:t>
      </w:r>
      <w:r w:rsidR="00AF0943">
        <w:t xml:space="preserve"> and construction</w:t>
      </w:r>
      <w:r w:rsidR="0081785E">
        <w:t xml:space="preserve"> licence and found acceptable (</w:t>
      </w:r>
      <w:r w:rsidR="003C42AA">
        <w:t>R13/06576</w:t>
      </w:r>
      <w:r w:rsidR="0081785E">
        <w:t xml:space="preserve">). </w:t>
      </w:r>
    </w:p>
    <w:p w:rsidR="006977BD" w:rsidRPr="0065410E" w:rsidRDefault="006977BD" w:rsidP="006820F1">
      <w:pPr>
        <w:pStyle w:val="Heading4"/>
        <w:ind w:left="1418" w:hanging="1134"/>
      </w:pPr>
      <w:r w:rsidRPr="0065410E">
        <w:t>Radiation Safety Committee</w:t>
      </w:r>
      <w:r w:rsidR="00C02DBC" w:rsidRPr="0065410E">
        <w:t xml:space="preserve"> (RSC)</w:t>
      </w:r>
    </w:p>
    <w:p w:rsidR="00C02DBC" w:rsidRPr="00337D19" w:rsidRDefault="00C02DBC" w:rsidP="008364FC">
      <w:pPr>
        <w:autoSpaceDE w:val="0"/>
        <w:autoSpaceDN w:val="0"/>
        <w:adjustRightInd w:val="0"/>
        <w:jc w:val="both"/>
      </w:pPr>
      <w:r w:rsidRPr="00337D19">
        <w:rPr>
          <w:i/>
        </w:rPr>
        <w:t>The licence holder is responsible to appoint a suitably qualified RSC as appropriate to u</w:t>
      </w:r>
      <w:r w:rsidR="000E2D37">
        <w:rPr>
          <w:i/>
        </w:rPr>
        <w:t>ndertake specific duties (RG 3.10</w:t>
      </w:r>
      <w:r w:rsidRPr="00337D19">
        <w:rPr>
          <w:i/>
        </w:rPr>
        <w:t>-3.</w:t>
      </w:r>
      <w:r w:rsidR="00AF0943">
        <w:rPr>
          <w:i/>
        </w:rPr>
        <w:t>21</w:t>
      </w:r>
      <w:r w:rsidRPr="00337D19">
        <w:rPr>
          <w:i/>
        </w:rPr>
        <w:t>)</w:t>
      </w:r>
      <w:r w:rsidRPr="00337D19">
        <w:t xml:space="preserve"> [3]</w:t>
      </w:r>
    </w:p>
    <w:p w:rsidR="00A22840" w:rsidRPr="00337D19" w:rsidRDefault="0046450F" w:rsidP="008364FC">
      <w:pPr>
        <w:autoSpaceDE w:val="0"/>
        <w:autoSpaceDN w:val="0"/>
        <w:adjustRightInd w:val="0"/>
        <w:jc w:val="both"/>
      </w:pPr>
      <w:r w:rsidRPr="00337D19">
        <w:t xml:space="preserve">The </w:t>
      </w:r>
      <w:r w:rsidR="00B456FC" w:rsidRPr="00337D19">
        <w:t xml:space="preserve">provision for </w:t>
      </w:r>
      <w:r w:rsidR="004E5FCF">
        <w:t xml:space="preserve">a </w:t>
      </w:r>
      <w:r w:rsidR="00B456FC" w:rsidRPr="00337D19">
        <w:t xml:space="preserve">RSC </w:t>
      </w:r>
      <w:r w:rsidR="0081785E">
        <w:t>was assessed for the siting</w:t>
      </w:r>
      <w:r w:rsidR="00AF0943">
        <w:t xml:space="preserve"> and construction</w:t>
      </w:r>
      <w:r w:rsidR="0081785E">
        <w:t xml:space="preserve"> licence and found acceptable (</w:t>
      </w:r>
      <w:r w:rsidR="003C42AA">
        <w:t>R13/06576</w:t>
      </w:r>
      <w:r w:rsidR="0081785E">
        <w:t>).</w:t>
      </w:r>
    </w:p>
    <w:p w:rsidR="006977BD" w:rsidRPr="0065410E" w:rsidRDefault="006977BD" w:rsidP="006820F1">
      <w:pPr>
        <w:pStyle w:val="Heading4"/>
        <w:ind w:left="1418" w:hanging="1134"/>
      </w:pPr>
      <w:r w:rsidRPr="0065410E">
        <w:t>Planning and Design of the Workplace</w:t>
      </w:r>
    </w:p>
    <w:p w:rsidR="006977BD" w:rsidRPr="00337D19" w:rsidRDefault="00A22840" w:rsidP="007D295E">
      <w:pPr>
        <w:autoSpaceDE w:val="0"/>
        <w:autoSpaceDN w:val="0"/>
        <w:adjustRightInd w:val="0"/>
        <w:jc w:val="both"/>
      </w:pPr>
      <w:r w:rsidRPr="00337D19">
        <w:rPr>
          <w:i/>
        </w:rPr>
        <w:t xml:space="preserve">The planning and design of the workplace should ensure that planning and design take into account </w:t>
      </w:r>
      <w:r w:rsidR="00C95652" w:rsidRPr="00337D19">
        <w:rPr>
          <w:i/>
        </w:rPr>
        <w:t>relevant codes and standards and international best practice to minimise the exposure to radiation. It is expected that appropriate engineering controls are in place to minimise the reliance on administrative controls</w:t>
      </w:r>
      <w:r w:rsidR="00AF0943">
        <w:rPr>
          <w:i/>
        </w:rPr>
        <w:t xml:space="preserve"> (RG 3.22-3.24</w:t>
      </w:r>
      <w:r w:rsidR="00F7740A" w:rsidRPr="00337D19">
        <w:rPr>
          <w:i/>
        </w:rPr>
        <w:t>) [</w:t>
      </w:r>
      <w:r w:rsidR="00B84F9F" w:rsidRPr="00337D19">
        <w:rPr>
          <w:i/>
        </w:rPr>
        <w:t>3]</w:t>
      </w:r>
      <w:r w:rsidR="00C95652" w:rsidRPr="00337D19">
        <w:t>.</w:t>
      </w:r>
    </w:p>
    <w:p w:rsidR="002D6476" w:rsidRDefault="0081785E" w:rsidP="007D295E">
      <w:pPr>
        <w:autoSpaceDE w:val="0"/>
        <w:autoSpaceDN w:val="0"/>
        <w:adjustRightInd w:val="0"/>
        <w:jc w:val="both"/>
      </w:pPr>
      <w:r>
        <w:t xml:space="preserve">The design features </w:t>
      </w:r>
      <w:r w:rsidR="002D6476">
        <w:t xml:space="preserve">for engineering controls were assessed </w:t>
      </w:r>
      <w:r w:rsidR="00E33C14">
        <w:t xml:space="preserve">for </w:t>
      </w:r>
      <w:r w:rsidR="002D6476">
        <w:t xml:space="preserve">the siting </w:t>
      </w:r>
      <w:r w:rsidR="00AF0943">
        <w:t xml:space="preserve">and construction </w:t>
      </w:r>
      <w:r w:rsidR="002D6476">
        <w:t>licence and were found acceptable (</w:t>
      </w:r>
      <w:r w:rsidR="003C42AA">
        <w:t>R13/06576</w:t>
      </w:r>
      <w:r w:rsidR="002D6476">
        <w:t xml:space="preserve">). </w:t>
      </w:r>
    </w:p>
    <w:p w:rsidR="002A7D09" w:rsidRDefault="002A7D09" w:rsidP="007D295E">
      <w:pPr>
        <w:autoSpaceDE w:val="0"/>
        <w:autoSpaceDN w:val="0"/>
        <w:adjustRightInd w:val="0"/>
        <w:jc w:val="both"/>
      </w:pPr>
      <w:r>
        <w:lastRenderedPageBreak/>
        <w:t>Design features are further considered in the assessment of the</w:t>
      </w:r>
      <w:r w:rsidR="00992500">
        <w:t xml:space="preserve"> design of the facility </w:t>
      </w:r>
      <w:r w:rsidR="004E5FCF">
        <w:t>in section 2.3.1</w:t>
      </w:r>
      <w:r w:rsidR="00992500">
        <w:t xml:space="preserve"> </w:t>
      </w:r>
      <w:r w:rsidR="004E5FCF">
        <w:t xml:space="preserve">of </w:t>
      </w:r>
      <w:r w:rsidR="00992500">
        <w:t>this report</w:t>
      </w:r>
      <w:r>
        <w:t>.</w:t>
      </w:r>
    </w:p>
    <w:p w:rsidR="002A7D09" w:rsidRDefault="002A7D09" w:rsidP="007D295E">
      <w:pPr>
        <w:autoSpaceDE w:val="0"/>
        <w:autoSpaceDN w:val="0"/>
        <w:adjustRightInd w:val="0"/>
        <w:jc w:val="both"/>
      </w:pPr>
      <w:r>
        <w:t>The ARPANSA assessor considers that the engineering controls and the standards and codes considered in the design of the facility are acceptable.</w:t>
      </w:r>
    </w:p>
    <w:p w:rsidR="006977BD" w:rsidRPr="0065410E" w:rsidRDefault="006977BD" w:rsidP="006820F1">
      <w:pPr>
        <w:pStyle w:val="Heading4"/>
        <w:ind w:left="1418" w:hanging="1134"/>
      </w:pPr>
      <w:r w:rsidRPr="0065410E">
        <w:t>Classification of Work Areas</w:t>
      </w:r>
    </w:p>
    <w:p w:rsidR="000F0FB5" w:rsidRPr="00337D19" w:rsidRDefault="000F0FB5" w:rsidP="007D295E">
      <w:pPr>
        <w:autoSpaceDE w:val="0"/>
        <w:autoSpaceDN w:val="0"/>
        <w:adjustRightInd w:val="0"/>
        <w:jc w:val="both"/>
      </w:pPr>
      <w:r w:rsidRPr="00337D19">
        <w:rPr>
          <w:i/>
        </w:rPr>
        <w:t>It is expected that areas are classified in accordance with the levels of exposure involved, and there is appropriate delineation of areas by appropriate means. Accesses to the areas are controlled by local rules and procedures, use of personal protective equipment and appropriate warning signs are in place</w:t>
      </w:r>
      <w:r w:rsidR="00B84F9F" w:rsidRPr="00337D19">
        <w:rPr>
          <w:i/>
        </w:rPr>
        <w:t xml:space="preserve"> (RG3.2</w:t>
      </w:r>
      <w:r w:rsidR="00AF0943">
        <w:rPr>
          <w:i/>
        </w:rPr>
        <w:t>5</w:t>
      </w:r>
      <w:r w:rsidR="00B84F9F" w:rsidRPr="00337D19">
        <w:rPr>
          <w:i/>
        </w:rPr>
        <w:t>-3.3</w:t>
      </w:r>
      <w:r w:rsidR="00AF0943">
        <w:rPr>
          <w:i/>
        </w:rPr>
        <w:t>7</w:t>
      </w:r>
      <w:r w:rsidR="00B84F9F" w:rsidRPr="00337D19">
        <w:rPr>
          <w:i/>
        </w:rPr>
        <w:t>) [3]</w:t>
      </w:r>
      <w:r w:rsidRPr="00337D19">
        <w:t>.</w:t>
      </w:r>
    </w:p>
    <w:p w:rsidR="00AF0943" w:rsidRDefault="00C54498" w:rsidP="007D295E">
      <w:pPr>
        <w:autoSpaceDE w:val="0"/>
        <w:autoSpaceDN w:val="0"/>
        <w:adjustRightInd w:val="0"/>
        <w:jc w:val="both"/>
      </w:pPr>
      <w:r>
        <w:t>The system for radiological classificat</w:t>
      </w:r>
      <w:r w:rsidR="00DB195F">
        <w:t xml:space="preserve">ion of areas was assessed </w:t>
      </w:r>
      <w:r w:rsidR="00E33C14">
        <w:t>for</w:t>
      </w:r>
      <w:r w:rsidR="00DB195F">
        <w:t xml:space="preserve"> </w:t>
      </w:r>
      <w:r>
        <w:t xml:space="preserve">the siting </w:t>
      </w:r>
      <w:r w:rsidR="00AF0943">
        <w:t xml:space="preserve">and construction </w:t>
      </w:r>
      <w:r>
        <w:t>licence and found acceptable (</w:t>
      </w:r>
      <w:r w:rsidR="003C42AA">
        <w:t>R13/06576</w:t>
      </w:r>
      <w:r w:rsidR="00DB195F">
        <w:t>).</w:t>
      </w:r>
    </w:p>
    <w:p w:rsidR="00AF0943" w:rsidRDefault="00D06E7A" w:rsidP="007D295E">
      <w:pPr>
        <w:autoSpaceDE w:val="0"/>
        <w:autoSpaceDN w:val="0"/>
        <w:adjustRightInd w:val="0"/>
        <w:jc w:val="both"/>
      </w:pPr>
      <w:r>
        <w:t>Based on the dose estimation the application states that the anticipated area classification during the operation of the IWS is White contamination and White radiation.</w:t>
      </w:r>
      <w:r w:rsidR="00DC3166">
        <w:t xml:space="preserve"> </w:t>
      </w:r>
    </w:p>
    <w:p w:rsidR="00DC3166" w:rsidRDefault="00DC3166" w:rsidP="007D295E">
      <w:pPr>
        <w:autoSpaceDE w:val="0"/>
        <w:autoSpaceDN w:val="0"/>
        <w:adjustRightInd w:val="0"/>
        <w:jc w:val="both"/>
      </w:pPr>
      <w:r>
        <w:t>However, the classification of various operational areas will be reviewed during and immediately following commissioning and thereafter periodically using measured radiological data.</w:t>
      </w:r>
    </w:p>
    <w:p w:rsidR="00DC3166" w:rsidRDefault="00DC3166" w:rsidP="00852196">
      <w:pPr>
        <w:autoSpaceDE w:val="0"/>
        <w:autoSpaceDN w:val="0"/>
        <w:adjustRightInd w:val="0"/>
        <w:spacing w:after="0"/>
        <w:jc w:val="both"/>
      </w:pPr>
      <w:r>
        <w:t>The ARPANSA assessor considers that the arrangements for classification of work areas are acceptable.</w:t>
      </w:r>
    </w:p>
    <w:p w:rsidR="006977BD" w:rsidRPr="0065410E" w:rsidRDefault="006977BD" w:rsidP="006820F1">
      <w:pPr>
        <w:pStyle w:val="Heading4"/>
        <w:ind w:left="1418" w:hanging="1134"/>
      </w:pPr>
      <w:r w:rsidRPr="0065410E">
        <w:t>Local Rules and Procedures</w:t>
      </w:r>
    </w:p>
    <w:p w:rsidR="00B84F9F" w:rsidRPr="00337D19" w:rsidRDefault="00EC2EB2" w:rsidP="008364FC">
      <w:pPr>
        <w:autoSpaceDE w:val="0"/>
        <w:autoSpaceDN w:val="0"/>
        <w:adjustRightInd w:val="0"/>
        <w:jc w:val="both"/>
      </w:pPr>
      <w:r w:rsidRPr="00337D19">
        <w:rPr>
          <w:i/>
        </w:rPr>
        <w:t>The licence holder is responsible for ensuring that local rules and procedures are in place and are implemented to provide an adequate level of protection, safety and supervision for controlled persons and visitors (RG 3.3</w:t>
      </w:r>
      <w:r w:rsidR="00D06E7A">
        <w:rPr>
          <w:i/>
        </w:rPr>
        <w:t>8 - 3.48</w:t>
      </w:r>
      <w:r w:rsidRPr="00337D19">
        <w:rPr>
          <w:i/>
        </w:rPr>
        <w:t>)</w:t>
      </w:r>
      <w:r w:rsidRPr="00337D19">
        <w:t xml:space="preserve"> [3].</w:t>
      </w:r>
    </w:p>
    <w:p w:rsidR="00694219" w:rsidRPr="00694219" w:rsidRDefault="00694219" w:rsidP="008364FC">
      <w:pPr>
        <w:pStyle w:val="Paranumbered1"/>
        <w:numPr>
          <w:ilvl w:val="0"/>
          <w:numId w:val="0"/>
        </w:numPr>
        <w:spacing w:after="200" w:line="276" w:lineRule="auto"/>
        <w:ind w:right="567"/>
        <w:jc w:val="both"/>
        <w:rPr>
          <w:rFonts w:asciiTheme="minorHAnsi" w:hAnsiTheme="minorHAnsi"/>
        </w:rPr>
      </w:pPr>
      <w:r>
        <w:rPr>
          <w:rFonts w:asciiTheme="minorHAnsi" w:hAnsiTheme="minorHAnsi"/>
        </w:rPr>
        <w:t xml:space="preserve">ANSTO has </w:t>
      </w:r>
      <w:r w:rsidRPr="00694219">
        <w:rPr>
          <w:rFonts w:asciiTheme="minorHAnsi" w:hAnsiTheme="minorHAnsi"/>
        </w:rPr>
        <w:t xml:space="preserve">developed barrier rules </w:t>
      </w:r>
      <w:r>
        <w:rPr>
          <w:rFonts w:asciiTheme="minorHAnsi" w:hAnsiTheme="minorHAnsi"/>
        </w:rPr>
        <w:t>according to AG 2510</w:t>
      </w:r>
      <w:r w:rsidR="00E40076">
        <w:rPr>
          <w:rFonts w:asciiTheme="minorHAnsi" w:hAnsiTheme="minorHAnsi"/>
        </w:rPr>
        <w:t xml:space="preserve"> </w:t>
      </w:r>
      <w:r>
        <w:rPr>
          <w:rFonts w:asciiTheme="minorHAnsi" w:hAnsiTheme="minorHAnsi"/>
        </w:rPr>
        <w:t xml:space="preserve">- </w:t>
      </w:r>
      <w:r w:rsidR="0091514D">
        <w:rPr>
          <w:rFonts w:asciiTheme="minorHAnsi" w:hAnsiTheme="minorHAnsi"/>
        </w:rPr>
        <w:t>Entry to and Exit f</w:t>
      </w:r>
      <w:r w:rsidRPr="00694219">
        <w:rPr>
          <w:rFonts w:asciiTheme="minorHAnsi" w:hAnsiTheme="minorHAnsi"/>
        </w:rPr>
        <w:t>rom Classified Radiation Areas (Guide),</w:t>
      </w:r>
      <w:r>
        <w:rPr>
          <w:rFonts w:asciiTheme="minorHAnsi" w:hAnsiTheme="minorHAnsi"/>
        </w:rPr>
        <w:t xml:space="preserve"> </w:t>
      </w:r>
      <w:r w:rsidRPr="00694219">
        <w:rPr>
          <w:rFonts w:asciiTheme="minorHAnsi" w:hAnsiTheme="minorHAnsi"/>
        </w:rPr>
        <w:t>AG 2511</w:t>
      </w:r>
      <w:r>
        <w:rPr>
          <w:rFonts w:asciiTheme="minorHAnsi" w:hAnsiTheme="minorHAnsi"/>
        </w:rPr>
        <w:t xml:space="preserve">- </w:t>
      </w:r>
      <w:r w:rsidR="00156FD1">
        <w:rPr>
          <w:rFonts w:asciiTheme="minorHAnsi" w:hAnsiTheme="minorHAnsi"/>
        </w:rPr>
        <w:tab/>
        <w:t>Clothing to be w</w:t>
      </w:r>
      <w:r w:rsidRPr="00694219">
        <w:rPr>
          <w:rFonts w:asciiTheme="minorHAnsi" w:hAnsiTheme="minorHAnsi"/>
        </w:rPr>
        <w:t>orn in Classified Radiation Areas (Guide) and AG 2512</w:t>
      </w:r>
      <w:r w:rsidRPr="00694219">
        <w:rPr>
          <w:rFonts w:asciiTheme="minorHAnsi" w:hAnsiTheme="minorHAnsi"/>
        </w:rPr>
        <w:tab/>
      </w:r>
      <w:r>
        <w:rPr>
          <w:rFonts w:asciiTheme="minorHAnsi" w:hAnsiTheme="minorHAnsi"/>
        </w:rPr>
        <w:t xml:space="preserve">- </w:t>
      </w:r>
      <w:r w:rsidRPr="00694219">
        <w:rPr>
          <w:rFonts w:asciiTheme="minorHAnsi" w:hAnsiTheme="minorHAnsi"/>
        </w:rPr>
        <w:t>Clothing Change Procedures When Entering or Leaving Classified Areas (Guide).</w:t>
      </w:r>
    </w:p>
    <w:p w:rsidR="009E0A80" w:rsidRDefault="00694219" w:rsidP="008364FC">
      <w:pPr>
        <w:autoSpaceDE w:val="0"/>
        <w:autoSpaceDN w:val="0"/>
        <w:adjustRightInd w:val="0"/>
        <w:jc w:val="both"/>
      </w:pPr>
      <w:r>
        <w:t>Appropriate warning signs and notices are used regarding restrictions such as p</w:t>
      </w:r>
      <w:r w:rsidRPr="00694219">
        <w:t xml:space="preserve">ersonnel are not allowed to eat, drink or smoke in </w:t>
      </w:r>
      <w:proofErr w:type="spellStart"/>
      <w:r w:rsidRPr="00694219">
        <w:t>radiologically</w:t>
      </w:r>
      <w:proofErr w:type="spellEnd"/>
      <w:r w:rsidRPr="00694219">
        <w:t xml:space="preserve"> classified areas. </w:t>
      </w:r>
      <w:r w:rsidR="00E40076">
        <w:t>Depending on the task a working area may be upgraded or downgraded, and the warning notices and protective measures are modified to reflect such change.</w:t>
      </w:r>
    </w:p>
    <w:p w:rsidR="00E40076" w:rsidRDefault="00E40076" w:rsidP="008364FC">
      <w:pPr>
        <w:autoSpaceDE w:val="0"/>
        <w:autoSpaceDN w:val="0"/>
        <w:adjustRightInd w:val="0"/>
        <w:jc w:val="both"/>
      </w:pPr>
      <w:r>
        <w:t>The ARPANSA assessor considers that the provisions for local rules and procedures are acceptable.</w:t>
      </w:r>
    </w:p>
    <w:p w:rsidR="007B0581" w:rsidRPr="0065410E" w:rsidRDefault="007B0581" w:rsidP="006820F1">
      <w:pPr>
        <w:pStyle w:val="Heading4"/>
        <w:ind w:left="1418" w:hanging="1134"/>
      </w:pPr>
      <w:r w:rsidRPr="0065410E">
        <w:t>Personal Protective Equipment</w:t>
      </w:r>
    </w:p>
    <w:p w:rsidR="00EC2EB2" w:rsidRPr="00337D19" w:rsidRDefault="00EC2EB2" w:rsidP="007D295E">
      <w:pPr>
        <w:autoSpaceDE w:val="0"/>
        <w:autoSpaceDN w:val="0"/>
        <w:adjustRightInd w:val="0"/>
        <w:jc w:val="both"/>
      </w:pPr>
      <w:r w:rsidRPr="00337D19">
        <w:rPr>
          <w:i/>
        </w:rPr>
        <w:t>The licence holder is responsible for ensuring that there is provision of adequate and appropriate personal protective equipment (RG 3.4</w:t>
      </w:r>
      <w:r w:rsidR="00F77044">
        <w:rPr>
          <w:i/>
        </w:rPr>
        <w:t>9- 3.53</w:t>
      </w:r>
      <w:r w:rsidRPr="00337D19">
        <w:rPr>
          <w:i/>
        </w:rPr>
        <w:t xml:space="preserve">) </w:t>
      </w:r>
      <w:r w:rsidRPr="00337D19">
        <w:t>[3].</w:t>
      </w:r>
    </w:p>
    <w:p w:rsidR="00F77044" w:rsidRDefault="00EF6BCE" w:rsidP="00F77044">
      <w:pPr>
        <w:autoSpaceDE w:val="0"/>
        <w:autoSpaceDN w:val="0"/>
        <w:adjustRightInd w:val="0"/>
        <w:jc w:val="both"/>
      </w:pPr>
      <w:r>
        <w:t>The application states that t</w:t>
      </w:r>
      <w:r w:rsidR="00F77044">
        <w:t xml:space="preserve">he </w:t>
      </w:r>
      <w:r>
        <w:t>personal protective equipment (PPE)</w:t>
      </w:r>
      <w:r w:rsidR="00F77044">
        <w:t xml:space="preserve"> shall be determined against the nature of the hazard and the work that is being undertaken. This PPE shall be supplied at the entrance barrier to any radiological classified area and following use shall be monitored, laundered and re-used or, for disposable PPE, passed to waste. </w:t>
      </w:r>
    </w:p>
    <w:p w:rsidR="00F77044" w:rsidRDefault="00EF6BCE" w:rsidP="00F77044">
      <w:pPr>
        <w:autoSpaceDE w:val="0"/>
        <w:autoSpaceDN w:val="0"/>
        <w:adjustRightInd w:val="0"/>
        <w:jc w:val="both"/>
      </w:pPr>
      <w:r>
        <w:lastRenderedPageBreak/>
        <w:t>Considering the radiological classification of the area (White Radiation, White Contamination) it is expected that no s</w:t>
      </w:r>
      <w:r w:rsidR="00F77044">
        <w:t>pecial Personal Protective Equipment fo</w:t>
      </w:r>
      <w:r>
        <w:t>r working in the IWS is required.</w:t>
      </w:r>
    </w:p>
    <w:p w:rsidR="00F77044" w:rsidRDefault="00EF6BCE" w:rsidP="00BF4570">
      <w:pPr>
        <w:autoSpaceDE w:val="0"/>
        <w:autoSpaceDN w:val="0"/>
        <w:adjustRightInd w:val="0"/>
        <w:spacing w:after="0"/>
        <w:jc w:val="both"/>
      </w:pPr>
      <w:r>
        <w:t>The ARPANSA assessor considers that the provision for personal protective equipment is adequate.</w:t>
      </w:r>
    </w:p>
    <w:p w:rsidR="006977BD" w:rsidRPr="0065410E" w:rsidRDefault="006977BD" w:rsidP="006820F1">
      <w:pPr>
        <w:pStyle w:val="Heading4"/>
        <w:ind w:left="1418" w:hanging="1134"/>
      </w:pPr>
      <w:r w:rsidRPr="0065410E">
        <w:t>Monitoring of Workplace</w:t>
      </w:r>
    </w:p>
    <w:p w:rsidR="006977BD" w:rsidRPr="00337D19" w:rsidRDefault="009D63C8" w:rsidP="007D295E">
      <w:pPr>
        <w:autoSpaceDE w:val="0"/>
        <w:autoSpaceDN w:val="0"/>
        <w:adjustRightInd w:val="0"/>
        <w:jc w:val="both"/>
      </w:pPr>
      <w:r w:rsidRPr="00337D19">
        <w:rPr>
          <w:i/>
        </w:rPr>
        <w:t xml:space="preserve">The licence holder should have </w:t>
      </w:r>
      <w:r w:rsidR="00495447" w:rsidRPr="00337D19">
        <w:rPr>
          <w:i/>
        </w:rPr>
        <w:t xml:space="preserve">a </w:t>
      </w:r>
      <w:r w:rsidRPr="00337D19">
        <w:rPr>
          <w:i/>
        </w:rPr>
        <w:t>documented workplace monitoring program supported by procedures and rules</w:t>
      </w:r>
      <w:r w:rsidR="00A8540D" w:rsidRPr="00337D19">
        <w:rPr>
          <w:i/>
        </w:rPr>
        <w:t xml:space="preserve"> (RG 3.5</w:t>
      </w:r>
      <w:r w:rsidR="00EF6BCE">
        <w:rPr>
          <w:i/>
        </w:rPr>
        <w:t>4</w:t>
      </w:r>
      <w:r w:rsidR="00A8540D" w:rsidRPr="00337D19">
        <w:rPr>
          <w:i/>
        </w:rPr>
        <w:t>-3.6</w:t>
      </w:r>
      <w:r w:rsidR="00EF6BCE">
        <w:rPr>
          <w:i/>
        </w:rPr>
        <w:t>1</w:t>
      </w:r>
      <w:r w:rsidR="00A8540D" w:rsidRPr="00337D19">
        <w:rPr>
          <w:i/>
        </w:rPr>
        <w:t>) [3]</w:t>
      </w:r>
      <w:r w:rsidRPr="00337D19">
        <w:t>.</w:t>
      </w:r>
    </w:p>
    <w:p w:rsidR="00EF6BCE" w:rsidRDefault="00707B73" w:rsidP="007D295E">
      <w:pPr>
        <w:autoSpaceDE w:val="0"/>
        <w:autoSpaceDN w:val="0"/>
        <w:adjustRightInd w:val="0"/>
        <w:jc w:val="both"/>
      </w:pPr>
      <w:r>
        <w:t>The application states that routine workplace monitoring will be performed, to a survey program, by health physics surveyors for the purposes of:</w:t>
      </w:r>
    </w:p>
    <w:p w:rsidR="00707B73" w:rsidRDefault="00707B73" w:rsidP="00C91EB0">
      <w:pPr>
        <w:pStyle w:val="ListParagraph"/>
        <w:numPr>
          <w:ilvl w:val="0"/>
          <w:numId w:val="26"/>
        </w:numPr>
        <w:autoSpaceDE w:val="0"/>
        <w:autoSpaceDN w:val="0"/>
        <w:adjustRightInd w:val="0"/>
        <w:jc w:val="both"/>
      </w:pPr>
      <w:r>
        <w:t xml:space="preserve">Confirmation that dose rates </w:t>
      </w:r>
      <w:r w:rsidR="00455FA4">
        <w:t>and contamination levels within and around the classified areas of IWS are within agreed parameters</w:t>
      </w:r>
    </w:p>
    <w:p w:rsidR="00455FA4" w:rsidRDefault="00455FA4" w:rsidP="00C91EB0">
      <w:pPr>
        <w:pStyle w:val="ListParagraph"/>
        <w:numPr>
          <w:ilvl w:val="0"/>
          <w:numId w:val="26"/>
        </w:numPr>
        <w:autoSpaceDE w:val="0"/>
        <w:autoSpaceDN w:val="0"/>
        <w:adjustRightInd w:val="0"/>
        <w:jc w:val="both"/>
      </w:pPr>
      <w:r>
        <w:t>Confirmation of the area classifications within the IWS</w:t>
      </w:r>
    </w:p>
    <w:p w:rsidR="00EF6BCE" w:rsidRDefault="00455FA4" w:rsidP="007D295E">
      <w:pPr>
        <w:autoSpaceDE w:val="0"/>
        <w:autoSpaceDN w:val="0"/>
        <w:adjustRightInd w:val="0"/>
        <w:jc w:val="both"/>
      </w:pPr>
      <w:r>
        <w:t>The ARPANSA assessor notes that the facility will be equipped with area radiation monitors.</w:t>
      </w:r>
    </w:p>
    <w:p w:rsidR="008D42AD" w:rsidRDefault="008D42AD" w:rsidP="007D295E">
      <w:pPr>
        <w:autoSpaceDE w:val="0"/>
        <w:autoSpaceDN w:val="0"/>
        <w:adjustRightInd w:val="0"/>
        <w:jc w:val="both"/>
      </w:pPr>
      <w:r>
        <w:t>The health physics surveyor will undertake routine survey</w:t>
      </w:r>
      <w:r w:rsidR="008B1A19">
        <w:t>s</w:t>
      </w:r>
      <w:r>
        <w:t xml:space="preserve"> as required, and task based radiological monitoring will also be undertaken at the IWS.</w:t>
      </w:r>
    </w:p>
    <w:p w:rsidR="003A4E8E" w:rsidRDefault="00B25596" w:rsidP="007D295E">
      <w:pPr>
        <w:autoSpaceDE w:val="0"/>
        <w:autoSpaceDN w:val="0"/>
        <w:adjustRightInd w:val="0"/>
        <w:jc w:val="both"/>
      </w:pPr>
      <w:r>
        <w:t>In Waste Operations t</w:t>
      </w:r>
      <w:r w:rsidRPr="00755E22">
        <w:t>he radiation monitoring equipment used in the facility consists of a combination of fixed and portable instrumentation designed to monitor the radiological conditions and the personnel throughout the facility.</w:t>
      </w:r>
      <w:r>
        <w:t xml:space="preserve"> </w:t>
      </w:r>
      <w:r w:rsidRPr="00755E22">
        <w:t xml:space="preserve">The radiation protection instrumentation used within the </w:t>
      </w:r>
      <w:r>
        <w:t>Waste Operations</w:t>
      </w:r>
      <w:r w:rsidRPr="00755E22">
        <w:t xml:space="preserve"> </w:t>
      </w:r>
      <w:r>
        <w:t>is</w:t>
      </w:r>
      <w:r w:rsidRPr="00755E22">
        <w:t xml:space="preserve"> subject to routine calibration</w:t>
      </w:r>
      <w:r>
        <w:t>.</w:t>
      </w:r>
    </w:p>
    <w:p w:rsidR="00B25596" w:rsidRDefault="00B25596" w:rsidP="007D295E">
      <w:pPr>
        <w:autoSpaceDE w:val="0"/>
        <w:autoSpaceDN w:val="0"/>
        <w:adjustRightInd w:val="0"/>
        <w:jc w:val="both"/>
      </w:pPr>
      <w:r>
        <w:t>The ARPANSA assessor notes that the records of the surveys and any radiological incidents are kept within ANSTO electronic systems. Trends in the surveys, and incidents, are tracked by the Radiation Protection Advisor and may instigate an investigation.</w:t>
      </w:r>
    </w:p>
    <w:p w:rsidR="00B25596" w:rsidRDefault="00B25596" w:rsidP="00BF4570">
      <w:pPr>
        <w:autoSpaceDE w:val="0"/>
        <w:autoSpaceDN w:val="0"/>
        <w:adjustRightInd w:val="0"/>
        <w:spacing w:after="0"/>
        <w:jc w:val="both"/>
      </w:pPr>
      <w:r>
        <w:t>The ARPANSA assessor considers that the arrangements for workplace monitoring area acceptable.</w:t>
      </w:r>
    </w:p>
    <w:p w:rsidR="006977BD" w:rsidRPr="0065410E" w:rsidRDefault="006977BD" w:rsidP="006820F1">
      <w:pPr>
        <w:pStyle w:val="Heading4"/>
        <w:ind w:left="1418" w:hanging="1134"/>
      </w:pPr>
      <w:r w:rsidRPr="0065410E">
        <w:t>Monitoring of individuals</w:t>
      </w:r>
    </w:p>
    <w:p w:rsidR="006977BD" w:rsidRPr="00337D19" w:rsidRDefault="008315CB" w:rsidP="00BF4570">
      <w:pPr>
        <w:autoSpaceDE w:val="0"/>
        <w:autoSpaceDN w:val="0"/>
        <w:adjustRightInd w:val="0"/>
        <w:spacing w:before="240"/>
        <w:jc w:val="both"/>
      </w:pPr>
      <w:r w:rsidRPr="00337D19">
        <w:rPr>
          <w:i/>
        </w:rPr>
        <w:t xml:space="preserve">The licence holder should have arrangements to monitor individuals including visitors and contractors and </w:t>
      </w:r>
      <w:r w:rsidR="00C976D0" w:rsidRPr="00337D19">
        <w:rPr>
          <w:i/>
        </w:rPr>
        <w:t xml:space="preserve">to </w:t>
      </w:r>
      <w:r w:rsidRPr="00337D19">
        <w:rPr>
          <w:i/>
        </w:rPr>
        <w:t xml:space="preserve">record the results of monitoring </w:t>
      </w:r>
      <w:r w:rsidR="0081040C" w:rsidRPr="00337D19">
        <w:rPr>
          <w:i/>
        </w:rPr>
        <w:t>and report abnormal dose result</w:t>
      </w:r>
      <w:r w:rsidRPr="00337D19">
        <w:rPr>
          <w:i/>
        </w:rPr>
        <w:t xml:space="preserve">s if there </w:t>
      </w:r>
      <w:r w:rsidR="00D9078B" w:rsidRPr="00337D19">
        <w:rPr>
          <w:i/>
        </w:rPr>
        <w:t xml:space="preserve">are </w:t>
      </w:r>
      <w:r w:rsidRPr="00337D19">
        <w:rPr>
          <w:i/>
        </w:rPr>
        <w:t>any</w:t>
      </w:r>
      <w:r w:rsidR="0049135A" w:rsidRPr="00337D19">
        <w:rPr>
          <w:i/>
        </w:rPr>
        <w:t xml:space="preserve"> (RG 3.6</w:t>
      </w:r>
      <w:r w:rsidR="00B25596">
        <w:rPr>
          <w:i/>
        </w:rPr>
        <w:t>2-3.72</w:t>
      </w:r>
      <w:r w:rsidR="0049135A" w:rsidRPr="00337D19">
        <w:rPr>
          <w:i/>
        </w:rPr>
        <w:t>) [3]</w:t>
      </w:r>
      <w:r w:rsidRPr="00337D19">
        <w:t>.</w:t>
      </w:r>
    </w:p>
    <w:p w:rsidR="00A54444" w:rsidRDefault="00D03C0D" w:rsidP="007D295E">
      <w:pPr>
        <w:autoSpaceDE w:val="0"/>
        <w:autoSpaceDN w:val="0"/>
        <w:adjustRightInd w:val="0"/>
        <w:jc w:val="both"/>
      </w:pPr>
      <w:r>
        <w:t>The application states that o</w:t>
      </w:r>
      <w:r w:rsidRPr="00755E22">
        <w:t>ccupationally exposed employees will be monitored, in accordance with AG</w:t>
      </w:r>
      <w:r>
        <w:t xml:space="preserve"> </w:t>
      </w:r>
      <w:r w:rsidRPr="00755E22">
        <w:t>2521</w:t>
      </w:r>
      <w:r>
        <w:t xml:space="preserve"> </w:t>
      </w:r>
      <w:r w:rsidRPr="00C80722">
        <w:t>Personal Dosimetry (Guide)</w:t>
      </w:r>
      <w:r w:rsidRPr="00755E22">
        <w:t xml:space="preserve">, as part of the routine dosimetry program (with the supply of dosimetry, analysis of returned dosimetry and dose record keeping service provided by </w:t>
      </w:r>
      <w:r>
        <w:t>Radiation Protection Services</w:t>
      </w:r>
      <w:r w:rsidRPr="00755E22">
        <w:t>).</w:t>
      </w:r>
      <w:r>
        <w:t xml:space="preserve"> Other staff, contractors and visitors who are not on the routine dosimetry program will be monitored by electronic dosimeters when required.</w:t>
      </w:r>
    </w:p>
    <w:p w:rsidR="00B25596" w:rsidRDefault="00D03C0D" w:rsidP="007D295E">
      <w:pPr>
        <w:autoSpaceDE w:val="0"/>
        <w:autoSpaceDN w:val="0"/>
        <w:adjustRightInd w:val="0"/>
        <w:jc w:val="both"/>
      </w:pPr>
      <w:proofErr w:type="gramStart"/>
      <w:r>
        <w:t xml:space="preserve">For individual external routine </w:t>
      </w:r>
      <w:r w:rsidR="0088386A">
        <w:t xml:space="preserve">measurement of effective dose </w:t>
      </w:r>
      <w:proofErr w:type="spellStart"/>
      <w:r w:rsidR="0088386A">
        <w:t>thermoluminescent</w:t>
      </w:r>
      <w:proofErr w:type="spellEnd"/>
      <w:r w:rsidR="0088386A">
        <w:t xml:space="preserve"> dosimeters (TLDs) will be used.</w:t>
      </w:r>
      <w:proofErr w:type="gramEnd"/>
      <w:r w:rsidR="0088386A">
        <w:t xml:space="preserve"> In addition, electronic dosimeters will be used for individual monitoring.</w:t>
      </w:r>
    </w:p>
    <w:p w:rsidR="00D60D96" w:rsidRDefault="00D60D96" w:rsidP="007D295E">
      <w:pPr>
        <w:autoSpaceDE w:val="0"/>
        <w:autoSpaceDN w:val="0"/>
        <w:adjustRightInd w:val="0"/>
        <w:jc w:val="both"/>
      </w:pPr>
      <w:r>
        <w:t>The application states that workers exiting controlled areas will be required to perform self-monitoring for contamination and appropriate training will be provided for self-monitoring.</w:t>
      </w:r>
    </w:p>
    <w:p w:rsidR="00D60D96" w:rsidRDefault="00D60D96" w:rsidP="00BF4570">
      <w:pPr>
        <w:autoSpaceDE w:val="0"/>
        <w:autoSpaceDN w:val="0"/>
        <w:adjustRightInd w:val="0"/>
        <w:spacing w:after="0"/>
        <w:jc w:val="both"/>
      </w:pPr>
      <w:r>
        <w:lastRenderedPageBreak/>
        <w:t>The ARPANSA assessor considers that arrangements</w:t>
      </w:r>
      <w:r w:rsidR="00C24204">
        <w:t xml:space="preserve"> for individual monitoring are </w:t>
      </w:r>
      <w:r>
        <w:t>adequate.</w:t>
      </w:r>
    </w:p>
    <w:p w:rsidR="006977BD" w:rsidRPr="0065410E" w:rsidRDefault="006977BD" w:rsidP="006820F1">
      <w:pPr>
        <w:pStyle w:val="Heading4"/>
        <w:ind w:left="1418" w:hanging="1134"/>
      </w:pPr>
      <w:r w:rsidRPr="0065410E">
        <w:t>Monitoring the Environment</w:t>
      </w:r>
    </w:p>
    <w:p w:rsidR="00C82F53" w:rsidRPr="00337D19" w:rsidRDefault="00C82F53" w:rsidP="00BF4570">
      <w:pPr>
        <w:autoSpaceDE w:val="0"/>
        <w:autoSpaceDN w:val="0"/>
        <w:adjustRightInd w:val="0"/>
        <w:spacing w:before="240"/>
        <w:jc w:val="both"/>
      </w:pPr>
      <w:r w:rsidRPr="00337D19">
        <w:rPr>
          <w:i/>
        </w:rPr>
        <w:t>The licence holder is responsible for ensuring appropriate arrangements for monitoring the environment (RG 3.7</w:t>
      </w:r>
      <w:r w:rsidR="00D60D96">
        <w:rPr>
          <w:i/>
        </w:rPr>
        <w:t>3</w:t>
      </w:r>
      <w:r w:rsidRPr="00337D19">
        <w:rPr>
          <w:i/>
        </w:rPr>
        <w:t>-3.7</w:t>
      </w:r>
      <w:r w:rsidR="00D60D96">
        <w:rPr>
          <w:i/>
        </w:rPr>
        <w:t>8</w:t>
      </w:r>
      <w:r w:rsidRPr="00337D19">
        <w:rPr>
          <w:i/>
        </w:rPr>
        <w:t>)</w:t>
      </w:r>
      <w:r w:rsidRPr="00337D19">
        <w:t xml:space="preserve"> [3].</w:t>
      </w:r>
    </w:p>
    <w:p w:rsidR="006B0382" w:rsidRDefault="00D60D96" w:rsidP="007D295E">
      <w:pPr>
        <w:autoSpaceDE w:val="0"/>
        <w:autoSpaceDN w:val="0"/>
        <w:adjustRightInd w:val="0"/>
        <w:jc w:val="both"/>
      </w:pPr>
      <w:r>
        <w:t>Considering that the facility will be used for storag</w:t>
      </w:r>
      <w:r w:rsidR="00394270">
        <w:t xml:space="preserve">e of ILSW in containers there are no practical routes of radioactive discharges into the environment. </w:t>
      </w:r>
    </w:p>
    <w:p w:rsidR="00394270" w:rsidRDefault="00394270" w:rsidP="007D295E">
      <w:pPr>
        <w:autoSpaceDE w:val="0"/>
        <w:autoSpaceDN w:val="0"/>
        <w:adjustRightInd w:val="0"/>
        <w:jc w:val="both"/>
      </w:pPr>
      <w:r>
        <w:t>The application states that during the operation of the IWS, there are no identifiable exposure pathways to wildlife in their natural habitats.</w:t>
      </w:r>
    </w:p>
    <w:p w:rsidR="00394270" w:rsidRPr="00337D19" w:rsidRDefault="00394270" w:rsidP="007D295E">
      <w:pPr>
        <w:autoSpaceDE w:val="0"/>
        <w:autoSpaceDN w:val="0"/>
        <w:adjustRightInd w:val="0"/>
        <w:jc w:val="both"/>
      </w:pPr>
      <w:r>
        <w:t>The ARPANSA assessor considers that this aspect has been adequately addressed.</w:t>
      </w:r>
    </w:p>
    <w:p w:rsidR="006B0382" w:rsidRPr="0065410E" w:rsidRDefault="006B0382" w:rsidP="006820F1">
      <w:pPr>
        <w:pStyle w:val="Heading4"/>
        <w:ind w:left="1418" w:hanging="1134"/>
      </w:pPr>
      <w:r w:rsidRPr="0065410E">
        <w:t>Transport</w:t>
      </w:r>
    </w:p>
    <w:p w:rsidR="006B0382" w:rsidRPr="00337D19" w:rsidRDefault="00B30795" w:rsidP="007D295E">
      <w:pPr>
        <w:autoSpaceDE w:val="0"/>
        <w:autoSpaceDN w:val="0"/>
        <w:adjustRightInd w:val="0"/>
        <w:jc w:val="both"/>
      </w:pPr>
      <w:r w:rsidRPr="00337D19">
        <w:rPr>
          <w:i/>
        </w:rPr>
        <w:t>The licence holder is responsible for ensuring appropriate arrangements for on-site and off-site transport of radioactive material in accordance to</w:t>
      </w:r>
      <w:r w:rsidR="00394270">
        <w:rPr>
          <w:i/>
        </w:rPr>
        <w:t xml:space="preserve"> legislative requirements (RG3.83</w:t>
      </w:r>
      <w:r w:rsidRPr="00337D19">
        <w:rPr>
          <w:i/>
        </w:rPr>
        <w:t>-3.</w:t>
      </w:r>
      <w:r w:rsidR="00394270">
        <w:rPr>
          <w:i/>
        </w:rPr>
        <w:t>97</w:t>
      </w:r>
      <w:r w:rsidRPr="00337D19">
        <w:rPr>
          <w:i/>
        </w:rPr>
        <w:t>) [3].</w:t>
      </w:r>
    </w:p>
    <w:p w:rsidR="00394270" w:rsidRDefault="0019362E" w:rsidP="007D295E">
      <w:pPr>
        <w:autoSpaceDE w:val="0"/>
        <w:autoSpaceDN w:val="0"/>
        <w:adjustRightInd w:val="0"/>
        <w:jc w:val="both"/>
      </w:pPr>
      <w:r>
        <w:t>Nuclear Services follows ANSTO Guide AD 2515- safe Movement of Radioactive Material for on</w:t>
      </w:r>
      <w:r w:rsidR="001D2058">
        <w:t xml:space="preserve">site movement of radioactive material. However, the facility will not involve any process activities and only be used for storage of one TN81 container and six-drums of technological waste in concrete over-pack placed in an ISO container. </w:t>
      </w:r>
    </w:p>
    <w:p w:rsidR="001D2058" w:rsidRDefault="001D2058" w:rsidP="007D295E">
      <w:pPr>
        <w:autoSpaceDE w:val="0"/>
        <w:autoSpaceDN w:val="0"/>
        <w:adjustRightInd w:val="0"/>
        <w:jc w:val="both"/>
      </w:pPr>
      <w:r>
        <w:t>The ARPANSA assessor note</w:t>
      </w:r>
      <w:r w:rsidR="008B1A19">
        <w:t>s</w:t>
      </w:r>
      <w:r>
        <w:t xml:space="preserve"> that the transport of the waste from France will be subject to separate ARPANSA approval in accordance with the Code of Practice for Safe Transport of Radioactive Material 2014, Radiation Protection Series C-2.</w:t>
      </w:r>
    </w:p>
    <w:p w:rsidR="00394270" w:rsidRDefault="001D2058" w:rsidP="007D295E">
      <w:pPr>
        <w:autoSpaceDE w:val="0"/>
        <w:autoSpaceDN w:val="0"/>
        <w:adjustRightInd w:val="0"/>
        <w:jc w:val="both"/>
      </w:pPr>
      <w:r>
        <w:t>The ARPANSA assessor considers that the arrangements for transport of controlled material are adequate.</w:t>
      </w:r>
    </w:p>
    <w:p w:rsidR="00564CAA" w:rsidRPr="00FB5677" w:rsidRDefault="00564CAA" w:rsidP="00BD7E93">
      <w:pPr>
        <w:pStyle w:val="Conclusion"/>
      </w:pPr>
      <w:r w:rsidRPr="00FB5677">
        <w:t>Conclusion</w:t>
      </w:r>
    </w:p>
    <w:p w:rsidR="00564CAA" w:rsidRPr="00337D19" w:rsidRDefault="00314F5C" w:rsidP="007D295E">
      <w:pPr>
        <w:jc w:val="both"/>
      </w:pPr>
      <w:r>
        <w:t>T</w:t>
      </w:r>
      <w:r w:rsidR="004F3539" w:rsidRPr="00337D19">
        <w:t xml:space="preserve">he application describes relevant arrangements for radiation protection including principles of radiation protection, </w:t>
      </w:r>
      <w:r w:rsidR="00BF3879">
        <w:t>engineering controls considered in the design</w:t>
      </w:r>
      <w:r w:rsidR="009A6AFD" w:rsidRPr="00337D19">
        <w:t xml:space="preserve"> and</w:t>
      </w:r>
      <w:r w:rsidR="004F3539" w:rsidRPr="00337D19">
        <w:t xml:space="preserve"> radiation monitoring programs</w:t>
      </w:r>
      <w:r w:rsidR="00470EED" w:rsidRPr="00337D19">
        <w:t xml:space="preserve"> to be in place</w:t>
      </w:r>
      <w:r w:rsidR="001C1099" w:rsidRPr="00337D19">
        <w:t>.</w:t>
      </w:r>
      <w:r w:rsidR="00564CAA" w:rsidRPr="00337D19">
        <w:t xml:space="preserve"> </w:t>
      </w:r>
      <w:r w:rsidR="00AA71D0" w:rsidRPr="00337D19">
        <w:t xml:space="preserve">The </w:t>
      </w:r>
      <w:r w:rsidR="00564CAA" w:rsidRPr="00337D19">
        <w:t>ARPANSA assessor consider</w:t>
      </w:r>
      <w:r w:rsidR="00AA71D0" w:rsidRPr="00337D19">
        <w:t>s</w:t>
      </w:r>
      <w:r w:rsidR="00564CAA" w:rsidRPr="00337D19">
        <w:t xml:space="preserve"> that the</w:t>
      </w:r>
      <w:r w:rsidR="005B0FE7" w:rsidRPr="00337D19">
        <w:t xml:space="preserve"> arrangements for </w:t>
      </w:r>
      <w:r w:rsidR="00564CAA" w:rsidRPr="00337D19">
        <w:t xml:space="preserve">radiation protection for the </w:t>
      </w:r>
      <w:r>
        <w:t>operation</w:t>
      </w:r>
      <w:r w:rsidR="00BF3879">
        <w:t xml:space="preserve"> </w:t>
      </w:r>
      <w:r w:rsidR="00564CAA" w:rsidRPr="00337D19">
        <w:t xml:space="preserve">of </w:t>
      </w:r>
      <w:r w:rsidR="00E9560D">
        <w:t xml:space="preserve">the facility </w:t>
      </w:r>
      <w:r w:rsidR="00584955" w:rsidRPr="00337D19">
        <w:t>are acceptable</w:t>
      </w:r>
      <w:r w:rsidR="005E42D4" w:rsidRPr="00337D19">
        <w:t>.</w:t>
      </w:r>
      <w:r w:rsidR="00460A07" w:rsidRPr="00337D19">
        <w:t xml:space="preserve"> </w:t>
      </w:r>
    </w:p>
    <w:p w:rsidR="00564CAA" w:rsidRPr="001002A7" w:rsidRDefault="00564CAA" w:rsidP="001002A7">
      <w:pPr>
        <w:pStyle w:val="Heading3"/>
      </w:pPr>
      <w:bookmarkStart w:id="89" w:name="_Toc492280685"/>
      <w:bookmarkStart w:id="90" w:name="_Toc492282543"/>
      <w:bookmarkStart w:id="91" w:name="_Toc493304028"/>
      <w:bookmarkStart w:id="92" w:name="_Toc497727936"/>
      <w:bookmarkStart w:id="93" w:name="_Toc13454308"/>
      <w:bookmarkStart w:id="94" w:name="_Toc297107191"/>
      <w:bookmarkStart w:id="95" w:name="_Toc417974597"/>
      <w:r w:rsidRPr="001002A7">
        <w:t>Radioactive waste management plan</w:t>
      </w:r>
      <w:bookmarkEnd w:id="89"/>
      <w:bookmarkEnd w:id="90"/>
      <w:bookmarkEnd w:id="91"/>
      <w:r w:rsidRPr="001002A7">
        <w:t xml:space="preserve"> [Item 4(d)]</w:t>
      </w:r>
      <w:bookmarkEnd w:id="92"/>
      <w:bookmarkEnd w:id="93"/>
      <w:bookmarkEnd w:id="94"/>
      <w:bookmarkEnd w:id="95"/>
    </w:p>
    <w:p w:rsidR="001B3C52" w:rsidRDefault="001B3C52" w:rsidP="00BF4570">
      <w:pPr>
        <w:pStyle w:val="BodyText2"/>
        <w:spacing w:before="240"/>
        <w:jc w:val="both"/>
      </w:pPr>
      <w:r w:rsidRPr="00337D19">
        <w:t>The arrangements for managing radioactive waste have been assessed against the guidelines of section 4 of the RG [3] and the principles</w:t>
      </w:r>
      <w:r w:rsidR="00C6645B" w:rsidRPr="00337D19">
        <w:t xml:space="preserve"> </w:t>
      </w:r>
      <w:r w:rsidR="00431B29" w:rsidRPr="00337D19">
        <w:t>68, 69,</w:t>
      </w:r>
      <w:r w:rsidRPr="00337D19">
        <w:t xml:space="preserve"> 73-76 of the RAPs [4]. </w:t>
      </w:r>
    </w:p>
    <w:p w:rsidR="00564CAA" w:rsidRPr="0065410E" w:rsidRDefault="00564CAA" w:rsidP="006820F1">
      <w:pPr>
        <w:pStyle w:val="Heading4"/>
        <w:ind w:left="1418" w:hanging="1134"/>
      </w:pPr>
      <w:bookmarkStart w:id="96" w:name="_Toc306282448"/>
      <w:bookmarkStart w:id="97" w:name="_Toc492280686"/>
      <w:bookmarkStart w:id="98" w:name="_Toc13048092"/>
      <w:bookmarkStart w:id="99" w:name="_Toc13454309"/>
      <w:r w:rsidRPr="0065410E">
        <w:t>Management of Radioactive Waste</w:t>
      </w:r>
      <w:bookmarkEnd w:id="96"/>
    </w:p>
    <w:p w:rsidR="00B30795" w:rsidRPr="00337D19" w:rsidRDefault="00B30795" w:rsidP="007D295E">
      <w:pPr>
        <w:jc w:val="both"/>
        <w:rPr>
          <w:i/>
        </w:rPr>
      </w:pPr>
      <w:r w:rsidRPr="00337D19">
        <w:rPr>
          <w:i/>
        </w:rPr>
        <w:t>The applicant must provide arrangements to protect the health and safety of people and to protect the environment from hazards arising from the handling, treatment, storage, discharge and disposal of any radioactive waste expected to arise from any conduct. The arrangements should address appropriate codes and standards the physical, chemical and radiological characteristics of the waste</w:t>
      </w:r>
      <w:r w:rsidR="00B50C78">
        <w:rPr>
          <w:i/>
        </w:rPr>
        <w:t>;</w:t>
      </w:r>
      <w:r w:rsidRPr="00337D19">
        <w:rPr>
          <w:i/>
        </w:rPr>
        <w:t xml:space="preserve"> methods of </w:t>
      </w:r>
      <w:r w:rsidRPr="00337D19">
        <w:rPr>
          <w:i/>
        </w:rPr>
        <w:lastRenderedPageBreak/>
        <w:t>minimising the volumes and activities of radioactive wastes generated; the treatment, storage, disposal and discharges of radioactive wastes; and the control, monitoring, recording and reporting of wastes (RG 4.1-</w:t>
      </w:r>
      <w:r w:rsidR="00C01B8F">
        <w:rPr>
          <w:i/>
        </w:rPr>
        <w:t xml:space="preserve"> </w:t>
      </w:r>
      <w:r w:rsidRPr="00337D19">
        <w:rPr>
          <w:i/>
        </w:rPr>
        <w:t>4.18) [3], (RAPS 68, 69, 73-76) [4].</w:t>
      </w:r>
    </w:p>
    <w:p w:rsidR="00314F5C" w:rsidRDefault="00512456" w:rsidP="00314F5C">
      <w:pPr>
        <w:jc w:val="both"/>
      </w:pPr>
      <w:r>
        <w:t xml:space="preserve">The ARPANSA assessor notes that the key feature of this facility is that it will not involve </w:t>
      </w:r>
      <w:r w:rsidR="00314F5C">
        <w:t xml:space="preserve">process operation inside the facility. </w:t>
      </w:r>
      <w:r>
        <w:t xml:space="preserve">Therefore, </w:t>
      </w:r>
      <w:r w:rsidR="00314F5C">
        <w:t>there will be minimal waste generation from the operation of this facility.</w:t>
      </w:r>
    </w:p>
    <w:p w:rsidR="00314F5C" w:rsidRDefault="00314F5C" w:rsidP="00314F5C">
      <w:pPr>
        <w:jc w:val="both"/>
      </w:pPr>
      <w:r>
        <w:t>Only non-active waste will be generated during the operational phase of the facility. These will be general wastes arising from routine building maintenance and repair activities. There will be some minor chemical wastes from the general housekeeping activities of the store (e.g. mopping of floor)</w:t>
      </w:r>
      <w:r w:rsidR="00257D00">
        <w:t>, and t</w:t>
      </w:r>
      <w:r>
        <w:t xml:space="preserve">hese </w:t>
      </w:r>
      <w:proofErr w:type="gramStart"/>
      <w:r>
        <w:t>wastes  will</w:t>
      </w:r>
      <w:proofErr w:type="gramEnd"/>
      <w:r>
        <w:t xml:space="preserve"> be managed by the established </w:t>
      </w:r>
      <w:r w:rsidR="00512456">
        <w:t>procedures of Waste Operations.</w:t>
      </w:r>
    </w:p>
    <w:p w:rsidR="0079793E" w:rsidRDefault="00257D00" w:rsidP="00CA7E85">
      <w:pPr>
        <w:jc w:val="both"/>
      </w:pPr>
      <w:r>
        <w:t xml:space="preserve">The ARPANSA assessor considers that the </w:t>
      </w:r>
      <w:r w:rsidR="00BA1DB2">
        <w:t>provisions for management of radioactive waste are acceptable.</w:t>
      </w:r>
    </w:p>
    <w:p w:rsidR="00FC48F3" w:rsidRPr="0065410E" w:rsidRDefault="0065410E" w:rsidP="006820F1">
      <w:pPr>
        <w:pStyle w:val="Heading4"/>
        <w:ind w:left="1418" w:hanging="1134"/>
      </w:pPr>
      <w:r>
        <w:t>L</w:t>
      </w:r>
      <w:r w:rsidR="00FC48F3" w:rsidRPr="0065410E">
        <w:t>imiting Exposure to Radioactive Waste</w:t>
      </w:r>
    </w:p>
    <w:p w:rsidR="00C01B8F" w:rsidRDefault="00C01B8F" w:rsidP="00BF4570">
      <w:pPr>
        <w:spacing w:before="240"/>
        <w:jc w:val="both"/>
      </w:pPr>
      <w:r w:rsidRPr="00965933">
        <w:rPr>
          <w:i/>
        </w:rPr>
        <w:t xml:space="preserve">The licence holder is responsible for </w:t>
      </w:r>
      <w:r w:rsidR="00965933" w:rsidRPr="00965933">
        <w:rPr>
          <w:i/>
        </w:rPr>
        <w:t xml:space="preserve"> limiting the exposure to workers and members of the public during handling, treatment, transport, storage and transfer or ultimate disposal of radioactive waste </w:t>
      </w:r>
      <w:r w:rsidRPr="00965933">
        <w:rPr>
          <w:i/>
        </w:rPr>
        <w:t>(4.19- 4.31)</w:t>
      </w:r>
      <w:r w:rsidRPr="00965933">
        <w:t xml:space="preserve"> [3]</w:t>
      </w:r>
    </w:p>
    <w:p w:rsidR="00965933" w:rsidRPr="00965933" w:rsidRDefault="007E0F09" w:rsidP="00965933">
      <w:r>
        <w:t>The application states that t</w:t>
      </w:r>
      <w:r w:rsidR="00965933" w:rsidRPr="00965933">
        <w:t>he ANSTO WHS Standard for Radiation Safety AS-</w:t>
      </w:r>
      <w:r w:rsidRPr="00965933">
        <w:t xml:space="preserve">2310 </w:t>
      </w:r>
      <w:r>
        <w:t>provides</w:t>
      </w:r>
      <w:r w:rsidRPr="00965933">
        <w:t xml:space="preserve"> guides on radiation protection and control measures to minimise the risks of radiological hazards associated with the radioactive waste stored in the IWS.</w:t>
      </w:r>
      <w:r>
        <w:t xml:space="preserve"> This standard</w:t>
      </w:r>
      <w:r w:rsidR="00965933" w:rsidRPr="00965933">
        <w:t xml:space="preserve"> is implemented through the application of the guides and practices provided in the</w:t>
      </w:r>
      <w:r>
        <w:t xml:space="preserve"> ANSTO WHS Management System. </w:t>
      </w:r>
      <w:r w:rsidR="00965933" w:rsidRPr="00965933">
        <w:t xml:space="preserve"> </w:t>
      </w:r>
    </w:p>
    <w:p w:rsidR="007E0F09" w:rsidRDefault="007E0F09" w:rsidP="007D295E">
      <w:pPr>
        <w:jc w:val="both"/>
      </w:pPr>
      <w:r>
        <w:t>In order to limit exposure to the workers and members of the public the following controls will be in place:</w:t>
      </w:r>
    </w:p>
    <w:p w:rsidR="007E0F09" w:rsidRDefault="007E0F09" w:rsidP="00C91EB0">
      <w:pPr>
        <w:pStyle w:val="ListParagraph"/>
        <w:numPr>
          <w:ilvl w:val="0"/>
          <w:numId w:val="27"/>
        </w:numPr>
        <w:ind w:left="714" w:hanging="357"/>
        <w:jc w:val="both"/>
      </w:pPr>
      <w:r>
        <w:t xml:space="preserve">Appropriate passive shielding on the TN 81 container including the high density </w:t>
      </w:r>
      <w:r w:rsidR="000925C1">
        <w:t xml:space="preserve">resin in the aluminium profile </w:t>
      </w:r>
    </w:p>
    <w:p w:rsidR="007E0F09" w:rsidRDefault="007E0F09" w:rsidP="00C91EB0">
      <w:pPr>
        <w:pStyle w:val="ListParagraph"/>
        <w:numPr>
          <w:ilvl w:val="0"/>
          <w:numId w:val="27"/>
        </w:numPr>
        <w:ind w:left="714" w:hanging="357"/>
        <w:jc w:val="both"/>
      </w:pPr>
      <w:r>
        <w:t>Closure system (primary and secondary li</w:t>
      </w:r>
      <w:r w:rsidR="000925C1">
        <w:t xml:space="preserve">ds) of the TN 81 container </w:t>
      </w:r>
    </w:p>
    <w:p w:rsidR="007E0F09" w:rsidRDefault="007E0F09" w:rsidP="00C91EB0">
      <w:pPr>
        <w:pStyle w:val="ListParagraph"/>
        <w:numPr>
          <w:ilvl w:val="0"/>
          <w:numId w:val="27"/>
        </w:numPr>
        <w:ind w:left="714" w:hanging="357"/>
        <w:jc w:val="both"/>
      </w:pPr>
      <w:r>
        <w:t xml:space="preserve">The fibre concrete containers for the technological wastes which are then placed inside an IP-2 certified ISO container (DV78) </w:t>
      </w:r>
    </w:p>
    <w:p w:rsidR="007E0F09" w:rsidRDefault="007E0F09" w:rsidP="00C91EB0">
      <w:pPr>
        <w:pStyle w:val="ListParagraph"/>
        <w:numPr>
          <w:ilvl w:val="0"/>
          <w:numId w:val="27"/>
        </w:numPr>
        <w:jc w:val="both"/>
      </w:pPr>
      <w:r>
        <w:t>Additional shielding (or barrier) around the DV78 package, if required upon arrival of the package inside the IWS</w:t>
      </w:r>
    </w:p>
    <w:p w:rsidR="007E0F09" w:rsidRDefault="000925C1" w:rsidP="00C91EB0">
      <w:pPr>
        <w:pStyle w:val="ListParagraph"/>
        <w:numPr>
          <w:ilvl w:val="0"/>
          <w:numId w:val="27"/>
        </w:numPr>
        <w:jc w:val="both"/>
      </w:pPr>
      <w:r>
        <w:t>Area r</w:t>
      </w:r>
      <w:r w:rsidR="007E0F09">
        <w:t>adiation monitor(s) inside the IWS;</w:t>
      </w:r>
    </w:p>
    <w:p w:rsidR="007E0F09" w:rsidRDefault="007E0F09" w:rsidP="00C91EB0">
      <w:pPr>
        <w:pStyle w:val="ListParagraph"/>
        <w:numPr>
          <w:ilvl w:val="0"/>
          <w:numId w:val="27"/>
        </w:numPr>
        <w:jc w:val="both"/>
      </w:pPr>
      <w:r>
        <w:t>Epoxy coated floor with drainage system connected to the B-line;</w:t>
      </w:r>
    </w:p>
    <w:p w:rsidR="007E0F09" w:rsidRDefault="007E0F09" w:rsidP="00C91EB0">
      <w:pPr>
        <w:pStyle w:val="ListParagraph"/>
        <w:numPr>
          <w:ilvl w:val="0"/>
          <w:numId w:val="27"/>
        </w:numPr>
        <w:jc w:val="both"/>
      </w:pPr>
      <w:r>
        <w:t>Routine HP survey inside the IWS</w:t>
      </w:r>
    </w:p>
    <w:p w:rsidR="007E0F09" w:rsidRDefault="007E0F09" w:rsidP="00C91EB0">
      <w:pPr>
        <w:pStyle w:val="ListParagraph"/>
        <w:numPr>
          <w:ilvl w:val="0"/>
          <w:numId w:val="27"/>
        </w:numPr>
        <w:jc w:val="both"/>
      </w:pPr>
      <w:r>
        <w:t>Administrative controls such as training, procedures, Instruction Manuals provided by AREVA, etc.;</w:t>
      </w:r>
    </w:p>
    <w:p w:rsidR="007E0F09" w:rsidRDefault="007E0F09" w:rsidP="00C91EB0">
      <w:pPr>
        <w:pStyle w:val="ListParagraph"/>
        <w:numPr>
          <w:ilvl w:val="0"/>
          <w:numId w:val="27"/>
        </w:numPr>
        <w:jc w:val="both"/>
      </w:pPr>
      <w:r>
        <w:t>Use of suitable equipment and personal protective equipment, as necessary;</w:t>
      </w:r>
    </w:p>
    <w:p w:rsidR="007E0F09" w:rsidRDefault="007E0F09" w:rsidP="00C91EB0">
      <w:pPr>
        <w:pStyle w:val="ListParagraph"/>
        <w:numPr>
          <w:ilvl w:val="0"/>
          <w:numId w:val="27"/>
        </w:numPr>
        <w:jc w:val="both"/>
      </w:pPr>
      <w:r>
        <w:t>Effective work planning to minimise the dose received by staff members;</w:t>
      </w:r>
    </w:p>
    <w:p w:rsidR="00C01B8F" w:rsidRDefault="000925C1" w:rsidP="00C91EB0">
      <w:pPr>
        <w:pStyle w:val="ListParagraph"/>
        <w:numPr>
          <w:ilvl w:val="0"/>
          <w:numId w:val="27"/>
        </w:numPr>
        <w:jc w:val="both"/>
      </w:pPr>
      <w:r>
        <w:t>Access control to the IWS</w:t>
      </w:r>
    </w:p>
    <w:p w:rsidR="00715F24" w:rsidRDefault="00715F24" w:rsidP="007D295E">
      <w:pPr>
        <w:jc w:val="both"/>
      </w:pPr>
      <w:r>
        <w:lastRenderedPageBreak/>
        <w:t>The ARPANSA assessor notes that transport of the waste to the IWS facility from France is subject to a separate approval from ARPANSA.</w:t>
      </w:r>
    </w:p>
    <w:p w:rsidR="00850ED3" w:rsidRDefault="000925C1" w:rsidP="007D295E">
      <w:pPr>
        <w:jc w:val="both"/>
      </w:pPr>
      <w:r>
        <w:t>The ARPANSA assessor considers the provisions for limiting exposure to workers and members of the public during handling, transport and storage of radioactive waste are acceptable.</w:t>
      </w:r>
    </w:p>
    <w:p w:rsidR="00492A27" w:rsidRPr="0065410E" w:rsidRDefault="00492A27" w:rsidP="006820F1">
      <w:pPr>
        <w:pStyle w:val="Heading4"/>
        <w:ind w:left="1418" w:hanging="1134"/>
      </w:pPr>
      <w:r w:rsidRPr="0065410E">
        <w:t>Packaging and Containment of Radioactive Waste</w:t>
      </w:r>
    </w:p>
    <w:p w:rsidR="00715F24" w:rsidRDefault="00B92F55" w:rsidP="00BF4570">
      <w:pPr>
        <w:spacing w:before="240"/>
        <w:jc w:val="both"/>
      </w:pPr>
      <w:r w:rsidRPr="00965933">
        <w:rPr>
          <w:i/>
        </w:rPr>
        <w:t xml:space="preserve">The licence holder is responsible </w:t>
      </w:r>
      <w:r>
        <w:rPr>
          <w:i/>
        </w:rPr>
        <w:t>ensure that radioactive waste arising from all conducts and dealings is packaged</w:t>
      </w:r>
      <w:r w:rsidRPr="00965933">
        <w:rPr>
          <w:i/>
        </w:rPr>
        <w:t xml:space="preserve"> </w:t>
      </w:r>
      <w:r>
        <w:rPr>
          <w:i/>
        </w:rPr>
        <w:t>and contained so as to minimise potential for migration or dispersion of radionuclide</w:t>
      </w:r>
      <w:r w:rsidR="00725F05">
        <w:rPr>
          <w:i/>
        </w:rPr>
        <w:t>s</w:t>
      </w:r>
      <w:r>
        <w:rPr>
          <w:i/>
        </w:rPr>
        <w:t xml:space="preserve"> and to limit external dose rate to within acceptable limits (4.32</w:t>
      </w:r>
      <w:r w:rsidRPr="00965933">
        <w:rPr>
          <w:i/>
        </w:rPr>
        <w:t>- 4.</w:t>
      </w:r>
      <w:r>
        <w:rPr>
          <w:i/>
        </w:rPr>
        <w:t>38</w:t>
      </w:r>
      <w:r w:rsidRPr="00965933">
        <w:rPr>
          <w:i/>
        </w:rPr>
        <w:t>)</w:t>
      </w:r>
      <w:r w:rsidRPr="00965933">
        <w:t xml:space="preserve"> [3]</w:t>
      </w:r>
    </w:p>
    <w:p w:rsidR="00B92F55" w:rsidRDefault="00B92F55" w:rsidP="007D295E">
      <w:pPr>
        <w:jc w:val="both"/>
      </w:pPr>
      <w:r>
        <w:t>Noting that the operation of the IWS will not involve any processing of waste</w:t>
      </w:r>
      <w:r w:rsidR="00725F05">
        <w:t>,</w:t>
      </w:r>
      <w:r w:rsidR="002E3E7C">
        <w:t xml:space="preserve"> certain </w:t>
      </w:r>
      <w:r w:rsidRPr="00B92F55">
        <w:t>items</w:t>
      </w:r>
      <w:r w:rsidR="002E3E7C">
        <w:t xml:space="preserve"> will be</w:t>
      </w:r>
      <w:r w:rsidRPr="00B92F55">
        <w:t xml:space="preserve"> generated from the routine operations and maintenance consisting of potentially contaminated gloves, papers, PPE and smears from wipe tests</w:t>
      </w:r>
      <w:r w:rsidR="002E3E7C">
        <w:t>. These items will</w:t>
      </w:r>
      <w:r w:rsidRPr="00B92F55">
        <w:t xml:space="preserve"> be bagged, labelled and collected by Waste Operations as part of the normal waste collection service </w:t>
      </w:r>
      <w:r w:rsidR="002E3E7C">
        <w:t>and</w:t>
      </w:r>
      <w:r w:rsidRPr="00B92F55">
        <w:t xml:space="preserve"> will be treated as potential </w:t>
      </w:r>
      <w:r w:rsidR="002E3E7C">
        <w:t>low level solid waste (LLSW)</w:t>
      </w:r>
      <w:r w:rsidRPr="00B92F55">
        <w:t xml:space="preserve"> and subject to the routine characterisation processes for such waste. All wastes assessed as being below the relevant exemption criteria will be disposed of as general waste.</w:t>
      </w:r>
    </w:p>
    <w:p w:rsidR="00B92F55" w:rsidRDefault="002E3E7C" w:rsidP="007D295E">
      <w:pPr>
        <w:jc w:val="both"/>
      </w:pPr>
      <w:r>
        <w:t xml:space="preserve">The ARPANSA assessor considers that </w:t>
      </w:r>
      <w:r w:rsidR="00190280">
        <w:t>this aspect has been adequately addressed.</w:t>
      </w:r>
    </w:p>
    <w:p w:rsidR="00EA649E" w:rsidRPr="0065410E" w:rsidRDefault="00EA649E" w:rsidP="006820F1">
      <w:pPr>
        <w:pStyle w:val="Heading4"/>
        <w:ind w:left="1418" w:hanging="1134"/>
      </w:pPr>
      <w:r w:rsidRPr="0065410E">
        <w:t>Interim Storage of Radioactive waste</w:t>
      </w:r>
    </w:p>
    <w:p w:rsidR="00B92F55" w:rsidRDefault="00190280" w:rsidP="0006467C">
      <w:pPr>
        <w:jc w:val="both"/>
      </w:pPr>
      <w:r w:rsidRPr="00337D19">
        <w:rPr>
          <w:i/>
        </w:rPr>
        <w:t xml:space="preserve">The licence holder is responsible for </w:t>
      </w:r>
      <w:r>
        <w:rPr>
          <w:i/>
        </w:rPr>
        <w:t>appropriate arrangements for interim storage of waste (</w:t>
      </w:r>
      <w:r w:rsidRPr="00337D19">
        <w:rPr>
          <w:i/>
        </w:rPr>
        <w:t>RG 4.</w:t>
      </w:r>
      <w:r>
        <w:rPr>
          <w:i/>
        </w:rPr>
        <w:t>39</w:t>
      </w:r>
      <w:r w:rsidRPr="00337D19">
        <w:rPr>
          <w:i/>
        </w:rPr>
        <w:t>-4.</w:t>
      </w:r>
      <w:r>
        <w:rPr>
          <w:i/>
        </w:rPr>
        <w:t>46</w:t>
      </w:r>
      <w:r w:rsidRPr="00337D19">
        <w:rPr>
          <w:i/>
        </w:rPr>
        <w:t>)</w:t>
      </w:r>
      <w:r w:rsidRPr="00337D19">
        <w:t xml:space="preserve"> [3]</w:t>
      </w:r>
    </w:p>
    <w:p w:rsidR="00016A72" w:rsidRDefault="00D750DA" w:rsidP="0006467C">
      <w:pPr>
        <w:jc w:val="both"/>
      </w:pPr>
      <w:r>
        <w:t xml:space="preserve">The IWS facility itself </w:t>
      </w:r>
      <w:r w:rsidR="00142595">
        <w:t xml:space="preserve">is </w:t>
      </w:r>
      <w:r>
        <w:t xml:space="preserve">an interim storage facility, which </w:t>
      </w:r>
      <w:r w:rsidR="00142595">
        <w:t xml:space="preserve">is </w:t>
      </w:r>
      <w:r>
        <w:t>designed and constructed incorporating appropriate design features and standards and codes. The suitability of design and construction was considered in the assessment of licence application for siting and construction and found acceptable (R13/</w:t>
      </w:r>
      <w:r w:rsidR="00016A72">
        <w:t>06576).</w:t>
      </w:r>
    </w:p>
    <w:p w:rsidR="00016A72" w:rsidRDefault="00016A72" w:rsidP="0006467C">
      <w:pPr>
        <w:jc w:val="both"/>
      </w:pPr>
      <w:r>
        <w:t>In addition, operation of the facility will not generate any waste that requires interim storage.</w:t>
      </w:r>
    </w:p>
    <w:p w:rsidR="00336659" w:rsidRDefault="00016A72" w:rsidP="00BF4570">
      <w:pPr>
        <w:spacing w:after="0"/>
        <w:jc w:val="both"/>
      </w:pPr>
      <w:r>
        <w:t>The ARPANSA</w:t>
      </w:r>
      <w:r w:rsidR="00D750DA">
        <w:t xml:space="preserve"> </w:t>
      </w:r>
      <w:r>
        <w:t>assessor considers that this aspect has been adequately addressed.</w:t>
      </w:r>
    </w:p>
    <w:p w:rsidR="00564CAA" w:rsidRPr="0065410E" w:rsidRDefault="00564CAA" w:rsidP="006820F1">
      <w:pPr>
        <w:pStyle w:val="Heading4"/>
        <w:ind w:left="1418" w:hanging="1134"/>
      </w:pPr>
      <w:r w:rsidRPr="0065410E">
        <w:t xml:space="preserve"> </w:t>
      </w:r>
      <w:r w:rsidR="0065410E">
        <w:t>D</w:t>
      </w:r>
      <w:r w:rsidR="004C3B05" w:rsidRPr="0065410E">
        <w:t>ocumentation of Radioactive Waste</w:t>
      </w:r>
      <w:r w:rsidRPr="0065410E">
        <w:t xml:space="preserve"> </w:t>
      </w:r>
    </w:p>
    <w:p w:rsidR="00B035FB" w:rsidRPr="00337D19" w:rsidRDefault="00B035FB" w:rsidP="00BF4570">
      <w:pPr>
        <w:autoSpaceDE w:val="0"/>
        <w:autoSpaceDN w:val="0"/>
        <w:adjustRightInd w:val="0"/>
        <w:spacing w:before="240"/>
        <w:jc w:val="both"/>
      </w:pPr>
      <w:r w:rsidRPr="00337D19">
        <w:rPr>
          <w:i/>
        </w:rPr>
        <w:t>The licence holder is responsible for ensuring that documentation detailing the nature of any radioactive waste is appropriately maintained (RG 4.47-4.51)</w:t>
      </w:r>
      <w:r w:rsidRPr="00337D19">
        <w:t xml:space="preserve"> [3].</w:t>
      </w:r>
    </w:p>
    <w:p w:rsidR="00016A72" w:rsidRDefault="00016A72" w:rsidP="007D295E">
      <w:pPr>
        <w:autoSpaceDE w:val="0"/>
        <w:autoSpaceDN w:val="0"/>
        <w:adjustRightInd w:val="0"/>
        <w:jc w:val="both"/>
      </w:pPr>
      <w:r w:rsidRPr="00016A72">
        <w:t xml:space="preserve">ANSTO Waste Operations </w:t>
      </w:r>
      <w:r>
        <w:t>uses</w:t>
      </w:r>
      <w:r w:rsidRPr="00016A72">
        <w:t xml:space="preserve"> the Business and Compliance Management System of the Nuclear Services </w:t>
      </w:r>
      <w:r>
        <w:t>that</w:t>
      </w:r>
      <w:r w:rsidRPr="00016A72">
        <w:t xml:space="preserve"> provide</w:t>
      </w:r>
      <w:r>
        <w:t>s</w:t>
      </w:r>
      <w:r w:rsidRPr="00016A72">
        <w:t xml:space="preserve"> a framework to effectively maintain and control waste documentations and records. </w:t>
      </w:r>
      <w:r w:rsidR="00D27955">
        <w:t>Waste Operations use s</w:t>
      </w:r>
      <w:r w:rsidRPr="00016A72">
        <w:t xml:space="preserve">tandard operating procedures and work instructions </w:t>
      </w:r>
      <w:r w:rsidR="00D27955">
        <w:t>for preparing, reviewing and approval</w:t>
      </w:r>
      <w:r w:rsidRPr="00016A72">
        <w:t xml:space="preserve"> for the handling, transport, characterisation,</w:t>
      </w:r>
      <w:r>
        <w:t xml:space="preserve"> </w:t>
      </w:r>
      <w:r w:rsidRPr="00016A72">
        <w:t xml:space="preserve">treatment and storage of radioactive waste. </w:t>
      </w:r>
      <w:r w:rsidR="00D27955">
        <w:t xml:space="preserve">Radioactive waste Tracking System is used to capture </w:t>
      </w:r>
      <w:r w:rsidRPr="00016A72">
        <w:t>waste details, including waste characteristics, chain of custody, identification, storage location</w:t>
      </w:r>
      <w:r w:rsidR="00D27955">
        <w:t>.  Nuclear</w:t>
      </w:r>
      <w:r w:rsidRPr="00016A72">
        <w:t xml:space="preserve"> Services is accredited to ISO</w:t>
      </w:r>
      <w:r w:rsidR="008F671D" w:rsidRPr="00016A72">
        <w:t>: 9001</w:t>
      </w:r>
      <w:r w:rsidRPr="00016A72">
        <w:t xml:space="preserve"> and this is subject to routine surveillance by both internal and external auditing functions and routine re-certification by an external party.</w:t>
      </w:r>
    </w:p>
    <w:p w:rsidR="00016A72" w:rsidRPr="00337D19" w:rsidRDefault="008F671D" w:rsidP="007D295E">
      <w:pPr>
        <w:autoSpaceDE w:val="0"/>
        <w:autoSpaceDN w:val="0"/>
        <w:adjustRightInd w:val="0"/>
        <w:jc w:val="both"/>
      </w:pPr>
      <w:r>
        <w:lastRenderedPageBreak/>
        <w:t>The ARPANSA assessor considers that the arrangements for documentation of radioactive waste are adequate.</w:t>
      </w:r>
    </w:p>
    <w:p w:rsidR="00564CAA" w:rsidRPr="0065410E" w:rsidRDefault="00846176" w:rsidP="006820F1">
      <w:pPr>
        <w:pStyle w:val="Heading4"/>
        <w:ind w:left="1418" w:hanging="1134"/>
      </w:pPr>
      <w:r w:rsidRPr="0065410E">
        <w:t>Routine Discharge</w:t>
      </w:r>
      <w:r w:rsidR="0095598F" w:rsidRPr="0065410E">
        <w:t xml:space="preserve"> of Radioactive Waste</w:t>
      </w:r>
      <w:r w:rsidRPr="0065410E">
        <w:t xml:space="preserve"> to the Sewer</w:t>
      </w:r>
    </w:p>
    <w:p w:rsidR="008F671D" w:rsidRDefault="008F671D" w:rsidP="00BF4570">
      <w:pPr>
        <w:autoSpaceDE w:val="0"/>
        <w:autoSpaceDN w:val="0"/>
        <w:adjustRightInd w:val="0"/>
        <w:spacing w:before="240"/>
        <w:jc w:val="both"/>
      </w:pPr>
      <w:r w:rsidRPr="00337D19">
        <w:rPr>
          <w:i/>
        </w:rPr>
        <w:t xml:space="preserve">The licence holder is responsible for ensuring </w:t>
      </w:r>
      <w:r>
        <w:rPr>
          <w:i/>
        </w:rPr>
        <w:t xml:space="preserve">safe disposal waste to be discharged to the </w:t>
      </w:r>
      <w:r w:rsidR="002A63C1">
        <w:rPr>
          <w:i/>
        </w:rPr>
        <w:t>atmosphere</w:t>
      </w:r>
      <w:r>
        <w:rPr>
          <w:i/>
        </w:rPr>
        <w:t xml:space="preserve"> </w:t>
      </w:r>
      <w:r w:rsidRPr="00337D19">
        <w:rPr>
          <w:i/>
        </w:rPr>
        <w:t>(RG 4.</w:t>
      </w:r>
      <w:r>
        <w:rPr>
          <w:i/>
        </w:rPr>
        <w:t>52</w:t>
      </w:r>
      <w:r w:rsidRPr="00337D19">
        <w:rPr>
          <w:i/>
        </w:rPr>
        <w:t>-4.5</w:t>
      </w:r>
      <w:r>
        <w:rPr>
          <w:i/>
        </w:rPr>
        <w:t>9</w:t>
      </w:r>
      <w:r w:rsidRPr="00337D19">
        <w:rPr>
          <w:i/>
        </w:rPr>
        <w:t>)</w:t>
      </w:r>
      <w:r w:rsidRPr="00337D19">
        <w:t xml:space="preserve"> [3]</w:t>
      </w:r>
      <w:r w:rsidR="002A63C1">
        <w:t>.</w:t>
      </w:r>
    </w:p>
    <w:p w:rsidR="002A63C1" w:rsidRPr="00337D19" w:rsidRDefault="00846176" w:rsidP="007D295E">
      <w:pPr>
        <w:autoSpaceDE w:val="0"/>
        <w:autoSpaceDN w:val="0"/>
        <w:adjustRightInd w:val="0"/>
        <w:jc w:val="both"/>
      </w:pPr>
      <w:r w:rsidRPr="00337D19">
        <w:t>The</w:t>
      </w:r>
      <w:r w:rsidR="002A63C1">
        <w:t xml:space="preserve"> operation of the facility will not involve routine discharge</w:t>
      </w:r>
      <w:r w:rsidRPr="00337D19">
        <w:t xml:space="preserve"> to the </w:t>
      </w:r>
      <w:r w:rsidR="0095598F" w:rsidRPr="00337D19">
        <w:t>sewerage system.</w:t>
      </w:r>
      <w:r w:rsidR="00856C77" w:rsidRPr="00337D19">
        <w:t xml:space="preserve"> </w:t>
      </w:r>
      <w:r w:rsidR="0057176B" w:rsidRPr="00337D19">
        <w:t xml:space="preserve">The </w:t>
      </w:r>
      <w:r w:rsidR="00F82DC9" w:rsidRPr="00337D19">
        <w:t>ARPANSA assessor notes that a</w:t>
      </w:r>
      <w:r w:rsidR="00856C77" w:rsidRPr="00337D19">
        <w:t>ny discharge from the site is managed by ANSTO Waste Operations</w:t>
      </w:r>
      <w:r w:rsidR="005A7550">
        <w:t xml:space="preserve"> Facility licence</w:t>
      </w:r>
      <w:r w:rsidR="00856C77" w:rsidRPr="00337D19">
        <w:t xml:space="preserve"> (F0260) and </w:t>
      </w:r>
      <w:r w:rsidR="00725F05">
        <w:t xml:space="preserve">is </w:t>
      </w:r>
      <w:r w:rsidR="00856C77" w:rsidRPr="00337D19">
        <w:t>subject to statutory discharge limits.</w:t>
      </w:r>
    </w:p>
    <w:p w:rsidR="0095598F" w:rsidRPr="0065410E" w:rsidRDefault="0095598F" w:rsidP="006820F1">
      <w:pPr>
        <w:pStyle w:val="Heading4"/>
        <w:ind w:left="1418" w:hanging="1134"/>
      </w:pPr>
      <w:r w:rsidRPr="0065410E">
        <w:t>Routine Discharge of Radioactive Waste to the Atmosphere</w:t>
      </w:r>
    </w:p>
    <w:p w:rsidR="002A63C1" w:rsidRDefault="002A63C1" w:rsidP="00BF4570">
      <w:pPr>
        <w:autoSpaceDE w:val="0"/>
        <w:autoSpaceDN w:val="0"/>
        <w:adjustRightInd w:val="0"/>
        <w:spacing w:before="240"/>
        <w:jc w:val="both"/>
      </w:pPr>
      <w:r w:rsidRPr="00337D19">
        <w:rPr>
          <w:i/>
        </w:rPr>
        <w:t xml:space="preserve">The licence holder is responsible for ensuring </w:t>
      </w:r>
      <w:r>
        <w:rPr>
          <w:i/>
        </w:rPr>
        <w:t xml:space="preserve">safe disposal waste to be discharged to the atmosphere </w:t>
      </w:r>
      <w:r w:rsidRPr="00337D19">
        <w:rPr>
          <w:i/>
        </w:rPr>
        <w:t>(RG 4.</w:t>
      </w:r>
      <w:r>
        <w:rPr>
          <w:i/>
        </w:rPr>
        <w:t>60</w:t>
      </w:r>
      <w:r w:rsidRPr="00337D19">
        <w:rPr>
          <w:i/>
        </w:rPr>
        <w:t>-4.</w:t>
      </w:r>
      <w:r>
        <w:rPr>
          <w:i/>
        </w:rPr>
        <w:t>63</w:t>
      </w:r>
      <w:r w:rsidRPr="00337D19">
        <w:rPr>
          <w:i/>
        </w:rPr>
        <w:t>)</w:t>
      </w:r>
      <w:r w:rsidRPr="00337D19">
        <w:t xml:space="preserve"> [3</w:t>
      </w:r>
      <w:r>
        <w:t>].</w:t>
      </w:r>
    </w:p>
    <w:p w:rsidR="009A073F" w:rsidRDefault="00F56CF1" w:rsidP="00BF4570">
      <w:pPr>
        <w:autoSpaceDE w:val="0"/>
        <w:autoSpaceDN w:val="0"/>
        <w:adjustRightInd w:val="0"/>
        <w:spacing w:after="0"/>
        <w:jc w:val="both"/>
      </w:pPr>
      <w:r w:rsidRPr="00337D19">
        <w:t>No radioactive gaseous waste</w:t>
      </w:r>
      <w:r w:rsidR="005E42D4" w:rsidRPr="00337D19">
        <w:t xml:space="preserve"> will be generated during </w:t>
      </w:r>
      <w:r w:rsidR="002A63C1">
        <w:t>operation</w:t>
      </w:r>
      <w:r w:rsidR="00C72867">
        <w:t xml:space="preserve"> of the facility.</w:t>
      </w:r>
    </w:p>
    <w:p w:rsidR="002A63C1" w:rsidRPr="00337D19" w:rsidRDefault="002A63C1" w:rsidP="007D295E">
      <w:pPr>
        <w:autoSpaceDE w:val="0"/>
        <w:autoSpaceDN w:val="0"/>
        <w:adjustRightInd w:val="0"/>
        <w:jc w:val="both"/>
      </w:pPr>
    </w:p>
    <w:p w:rsidR="00F56CF1" w:rsidRPr="0065410E" w:rsidRDefault="00F56CF1" w:rsidP="006820F1">
      <w:pPr>
        <w:pStyle w:val="Heading4"/>
        <w:ind w:left="1418" w:hanging="1134"/>
      </w:pPr>
      <w:r w:rsidRPr="0065410E">
        <w:t xml:space="preserve">Routine Discharge of Solid </w:t>
      </w:r>
      <w:r w:rsidR="00647A32" w:rsidRPr="0065410E">
        <w:t>Radioactive W</w:t>
      </w:r>
      <w:r w:rsidRPr="0065410E">
        <w:t>aste to Municipal Tip</w:t>
      </w:r>
    </w:p>
    <w:p w:rsidR="002A63C1" w:rsidRDefault="002A63C1" w:rsidP="007D295E">
      <w:pPr>
        <w:autoSpaceDE w:val="0"/>
        <w:autoSpaceDN w:val="0"/>
        <w:adjustRightInd w:val="0"/>
        <w:jc w:val="both"/>
      </w:pPr>
      <w:r w:rsidRPr="00337D19">
        <w:rPr>
          <w:i/>
        </w:rPr>
        <w:t xml:space="preserve">The licence holder is responsible for ensuring </w:t>
      </w:r>
      <w:r>
        <w:rPr>
          <w:i/>
        </w:rPr>
        <w:t xml:space="preserve">safe disposal waste to be discharged to the municipal tip </w:t>
      </w:r>
      <w:r w:rsidRPr="00337D19">
        <w:rPr>
          <w:i/>
        </w:rPr>
        <w:t>(RG 4.</w:t>
      </w:r>
      <w:r>
        <w:rPr>
          <w:i/>
        </w:rPr>
        <w:t>64</w:t>
      </w:r>
      <w:r w:rsidRPr="00337D19">
        <w:rPr>
          <w:i/>
        </w:rPr>
        <w:t>-4.</w:t>
      </w:r>
      <w:r w:rsidR="00980500">
        <w:rPr>
          <w:i/>
        </w:rPr>
        <w:t>68</w:t>
      </w:r>
      <w:r w:rsidRPr="00337D19">
        <w:rPr>
          <w:i/>
        </w:rPr>
        <w:t>)</w:t>
      </w:r>
      <w:r w:rsidRPr="00337D19">
        <w:t xml:space="preserve"> [3</w:t>
      </w:r>
      <w:r>
        <w:t>].</w:t>
      </w:r>
    </w:p>
    <w:p w:rsidR="00980500" w:rsidRPr="00337D19" w:rsidRDefault="005E42D4" w:rsidP="007D295E">
      <w:pPr>
        <w:autoSpaceDE w:val="0"/>
        <w:autoSpaceDN w:val="0"/>
        <w:adjustRightInd w:val="0"/>
        <w:jc w:val="both"/>
      </w:pPr>
      <w:r w:rsidRPr="00337D19">
        <w:t>ANSTO</w:t>
      </w:r>
      <w:r w:rsidR="00431B29" w:rsidRPr="00337D19">
        <w:t xml:space="preserve"> does not discharge solid radioactive waste to the municipal tip.</w:t>
      </w:r>
      <w:r w:rsidR="00980500">
        <w:t xml:space="preserve"> Free-release waste is managed as a site-wide matter. </w:t>
      </w:r>
      <w:r w:rsidR="00980500" w:rsidRPr="00980500">
        <w:t>All free-release waste is thoroughly checked and cleared by ANSTO Waste Operations and radiation protection staff before leaving the site. Also, there is a vehicle gate monitor at the exit gate which is the final check point for radiation monitoring of all wastes/equipment or vehicles leaving the ANSTO site.</w:t>
      </w:r>
    </w:p>
    <w:p w:rsidR="00F56CF1" w:rsidRPr="0065410E" w:rsidRDefault="00EC28E1" w:rsidP="006820F1">
      <w:pPr>
        <w:pStyle w:val="Heading4"/>
        <w:ind w:left="1418" w:hanging="1134"/>
      </w:pPr>
      <w:r w:rsidRPr="0065410E">
        <w:t>Routine Discharge of Radioactive Waste by Incineration</w:t>
      </w:r>
    </w:p>
    <w:p w:rsidR="0096132D" w:rsidRDefault="0096132D" w:rsidP="00BF4570">
      <w:pPr>
        <w:autoSpaceDE w:val="0"/>
        <w:autoSpaceDN w:val="0"/>
        <w:adjustRightInd w:val="0"/>
        <w:spacing w:before="240" w:after="240"/>
        <w:jc w:val="both"/>
      </w:pPr>
      <w:r w:rsidRPr="00337D19">
        <w:rPr>
          <w:i/>
        </w:rPr>
        <w:t xml:space="preserve">The licence holder is responsible for ensuring </w:t>
      </w:r>
      <w:r>
        <w:rPr>
          <w:i/>
        </w:rPr>
        <w:t xml:space="preserve">safe disposal waste to be incinerated </w:t>
      </w:r>
      <w:r w:rsidRPr="00337D19">
        <w:rPr>
          <w:i/>
        </w:rPr>
        <w:t>(RG 4.</w:t>
      </w:r>
      <w:r>
        <w:rPr>
          <w:i/>
        </w:rPr>
        <w:t>69</w:t>
      </w:r>
      <w:r w:rsidRPr="00337D19">
        <w:rPr>
          <w:i/>
        </w:rPr>
        <w:t>-4.</w:t>
      </w:r>
      <w:r>
        <w:rPr>
          <w:i/>
        </w:rPr>
        <w:t>73</w:t>
      </w:r>
      <w:r w:rsidRPr="00337D19">
        <w:rPr>
          <w:i/>
        </w:rPr>
        <w:t>)</w:t>
      </w:r>
      <w:r w:rsidRPr="00337D19">
        <w:t xml:space="preserve"> [3</w:t>
      </w:r>
      <w:r>
        <w:t xml:space="preserve">]. </w:t>
      </w:r>
    </w:p>
    <w:p w:rsidR="00EC28E1" w:rsidRDefault="00C3554D" w:rsidP="00BD2EC8">
      <w:pPr>
        <w:autoSpaceDE w:val="0"/>
        <w:autoSpaceDN w:val="0"/>
        <w:adjustRightInd w:val="0"/>
        <w:jc w:val="both"/>
      </w:pPr>
      <w:r w:rsidRPr="00337D19">
        <w:t>This does not apply to this facility.</w:t>
      </w:r>
    </w:p>
    <w:p w:rsidR="00564CAA" w:rsidRPr="00CD2A67" w:rsidRDefault="00564CAA" w:rsidP="00BD7E93">
      <w:pPr>
        <w:pStyle w:val="Conclusion"/>
      </w:pPr>
      <w:r w:rsidRPr="00203BBA">
        <w:t>Conclusion</w:t>
      </w:r>
    </w:p>
    <w:p w:rsidR="008D019F" w:rsidRPr="00337D19" w:rsidRDefault="00783564" w:rsidP="005A7550">
      <w:pPr>
        <w:spacing w:after="0"/>
        <w:jc w:val="both"/>
      </w:pPr>
      <w:r>
        <w:t>The ARPANSA assessor notes that the key feature of this facility is that it will not involve process operation</w:t>
      </w:r>
      <w:r w:rsidR="00142595">
        <w:t>s</w:t>
      </w:r>
      <w:r>
        <w:t xml:space="preserve"> inside the facility. Therefore, there will be minimal waste arising during set up of the TN 81 container and the DV 78 container. </w:t>
      </w:r>
      <w:r w:rsidRPr="00783564">
        <w:t>Only non-active waste will be generated during the operational phase of the facility. These will be general wastes arising from routine building maintenance and repair activities.</w:t>
      </w:r>
      <w:r>
        <w:t xml:space="preserve"> The arrangements for managing radioactive waste described in the application are adequate. </w:t>
      </w:r>
    </w:p>
    <w:p w:rsidR="00564CAA" w:rsidRPr="001002A7" w:rsidRDefault="00564CAA" w:rsidP="001002A7">
      <w:pPr>
        <w:pStyle w:val="Heading3"/>
      </w:pPr>
      <w:bookmarkStart w:id="100" w:name="_Toc492280687"/>
      <w:bookmarkStart w:id="101" w:name="_Toc492282544"/>
      <w:bookmarkStart w:id="102" w:name="_Toc493304029"/>
      <w:bookmarkStart w:id="103" w:name="_Toc497727937"/>
      <w:bookmarkStart w:id="104" w:name="_Toc13454310"/>
      <w:bookmarkStart w:id="105" w:name="_Toc297107192"/>
      <w:bookmarkStart w:id="106" w:name="_Toc417974598"/>
      <w:bookmarkEnd w:id="97"/>
      <w:bookmarkEnd w:id="98"/>
      <w:bookmarkEnd w:id="99"/>
      <w:r w:rsidRPr="001002A7">
        <w:t>Security plan</w:t>
      </w:r>
      <w:bookmarkEnd w:id="100"/>
      <w:bookmarkEnd w:id="101"/>
      <w:bookmarkEnd w:id="102"/>
      <w:r w:rsidRPr="001002A7">
        <w:t xml:space="preserve"> [Item 4(e)]</w:t>
      </w:r>
      <w:bookmarkEnd w:id="103"/>
      <w:bookmarkEnd w:id="104"/>
      <w:bookmarkEnd w:id="105"/>
      <w:bookmarkEnd w:id="106"/>
    </w:p>
    <w:p w:rsidR="006C732A" w:rsidRDefault="008910D1" w:rsidP="00BD2EC8">
      <w:pPr>
        <w:pStyle w:val="p2"/>
        <w:tabs>
          <w:tab w:val="clear" w:pos="720"/>
        </w:tabs>
        <w:spacing w:line="276" w:lineRule="auto"/>
        <w:jc w:val="both"/>
      </w:pPr>
      <w:r w:rsidRPr="00337D19">
        <w:t xml:space="preserve">The arrangements for security have been assessed against relevant guidelines of section 6 of the </w:t>
      </w:r>
      <w:r w:rsidR="005E65C8" w:rsidRPr="00337D19">
        <w:rPr>
          <w:i/>
        </w:rPr>
        <w:t>Regulatory Guide</w:t>
      </w:r>
      <w:r w:rsidR="005E65C8" w:rsidRPr="00337D19">
        <w:t xml:space="preserve">: </w:t>
      </w:r>
      <w:r w:rsidR="005E65C8" w:rsidRPr="00337D19">
        <w:rPr>
          <w:i/>
        </w:rPr>
        <w:t>Plans &amp; Arrangements for Managing Safety v3</w:t>
      </w:r>
      <w:r w:rsidR="005E65C8" w:rsidRPr="00337D19">
        <w:t xml:space="preserve"> (October 2011)</w:t>
      </w:r>
      <w:r w:rsidR="00912CB6" w:rsidRPr="00337D19">
        <w:t xml:space="preserve"> [3</w:t>
      </w:r>
      <w:r w:rsidRPr="00337D19">
        <w:t xml:space="preserve">] and the provisions of the </w:t>
      </w:r>
      <w:r w:rsidRPr="00337D19">
        <w:rPr>
          <w:i/>
        </w:rPr>
        <w:t xml:space="preserve">Code of Practice for </w:t>
      </w:r>
      <w:r w:rsidR="00F279A9" w:rsidRPr="00337D19">
        <w:rPr>
          <w:i/>
        </w:rPr>
        <w:t xml:space="preserve">the </w:t>
      </w:r>
      <w:r w:rsidRPr="00337D19">
        <w:rPr>
          <w:i/>
        </w:rPr>
        <w:t xml:space="preserve">Security </w:t>
      </w:r>
      <w:r w:rsidR="00912CB6" w:rsidRPr="00337D19">
        <w:rPr>
          <w:i/>
        </w:rPr>
        <w:t xml:space="preserve">of </w:t>
      </w:r>
      <w:r w:rsidR="0020095A" w:rsidRPr="00337D19">
        <w:rPr>
          <w:i/>
        </w:rPr>
        <w:t xml:space="preserve">Radioactive </w:t>
      </w:r>
      <w:r w:rsidR="00C910DA" w:rsidRPr="00337D19">
        <w:rPr>
          <w:i/>
        </w:rPr>
        <w:t xml:space="preserve">Sources </w:t>
      </w:r>
      <w:r w:rsidR="00436745" w:rsidRPr="00337D19">
        <w:t>(2007)</w:t>
      </w:r>
      <w:r w:rsidR="00C910DA" w:rsidRPr="00337D19">
        <w:t xml:space="preserve"> (RPS 11).</w:t>
      </w:r>
    </w:p>
    <w:p w:rsidR="00B31C7C" w:rsidRPr="0065410E" w:rsidRDefault="00B31C7C" w:rsidP="00C91EB0">
      <w:pPr>
        <w:pStyle w:val="Heading4"/>
        <w:numPr>
          <w:ilvl w:val="4"/>
          <w:numId w:val="10"/>
        </w:numPr>
        <w:ind w:left="1418" w:hanging="1134"/>
      </w:pPr>
      <w:bookmarkStart w:id="107" w:name="_Toc492280688"/>
      <w:bookmarkStart w:id="108" w:name="_Toc13048094"/>
      <w:bookmarkStart w:id="109" w:name="_Toc13454311"/>
      <w:r w:rsidRPr="0065410E">
        <w:lastRenderedPageBreak/>
        <w:t>Security Procedures</w:t>
      </w:r>
    </w:p>
    <w:p w:rsidR="00874220" w:rsidRPr="007B2B67" w:rsidRDefault="00874220" w:rsidP="004007CC">
      <w:pPr>
        <w:pStyle w:val="p2"/>
        <w:spacing w:line="276" w:lineRule="auto"/>
        <w:jc w:val="both"/>
        <w:rPr>
          <w:rStyle w:val="Emphasis"/>
        </w:rPr>
      </w:pPr>
      <w:r w:rsidRPr="007B2B67">
        <w:rPr>
          <w:rStyle w:val="Emphasis"/>
        </w:rPr>
        <w:t>The licence holder or applicant is responsible for ensuring arrangements are made and implemented for the security of controlled facilities, controlled apparatus and controlled material, to prevent unauthorised access, damage, theft, loss or unauthorised use. The arrangements should include administrative and physical controls and barriers to ensure that the control of these items is not relinquished or improperly transferred, taking account of any relevant requirements imposed by the ARPANS legislation and, where applicable, the Australian Safeguards and Non-proliferation Office</w:t>
      </w:r>
      <w:r>
        <w:rPr>
          <w:rStyle w:val="Emphasis"/>
        </w:rPr>
        <w:t xml:space="preserve"> (RG 6.1 – 6.9 [3])</w:t>
      </w:r>
      <w:r w:rsidRPr="007B2B67">
        <w:rPr>
          <w:rStyle w:val="Emphasis"/>
        </w:rPr>
        <w:t>.</w:t>
      </w:r>
    </w:p>
    <w:p w:rsidR="00874220" w:rsidRDefault="00874220" w:rsidP="004007CC">
      <w:pPr>
        <w:pStyle w:val="p2"/>
        <w:spacing w:line="276" w:lineRule="auto"/>
        <w:jc w:val="both"/>
      </w:pPr>
      <w:r>
        <w:t>S</w:t>
      </w:r>
      <w:r w:rsidRPr="00BC52F2">
        <w:t>ecurity advisers</w:t>
      </w:r>
      <w:r w:rsidRPr="00561189">
        <w:t xml:space="preserve"> from the Security and Community Safety </w:t>
      </w:r>
      <w:r>
        <w:t>S</w:t>
      </w:r>
      <w:r w:rsidRPr="00561189">
        <w:t>ection</w:t>
      </w:r>
      <w:r>
        <w:t xml:space="preserve"> (S&amp;CS)</w:t>
      </w:r>
      <w:r w:rsidRPr="00BC52F2">
        <w:t xml:space="preserve"> of ARPANSA</w:t>
      </w:r>
      <w:r w:rsidRPr="00561189">
        <w:t xml:space="preserve"> </w:t>
      </w:r>
      <w:r>
        <w:t xml:space="preserve">assessed the Operating Licence </w:t>
      </w:r>
      <w:r w:rsidRPr="00561189">
        <w:t xml:space="preserve">Security Plan </w:t>
      </w:r>
      <w:r>
        <w:t>(IWS-O</w:t>
      </w:r>
      <w:r w:rsidRPr="00561189">
        <w:t>-LA-D5)</w:t>
      </w:r>
      <w:r>
        <w:t xml:space="preserve"> endorsed and </w:t>
      </w:r>
      <w:r w:rsidRPr="00561189">
        <w:t xml:space="preserve">submitted by </w:t>
      </w:r>
      <w:r>
        <w:t xml:space="preserve">the </w:t>
      </w:r>
      <w:r w:rsidRPr="00561189">
        <w:t>ANSTO</w:t>
      </w:r>
      <w:r>
        <w:t xml:space="preserve"> Head of Nuclear Services, Mr Hefin Griffiths</w:t>
      </w:r>
      <w:r w:rsidRPr="00561189">
        <w:t xml:space="preserve">. </w:t>
      </w:r>
    </w:p>
    <w:p w:rsidR="00874220" w:rsidRDefault="00874220" w:rsidP="004007CC">
      <w:pPr>
        <w:pStyle w:val="p2"/>
        <w:spacing w:line="276" w:lineRule="auto"/>
        <w:jc w:val="both"/>
      </w:pPr>
      <w:r>
        <w:t xml:space="preserve">The security plan outlines ANSTO’s principles of security such as the importance of security culture, including the ANSTO CEO and senior management’s endorsement of their security awareness and training strategy and program.  The security plan objectives describe those areas that ANSTO have considered will address the identified threats as provided by ASIO threat assessment and the security risk assessment undertaken for the ANM Mo-99 project (noting the IWS threat context was considered during the ANM Mo-99 security risk assessment, having similar risks and given the IWS Facility bounds the ANM Mo-99 Facility).  </w:t>
      </w:r>
    </w:p>
    <w:p w:rsidR="00874220" w:rsidRDefault="00874220" w:rsidP="004007CC">
      <w:pPr>
        <w:pStyle w:val="p2"/>
        <w:spacing w:line="276" w:lineRule="auto"/>
        <w:jc w:val="both"/>
      </w:pPr>
      <w:r>
        <w:t>A comprehensive assessment of source characterisation and facility design is provided in the security plan where the security systems (Type 1 SAS, electronic access control system and CCTV surveillance system) are included together with the safety and emergency systems (compressed air system, active drainage system, fixed radiation gamma monitor for example).  This integration demonstrates that the safety and security interface has been well considered by ANSTO, resulting in a positive assessment.  This interface is further realised and enhanced where the safety, security , integrity and containment of the reprocessed waste relies on multiple layers of defence-in-depth, such as AFP armed guard force, perimeter detection systems, high integrity welded stainless steel CSD(U) canisters, neutron and gamma shielding built into the TN81 container and access control monitored by CCTV.</w:t>
      </w:r>
    </w:p>
    <w:p w:rsidR="00874220" w:rsidRDefault="00874220" w:rsidP="004007CC">
      <w:pPr>
        <w:pStyle w:val="p2"/>
        <w:jc w:val="both"/>
      </w:pPr>
      <w:r>
        <w:t xml:space="preserve">The security accountability, responsibilities and emergency response (communications strategy) elements are adequately described within the security plan for this type of facility and, as appropriate, should be exercised at the earliest opportunity following commissioning of the facility.  </w:t>
      </w:r>
    </w:p>
    <w:p w:rsidR="00874220" w:rsidRDefault="00874220" w:rsidP="004007CC">
      <w:pPr>
        <w:pStyle w:val="p2"/>
        <w:spacing w:line="276" w:lineRule="auto"/>
        <w:jc w:val="both"/>
      </w:pPr>
      <w:r>
        <w:t xml:space="preserve">The assessment of the protective security measures implemented, as described in the security plan, at the IWS facility concludes that the measures described provide an adequate level of protection against the identified threats (including the technically competent and trusted insider).  The performance of the described system, from a theoretical perspective, should meet the objectives as described on the security plan. </w:t>
      </w:r>
    </w:p>
    <w:p w:rsidR="00874220" w:rsidRPr="00561189" w:rsidRDefault="00874220" w:rsidP="00874220">
      <w:pPr>
        <w:pStyle w:val="Conclusion"/>
      </w:pPr>
      <w:r w:rsidRPr="00561189">
        <w:t>Conclusion</w:t>
      </w:r>
    </w:p>
    <w:p w:rsidR="00F46F9F" w:rsidRDefault="00874220" w:rsidP="004007CC">
      <w:pPr>
        <w:pStyle w:val="p2"/>
        <w:tabs>
          <w:tab w:val="clear" w:pos="720"/>
        </w:tabs>
        <w:spacing w:line="276" w:lineRule="auto"/>
        <w:jc w:val="both"/>
      </w:pPr>
      <w:r w:rsidRPr="00561189">
        <w:t>The assessor considers that the</w:t>
      </w:r>
      <w:r>
        <w:t xml:space="preserve"> Operating Licence </w:t>
      </w:r>
      <w:r w:rsidRPr="00BC52F2">
        <w:t xml:space="preserve">Security Plan </w:t>
      </w:r>
      <w:r w:rsidRPr="00561189">
        <w:t xml:space="preserve">provides adequate information to satisfy the Plans and Arrangements Guide </w:t>
      </w:r>
      <w:r w:rsidRPr="00874220">
        <w:t>[3]</w:t>
      </w:r>
      <w:r w:rsidRPr="00561189">
        <w:t xml:space="preserve"> </w:t>
      </w:r>
      <w:r>
        <w:t>and is in a</w:t>
      </w:r>
      <w:r w:rsidRPr="00561189">
        <w:t>ccordance with the ARPANSA Radia</w:t>
      </w:r>
      <w:r w:rsidRPr="00BC52F2">
        <w:t xml:space="preserve">tion Protection Series No 11 </w:t>
      </w:r>
      <w:r w:rsidRPr="00561189">
        <w:t>Code of Practice f</w:t>
      </w:r>
      <w:r w:rsidRPr="00BC52F2">
        <w:t xml:space="preserve">or the Security of Radioactive </w:t>
      </w:r>
      <w:r>
        <w:t>S</w:t>
      </w:r>
      <w:r w:rsidRPr="00561189">
        <w:t>ources</w:t>
      </w:r>
      <w:r>
        <w:t xml:space="preserve"> </w:t>
      </w:r>
      <w:r w:rsidRPr="00561189">
        <w:t xml:space="preserve">during the IWS </w:t>
      </w:r>
      <w:r>
        <w:t>operational</w:t>
      </w:r>
      <w:r w:rsidRPr="00561189">
        <w:t xml:space="preserve"> phase</w:t>
      </w:r>
      <w:r>
        <w:t>.</w:t>
      </w:r>
    </w:p>
    <w:p w:rsidR="00564CAA" w:rsidRPr="00D460E4" w:rsidRDefault="00564CAA" w:rsidP="00D460E4">
      <w:pPr>
        <w:pStyle w:val="Heading3"/>
      </w:pPr>
      <w:bookmarkStart w:id="110" w:name="_Toc492280689"/>
      <w:bookmarkStart w:id="111" w:name="_Toc492282545"/>
      <w:bookmarkStart w:id="112" w:name="_Toc493304030"/>
      <w:bookmarkStart w:id="113" w:name="_Toc497727938"/>
      <w:bookmarkStart w:id="114" w:name="_Toc13454312"/>
      <w:bookmarkStart w:id="115" w:name="_Toc297107193"/>
      <w:bookmarkStart w:id="116" w:name="_Toc417974599"/>
      <w:bookmarkEnd w:id="107"/>
      <w:bookmarkEnd w:id="108"/>
      <w:bookmarkEnd w:id="109"/>
      <w:r w:rsidRPr="00D460E4">
        <w:lastRenderedPageBreak/>
        <w:t>Emergency plan</w:t>
      </w:r>
      <w:bookmarkEnd w:id="110"/>
      <w:bookmarkEnd w:id="111"/>
      <w:bookmarkEnd w:id="112"/>
      <w:r w:rsidRPr="00D460E4">
        <w:t xml:space="preserve"> [Item 4(f)]</w:t>
      </w:r>
      <w:bookmarkEnd w:id="113"/>
      <w:bookmarkEnd w:id="114"/>
      <w:bookmarkEnd w:id="115"/>
      <w:bookmarkEnd w:id="116"/>
    </w:p>
    <w:p w:rsidR="00564CAA" w:rsidRPr="00337D19" w:rsidRDefault="00564CAA" w:rsidP="004007CC">
      <w:pPr>
        <w:jc w:val="both"/>
        <w:rPr>
          <w:i/>
        </w:rPr>
      </w:pPr>
      <w:r w:rsidRPr="00337D19">
        <w:rPr>
          <w:i/>
        </w:rPr>
        <w:t>The applicant must have emergency plans and procedures that address all foreseeable emergencies to ensure the protection of personnel, the public</w:t>
      </w:r>
      <w:r w:rsidR="004007CC">
        <w:rPr>
          <w:i/>
        </w:rPr>
        <w:t xml:space="preserve"> </w:t>
      </w:r>
      <w:r w:rsidRPr="00337D19">
        <w:rPr>
          <w:i/>
        </w:rPr>
        <w:t>and the environment. Adequate facilities and equipment must be available and an appropriate state of preparedness maintained</w:t>
      </w:r>
      <w:r w:rsidR="00DB681D" w:rsidRPr="00337D19">
        <w:rPr>
          <w:i/>
        </w:rPr>
        <w:t xml:space="preserve"> [3]</w:t>
      </w:r>
      <w:r w:rsidRPr="00337D19">
        <w:rPr>
          <w:i/>
        </w:rPr>
        <w:t>.</w:t>
      </w:r>
    </w:p>
    <w:p w:rsidR="00684F0E" w:rsidRPr="00337D19" w:rsidRDefault="00684F0E" w:rsidP="004007CC">
      <w:pPr>
        <w:jc w:val="both"/>
      </w:pPr>
      <w:r w:rsidRPr="00337D19">
        <w:t xml:space="preserve">The emergency plans related to the </w:t>
      </w:r>
      <w:r w:rsidR="002E24A6">
        <w:t xml:space="preserve">proposed </w:t>
      </w:r>
      <w:r w:rsidRPr="00337D19">
        <w:t xml:space="preserve">conduct have been assessed against the guidelines of </w:t>
      </w:r>
      <w:r w:rsidR="008351DE" w:rsidRPr="00337D19">
        <w:t>the</w:t>
      </w:r>
      <w:r w:rsidRPr="00337D19">
        <w:t xml:space="preserve"> RG [3]</w:t>
      </w:r>
      <w:r w:rsidR="002917C3" w:rsidRPr="00337D19">
        <w:t xml:space="preserve"> and principle </w:t>
      </w:r>
      <w:r w:rsidR="00787F87" w:rsidRPr="00337D19">
        <w:t>54(d) of the RAPs [4]</w:t>
      </w:r>
      <w:r w:rsidRPr="00337D19">
        <w:t xml:space="preserve">. </w:t>
      </w:r>
    </w:p>
    <w:p w:rsidR="00B4625B" w:rsidRPr="0065410E" w:rsidRDefault="00B4625B" w:rsidP="006820F1">
      <w:pPr>
        <w:pStyle w:val="Heading4"/>
        <w:ind w:left="1418" w:hanging="1134"/>
      </w:pPr>
      <w:r w:rsidRPr="0065410E">
        <w:t>Emergency plan</w:t>
      </w:r>
      <w:r w:rsidR="00C00522" w:rsidRPr="0065410E">
        <w:t xml:space="preserve">s </w:t>
      </w:r>
    </w:p>
    <w:p w:rsidR="00C00522" w:rsidRPr="004007CC" w:rsidRDefault="00C00522" w:rsidP="004007CC">
      <w:pPr>
        <w:pStyle w:val="BodyText2"/>
        <w:jc w:val="both"/>
        <w:rPr>
          <w:i/>
        </w:rPr>
      </w:pPr>
      <w:r w:rsidRPr="00337D19">
        <w:rPr>
          <w:i/>
        </w:rPr>
        <w:t>The licence holder is responsible for providing  detailed emergency plans based on the assessment of consequences of reasonably foreseeable accidents aiming to minimise the consequences</w:t>
      </w:r>
      <w:r w:rsidR="00013E6E" w:rsidRPr="00337D19">
        <w:rPr>
          <w:i/>
        </w:rPr>
        <w:t xml:space="preserve"> and ensuring the protection of on-site personnel, the public and the environment (RG 7.1-7.21)</w:t>
      </w:r>
      <w:r w:rsidR="00013E6E" w:rsidRPr="004007CC">
        <w:rPr>
          <w:i/>
        </w:rPr>
        <w:t xml:space="preserve"> [3].</w:t>
      </w:r>
    </w:p>
    <w:p w:rsidR="00CD6532" w:rsidRDefault="00C05EDB" w:rsidP="004007CC">
      <w:pPr>
        <w:pStyle w:val="BodyText2"/>
        <w:jc w:val="both"/>
      </w:pPr>
      <w:r>
        <w:t xml:space="preserve">The application states that ANSTO site emergency plan </w:t>
      </w:r>
      <w:r w:rsidR="00632EC1" w:rsidRPr="00632EC1">
        <w:t>for the LHSTC</w:t>
      </w:r>
      <w:r w:rsidR="00CD6532">
        <w:t xml:space="preserve"> (</w:t>
      </w:r>
      <w:r w:rsidR="00CD6532" w:rsidRPr="00CD6532">
        <w:t>ANSTO</w:t>
      </w:r>
      <w:r w:rsidR="00CD6532">
        <w:t>-LHSTC Emergency Response Plan, AG 2466)</w:t>
      </w:r>
      <w:r w:rsidR="00632EC1" w:rsidRPr="00632EC1">
        <w:t xml:space="preserve"> apply and shall remain in effect within the new facility throughout the operational phase.</w:t>
      </w:r>
      <w:r>
        <w:t xml:space="preserve"> </w:t>
      </w:r>
      <w:r w:rsidR="00CD6532">
        <w:rPr>
          <w:rFonts w:cs="Arial"/>
        </w:rPr>
        <w:t xml:space="preserve">The plan clearly defines the roles and responsibilities of ANSTO personnel and Emergency Service Organisations including the NSW Fire Brigade, Police Force, Ambulance Service and NSW Health Department. Communication networks utilised in an emergency include ANSTO’s site public address systems, telephone/radio-network and site control centre. </w:t>
      </w:r>
    </w:p>
    <w:p w:rsidR="00632EC1" w:rsidRDefault="00C05EDB" w:rsidP="004007CC">
      <w:pPr>
        <w:pStyle w:val="BodyText2"/>
        <w:jc w:val="both"/>
      </w:pPr>
      <w:r>
        <w:t>The safety analysis</w:t>
      </w:r>
      <w:r w:rsidR="00CD6532">
        <w:t xml:space="preserve"> of the IWS</w:t>
      </w:r>
      <w:r>
        <w:t xml:space="preserve"> identifies the risks associated the operation of the facility based on the postulated accident scenarios. The results of ANSTO safety assessment are described in safety assessment of the IWS (ANSTO/T/TN/2012-03 rev 3), which forms part of the application. Details of risks and accident analysis are described in Section 2.3.2 of this report.</w:t>
      </w:r>
    </w:p>
    <w:p w:rsidR="00C05EDB" w:rsidRDefault="00250611" w:rsidP="004007CC">
      <w:pPr>
        <w:pStyle w:val="BodyText2"/>
        <w:jc w:val="both"/>
      </w:pPr>
      <w:r>
        <w:t xml:space="preserve">The emergency response actions will be used in training, drills and (if such arises) real emergencies. Results of the emergency drills will be used in revision of the emergency response.  </w:t>
      </w:r>
    </w:p>
    <w:p w:rsidR="00250611" w:rsidRDefault="00250611" w:rsidP="004007CC">
      <w:pPr>
        <w:pStyle w:val="BodyText2"/>
        <w:jc w:val="both"/>
      </w:pPr>
      <w:r>
        <w:t>The application also states that during the operating phase of the facility, the IWS Building Warden and a Deputy is responsible for marshalling evacuees and securing the facility. There will be a trained deputy for this role. The Health Physics Surveyor (HPS) and Radiation Protection Adviser (RPA) have roles in radiation incidents as part of the ANSTO’s emergency management arrangements and these are described in the next section.</w:t>
      </w:r>
    </w:p>
    <w:p w:rsidR="00013E6E" w:rsidRPr="00337D19" w:rsidRDefault="001C66A2" w:rsidP="004007CC">
      <w:pPr>
        <w:pStyle w:val="BodyText2"/>
        <w:jc w:val="both"/>
      </w:pPr>
      <w:r>
        <w:t xml:space="preserve">The ARPANSA assessor </w:t>
      </w:r>
      <w:r w:rsidR="0027294F">
        <w:t xml:space="preserve">considers </w:t>
      </w:r>
      <w:r>
        <w:t xml:space="preserve">that the emergency plans </w:t>
      </w:r>
      <w:r w:rsidR="00747E90">
        <w:t>for the operation</w:t>
      </w:r>
      <w:r>
        <w:t xml:space="preserve"> of the facility are acceptable.</w:t>
      </w:r>
    </w:p>
    <w:p w:rsidR="00B4625B" w:rsidRPr="0065410E" w:rsidRDefault="00A05877" w:rsidP="006820F1">
      <w:pPr>
        <w:pStyle w:val="Heading4"/>
        <w:ind w:left="1418" w:hanging="1134"/>
      </w:pPr>
      <w:r w:rsidRPr="0065410E">
        <w:t>Emergency procedures</w:t>
      </w:r>
    </w:p>
    <w:p w:rsidR="00A05877" w:rsidRPr="00337D19" w:rsidRDefault="00013E6E" w:rsidP="004007CC">
      <w:pPr>
        <w:pStyle w:val="BodyText2"/>
        <w:jc w:val="both"/>
      </w:pPr>
      <w:r w:rsidRPr="00337D19">
        <w:rPr>
          <w:i/>
        </w:rPr>
        <w:t xml:space="preserve">The licence holder is responsible for ensuring that comprehensive procedures are prepared according to </w:t>
      </w:r>
      <w:r w:rsidR="00A545A6" w:rsidRPr="00337D19">
        <w:rPr>
          <w:i/>
        </w:rPr>
        <w:t xml:space="preserve">the </w:t>
      </w:r>
      <w:r w:rsidRPr="00337D19">
        <w:rPr>
          <w:i/>
        </w:rPr>
        <w:t>emergency plan (RG 7.22-7.35) [3]</w:t>
      </w:r>
    </w:p>
    <w:p w:rsidR="0033671A" w:rsidRDefault="00B260EA" w:rsidP="004007CC">
      <w:pPr>
        <w:pStyle w:val="Default"/>
        <w:jc w:val="both"/>
        <w:rPr>
          <w:rFonts w:asciiTheme="minorHAnsi" w:hAnsiTheme="minorHAnsi"/>
          <w:color w:val="auto"/>
          <w:sz w:val="22"/>
          <w:szCs w:val="22"/>
        </w:rPr>
      </w:pPr>
      <w:r>
        <w:rPr>
          <w:rFonts w:asciiTheme="minorHAnsi" w:hAnsiTheme="minorHAnsi"/>
          <w:color w:val="auto"/>
          <w:sz w:val="22"/>
          <w:szCs w:val="22"/>
        </w:rPr>
        <w:t>The application states that i</w:t>
      </w:r>
      <w:r w:rsidRPr="00B260EA">
        <w:rPr>
          <w:rFonts w:asciiTheme="minorHAnsi" w:hAnsiTheme="minorHAnsi"/>
          <w:color w:val="auto"/>
          <w:sz w:val="22"/>
          <w:szCs w:val="22"/>
        </w:rPr>
        <w:t>f an incident or accident occurs which necessitates the need for an escalated emergency response, ANSTO LHSTC emergency response arrangements will apply. Central to these arrangements is the ANSTO Site Operations Centre (ASOC) which is manned 24/7 by the Australian Federal Police (AFP)</w:t>
      </w:r>
      <w:r>
        <w:rPr>
          <w:rFonts w:asciiTheme="minorHAnsi" w:hAnsiTheme="minorHAnsi"/>
          <w:color w:val="auto"/>
          <w:sz w:val="22"/>
          <w:szCs w:val="22"/>
        </w:rPr>
        <w:t xml:space="preserve"> </w:t>
      </w:r>
      <w:r w:rsidRPr="00B260EA">
        <w:rPr>
          <w:rFonts w:asciiTheme="minorHAnsi" w:hAnsiTheme="minorHAnsi"/>
          <w:color w:val="auto"/>
          <w:sz w:val="22"/>
          <w:szCs w:val="22"/>
        </w:rPr>
        <w:t xml:space="preserve">and is the focal point for communications in an emergency. </w:t>
      </w:r>
      <w:r>
        <w:rPr>
          <w:rFonts w:asciiTheme="minorHAnsi" w:hAnsiTheme="minorHAnsi"/>
          <w:color w:val="auto"/>
          <w:sz w:val="22"/>
          <w:szCs w:val="22"/>
        </w:rPr>
        <w:t xml:space="preserve"> Apart from </w:t>
      </w:r>
      <w:r w:rsidRPr="00B260EA">
        <w:rPr>
          <w:rFonts w:asciiTheme="minorHAnsi" w:hAnsiTheme="minorHAnsi"/>
          <w:color w:val="auto"/>
          <w:sz w:val="22"/>
          <w:szCs w:val="22"/>
        </w:rPr>
        <w:t xml:space="preserve">the security </w:t>
      </w:r>
      <w:r w:rsidRPr="00B260EA">
        <w:rPr>
          <w:rFonts w:asciiTheme="minorHAnsi" w:hAnsiTheme="minorHAnsi"/>
          <w:color w:val="auto"/>
          <w:sz w:val="22"/>
          <w:szCs w:val="22"/>
        </w:rPr>
        <w:lastRenderedPageBreak/>
        <w:t>alarms, all safety alarms are monitored and all calls to the ANSTO emergency number are directed to this centre.</w:t>
      </w:r>
    </w:p>
    <w:p w:rsidR="000449A7" w:rsidRDefault="000449A7" w:rsidP="004007CC">
      <w:pPr>
        <w:pStyle w:val="Default"/>
        <w:jc w:val="both"/>
        <w:rPr>
          <w:rFonts w:asciiTheme="minorHAnsi" w:hAnsiTheme="minorHAnsi"/>
          <w:color w:val="auto"/>
          <w:sz w:val="22"/>
          <w:szCs w:val="22"/>
        </w:rPr>
      </w:pPr>
      <w:r>
        <w:rPr>
          <w:rFonts w:asciiTheme="minorHAnsi" w:hAnsiTheme="minorHAnsi"/>
          <w:color w:val="auto"/>
          <w:sz w:val="22"/>
          <w:szCs w:val="22"/>
        </w:rPr>
        <w:t xml:space="preserve">The arrangements described in AG 5945- ANSTO Emergency Management Primary Plan will also apply that describes ASOC may initiate a local response and ANSTO Emergency Team (ERT) is the first responder. </w:t>
      </w:r>
      <w:r w:rsidRPr="00FB2553">
        <w:rPr>
          <w:rFonts w:asciiTheme="minorHAnsi" w:hAnsiTheme="minorHAnsi"/>
          <w:color w:val="auto"/>
          <w:sz w:val="22"/>
          <w:szCs w:val="22"/>
        </w:rPr>
        <w:t>The ERT will initiate contact w</w:t>
      </w:r>
      <w:r>
        <w:rPr>
          <w:rFonts w:asciiTheme="minorHAnsi" w:hAnsiTheme="minorHAnsi"/>
          <w:color w:val="auto"/>
          <w:sz w:val="22"/>
          <w:szCs w:val="22"/>
        </w:rPr>
        <w:t>ith external emergency services as required.</w:t>
      </w:r>
      <w:r w:rsidR="00A51390">
        <w:rPr>
          <w:rFonts w:asciiTheme="minorHAnsi" w:hAnsiTheme="minorHAnsi"/>
          <w:color w:val="auto"/>
          <w:sz w:val="22"/>
          <w:szCs w:val="22"/>
        </w:rPr>
        <w:t xml:space="preserve"> </w:t>
      </w:r>
      <w:r w:rsidR="00A51390" w:rsidRPr="00A51390">
        <w:rPr>
          <w:rFonts w:asciiTheme="minorHAnsi" w:hAnsiTheme="minorHAnsi"/>
          <w:color w:val="auto"/>
          <w:sz w:val="22"/>
          <w:szCs w:val="22"/>
        </w:rPr>
        <w:t>This next level of emergency response is managed by an on-call role known as the ANSTO Incident</w:t>
      </w:r>
      <w:r w:rsidR="00A51390">
        <w:rPr>
          <w:rFonts w:asciiTheme="minorHAnsi" w:hAnsiTheme="minorHAnsi"/>
          <w:color w:val="auto"/>
          <w:sz w:val="22"/>
          <w:szCs w:val="22"/>
        </w:rPr>
        <w:t xml:space="preserve"> </w:t>
      </w:r>
      <w:r w:rsidR="00A51390" w:rsidRPr="00A51390">
        <w:rPr>
          <w:rFonts w:asciiTheme="minorHAnsi" w:hAnsiTheme="minorHAnsi"/>
          <w:color w:val="auto"/>
          <w:sz w:val="22"/>
          <w:szCs w:val="22"/>
        </w:rPr>
        <w:t>Controller (IC).</w:t>
      </w:r>
      <w:r w:rsidR="00A51390">
        <w:rPr>
          <w:rFonts w:asciiTheme="minorHAnsi" w:hAnsiTheme="minorHAnsi"/>
          <w:color w:val="auto"/>
          <w:sz w:val="22"/>
          <w:szCs w:val="22"/>
        </w:rPr>
        <w:t xml:space="preserve"> </w:t>
      </w:r>
      <w:r w:rsidR="00A51390" w:rsidRPr="00A51390">
        <w:rPr>
          <w:rFonts w:asciiTheme="minorHAnsi" w:hAnsiTheme="minorHAnsi"/>
          <w:color w:val="auto"/>
          <w:sz w:val="22"/>
          <w:szCs w:val="22"/>
        </w:rPr>
        <w:t xml:space="preserve">If necessary, the IC can seek support from the Emergency Operations Manager (EOM) or senior management through the arrangements described in </w:t>
      </w:r>
      <w:r w:rsidR="00A51390">
        <w:rPr>
          <w:rFonts w:asciiTheme="minorHAnsi" w:hAnsiTheme="minorHAnsi"/>
          <w:color w:val="auto"/>
          <w:sz w:val="22"/>
          <w:szCs w:val="22"/>
        </w:rPr>
        <w:t xml:space="preserve">ANSTO Guide, </w:t>
      </w:r>
      <w:r w:rsidR="00A51390" w:rsidRPr="00A51390">
        <w:rPr>
          <w:rFonts w:asciiTheme="minorHAnsi" w:hAnsiTheme="minorHAnsi"/>
          <w:color w:val="auto"/>
          <w:sz w:val="22"/>
          <w:szCs w:val="22"/>
        </w:rPr>
        <w:t>AG 5945</w:t>
      </w:r>
      <w:r w:rsidR="00A51390">
        <w:rPr>
          <w:rFonts w:asciiTheme="minorHAnsi" w:hAnsiTheme="minorHAnsi"/>
          <w:color w:val="auto"/>
          <w:sz w:val="22"/>
          <w:szCs w:val="22"/>
        </w:rPr>
        <w:t>.</w:t>
      </w:r>
      <w:r w:rsidR="00A51390" w:rsidRPr="00A51390">
        <w:rPr>
          <w:rFonts w:asciiTheme="minorHAnsi" w:hAnsiTheme="minorHAnsi"/>
          <w:color w:val="auto"/>
          <w:sz w:val="22"/>
          <w:szCs w:val="22"/>
        </w:rPr>
        <w:t xml:space="preserve"> </w:t>
      </w:r>
    </w:p>
    <w:p w:rsidR="00A51390" w:rsidRDefault="00A51390" w:rsidP="004007CC">
      <w:pPr>
        <w:pStyle w:val="Default"/>
        <w:jc w:val="both"/>
        <w:rPr>
          <w:rFonts w:asciiTheme="minorHAnsi" w:hAnsiTheme="minorHAnsi"/>
          <w:color w:val="auto"/>
          <w:sz w:val="22"/>
          <w:szCs w:val="22"/>
        </w:rPr>
      </w:pPr>
      <w:r>
        <w:rPr>
          <w:rFonts w:asciiTheme="minorHAnsi" w:hAnsiTheme="minorHAnsi"/>
          <w:color w:val="auto"/>
          <w:sz w:val="22"/>
          <w:szCs w:val="22"/>
        </w:rPr>
        <w:t xml:space="preserve">Further, </w:t>
      </w:r>
      <w:r w:rsidRPr="00A51390">
        <w:rPr>
          <w:rFonts w:asciiTheme="minorHAnsi" w:hAnsiTheme="minorHAnsi"/>
          <w:color w:val="auto"/>
          <w:sz w:val="22"/>
          <w:szCs w:val="22"/>
        </w:rPr>
        <w:t>ANSTO Radiation Protection Services section maintains 24/7 on-call health physics support for radiation incidents.</w:t>
      </w:r>
    </w:p>
    <w:p w:rsidR="00747E90" w:rsidRPr="00337D19" w:rsidRDefault="00A51390" w:rsidP="004007CC">
      <w:pPr>
        <w:pStyle w:val="Default"/>
        <w:tabs>
          <w:tab w:val="left" w:pos="7390"/>
        </w:tabs>
        <w:jc w:val="both"/>
        <w:rPr>
          <w:rFonts w:asciiTheme="minorHAnsi" w:hAnsiTheme="minorHAnsi"/>
          <w:color w:val="auto"/>
          <w:sz w:val="22"/>
          <w:szCs w:val="22"/>
        </w:rPr>
      </w:pPr>
      <w:r>
        <w:rPr>
          <w:rFonts w:asciiTheme="minorHAnsi" w:hAnsiTheme="minorHAnsi"/>
          <w:color w:val="auto"/>
          <w:sz w:val="22"/>
          <w:szCs w:val="22"/>
        </w:rPr>
        <w:t>The ARPANSA assessor considers that the emergency procedures are in line with the emergency plan.</w:t>
      </w:r>
      <w:r w:rsidR="000449A7">
        <w:rPr>
          <w:rFonts w:asciiTheme="minorHAnsi" w:hAnsiTheme="minorHAnsi"/>
          <w:color w:val="auto"/>
          <w:sz w:val="22"/>
          <w:szCs w:val="22"/>
        </w:rPr>
        <w:tab/>
      </w:r>
    </w:p>
    <w:p w:rsidR="0033671A" w:rsidRPr="0065410E" w:rsidRDefault="0033671A" w:rsidP="00077192">
      <w:pPr>
        <w:pStyle w:val="Heading4"/>
        <w:ind w:left="1418" w:hanging="1134"/>
      </w:pPr>
      <w:r w:rsidRPr="0065410E">
        <w:t>Emergency preparedness</w:t>
      </w:r>
    </w:p>
    <w:p w:rsidR="00FE7B5B" w:rsidRPr="00337D19" w:rsidRDefault="00FE7B5B" w:rsidP="004007CC">
      <w:pPr>
        <w:pStyle w:val="Default"/>
        <w:jc w:val="both"/>
        <w:rPr>
          <w:rFonts w:asciiTheme="minorHAnsi" w:hAnsiTheme="minorHAnsi"/>
          <w:i/>
          <w:sz w:val="22"/>
          <w:szCs w:val="22"/>
        </w:rPr>
      </w:pPr>
      <w:r w:rsidRPr="00337D19">
        <w:rPr>
          <w:rFonts w:asciiTheme="minorHAnsi" w:hAnsiTheme="minorHAnsi"/>
          <w:i/>
          <w:sz w:val="22"/>
          <w:szCs w:val="22"/>
        </w:rPr>
        <w:t xml:space="preserve">The licence holder is responsible for ensuring that all relevant agencies are prepared for such emergencies and adequate facilities and equipment are available and maintained (RG 7.36-7.42) [3], (RAPS 16, 54(d), 123)[4] . </w:t>
      </w:r>
    </w:p>
    <w:p w:rsidR="008A7B43" w:rsidRPr="008A7B43" w:rsidRDefault="008A7B43" w:rsidP="004007CC">
      <w:pPr>
        <w:pStyle w:val="Default"/>
        <w:jc w:val="both"/>
        <w:rPr>
          <w:rFonts w:asciiTheme="minorHAnsi" w:hAnsiTheme="minorHAnsi"/>
          <w:color w:val="auto"/>
          <w:sz w:val="22"/>
          <w:szCs w:val="22"/>
        </w:rPr>
      </w:pPr>
      <w:r>
        <w:rPr>
          <w:rFonts w:asciiTheme="minorHAnsi" w:hAnsiTheme="minorHAnsi"/>
          <w:color w:val="auto"/>
          <w:sz w:val="22"/>
          <w:szCs w:val="22"/>
        </w:rPr>
        <w:t>T</w:t>
      </w:r>
      <w:r w:rsidRPr="008A7B43">
        <w:rPr>
          <w:rFonts w:asciiTheme="minorHAnsi" w:hAnsiTheme="minorHAnsi"/>
          <w:color w:val="auto"/>
          <w:sz w:val="22"/>
          <w:szCs w:val="22"/>
        </w:rPr>
        <w:t>he arrangements and contact numbers of all emergency personnel during normal working hours a</w:t>
      </w:r>
      <w:r>
        <w:rPr>
          <w:rFonts w:asciiTheme="minorHAnsi" w:hAnsiTheme="minorHAnsi"/>
          <w:color w:val="auto"/>
          <w:sz w:val="22"/>
          <w:szCs w:val="22"/>
        </w:rPr>
        <w:t>nd outside normal working hours are described in ANSTO Guide,</w:t>
      </w:r>
      <w:r w:rsidRPr="008A7B43">
        <w:rPr>
          <w:rFonts w:asciiTheme="minorHAnsi" w:hAnsiTheme="minorHAnsi"/>
          <w:color w:val="auto"/>
          <w:sz w:val="22"/>
          <w:szCs w:val="22"/>
        </w:rPr>
        <w:t xml:space="preserve"> </w:t>
      </w:r>
      <w:r w:rsidR="004622F0" w:rsidRPr="008A7B43">
        <w:rPr>
          <w:rFonts w:asciiTheme="minorHAnsi" w:hAnsiTheme="minorHAnsi"/>
          <w:color w:val="auto"/>
          <w:sz w:val="22"/>
          <w:szCs w:val="22"/>
        </w:rPr>
        <w:t>Operational Arrangements for Control of A</w:t>
      </w:r>
      <w:r w:rsidR="004622F0">
        <w:rPr>
          <w:rFonts w:asciiTheme="minorHAnsi" w:hAnsiTheme="minorHAnsi"/>
          <w:color w:val="auto"/>
          <w:sz w:val="22"/>
          <w:szCs w:val="22"/>
        </w:rPr>
        <w:t>ccidents and Incidents (AG 2463).</w:t>
      </w:r>
    </w:p>
    <w:p w:rsidR="008A7B43" w:rsidRPr="008A7B43" w:rsidRDefault="008A7B43" w:rsidP="004007CC">
      <w:pPr>
        <w:pStyle w:val="Default"/>
        <w:jc w:val="both"/>
        <w:rPr>
          <w:rFonts w:asciiTheme="minorHAnsi" w:hAnsiTheme="minorHAnsi"/>
          <w:color w:val="auto"/>
          <w:sz w:val="22"/>
          <w:szCs w:val="22"/>
        </w:rPr>
      </w:pPr>
      <w:r w:rsidRPr="008A7B43">
        <w:rPr>
          <w:rFonts w:asciiTheme="minorHAnsi" w:hAnsiTheme="minorHAnsi"/>
          <w:color w:val="auto"/>
          <w:sz w:val="22"/>
          <w:szCs w:val="22"/>
        </w:rPr>
        <w:t>The ANSTO ASOC, which is the emergency communications point, is manned 24/7 and there are always back-up officers at the site. The IC, EOM and the on-call HPS roles are rostered 24/7 and any absences are covered by alternates.</w:t>
      </w:r>
    </w:p>
    <w:p w:rsidR="008A7B43" w:rsidRDefault="004622F0" w:rsidP="004007CC">
      <w:pPr>
        <w:pStyle w:val="Default"/>
        <w:jc w:val="both"/>
        <w:rPr>
          <w:rFonts w:asciiTheme="minorHAnsi" w:hAnsiTheme="minorHAnsi"/>
          <w:color w:val="auto"/>
          <w:sz w:val="22"/>
          <w:szCs w:val="22"/>
        </w:rPr>
      </w:pPr>
      <w:r w:rsidRPr="004622F0">
        <w:rPr>
          <w:rFonts w:asciiTheme="minorHAnsi" w:hAnsiTheme="minorHAnsi"/>
          <w:color w:val="auto"/>
          <w:sz w:val="22"/>
          <w:szCs w:val="22"/>
        </w:rPr>
        <w:t xml:space="preserve">The site emergency response exercises are undertaken in accordance with </w:t>
      </w:r>
      <w:r>
        <w:rPr>
          <w:rFonts w:asciiTheme="minorHAnsi" w:hAnsiTheme="minorHAnsi"/>
          <w:color w:val="auto"/>
          <w:sz w:val="22"/>
          <w:szCs w:val="22"/>
        </w:rPr>
        <w:t xml:space="preserve">ANSTO Guide, </w:t>
      </w:r>
      <w:r w:rsidRPr="004622F0">
        <w:rPr>
          <w:rFonts w:asciiTheme="minorHAnsi" w:hAnsiTheme="minorHAnsi"/>
          <w:color w:val="auto"/>
          <w:sz w:val="22"/>
          <w:szCs w:val="22"/>
        </w:rPr>
        <w:t xml:space="preserve">Building Emergency Exercise </w:t>
      </w:r>
      <w:r>
        <w:rPr>
          <w:rFonts w:asciiTheme="minorHAnsi" w:hAnsiTheme="minorHAnsi"/>
          <w:color w:val="auto"/>
          <w:sz w:val="22"/>
          <w:szCs w:val="22"/>
        </w:rPr>
        <w:t>(A</w:t>
      </w:r>
      <w:r w:rsidRPr="004622F0">
        <w:rPr>
          <w:rFonts w:asciiTheme="minorHAnsi" w:hAnsiTheme="minorHAnsi"/>
          <w:color w:val="auto"/>
          <w:sz w:val="22"/>
          <w:szCs w:val="22"/>
        </w:rPr>
        <w:t>G 2361</w:t>
      </w:r>
      <w:r>
        <w:rPr>
          <w:rFonts w:asciiTheme="minorHAnsi" w:hAnsiTheme="minorHAnsi"/>
          <w:color w:val="auto"/>
          <w:sz w:val="22"/>
          <w:szCs w:val="22"/>
        </w:rPr>
        <w:t>)</w:t>
      </w:r>
      <w:r w:rsidRPr="004622F0">
        <w:rPr>
          <w:rFonts w:asciiTheme="minorHAnsi" w:hAnsiTheme="minorHAnsi"/>
          <w:color w:val="auto"/>
          <w:sz w:val="22"/>
          <w:szCs w:val="22"/>
        </w:rPr>
        <w:t xml:space="preserve"> including preparation, arranging and conducting the emergency exercise. Debriefing following the exercise evaluates the effectiveness of the emergency procedure, resources, </w:t>
      </w:r>
      <w:proofErr w:type="gramStart"/>
      <w:r w:rsidRPr="004622F0">
        <w:rPr>
          <w:rFonts w:asciiTheme="minorHAnsi" w:hAnsiTheme="minorHAnsi"/>
          <w:color w:val="auto"/>
          <w:sz w:val="22"/>
          <w:szCs w:val="22"/>
        </w:rPr>
        <w:t>equipment</w:t>
      </w:r>
      <w:proofErr w:type="gramEnd"/>
      <w:r w:rsidRPr="004622F0">
        <w:rPr>
          <w:rFonts w:asciiTheme="minorHAnsi" w:hAnsiTheme="minorHAnsi"/>
          <w:color w:val="auto"/>
          <w:sz w:val="22"/>
          <w:szCs w:val="22"/>
        </w:rPr>
        <w:t xml:space="preserve"> and communication systems.</w:t>
      </w:r>
    </w:p>
    <w:p w:rsidR="00AD7482" w:rsidRDefault="004622F0" w:rsidP="00CC3C7A">
      <w:pPr>
        <w:pStyle w:val="Default"/>
        <w:spacing w:line="240" w:lineRule="auto"/>
        <w:jc w:val="both"/>
        <w:rPr>
          <w:rFonts w:asciiTheme="minorHAnsi" w:hAnsiTheme="minorHAnsi"/>
          <w:color w:val="auto"/>
          <w:sz w:val="22"/>
          <w:szCs w:val="22"/>
        </w:rPr>
      </w:pPr>
      <w:r>
        <w:rPr>
          <w:rFonts w:asciiTheme="minorHAnsi" w:hAnsiTheme="minorHAnsi"/>
          <w:color w:val="auto"/>
          <w:sz w:val="22"/>
          <w:szCs w:val="22"/>
        </w:rPr>
        <w:t>The ARPANSA assessor considers that the arrangements for emergency preparedness are acceptable.</w:t>
      </w:r>
    </w:p>
    <w:p w:rsidR="000D3A1E" w:rsidRPr="00203BBA" w:rsidRDefault="000D3A1E" w:rsidP="00BD7E93">
      <w:pPr>
        <w:pStyle w:val="Conclusion"/>
      </w:pPr>
      <w:r w:rsidRPr="00203BBA">
        <w:t>Conclusion</w:t>
      </w:r>
    </w:p>
    <w:p w:rsidR="006C732A" w:rsidRDefault="00411C29" w:rsidP="004007CC">
      <w:pPr>
        <w:pStyle w:val="Default"/>
        <w:jc w:val="both"/>
        <w:rPr>
          <w:rFonts w:asciiTheme="minorHAnsi" w:hAnsiTheme="minorHAnsi"/>
          <w:color w:val="auto"/>
          <w:sz w:val="22"/>
          <w:szCs w:val="22"/>
        </w:rPr>
      </w:pPr>
      <w:r w:rsidRPr="00337D19">
        <w:rPr>
          <w:rFonts w:asciiTheme="minorHAnsi" w:hAnsiTheme="minorHAnsi"/>
          <w:color w:val="auto"/>
          <w:sz w:val="22"/>
          <w:szCs w:val="22"/>
        </w:rPr>
        <w:t xml:space="preserve">The </w:t>
      </w:r>
      <w:r w:rsidR="003554DD" w:rsidRPr="00337D19">
        <w:rPr>
          <w:rFonts w:asciiTheme="minorHAnsi" w:hAnsiTheme="minorHAnsi"/>
          <w:color w:val="auto"/>
          <w:sz w:val="22"/>
          <w:szCs w:val="22"/>
        </w:rPr>
        <w:t xml:space="preserve">ARPANSA assessor considers that the plans and procedures described in the application taking into account the </w:t>
      </w:r>
      <w:r w:rsidR="00F306F1" w:rsidRPr="00337D19">
        <w:rPr>
          <w:rFonts w:asciiTheme="minorHAnsi" w:hAnsiTheme="minorHAnsi"/>
          <w:color w:val="auto"/>
          <w:sz w:val="22"/>
          <w:szCs w:val="22"/>
        </w:rPr>
        <w:t>accident</w:t>
      </w:r>
      <w:r w:rsidR="007A0429" w:rsidRPr="00337D19">
        <w:rPr>
          <w:rFonts w:asciiTheme="minorHAnsi" w:hAnsiTheme="minorHAnsi"/>
          <w:color w:val="auto"/>
          <w:sz w:val="22"/>
          <w:szCs w:val="22"/>
        </w:rPr>
        <w:t xml:space="preserve"> scenarios </w:t>
      </w:r>
      <w:r w:rsidR="00897AC9" w:rsidRPr="00337D19">
        <w:rPr>
          <w:rFonts w:asciiTheme="minorHAnsi" w:hAnsiTheme="minorHAnsi"/>
          <w:color w:val="auto"/>
          <w:sz w:val="22"/>
          <w:szCs w:val="22"/>
        </w:rPr>
        <w:t>during routine operation</w:t>
      </w:r>
      <w:r w:rsidR="00A51390">
        <w:rPr>
          <w:rFonts w:asciiTheme="minorHAnsi" w:hAnsiTheme="minorHAnsi"/>
          <w:color w:val="auto"/>
          <w:sz w:val="22"/>
          <w:szCs w:val="22"/>
        </w:rPr>
        <w:t xml:space="preserve"> of the IWS</w:t>
      </w:r>
      <w:r w:rsidR="00897AC9" w:rsidRPr="00337D19">
        <w:rPr>
          <w:rFonts w:asciiTheme="minorHAnsi" w:hAnsiTheme="minorHAnsi"/>
          <w:color w:val="auto"/>
          <w:sz w:val="22"/>
          <w:szCs w:val="22"/>
        </w:rPr>
        <w:t xml:space="preserve"> and anticipated occurrences </w:t>
      </w:r>
      <w:r w:rsidR="003554DD" w:rsidRPr="00337D19">
        <w:rPr>
          <w:rFonts w:asciiTheme="minorHAnsi" w:hAnsiTheme="minorHAnsi"/>
          <w:color w:val="auto"/>
          <w:sz w:val="22"/>
          <w:szCs w:val="22"/>
        </w:rPr>
        <w:t>are acceptable</w:t>
      </w:r>
      <w:r w:rsidR="00044235">
        <w:rPr>
          <w:rFonts w:asciiTheme="minorHAnsi" w:hAnsiTheme="minorHAnsi"/>
          <w:color w:val="auto"/>
          <w:sz w:val="22"/>
          <w:szCs w:val="22"/>
        </w:rPr>
        <w:t>.</w:t>
      </w:r>
      <w:bookmarkStart w:id="117" w:name="_Toc35926818"/>
      <w:bookmarkStart w:id="118" w:name="_Toc297107194"/>
      <w:bookmarkStart w:id="119" w:name="_Toc306282463"/>
    </w:p>
    <w:p w:rsidR="000C2AC2" w:rsidRPr="00EE0D53" w:rsidRDefault="00AC2638" w:rsidP="009D5EA6">
      <w:pPr>
        <w:pStyle w:val="Heading2"/>
      </w:pPr>
      <w:bookmarkStart w:id="120" w:name="_Toc417974600"/>
      <w:bookmarkEnd w:id="117"/>
      <w:bookmarkEnd w:id="118"/>
      <w:bookmarkEnd w:id="119"/>
      <w:r>
        <w:t xml:space="preserve">ADDITIONAL INFORMATION FOR </w:t>
      </w:r>
      <w:r w:rsidR="000C2AC2" w:rsidRPr="00EE0D53">
        <w:t xml:space="preserve">AUTHORISATION TO </w:t>
      </w:r>
      <w:r w:rsidR="006421D7">
        <w:t>OPERATE</w:t>
      </w:r>
      <w:bookmarkEnd w:id="120"/>
    </w:p>
    <w:p w:rsidR="000C2AC2" w:rsidRPr="00EE0D53" w:rsidRDefault="006421D7" w:rsidP="00D25667">
      <w:pPr>
        <w:pStyle w:val="Heading3"/>
        <w:keepLines w:val="0"/>
        <w:spacing w:before="0" w:after="240" w:line="240" w:lineRule="auto"/>
        <w:jc w:val="both"/>
        <w:rPr>
          <w:rFonts w:ascii="Calibri" w:hAnsi="Calibri" w:cs="Calibri"/>
          <w:color w:val="0070C0"/>
        </w:rPr>
      </w:pPr>
      <w:bookmarkStart w:id="121" w:name="_Toc417974601"/>
      <w:r>
        <w:rPr>
          <w:rFonts w:ascii="Calibri" w:hAnsi="Calibri" w:cs="Calibri"/>
          <w:color w:val="0070C0"/>
        </w:rPr>
        <w:t>Description of the facility as constructed [Item 15</w:t>
      </w:r>
      <w:r w:rsidR="000C2AC2" w:rsidRPr="00EE0D53">
        <w:rPr>
          <w:rFonts w:ascii="Calibri" w:hAnsi="Calibri" w:cs="Calibri"/>
          <w:color w:val="0070C0"/>
        </w:rPr>
        <w:t>]</w:t>
      </w:r>
      <w:bookmarkEnd w:id="121"/>
    </w:p>
    <w:p w:rsidR="000C2AC2" w:rsidRPr="00E77207" w:rsidRDefault="006421D7" w:rsidP="00A030D4">
      <w:pPr>
        <w:pStyle w:val="BodyText2"/>
        <w:jc w:val="both"/>
        <w:rPr>
          <w:rFonts w:ascii="Calibri" w:hAnsi="Calibri" w:cs="Calibri"/>
          <w:i/>
          <w:iCs/>
        </w:rPr>
      </w:pPr>
      <w:r w:rsidRPr="00B84178">
        <w:rPr>
          <w:i/>
        </w:rPr>
        <w:t>Item 15 of part 1 of Schedule 3 of the Regulation requires the applicant to provide a description of the structures, components, systems and equipment of the controlled facility as they have been constructed.</w:t>
      </w:r>
    </w:p>
    <w:p w:rsidR="00D474B0" w:rsidRDefault="00D474B0" w:rsidP="00A030D4">
      <w:pPr>
        <w:pStyle w:val="BodyText2"/>
        <w:jc w:val="both"/>
        <w:rPr>
          <w:rFonts w:ascii="Calibri" w:hAnsi="Calibri" w:cs="Calibri"/>
          <w:iCs/>
        </w:rPr>
      </w:pPr>
      <w:r w:rsidRPr="00D474B0">
        <w:rPr>
          <w:rFonts w:ascii="Calibri" w:hAnsi="Calibri" w:cs="Calibri"/>
          <w:iCs/>
        </w:rPr>
        <w:lastRenderedPageBreak/>
        <w:t>The IWS is a steel structure building</w:t>
      </w:r>
      <w:r>
        <w:rPr>
          <w:rFonts w:ascii="Calibri" w:hAnsi="Calibri" w:cs="Calibri"/>
          <w:iCs/>
        </w:rPr>
        <w:t xml:space="preserve"> with a foot print of 28.2 metres by 30 metres</w:t>
      </w:r>
      <w:r w:rsidRPr="00D474B0">
        <w:rPr>
          <w:rFonts w:ascii="Calibri" w:hAnsi="Calibri" w:cs="Calibri"/>
          <w:iCs/>
        </w:rPr>
        <w:t xml:space="preserve">. </w:t>
      </w:r>
      <w:r>
        <w:rPr>
          <w:rFonts w:ascii="Calibri" w:hAnsi="Calibri" w:cs="Calibri"/>
          <w:iCs/>
        </w:rPr>
        <w:t xml:space="preserve">The building is 21 metre high to enable the lifting of the TN81 container in a vertical position. </w:t>
      </w:r>
    </w:p>
    <w:p w:rsidR="00493F58" w:rsidRDefault="00493F58" w:rsidP="00A030D4">
      <w:pPr>
        <w:pStyle w:val="BodyText2"/>
        <w:jc w:val="both"/>
        <w:rPr>
          <w:rFonts w:ascii="Calibri" w:hAnsi="Calibri" w:cs="Calibri"/>
          <w:iCs/>
        </w:rPr>
      </w:pPr>
      <w:r w:rsidRPr="00493F58">
        <w:rPr>
          <w:rFonts w:ascii="Calibri" w:hAnsi="Calibri" w:cs="Calibri"/>
          <w:iCs/>
        </w:rPr>
        <w:t xml:space="preserve">The perimeter walls </w:t>
      </w:r>
      <w:r>
        <w:rPr>
          <w:rFonts w:ascii="Calibri" w:hAnsi="Calibri" w:cs="Calibri"/>
          <w:iCs/>
        </w:rPr>
        <w:t>consist of</w:t>
      </w:r>
      <w:r w:rsidRPr="00493F58">
        <w:rPr>
          <w:rFonts w:ascii="Calibri" w:hAnsi="Calibri" w:cs="Calibri"/>
          <w:iCs/>
        </w:rPr>
        <w:t xml:space="preserve"> precast concrete panels approximately 170 mm thick measuring 5 m in height from the floor level and fixed to a structural steel portal. The rest of the perimeter walls which is fixed on top of the precast concrete panels have been constructed with 200 mm thick insulated sheet</w:t>
      </w:r>
      <w:r>
        <w:rPr>
          <w:rFonts w:ascii="Calibri" w:hAnsi="Calibri" w:cs="Calibri"/>
          <w:iCs/>
        </w:rPr>
        <w:t xml:space="preserve"> </w:t>
      </w:r>
      <w:r w:rsidRPr="00493F58">
        <w:rPr>
          <w:rFonts w:ascii="Calibri" w:hAnsi="Calibri" w:cs="Calibri"/>
          <w:iCs/>
        </w:rPr>
        <w:t>metal panel. The roof of the facility has been constructed from 150 mm thick insulated sheet-metal sandwich panel.</w:t>
      </w:r>
    </w:p>
    <w:p w:rsidR="00493F58" w:rsidRDefault="000F28A6" w:rsidP="00A030D4">
      <w:pPr>
        <w:pStyle w:val="BodyText2"/>
        <w:jc w:val="both"/>
        <w:rPr>
          <w:rFonts w:ascii="Calibri" w:hAnsi="Calibri" w:cs="Calibri"/>
          <w:iCs/>
        </w:rPr>
      </w:pPr>
      <w:r>
        <w:rPr>
          <w:rFonts w:ascii="Calibri" w:hAnsi="Calibri" w:cs="Calibri"/>
          <w:iCs/>
        </w:rPr>
        <w:t>The IWS is equipped with a 140 tonnes DGR (Dangerous Goods Rated) crane. It</w:t>
      </w:r>
      <w:r w:rsidR="00493F58">
        <w:rPr>
          <w:rFonts w:ascii="Calibri" w:hAnsi="Calibri" w:cs="Calibri"/>
          <w:iCs/>
        </w:rPr>
        <w:t xml:space="preserve"> contains various building services such as mechanical ventilation, fire alarm, area radiation monitor, lighting system, drainage system, security system etc. </w:t>
      </w:r>
      <w:r>
        <w:rPr>
          <w:rFonts w:ascii="Calibri" w:hAnsi="Calibri" w:cs="Calibri"/>
          <w:iCs/>
        </w:rPr>
        <w:t xml:space="preserve">Vehicle access and exit will be through two roller shutter doors.  </w:t>
      </w:r>
    </w:p>
    <w:p w:rsidR="00D474B0" w:rsidRDefault="00D00A84" w:rsidP="00A030D4">
      <w:pPr>
        <w:pStyle w:val="BodyText2"/>
        <w:jc w:val="both"/>
        <w:rPr>
          <w:rFonts w:ascii="Calibri" w:hAnsi="Calibri" w:cs="Calibri"/>
          <w:iCs/>
        </w:rPr>
      </w:pPr>
      <w:r>
        <w:rPr>
          <w:rFonts w:ascii="Calibri" w:hAnsi="Calibri" w:cs="Calibri"/>
          <w:iCs/>
        </w:rPr>
        <w:t>The application refers to relevant standards and codes applied in the construction of the facility.</w:t>
      </w:r>
    </w:p>
    <w:p w:rsidR="00C76A6A" w:rsidRDefault="00C76A6A" w:rsidP="00A030D4">
      <w:pPr>
        <w:pStyle w:val="BodyText2"/>
        <w:jc w:val="both"/>
        <w:rPr>
          <w:rFonts w:ascii="Calibri" w:hAnsi="Calibri" w:cs="Calibri"/>
          <w:i/>
          <w:iCs/>
        </w:rPr>
      </w:pPr>
      <w:r>
        <w:rPr>
          <w:rFonts w:ascii="Calibri" w:hAnsi="Calibri" w:cs="Calibri"/>
          <w:iCs/>
        </w:rPr>
        <w:t xml:space="preserve">The IWS will house one TN81 transport/storage cask containing </w:t>
      </w:r>
      <w:r w:rsidR="00973683">
        <w:rPr>
          <w:rFonts w:ascii="Calibri" w:hAnsi="Calibri" w:cs="Calibri"/>
          <w:iCs/>
        </w:rPr>
        <w:t xml:space="preserve">a maximum of 28 canisters of </w:t>
      </w:r>
      <w:r>
        <w:rPr>
          <w:rFonts w:ascii="Calibri" w:hAnsi="Calibri" w:cs="Calibri"/>
          <w:iCs/>
        </w:rPr>
        <w:t xml:space="preserve">vitrified </w:t>
      </w:r>
      <w:r w:rsidR="00973683">
        <w:rPr>
          <w:rFonts w:ascii="Calibri" w:hAnsi="Calibri" w:cs="Calibri"/>
          <w:iCs/>
        </w:rPr>
        <w:t xml:space="preserve">waste (CSD-U) </w:t>
      </w:r>
      <w:r>
        <w:rPr>
          <w:rFonts w:ascii="Calibri" w:hAnsi="Calibri" w:cs="Calibri"/>
          <w:iCs/>
        </w:rPr>
        <w:t xml:space="preserve">and six technological waste cemented drums placed within concrete over-pack inside an ISO container. </w:t>
      </w:r>
    </w:p>
    <w:p w:rsidR="004154F9" w:rsidRPr="004154F9" w:rsidRDefault="004154F9" w:rsidP="00A030D4">
      <w:pPr>
        <w:pStyle w:val="BodyText2"/>
        <w:jc w:val="both"/>
        <w:rPr>
          <w:rFonts w:ascii="Calibri" w:hAnsi="Calibri" w:cs="Calibri"/>
          <w:i/>
          <w:iCs/>
        </w:rPr>
      </w:pPr>
      <w:r w:rsidRPr="004154F9">
        <w:rPr>
          <w:rFonts w:ascii="Calibri" w:hAnsi="Calibri" w:cs="Calibri"/>
          <w:i/>
          <w:iCs/>
        </w:rPr>
        <w:t>TN 81 Transport/Storage container</w:t>
      </w:r>
    </w:p>
    <w:p w:rsidR="007F79EF" w:rsidRDefault="007F79EF" w:rsidP="00A030D4">
      <w:pPr>
        <w:pStyle w:val="BodyText2"/>
        <w:jc w:val="both"/>
        <w:rPr>
          <w:rFonts w:ascii="Calibri" w:hAnsi="Calibri" w:cs="Calibri"/>
          <w:iCs/>
        </w:rPr>
      </w:pPr>
      <w:r w:rsidRPr="007F79EF">
        <w:rPr>
          <w:rFonts w:ascii="Calibri" w:hAnsi="Calibri" w:cs="Calibri"/>
          <w:iCs/>
        </w:rPr>
        <w:t xml:space="preserve">The TN 81 transport/storage container </w:t>
      </w:r>
      <w:r w:rsidR="00726AE1">
        <w:rPr>
          <w:rFonts w:ascii="Calibri" w:hAnsi="Calibri" w:cs="Calibri"/>
          <w:iCs/>
        </w:rPr>
        <w:t xml:space="preserve">(Figure 1) </w:t>
      </w:r>
      <w:r>
        <w:rPr>
          <w:rFonts w:ascii="Calibri" w:hAnsi="Calibri" w:cs="Calibri"/>
          <w:iCs/>
        </w:rPr>
        <w:t xml:space="preserve">is a dual purpose container that is used for both transport of radioactive waste and for storage of radioactive waste. </w:t>
      </w:r>
      <w:r w:rsidR="00FC3FA1">
        <w:rPr>
          <w:rFonts w:ascii="Calibri" w:hAnsi="Calibri" w:cs="Calibri"/>
          <w:iCs/>
        </w:rPr>
        <w:t>It is</w:t>
      </w:r>
      <w:r w:rsidRPr="007F79EF">
        <w:rPr>
          <w:rFonts w:ascii="Calibri" w:hAnsi="Calibri" w:cs="Calibri"/>
          <w:iCs/>
        </w:rPr>
        <w:t xml:space="preserve"> manufactured from a thick steel forged cylindrical vessel, a welded bottom end made of forged steel and two lids (primary and secondary) made of forged steel.</w:t>
      </w:r>
    </w:p>
    <w:p w:rsidR="007F79EF" w:rsidRDefault="00FC3FA1" w:rsidP="00A030D4">
      <w:pPr>
        <w:pStyle w:val="BodyText2"/>
        <w:jc w:val="both"/>
        <w:rPr>
          <w:rFonts w:ascii="Calibri" w:hAnsi="Calibri" w:cs="Calibri"/>
          <w:iCs/>
        </w:rPr>
      </w:pPr>
      <w:r>
        <w:rPr>
          <w:rFonts w:ascii="Calibri" w:hAnsi="Calibri" w:cs="Calibri"/>
          <w:iCs/>
        </w:rPr>
        <w:t>The container is of cylindrical shape and has the following overall dimensions:</w:t>
      </w:r>
    </w:p>
    <w:p w:rsidR="00FC3FA1" w:rsidRPr="00FC3FA1" w:rsidRDefault="00FC3FA1" w:rsidP="00C91EB0">
      <w:pPr>
        <w:pStyle w:val="BodyText2"/>
        <w:numPr>
          <w:ilvl w:val="0"/>
          <w:numId w:val="28"/>
        </w:numPr>
        <w:spacing w:after="0"/>
        <w:ind w:left="714" w:hanging="357"/>
        <w:jc w:val="both"/>
        <w:rPr>
          <w:rFonts w:ascii="Calibri" w:hAnsi="Calibri" w:cs="Calibri"/>
          <w:iCs/>
        </w:rPr>
      </w:pPr>
      <w:r w:rsidRPr="00FC3FA1">
        <w:rPr>
          <w:rFonts w:ascii="Calibri" w:hAnsi="Calibri" w:cs="Calibri"/>
          <w:iCs/>
        </w:rPr>
        <w:t>length: 6,454 mm (including anti-crash cover); and</w:t>
      </w:r>
    </w:p>
    <w:p w:rsidR="00FC3FA1" w:rsidRDefault="00FC3FA1" w:rsidP="00C91EB0">
      <w:pPr>
        <w:pStyle w:val="BodyText2"/>
        <w:numPr>
          <w:ilvl w:val="0"/>
          <w:numId w:val="28"/>
        </w:numPr>
        <w:ind w:left="714" w:hanging="357"/>
        <w:jc w:val="both"/>
        <w:rPr>
          <w:rFonts w:ascii="Calibri" w:hAnsi="Calibri" w:cs="Calibri"/>
          <w:iCs/>
        </w:rPr>
      </w:pPr>
      <w:r w:rsidRPr="00FC3FA1">
        <w:rPr>
          <w:rFonts w:ascii="Calibri" w:hAnsi="Calibri" w:cs="Calibri"/>
          <w:iCs/>
        </w:rPr>
        <w:t xml:space="preserve">diameter: 2,780 mm (around </w:t>
      </w:r>
      <w:proofErr w:type="spellStart"/>
      <w:r w:rsidRPr="00FC3FA1">
        <w:rPr>
          <w:rFonts w:ascii="Calibri" w:hAnsi="Calibri" w:cs="Calibri"/>
          <w:iCs/>
        </w:rPr>
        <w:t>trunnion</w:t>
      </w:r>
      <w:proofErr w:type="spellEnd"/>
      <w:r w:rsidRPr="00FC3FA1">
        <w:rPr>
          <w:rFonts w:ascii="Calibri" w:hAnsi="Calibri" w:cs="Calibri"/>
          <w:iCs/>
        </w:rPr>
        <w:t xml:space="preserve"> shielding plugs)</w:t>
      </w:r>
    </w:p>
    <w:p w:rsidR="00FC3FA1" w:rsidRDefault="00FC3FA1" w:rsidP="00AD07D1">
      <w:pPr>
        <w:pStyle w:val="BodyText2"/>
        <w:spacing w:line="240" w:lineRule="auto"/>
        <w:jc w:val="both"/>
        <w:rPr>
          <w:rFonts w:ascii="Calibri" w:hAnsi="Calibri" w:cs="Calibri"/>
          <w:iCs/>
        </w:rPr>
      </w:pPr>
      <w:r w:rsidRPr="00FC3FA1">
        <w:rPr>
          <w:rFonts w:ascii="Calibri" w:hAnsi="Calibri" w:cs="Calibri"/>
          <w:iCs/>
        </w:rPr>
        <w:t>The above data defines a cylindrical cavity with a 1,350 mm diameter and a minimal length of 5,120 mm.</w:t>
      </w:r>
      <w:r>
        <w:rPr>
          <w:rFonts w:ascii="Calibri" w:hAnsi="Calibri" w:cs="Calibri"/>
          <w:iCs/>
        </w:rPr>
        <w:t xml:space="preserve"> </w:t>
      </w:r>
    </w:p>
    <w:p w:rsidR="00D00A84" w:rsidRDefault="00C76A6A" w:rsidP="00AD07D1">
      <w:pPr>
        <w:pStyle w:val="BodyText2"/>
        <w:spacing w:line="240" w:lineRule="auto"/>
        <w:jc w:val="both"/>
        <w:rPr>
          <w:rFonts w:ascii="Calibri" w:hAnsi="Calibri" w:cs="Calibri"/>
          <w:iCs/>
        </w:rPr>
      </w:pPr>
      <w:r>
        <w:rPr>
          <w:rFonts w:ascii="Calibri" w:hAnsi="Calibri" w:cs="Calibri"/>
          <w:iCs/>
        </w:rPr>
        <w:t>The TN 81 container contains up to 28 stainless steel canisters.</w:t>
      </w:r>
    </w:p>
    <w:p w:rsidR="003427FA" w:rsidRDefault="003427FA" w:rsidP="00AD07D1">
      <w:pPr>
        <w:pStyle w:val="BodyText2"/>
        <w:spacing w:line="240" w:lineRule="auto"/>
        <w:jc w:val="both"/>
        <w:rPr>
          <w:rFonts w:ascii="Calibri" w:hAnsi="Calibri" w:cs="Calibri"/>
          <w:iCs/>
        </w:rPr>
      </w:pPr>
    </w:p>
    <w:p w:rsidR="00C76A6A" w:rsidRDefault="00726AE1" w:rsidP="00AD07D1">
      <w:pPr>
        <w:pStyle w:val="BodyText2"/>
        <w:spacing w:line="240" w:lineRule="auto"/>
        <w:jc w:val="both"/>
        <w:rPr>
          <w:rFonts w:ascii="Calibri" w:hAnsi="Calibri" w:cs="Calibri"/>
          <w:iCs/>
        </w:rPr>
      </w:pPr>
      <w:r>
        <w:rPr>
          <w:rFonts w:ascii="Calibri" w:hAnsi="Calibri" w:cs="Calibri"/>
          <w:iCs/>
          <w:noProof/>
        </w:rPr>
        <mc:AlternateContent>
          <mc:Choice Requires="wps">
            <w:drawing>
              <wp:anchor distT="0" distB="0" distL="114300" distR="114300" simplePos="0" relativeHeight="251656704" behindDoc="0" locked="0" layoutInCell="1" allowOverlap="1" wp14:anchorId="7DE836AC" wp14:editId="50865A45">
                <wp:simplePos x="0" y="0"/>
                <wp:positionH relativeFrom="column">
                  <wp:posOffset>3127375</wp:posOffset>
                </wp:positionH>
                <wp:positionV relativeFrom="paragraph">
                  <wp:posOffset>205740</wp:posOffset>
                </wp:positionV>
                <wp:extent cx="2551430" cy="1693545"/>
                <wp:effectExtent l="0" t="0" r="20320" b="20955"/>
                <wp:wrapNone/>
                <wp:docPr id="3" name="Text Box 3"/>
                <wp:cNvGraphicFramePr/>
                <a:graphic xmlns:a="http://schemas.openxmlformats.org/drawingml/2006/main">
                  <a:graphicData uri="http://schemas.microsoft.com/office/word/2010/wordprocessingShape">
                    <wps:wsp>
                      <wps:cNvSpPr txBox="1"/>
                      <wps:spPr>
                        <a:xfrm>
                          <a:off x="0" y="0"/>
                          <a:ext cx="2551430" cy="1693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26BF" w:rsidRDefault="00DA26BF">
                            <w:r>
                              <w:rPr>
                                <w:noProof/>
                              </w:rPr>
                              <w:drawing>
                                <wp:inline distT="0" distB="0" distL="0" distR="0" wp14:anchorId="0B134D18" wp14:editId="7E813E4C">
                                  <wp:extent cx="2362200" cy="15832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5832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6.25pt;margin-top:16.2pt;width:200.9pt;height:133.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" fillcolor="white [3201]" strokeweight=".5pt">
                <v:textbox>
                  <w:txbxContent>
                    <w:p w:rsidR="00DA26BF" w:rsidRDefault="00DA26BF">
                      <w:r>
                        <w:rPr>
                          <w:noProof/>
                        </w:rPr>
                        <w:drawing>
                          <wp:inline distT="0" distB="0" distL="0" distR="0" wp14:anchorId="0B134D18" wp14:editId="7E813E4C">
                            <wp:extent cx="2362200" cy="15832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0" cy="1583269"/>
                                    </a:xfrm>
                                    <a:prstGeom prst="rect">
                                      <a:avLst/>
                                    </a:prstGeom>
                                    <a:noFill/>
                                    <a:ln>
                                      <a:noFill/>
                                    </a:ln>
                                  </pic:spPr>
                                </pic:pic>
                              </a:graphicData>
                            </a:graphic>
                          </wp:inline>
                        </w:drawing>
                      </w:r>
                    </w:p>
                  </w:txbxContent>
                </v:textbox>
              </v:shape>
            </w:pict>
          </mc:Fallback>
        </mc:AlternateContent>
      </w:r>
      <w:r>
        <w:rPr>
          <w:rFonts w:ascii="Calibri" w:hAnsi="Calibri" w:cs="Calibri"/>
          <w:iCs/>
          <w:noProof/>
        </w:rPr>
        <mc:AlternateContent>
          <mc:Choice Requires="wps">
            <w:drawing>
              <wp:anchor distT="0" distB="0" distL="114300" distR="114300" simplePos="0" relativeHeight="251657728" behindDoc="0" locked="0" layoutInCell="1" allowOverlap="1" wp14:anchorId="4D41F796" wp14:editId="76C40C42">
                <wp:simplePos x="0" y="0"/>
                <wp:positionH relativeFrom="column">
                  <wp:posOffset>114861</wp:posOffset>
                </wp:positionH>
                <wp:positionV relativeFrom="paragraph">
                  <wp:posOffset>36859</wp:posOffset>
                </wp:positionV>
                <wp:extent cx="2190307" cy="2176130"/>
                <wp:effectExtent l="0" t="0" r="19685" b="15240"/>
                <wp:wrapNone/>
                <wp:docPr id="6" name="Text Box 6"/>
                <wp:cNvGraphicFramePr/>
                <a:graphic xmlns:a="http://schemas.openxmlformats.org/drawingml/2006/main">
                  <a:graphicData uri="http://schemas.microsoft.com/office/word/2010/wordprocessingShape">
                    <wps:wsp>
                      <wps:cNvSpPr txBox="1"/>
                      <wps:spPr>
                        <a:xfrm>
                          <a:off x="0" y="0"/>
                          <a:ext cx="2190307" cy="2176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26BF" w:rsidRDefault="00DA26BF">
                            <w:r>
                              <w:rPr>
                                <w:noProof/>
                              </w:rPr>
                              <w:drawing>
                                <wp:inline distT="0" distB="0" distL="0" distR="0" wp14:anchorId="7D8BD2EB" wp14:editId="78278491">
                                  <wp:extent cx="2920409" cy="1991199"/>
                                  <wp:effectExtent l="0" t="0" r="0" b="9525"/>
                                  <wp:docPr id="7" name="Picture 7" descr="\\nsw-fs01\home$\sarkas\Profiles\Desktop\IWS-Operation\TN-81 c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w-fs01\home$\sarkas\Profiles\Desktop\IWS-Operation\TN-81 cask.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2613" cy="19927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9.05pt;margin-top:2.9pt;width:172.45pt;height:1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" fillcolor="white [3201]" strokeweight=".5pt">
                <v:textbox>
                  <w:txbxContent>
                    <w:p w:rsidR="00DA26BF" w:rsidRDefault="00DA26BF">
                      <w:r>
                        <w:rPr>
                          <w:noProof/>
                        </w:rPr>
                        <w:drawing>
                          <wp:inline distT="0" distB="0" distL="0" distR="0" wp14:anchorId="7D8BD2EB" wp14:editId="78278491">
                            <wp:extent cx="2920409" cy="1991199"/>
                            <wp:effectExtent l="0" t="0" r="0" b="9525"/>
                            <wp:docPr id="7" name="Picture 7" descr="\\nsw-fs01\home$\sarkas\Profiles\Desktop\IWS-Operation\TN-81 c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w-fs01\home$\sarkas\Profiles\Desktop\IWS-Operation\TN-81 cask.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2613" cy="1992702"/>
                                    </a:xfrm>
                                    <a:prstGeom prst="rect">
                                      <a:avLst/>
                                    </a:prstGeom>
                                    <a:noFill/>
                                    <a:ln>
                                      <a:noFill/>
                                    </a:ln>
                                  </pic:spPr>
                                </pic:pic>
                              </a:graphicData>
                            </a:graphic>
                          </wp:inline>
                        </w:drawing>
                      </w:r>
                    </w:p>
                  </w:txbxContent>
                </v:textbox>
              </v:shape>
            </w:pict>
          </mc:Fallback>
        </mc:AlternateContent>
      </w:r>
    </w:p>
    <w:p w:rsidR="00726AE1" w:rsidRDefault="00726AE1" w:rsidP="00AD07D1">
      <w:pPr>
        <w:pStyle w:val="BodyText2"/>
        <w:spacing w:line="240" w:lineRule="auto"/>
        <w:jc w:val="both"/>
        <w:rPr>
          <w:rFonts w:ascii="Calibri" w:hAnsi="Calibri" w:cs="Calibri"/>
          <w:iCs/>
        </w:rPr>
      </w:pPr>
    </w:p>
    <w:p w:rsidR="00726AE1" w:rsidRDefault="00726AE1" w:rsidP="00AD07D1">
      <w:pPr>
        <w:pStyle w:val="BodyText2"/>
        <w:spacing w:line="240" w:lineRule="auto"/>
        <w:jc w:val="both"/>
        <w:rPr>
          <w:rFonts w:ascii="Calibri" w:hAnsi="Calibri" w:cs="Calibri"/>
          <w:iCs/>
        </w:rPr>
      </w:pPr>
    </w:p>
    <w:p w:rsidR="00726AE1" w:rsidRDefault="00726AE1" w:rsidP="00726AE1">
      <w:pPr>
        <w:pStyle w:val="BodyText2"/>
        <w:tabs>
          <w:tab w:val="left" w:pos="2668"/>
        </w:tabs>
        <w:spacing w:line="240" w:lineRule="auto"/>
        <w:jc w:val="both"/>
        <w:rPr>
          <w:rFonts w:ascii="Calibri" w:hAnsi="Calibri" w:cs="Calibri"/>
          <w:iCs/>
        </w:rPr>
      </w:pPr>
      <w:r>
        <w:rPr>
          <w:rFonts w:ascii="Calibri" w:hAnsi="Calibri" w:cs="Calibri"/>
          <w:iCs/>
        </w:rPr>
        <w:tab/>
      </w:r>
    </w:p>
    <w:p w:rsidR="00726AE1" w:rsidRDefault="00726AE1" w:rsidP="00AD07D1">
      <w:pPr>
        <w:pStyle w:val="BodyText2"/>
        <w:spacing w:line="240" w:lineRule="auto"/>
        <w:jc w:val="both"/>
        <w:rPr>
          <w:rFonts w:ascii="Calibri" w:hAnsi="Calibri" w:cs="Calibri"/>
          <w:iCs/>
        </w:rPr>
      </w:pPr>
    </w:p>
    <w:p w:rsidR="00726AE1" w:rsidRDefault="00726AE1" w:rsidP="00AD07D1">
      <w:pPr>
        <w:pStyle w:val="BodyText2"/>
        <w:spacing w:line="240" w:lineRule="auto"/>
        <w:jc w:val="both"/>
        <w:rPr>
          <w:rFonts w:ascii="Calibri" w:hAnsi="Calibri" w:cs="Calibri"/>
          <w:iCs/>
        </w:rPr>
      </w:pPr>
    </w:p>
    <w:p w:rsidR="00726AE1" w:rsidRDefault="00726AE1" w:rsidP="00AD07D1">
      <w:pPr>
        <w:pStyle w:val="BodyText2"/>
        <w:spacing w:line="240" w:lineRule="auto"/>
        <w:jc w:val="both"/>
        <w:rPr>
          <w:rFonts w:ascii="Calibri" w:hAnsi="Calibri" w:cs="Calibri"/>
          <w:iCs/>
        </w:rPr>
      </w:pPr>
    </w:p>
    <w:p w:rsidR="00F91969" w:rsidRPr="00E757AB" w:rsidRDefault="00F91969" w:rsidP="00F91969">
      <w:pPr>
        <w:pStyle w:val="BodyText2"/>
        <w:tabs>
          <w:tab w:val="left" w:pos="1864"/>
        </w:tabs>
        <w:spacing w:line="240" w:lineRule="auto"/>
        <w:jc w:val="both"/>
        <w:rPr>
          <w:rFonts w:ascii="Calibri" w:hAnsi="Calibri" w:cs="Calibri"/>
          <w:iCs/>
          <w:sz w:val="20"/>
          <w:szCs w:val="20"/>
        </w:rPr>
      </w:pP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Pr>
          <w:rFonts w:ascii="Calibri" w:hAnsi="Calibri" w:cs="Calibri"/>
          <w:iCs/>
        </w:rPr>
        <w:tab/>
      </w:r>
      <w:r w:rsidRPr="00E757AB">
        <w:rPr>
          <w:rFonts w:ascii="Calibri" w:hAnsi="Calibri" w:cs="Calibri"/>
          <w:iCs/>
          <w:sz w:val="20"/>
          <w:szCs w:val="20"/>
        </w:rPr>
        <w:t>Figure 2: CBF-C2 concrete over</w:t>
      </w:r>
      <w:r w:rsidR="00E757AB" w:rsidRPr="00E757AB">
        <w:rPr>
          <w:rFonts w:ascii="Calibri" w:hAnsi="Calibri" w:cs="Calibri"/>
          <w:iCs/>
          <w:sz w:val="20"/>
          <w:szCs w:val="20"/>
        </w:rPr>
        <w:t>-</w:t>
      </w:r>
      <w:r w:rsidRPr="00E757AB">
        <w:rPr>
          <w:rFonts w:ascii="Calibri" w:hAnsi="Calibri" w:cs="Calibri"/>
          <w:iCs/>
          <w:sz w:val="20"/>
          <w:szCs w:val="20"/>
        </w:rPr>
        <w:t>packs</w:t>
      </w:r>
      <w:r w:rsidRPr="00E757AB">
        <w:rPr>
          <w:rFonts w:ascii="Calibri" w:hAnsi="Calibri" w:cs="Calibri"/>
          <w:iCs/>
          <w:sz w:val="20"/>
          <w:szCs w:val="20"/>
        </w:rPr>
        <w:tab/>
      </w:r>
    </w:p>
    <w:p w:rsidR="00726AE1" w:rsidRPr="00F91969" w:rsidRDefault="00726AE1" w:rsidP="00F91969">
      <w:pPr>
        <w:pStyle w:val="BodyText2"/>
        <w:tabs>
          <w:tab w:val="left" w:pos="1864"/>
        </w:tabs>
        <w:spacing w:line="240" w:lineRule="auto"/>
        <w:jc w:val="both"/>
        <w:rPr>
          <w:rFonts w:ascii="Calibri" w:hAnsi="Calibri" w:cs="Calibri"/>
          <w:iCs/>
          <w:sz w:val="20"/>
          <w:szCs w:val="20"/>
        </w:rPr>
      </w:pPr>
      <w:r w:rsidRPr="00F91969">
        <w:rPr>
          <w:rFonts w:ascii="Calibri" w:hAnsi="Calibri" w:cs="Calibri"/>
          <w:iCs/>
          <w:sz w:val="20"/>
          <w:szCs w:val="20"/>
        </w:rPr>
        <w:lastRenderedPageBreak/>
        <w:t>Figure 1: TN 81 Transport/Storage container</w:t>
      </w:r>
    </w:p>
    <w:p w:rsidR="00E757AB" w:rsidRPr="00E757AB" w:rsidRDefault="006B216B" w:rsidP="00A030D4">
      <w:pPr>
        <w:pStyle w:val="BodyText2"/>
        <w:spacing w:before="240" w:line="240" w:lineRule="auto"/>
        <w:jc w:val="both"/>
        <w:rPr>
          <w:rFonts w:ascii="Calibri" w:hAnsi="Calibri" w:cs="Calibri"/>
          <w:i/>
          <w:iCs/>
        </w:rPr>
      </w:pPr>
      <w:r>
        <w:rPr>
          <w:rFonts w:ascii="Calibri" w:hAnsi="Calibri" w:cs="Calibri"/>
          <w:i/>
          <w:iCs/>
        </w:rPr>
        <w:t>Technological waste and CBF-</w:t>
      </w:r>
      <w:r w:rsidR="00E757AB" w:rsidRPr="00E757AB">
        <w:rPr>
          <w:rFonts w:ascii="Calibri" w:hAnsi="Calibri" w:cs="Calibri"/>
          <w:i/>
          <w:iCs/>
        </w:rPr>
        <w:t>C2 containers</w:t>
      </w:r>
    </w:p>
    <w:p w:rsidR="00E757AB" w:rsidRDefault="00E757AB" w:rsidP="00A030D4">
      <w:pPr>
        <w:pStyle w:val="BodyText2"/>
        <w:jc w:val="both"/>
        <w:rPr>
          <w:rFonts w:ascii="Calibri" w:hAnsi="Calibri" w:cs="Calibri"/>
          <w:iCs/>
        </w:rPr>
      </w:pPr>
      <w:r w:rsidRPr="00E757AB">
        <w:rPr>
          <w:rFonts w:ascii="Calibri" w:hAnsi="Calibri" w:cs="Calibri"/>
          <w:iCs/>
        </w:rPr>
        <w:t>The technological waste is generated from the reprocessing of the used fuel (e.g. process material and equipment, protective clothing, laboratory equipment etc.)</w:t>
      </w:r>
      <w:r w:rsidR="006B216B">
        <w:rPr>
          <w:rFonts w:ascii="Calibri" w:hAnsi="Calibri" w:cs="Calibri"/>
          <w:iCs/>
        </w:rPr>
        <w:t xml:space="preserve"> is compacted and compacted in steel drums. </w:t>
      </w:r>
      <w:r w:rsidR="006B216B" w:rsidRPr="006B216B">
        <w:rPr>
          <w:rFonts w:ascii="Calibri" w:hAnsi="Calibri" w:cs="Calibri"/>
          <w:iCs/>
        </w:rPr>
        <w:t>The cemented drummed waste is then placed inside concrete over packs or CBF-C2 containers</w:t>
      </w:r>
      <w:r w:rsidR="006B216B">
        <w:rPr>
          <w:rFonts w:ascii="Calibri" w:hAnsi="Calibri" w:cs="Calibri"/>
          <w:iCs/>
        </w:rPr>
        <w:t xml:space="preserve"> (Figure 2 above)</w:t>
      </w:r>
      <w:r w:rsidR="006B216B" w:rsidRPr="006B216B">
        <w:rPr>
          <w:rFonts w:ascii="Calibri" w:hAnsi="Calibri" w:cs="Calibri"/>
          <w:iCs/>
        </w:rPr>
        <w:t xml:space="preserve">. </w:t>
      </w:r>
      <w:r w:rsidR="006B216B">
        <w:rPr>
          <w:rFonts w:ascii="Calibri" w:hAnsi="Calibri" w:cs="Calibri"/>
          <w:iCs/>
        </w:rPr>
        <w:t xml:space="preserve">There will be six (6) CBF-C2 containers </w:t>
      </w:r>
      <w:r w:rsidR="006B216B" w:rsidRPr="006B216B">
        <w:rPr>
          <w:rFonts w:ascii="Calibri" w:hAnsi="Calibri" w:cs="Calibri"/>
          <w:iCs/>
        </w:rPr>
        <w:t xml:space="preserve">arranged in a metal frame which </w:t>
      </w:r>
      <w:r w:rsidR="006B216B">
        <w:rPr>
          <w:rFonts w:ascii="Calibri" w:hAnsi="Calibri" w:cs="Calibri"/>
          <w:iCs/>
        </w:rPr>
        <w:t>will be</w:t>
      </w:r>
      <w:r w:rsidR="006B216B" w:rsidRPr="006B216B">
        <w:rPr>
          <w:rFonts w:ascii="Calibri" w:hAnsi="Calibri" w:cs="Calibri"/>
          <w:iCs/>
        </w:rPr>
        <w:t xml:space="preserve"> placed in an IP-2 certified ISO shipping container</w:t>
      </w:r>
      <w:r w:rsidR="00B6492D">
        <w:rPr>
          <w:rFonts w:ascii="Calibri" w:hAnsi="Calibri" w:cs="Calibri"/>
          <w:iCs/>
        </w:rPr>
        <w:t xml:space="preserve"> (also called DV 78 </w:t>
      </w:r>
      <w:r w:rsidR="00A030D4">
        <w:rPr>
          <w:rFonts w:ascii="Calibri" w:hAnsi="Calibri" w:cs="Calibri"/>
          <w:iCs/>
        </w:rPr>
        <w:t>container</w:t>
      </w:r>
      <w:r w:rsidR="00B6492D">
        <w:rPr>
          <w:rFonts w:ascii="Calibri" w:hAnsi="Calibri" w:cs="Calibri"/>
          <w:iCs/>
        </w:rPr>
        <w:t>)</w:t>
      </w:r>
      <w:r w:rsidR="006B216B">
        <w:rPr>
          <w:rFonts w:ascii="Calibri" w:hAnsi="Calibri" w:cs="Calibri"/>
          <w:iCs/>
        </w:rPr>
        <w:t>.</w:t>
      </w:r>
    </w:p>
    <w:p w:rsidR="00B6492D" w:rsidRPr="00B6492D" w:rsidRDefault="00B6492D" w:rsidP="00A030D4">
      <w:pPr>
        <w:pStyle w:val="BodyText2"/>
        <w:jc w:val="both"/>
        <w:rPr>
          <w:rFonts w:ascii="Calibri" w:hAnsi="Calibri" w:cs="Calibri"/>
          <w:iCs/>
        </w:rPr>
      </w:pPr>
      <w:r w:rsidRPr="00B6492D">
        <w:rPr>
          <w:rFonts w:ascii="Calibri" w:hAnsi="Calibri" w:cs="Calibri"/>
          <w:iCs/>
        </w:rPr>
        <w:t>The DV78 container is removable-top type ship</w:t>
      </w:r>
      <w:r>
        <w:rPr>
          <w:rFonts w:ascii="Calibri" w:hAnsi="Calibri" w:cs="Calibri"/>
          <w:iCs/>
        </w:rPr>
        <w:t>ping container with</w:t>
      </w:r>
      <w:r w:rsidRPr="00B6492D">
        <w:rPr>
          <w:rFonts w:ascii="Calibri" w:hAnsi="Calibri" w:cs="Calibri"/>
          <w:iCs/>
        </w:rPr>
        <w:t xml:space="preserve"> the following dimensions:</w:t>
      </w:r>
    </w:p>
    <w:p w:rsidR="00B6492D" w:rsidRPr="00B6492D" w:rsidRDefault="00B6492D" w:rsidP="00C91EB0">
      <w:pPr>
        <w:pStyle w:val="BodyText2"/>
        <w:numPr>
          <w:ilvl w:val="0"/>
          <w:numId w:val="29"/>
        </w:numPr>
        <w:spacing w:after="120"/>
        <w:ind w:left="714" w:hanging="357"/>
        <w:jc w:val="both"/>
        <w:rPr>
          <w:rFonts w:ascii="Calibri" w:hAnsi="Calibri" w:cs="Calibri"/>
          <w:iCs/>
        </w:rPr>
      </w:pPr>
      <w:r w:rsidRPr="00B6492D">
        <w:rPr>
          <w:rFonts w:ascii="Calibri" w:hAnsi="Calibri" w:cs="Calibri"/>
          <w:iCs/>
        </w:rPr>
        <w:t>Length: 6 058 mm</w:t>
      </w:r>
    </w:p>
    <w:p w:rsidR="00B6492D" w:rsidRPr="00B6492D" w:rsidRDefault="00D76473" w:rsidP="00C91EB0">
      <w:pPr>
        <w:pStyle w:val="BodyText2"/>
        <w:numPr>
          <w:ilvl w:val="0"/>
          <w:numId w:val="29"/>
        </w:numPr>
        <w:spacing w:after="120"/>
        <w:ind w:left="714" w:hanging="357"/>
        <w:jc w:val="both"/>
        <w:rPr>
          <w:rFonts w:ascii="Calibri" w:hAnsi="Calibri" w:cs="Calibri"/>
          <w:iCs/>
        </w:rPr>
      </w:pPr>
      <w:r>
        <w:rPr>
          <w:rFonts w:ascii="Calibri" w:hAnsi="Calibri" w:cs="Calibri"/>
          <w:iCs/>
        </w:rPr>
        <w:t>Width: 2 438 mm</w:t>
      </w:r>
    </w:p>
    <w:p w:rsidR="006B216B" w:rsidRDefault="00B6492D" w:rsidP="00C91EB0">
      <w:pPr>
        <w:pStyle w:val="BodyText2"/>
        <w:numPr>
          <w:ilvl w:val="0"/>
          <w:numId w:val="29"/>
        </w:numPr>
        <w:spacing w:after="120"/>
        <w:ind w:left="714" w:hanging="357"/>
        <w:jc w:val="both"/>
        <w:rPr>
          <w:rFonts w:ascii="Calibri" w:hAnsi="Calibri" w:cs="Calibri"/>
          <w:iCs/>
        </w:rPr>
      </w:pPr>
      <w:r w:rsidRPr="00B6492D">
        <w:rPr>
          <w:rFonts w:ascii="Calibri" w:hAnsi="Calibri" w:cs="Calibri"/>
          <w:iCs/>
        </w:rPr>
        <w:t>Height: 2 591 mm</w:t>
      </w:r>
    </w:p>
    <w:p w:rsidR="006B216B" w:rsidRDefault="00D76473" w:rsidP="00A030D4">
      <w:pPr>
        <w:pStyle w:val="BodyText2"/>
        <w:jc w:val="both"/>
        <w:rPr>
          <w:rFonts w:ascii="Calibri" w:hAnsi="Calibri" w:cs="Calibri"/>
          <w:iCs/>
        </w:rPr>
      </w:pPr>
      <w:r>
        <w:rPr>
          <w:rFonts w:ascii="Calibri" w:hAnsi="Calibri" w:cs="Calibri"/>
          <w:iCs/>
        </w:rPr>
        <w:t>Each CBF-C2 container has the following features:</w:t>
      </w:r>
    </w:p>
    <w:p w:rsidR="00D76473" w:rsidRDefault="00D76473" w:rsidP="00C91EB0">
      <w:pPr>
        <w:pStyle w:val="BodyText2"/>
        <w:numPr>
          <w:ilvl w:val="0"/>
          <w:numId w:val="30"/>
        </w:numPr>
        <w:spacing w:after="120"/>
        <w:ind w:left="714" w:hanging="357"/>
        <w:jc w:val="both"/>
        <w:rPr>
          <w:rFonts w:ascii="Calibri" w:hAnsi="Calibri" w:cs="Calibri"/>
          <w:iCs/>
        </w:rPr>
      </w:pPr>
      <w:r>
        <w:rPr>
          <w:rFonts w:ascii="Calibri" w:hAnsi="Calibri" w:cs="Calibri"/>
          <w:iCs/>
        </w:rPr>
        <w:t>Overall dimensions: Diameter 1,000 mm x height 1,500 mm</w:t>
      </w:r>
    </w:p>
    <w:p w:rsidR="00D76473" w:rsidRDefault="00D76473" w:rsidP="00C91EB0">
      <w:pPr>
        <w:pStyle w:val="BodyText2"/>
        <w:numPr>
          <w:ilvl w:val="0"/>
          <w:numId w:val="30"/>
        </w:numPr>
        <w:spacing w:after="120"/>
        <w:ind w:left="714" w:hanging="357"/>
        <w:jc w:val="both"/>
        <w:rPr>
          <w:rFonts w:ascii="Calibri" w:hAnsi="Calibri" w:cs="Calibri"/>
          <w:iCs/>
        </w:rPr>
      </w:pPr>
      <w:r>
        <w:rPr>
          <w:rFonts w:ascii="Calibri" w:hAnsi="Calibri" w:cs="Calibri"/>
          <w:iCs/>
        </w:rPr>
        <w:t xml:space="preserve">Gross mass: 4,000 kg </w:t>
      </w:r>
    </w:p>
    <w:p w:rsidR="00E603D7" w:rsidRDefault="00E603D7" w:rsidP="00A030D4">
      <w:pPr>
        <w:pStyle w:val="BodyText2"/>
        <w:jc w:val="both"/>
        <w:rPr>
          <w:rFonts w:ascii="Calibri" w:hAnsi="Calibri" w:cs="Calibri"/>
          <w:iCs/>
        </w:rPr>
      </w:pPr>
      <w:r>
        <w:rPr>
          <w:rFonts w:ascii="Calibri" w:hAnsi="Calibri" w:cs="Calibri"/>
          <w:iCs/>
        </w:rPr>
        <w:t>The facility comprises the following systems and equipment:</w:t>
      </w:r>
    </w:p>
    <w:p w:rsidR="00E603D7" w:rsidRPr="001A0FA7" w:rsidRDefault="0016622B" w:rsidP="00A030D4">
      <w:pPr>
        <w:pStyle w:val="BodyText2"/>
        <w:jc w:val="both"/>
        <w:rPr>
          <w:rFonts w:ascii="Calibri" w:hAnsi="Calibri" w:cs="Calibri"/>
          <w:i/>
          <w:iCs/>
        </w:rPr>
      </w:pPr>
      <w:r w:rsidRPr="001A0FA7">
        <w:rPr>
          <w:rFonts w:ascii="Calibri" w:hAnsi="Calibri" w:cs="Calibri"/>
          <w:i/>
          <w:iCs/>
        </w:rPr>
        <w:t>Crane</w:t>
      </w:r>
    </w:p>
    <w:p w:rsidR="006B216B" w:rsidRDefault="006B216B" w:rsidP="00A030D4">
      <w:pPr>
        <w:pStyle w:val="BodyText2"/>
        <w:jc w:val="both"/>
        <w:rPr>
          <w:rFonts w:ascii="Calibri" w:hAnsi="Calibri" w:cs="Calibri"/>
          <w:iCs/>
        </w:rPr>
      </w:pPr>
      <w:r>
        <w:rPr>
          <w:rFonts w:ascii="Calibri" w:hAnsi="Calibri" w:cs="Calibri"/>
          <w:iCs/>
        </w:rPr>
        <w:t xml:space="preserve">The key operational aspect of the facility will involve installation of the </w:t>
      </w:r>
      <w:r w:rsidR="00BB15BE">
        <w:rPr>
          <w:rFonts w:ascii="Calibri" w:hAnsi="Calibri" w:cs="Calibri"/>
          <w:iCs/>
        </w:rPr>
        <w:t>TN-81 container and infrequent movement of t</w:t>
      </w:r>
      <w:r w:rsidR="00E80D62">
        <w:rPr>
          <w:rFonts w:ascii="Calibri" w:hAnsi="Calibri" w:cs="Calibri"/>
          <w:iCs/>
        </w:rPr>
        <w:t>h</w:t>
      </w:r>
      <w:r w:rsidR="00BB15BE">
        <w:rPr>
          <w:rFonts w:ascii="Calibri" w:hAnsi="Calibri" w:cs="Calibri"/>
          <w:iCs/>
        </w:rPr>
        <w:t xml:space="preserve">is container if required within the IWS. </w:t>
      </w:r>
      <w:r w:rsidR="00015865">
        <w:rPr>
          <w:rFonts w:ascii="Calibri" w:hAnsi="Calibri" w:cs="Calibri"/>
          <w:iCs/>
        </w:rPr>
        <w:t xml:space="preserve">Therefore, the </w:t>
      </w:r>
      <w:r w:rsidR="00BB15BE">
        <w:rPr>
          <w:rFonts w:ascii="Calibri" w:hAnsi="Calibri" w:cs="Calibri"/>
          <w:iCs/>
        </w:rPr>
        <w:t>140 tonnes DGR crane</w:t>
      </w:r>
      <w:r w:rsidR="00015865">
        <w:rPr>
          <w:rFonts w:ascii="Calibri" w:hAnsi="Calibri" w:cs="Calibri"/>
          <w:iCs/>
        </w:rPr>
        <w:t xml:space="preserve"> will perform the key safety function in the facility</w:t>
      </w:r>
      <w:r w:rsidR="00BB15BE">
        <w:rPr>
          <w:rFonts w:ascii="Calibri" w:hAnsi="Calibri" w:cs="Calibri"/>
          <w:iCs/>
        </w:rPr>
        <w:t>.</w:t>
      </w:r>
      <w:r w:rsidR="00E80D62">
        <w:rPr>
          <w:rFonts w:ascii="Calibri" w:hAnsi="Calibri" w:cs="Calibri"/>
          <w:iCs/>
        </w:rPr>
        <w:t xml:space="preserve"> </w:t>
      </w:r>
    </w:p>
    <w:p w:rsidR="00015865" w:rsidRDefault="0016622B" w:rsidP="00A030D4">
      <w:pPr>
        <w:pStyle w:val="BodyText2"/>
        <w:jc w:val="both"/>
        <w:rPr>
          <w:rFonts w:ascii="Calibri" w:hAnsi="Calibri" w:cs="Calibri"/>
          <w:iCs/>
        </w:rPr>
      </w:pPr>
      <w:r>
        <w:rPr>
          <w:rFonts w:ascii="Calibri" w:hAnsi="Calibri" w:cs="Calibri"/>
          <w:iCs/>
        </w:rPr>
        <w:t xml:space="preserve">The IWS </w:t>
      </w:r>
      <w:r w:rsidR="001A0FA7">
        <w:rPr>
          <w:rFonts w:ascii="Calibri" w:hAnsi="Calibri" w:cs="Calibri"/>
          <w:iCs/>
        </w:rPr>
        <w:t xml:space="preserve">overhead crane has a total capacity of 175 tonnes, which is designed to the requirements of </w:t>
      </w:r>
      <w:r w:rsidR="001A0FA7" w:rsidRPr="00D21214">
        <w:rPr>
          <w:rFonts w:ascii="Calibri" w:hAnsi="Calibri" w:cs="Calibri"/>
          <w:i/>
          <w:iCs/>
        </w:rPr>
        <w:t>Australian Standards 1418- Cranes Hoists and Winches</w:t>
      </w:r>
      <w:r w:rsidR="001A0FA7">
        <w:rPr>
          <w:rFonts w:ascii="Calibri" w:hAnsi="Calibri" w:cs="Calibri"/>
          <w:iCs/>
        </w:rPr>
        <w:t>.</w:t>
      </w:r>
      <w:r w:rsidR="00D21214">
        <w:rPr>
          <w:rFonts w:ascii="Calibri" w:hAnsi="Calibri" w:cs="Calibri"/>
          <w:iCs/>
        </w:rPr>
        <w:t xml:space="preserve"> </w:t>
      </w:r>
      <w:r w:rsidR="00B6492D">
        <w:rPr>
          <w:rFonts w:ascii="Calibri" w:hAnsi="Calibri" w:cs="Calibri"/>
          <w:iCs/>
        </w:rPr>
        <w:t xml:space="preserve"> </w:t>
      </w:r>
      <w:r w:rsidR="00D21214">
        <w:rPr>
          <w:rFonts w:ascii="Calibri" w:hAnsi="Calibri" w:cs="Calibri"/>
          <w:iCs/>
        </w:rPr>
        <w:t xml:space="preserve">ANSTO has commissioned the crane as part of IWS construction. </w:t>
      </w:r>
    </w:p>
    <w:p w:rsidR="0016622B" w:rsidRDefault="00D21214" w:rsidP="00AD07D1">
      <w:pPr>
        <w:pStyle w:val="BodyText2"/>
        <w:spacing w:line="240" w:lineRule="auto"/>
        <w:jc w:val="both"/>
        <w:rPr>
          <w:rFonts w:ascii="Calibri" w:hAnsi="Calibri" w:cs="Calibri"/>
          <w:iCs/>
        </w:rPr>
      </w:pPr>
      <w:r>
        <w:rPr>
          <w:rFonts w:ascii="Calibri" w:hAnsi="Calibri" w:cs="Calibri"/>
          <w:iCs/>
        </w:rPr>
        <w:t>The crane has the following safety features:</w:t>
      </w:r>
    </w:p>
    <w:p w:rsidR="00D21214" w:rsidRDefault="00D21214" w:rsidP="00C91EB0">
      <w:pPr>
        <w:pStyle w:val="BodyText2"/>
        <w:numPr>
          <w:ilvl w:val="0"/>
          <w:numId w:val="14"/>
        </w:numPr>
        <w:spacing w:after="120"/>
        <w:ind w:left="714" w:hanging="357"/>
        <w:jc w:val="both"/>
        <w:rPr>
          <w:rFonts w:ascii="Calibri" w:hAnsi="Calibri" w:cs="Calibri"/>
          <w:iCs/>
        </w:rPr>
      </w:pPr>
      <w:r>
        <w:rPr>
          <w:rFonts w:ascii="Calibri" w:hAnsi="Calibri" w:cs="Calibri"/>
          <w:iCs/>
        </w:rPr>
        <w:t>Limit switches to control the vertical</w:t>
      </w:r>
      <w:r w:rsidR="007C0206">
        <w:rPr>
          <w:rFonts w:ascii="Calibri" w:hAnsi="Calibri" w:cs="Calibri"/>
          <w:iCs/>
        </w:rPr>
        <w:t xml:space="preserve"> travel of the hoist</w:t>
      </w:r>
      <w:r w:rsidR="00015865">
        <w:rPr>
          <w:rFonts w:ascii="Calibri" w:hAnsi="Calibri" w:cs="Calibri"/>
          <w:iCs/>
        </w:rPr>
        <w:t>- this will prevent over travel of the crane</w:t>
      </w:r>
    </w:p>
    <w:p w:rsidR="007C0206" w:rsidRDefault="007C0206" w:rsidP="00C91EB0">
      <w:pPr>
        <w:pStyle w:val="BodyText2"/>
        <w:numPr>
          <w:ilvl w:val="0"/>
          <w:numId w:val="14"/>
        </w:numPr>
        <w:spacing w:after="120"/>
        <w:ind w:left="714" w:hanging="357"/>
        <w:jc w:val="both"/>
        <w:rPr>
          <w:rFonts w:ascii="Calibri" w:hAnsi="Calibri" w:cs="Calibri"/>
          <w:iCs/>
        </w:rPr>
      </w:pPr>
      <w:r>
        <w:rPr>
          <w:rFonts w:ascii="Calibri" w:hAnsi="Calibri" w:cs="Calibri"/>
          <w:iCs/>
        </w:rPr>
        <w:t>Remote control operation with an additional pend</w:t>
      </w:r>
      <w:r w:rsidR="003427FA">
        <w:rPr>
          <w:rFonts w:ascii="Calibri" w:hAnsi="Calibri" w:cs="Calibri"/>
          <w:iCs/>
        </w:rPr>
        <w:t>a</w:t>
      </w:r>
      <w:r>
        <w:rPr>
          <w:rFonts w:ascii="Calibri" w:hAnsi="Calibri" w:cs="Calibri"/>
          <w:iCs/>
        </w:rPr>
        <w:t>nt (backup)</w:t>
      </w:r>
      <w:r w:rsidR="000C7DB1">
        <w:rPr>
          <w:rFonts w:ascii="Calibri" w:hAnsi="Calibri" w:cs="Calibri"/>
          <w:iCs/>
        </w:rPr>
        <w:t xml:space="preserve"> </w:t>
      </w:r>
      <w:r w:rsidR="000C7DB1" w:rsidRPr="000C7DB1">
        <w:rPr>
          <w:rFonts w:ascii="Calibri" w:hAnsi="Calibri" w:cs="Calibri"/>
          <w:iCs/>
        </w:rPr>
        <w:t>and is fitted with an electronic data logging unit</w:t>
      </w:r>
      <w:r w:rsidR="00015865">
        <w:rPr>
          <w:rFonts w:ascii="Calibri" w:hAnsi="Calibri" w:cs="Calibri"/>
          <w:iCs/>
        </w:rPr>
        <w:t xml:space="preserve">- </w:t>
      </w:r>
      <w:r w:rsidR="000C7DB1">
        <w:rPr>
          <w:rFonts w:ascii="Calibri" w:hAnsi="Calibri" w:cs="Calibri"/>
          <w:iCs/>
        </w:rPr>
        <w:t>this will keep records of lifting frequency, loads and duration of operations</w:t>
      </w:r>
    </w:p>
    <w:p w:rsidR="007C0206" w:rsidRDefault="007C0206" w:rsidP="00C91EB0">
      <w:pPr>
        <w:pStyle w:val="BodyText2"/>
        <w:numPr>
          <w:ilvl w:val="0"/>
          <w:numId w:val="14"/>
        </w:numPr>
        <w:spacing w:after="120"/>
        <w:ind w:left="714" w:hanging="357"/>
        <w:jc w:val="both"/>
        <w:rPr>
          <w:rFonts w:ascii="Calibri" w:hAnsi="Calibri" w:cs="Calibri"/>
          <w:iCs/>
        </w:rPr>
      </w:pPr>
      <w:r>
        <w:rPr>
          <w:rFonts w:ascii="Calibri" w:hAnsi="Calibri" w:cs="Calibri"/>
          <w:iCs/>
        </w:rPr>
        <w:t>Secondary brakes (Note: addition of this safety feature exceeds the requirement of AS 1418)</w:t>
      </w:r>
      <w:r w:rsidR="00015865">
        <w:rPr>
          <w:rFonts w:ascii="Calibri" w:hAnsi="Calibri" w:cs="Calibri"/>
          <w:iCs/>
        </w:rPr>
        <w:t>- any failure of the primary brake will not result in loss of control of the load</w:t>
      </w:r>
    </w:p>
    <w:p w:rsidR="00944747" w:rsidRPr="00944747" w:rsidRDefault="00944747" w:rsidP="00AD07D1">
      <w:pPr>
        <w:pStyle w:val="BodyText2"/>
        <w:spacing w:line="240" w:lineRule="auto"/>
        <w:jc w:val="both"/>
        <w:rPr>
          <w:rFonts w:ascii="Calibri" w:hAnsi="Calibri" w:cs="Calibri"/>
          <w:i/>
          <w:iCs/>
        </w:rPr>
      </w:pPr>
      <w:r w:rsidRPr="00944747">
        <w:rPr>
          <w:rFonts w:ascii="Calibri" w:hAnsi="Calibri" w:cs="Calibri"/>
          <w:i/>
          <w:iCs/>
        </w:rPr>
        <w:t>Ventilation system</w:t>
      </w:r>
    </w:p>
    <w:p w:rsidR="00944747" w:rsidRDefault="00EE5A4A" w:rsidP="00884534">
      <w:pPr>
        <w:pStyle w:val="BodyText2"/>
        <w:jc w:val="both"/>
        <w:rPr>
          <w:rFonts w:ascii="Calibri" w:hAnsi="Calibri" w:cs="Calibri"/>
          <w:iCs/>
        </w:rPr>
      </w:pPr>
      <w:r>
        <w:rPr>
          <w:rFonts w:ascii="Calibri" w:hAnsi="Calibri" w:cs="Calibri"/>
          <w:iCs/>
        </w:rPr>
        <w:t>The IWS contains both natural and mechanical ventilation system</w:t>
      </w:r>
      <w:r w:rsidR="00D60B43">
        <w:rPr>
          <w:rFonts w:ascii="Calibri" w:hAnsi="Calibri" w:cs="Calibri"/>
          <w:iCs/>
        </w:rPr>
        <w:t>s</w:t>
      </w:r>
      <w:r>
        <w:rPr>
          <w:rFonts w:ascii="Calibri" w:hAnsi="Calibri" w:cs="Calibri"/>
          <w:iCs/>
        </w:rPr>
        <w:t xml:space="preserve">. </w:t>
      </w:r>
      <w:r w:rsidRPr="00EE5A4A">
        <w:rPr>
          <w:rFonts w:ascii="Calibri" w:hAnsi="Calibri" w:cs="Calibri"/>
          <w:iCs/>
        </w:rPr>
        <w:t xml:space="preserve">When </w:t>
      </w:r>
      <w:r w:rsidR="00A030D4">
        <w:rPr>
          <w:rFonts w:ascii="Calibri" w:hAnsi="Calibri" w:cs="Calibri"/>
          <w:iCs/>
        </w:rPr>
        <w:t xml:space="preserve">the room ambient temperature </w:t>
      </w:r>
      <w:r>
        <w:rPr>
          <w:rFonts w:ascii="Calibri" w:hAnsi="Calibri" w:cs="Calibri"/>
          <w:iCs/>
        </w:rPr>
        <w:t xml:space="preserve">exceeds 28 </w:t>
      </w:r>
      <w:r>
        <w:rPr>
          <w:rFonts w:ascii="Calibri" w:hAnsi="Calibri" w:cs="Calibri"/>
          <w:iCs/>
        </w:rPr>
        <w:sym w:font="Symbol" w:char="F0B0"/>
      </w:r>
      <w:r>
        <w:rPr>
          <w:rFonts w:ascii="Calibri" w:hAnsi="Calibri" w:cs="Calibri"/>
          <w:iCs/>
        </w:rPr>
        <w:t xml:space="preserve"> C</w:t>
      </w:r>
      <w:r w:rsidRPr="00EE5A4A">
        <w:rPr>
          <w:rFonts w:ascii="Calibri" w:hAnsi="Calibri" w:cs="Calibri"/>
          <w:iCs/>
        </w:rPr>
        <w:t>, the mechanical ventilation system will be automatically activated and the booster fans (8 off)</w:t>
      </w:r>
      <w:r>
        <w:rPr>
          <w:rFonts w:ascii="Calibri" w:hAnsi="Calibri" w:cs="Calibri"/>
          <w:iCs/>
        </w:rPr>
        <w:t xml:space="preserve"> </w:t>
      </w:r>
      <w:r w:rsidRPr="00EE5A4A">
        <w:rPr>
          <w:rFonts w:ascii="Calibri" w:hAnsi="Calibri" w:cs="Calibri"/>
          <w:iCs/>
        </w:rPr>
        <w:t>will be operated automatically</w:t>
      </w:r>
      <w:r>
        <w:rPr>
          <w:rFonts w:ascii="Calibri" w:hAnsi="Calibri" w:cs="Calibri"/>
          <w:iCs/>
        </w:rPr>
        <w:t>.</w:t>
      </w:r>
    </w:p>
    <w:p w:rsidR="0044485F" w:rsidRDefault="0044485F" w:rsidP="00884534">
      <w:pPr>
        <w:pStyle w:val="BodyText2"/>
        <w:jc w:val="both"/>
        <w:rPr>
          <w:rFonts w:ascii="Calibri" w:hAnsi="Calibri" w:cs="Calibri"/>
          <w:iCs/>
        </w:rPr>
      </w:pPr>
    </w:p>
    <w:p w:rsidR="00EE5A4A" w:rsidRPr="008419C7" w:rsidRDefault="008419C7" w:rsidP="00AD07D1">
      <w:pPr>
        <w:pStyle w:val="BodyText2"/>
        <w:spacing w:line="240" w:lineRule="auto"/>
        <w:jc w:val="both"/>
        <w:rPr>
          <w:rFonts w:ascii="Calibri" w:hAnsi="Calibri" w:cs="Calibri"/>
          <w:i/>
          <w:iCs/>
        </w:rPr>
      </w:pPr>
      <w:r w:rsidRPr="008419C7">
        <w:rPr>
          <w:rFonts w:ascii="Calibri" w:hAnsi="Calibri" w:cs="Calibri"/>
          <w:i/>
          <w:iCs/>
        </w:rPr>
        <w:lastRenderedPageBreak/>
        <w:t>Area radiation monitors</w:t>
      </w:r>
    </w:p>
    <w:p w:rsidR="008419C7" w:rsidRDefault="008419C7" w:rsidP="00AD07D1">
      <w:pPr>
        <w:pStyle w:val="BodyText2"/>
        <w:spacing w:line="240" w:lineRule="auto"/>
        <w:jc w:val="both"/>
        <w:rPr>
          <w:rFonts w:ascii="Calibri" w:hAnsi="Calibri" w:cs="Calibri"/>
          <w:iCs/>
        </w:rPr>
      </w:pPr>
      <w:r>
        <w:rPr>
          <w:rFonts w:ascii="Calibri" w:hAnsi="Calibri" w:cs="Calibri"/>
          <w:iCs/>
        </w:rPr>
        <w:t>The IWS will be equipped with fixed area radiation monitors to monitor any increase level of radiation.</w:t>
      </w:r>
    </w:p>
    <w:p w:rsidR="00EE5A4A" w:rsidRPr="00F73796" w:rsidRDefault="00F73796" w:rsidP="00AD07D1">
      <w:pPr>
        <w:pStyle w:val="BodyText2"/>
        <w:spacing w:line="240" w:lineRule="auto"/>
        <w:jc w:val="both"/>
        <w:rPr>
          <w:rFonts w:ascii="Calibri" w:hAnsi="Calibri" w:cs="Calibri"/>
          <w:i/>
          <w:iCs/>
        </w:rPr>
      </w:pPr>
      <w:r w:rsidRPr="00F73796">
        <w:rPr>
          <w:rFonts w:ascii="Calibri" w:hAnsi="Calibri" w:cs="Calibri"/>
          <w:i/>
          <w:iCs/>
        </w:rPr>
        <w:t>Inter-lid pressure monitoring system</w:t>
      </w:r>
    </w:p>
    <w:p w:rsidR="00F73796" w:rsidRDefault="009860A9" w:rsidP="00884534">
      <w:pPr>
        <w:pStyle w:val="BodyText2"/>
        <w:jc w:val="both"/>
        <w:rPr>
          <w:rFonts w:ascii="Calibri" w:hAnsi="Calibri" w:cs="Calibri"/>
          <w:iCs/>
        </w:rPr>
      </w:pPr>
      <w:r w:rsidRPr="009860A9">
        <w:rPr>
          <w:rFonts w:ascii="Calibri" w:hAnsi="Calibri" w:cs="Calibri"/>
          <w:iCs/>
        </w:rPr>
        <w:t>The</w:t>
      </w:r>
      <w:r>
        <w:rPr>
          <w:rFonts w:ascii="Calibri" w:hAnsi="Calibri" w:cs="Calibri"/>
          <w:iCs/>
        </w:rPr>
        <w:t>re will</w:t>
      </w:r>
      <w:r w:rsidRPr="009860A9">
        <w:rPr>
          <w:rFonts w:ascii="Calibri" w:hAnsi="Calibri" w:cs="Calibri"/>
          <w:iCs/>
        </w:rPr>
        <w:t xml:space="preserve"> </w:t>
      </w:r>
      <w:r w:rsidR="00D60B43">
        <w:rPr>
          <w:rFonts w:ascii="Calibri" w:hAnsi="Calibri" w:cs="Calibri"/>
          <w:iCs/>
        </w:rPr>
        <w:t xml:space="preserve">be a </w:t>
      </w:r>
      <w:r w:rsidRPr="009860A9">
        <w:rPr>
          <w:rFonts w:ascii="Calibri" w:hAnsi="Calibri" w:cs="Calibri"/>
          <w:iCs/>
        </w:rPr>
        <w:t xml:space="preserve">monitoring system </w:t>
      </w:r>
      <w:r>
        <w:rPr>
          <w:rFonts w:ascii="Calibri" w:hAnsi="Calibri" w:cs="Calibri"/>
          <w:iCs/>
        </w:rPr>
        <w:t xml:space="preserve">(three pressure sensors) </w:t>
      </w:r>
      <w:r w:rsidR="00D60B43">
        <w:rPr>
          <w:rFonts w:ascii="Calibri" w:hAnsi="Calibri" w:cs="Calibri"/>
          <w:iCs/>
        </w:rPr>
        <w:t xml:space="preserve">which </w:t>
      </w:r>
      <w:r w:rsidRPr="009860A9">
        <w:rPr>
          <w:rFonts w:ascii="Calibri" w:hAnsi="Calibri" w:cs="Calibri"/>
          <w:iCs/>
        </w:rPr>
        <w:t>measure</w:t>
      </w:r>
      <w:r w:rsidR="00D60B43">
        <w:rPr>
          <w:rFonts w:ascii="Calibri" w:hAnsi="Calibri" w:cs="Calibri"/>
          <w:iCs/>
        </w:rPr>
        <w:t>s</w:t>
      </w:r>
      <w:r w:rsidRPr="009860A9">
        <w:rPr>
          <w:rFonts w:ascii="Calibri" w:hAnsi="Calibri" w:cs="Calibri"/>
          <w:iCs/>
        </w:rPr>
        <w:t xml:space="preserve"> the gas pressure</w:t>
      </w:r>
      <w:r>
        <w:rPr>
          <w:rFonts w:ascii="Calibri" w:hAnsi="Calibri" w:cs="Calibri"/>
          <w:iCs/>
        </w:rPr>
        <w:t xml:space="preserve"> continuously in t</w:t>
      </w:r>
      <w:r w:rsidRPr="009860A9">
        <w:rPr>
          <w:rFonts w:ascii="Calibri" w:hAnsi="Calibri" w:cs="Calibri"/>
          <w:iCs/>
        </w:rPr>
        <w:t>he inter-lid space between the primary and secondary lid of the TN81 Transport/Storage Container</w:t>
      </w:r>
      <w:r>
        <w:rPr>
          <w:rFonts w:ascii="Calibri" w:hAnsi="Calibri" w:cs="Calibri"/>
          <w:iCs/>
        </w:rPr>
        <w:t>.</w:t>
      </w:r>
      <w:r w:rsidRPr="009860A9">
        <w:rPr>
          <w:rFonts w:ascii="Calibri" w:hAnsi="Calibri" w:cs="Calibri"/>
          <w:iCs/>
        </w:rPr>
        <w:t xml:space="preserve"> </w:t>
      </w:r>
      <w:r>
        <w:rPr>
          <w:rFonts w:ascii="Calibri" w:hAnsi="Calibri" w:cs="Calibri"/>
          <w:iCs/>
        </w:rPr>
        <w:t>The pressure data will be</w:t>
      </w:r>
      <w:r w:rsidRPr="009860A9">
        <w:rPr>
          <w:rFonts w:ascii="Calibri" w:hAnsi="Calibri" w:cs="Calibri"/>
          <w:iCs/>
        </w:rPr>
        <w:t xml:space="preserve"> displayed on monitors located in the control room. </w:t>
      </w:r>
    </w:p>
    <w:p w:rsidR="009860A9" w:rsidRPr="00FD2EA7" w:rsidRDefault="00FD2EA7" w:rsidP="00AD07D1">
      <w:pPr>
        <w:pStyle w:val="BodyText2"/>
        <w:spacing w:line="240" w:lineRule="auto"/>
        <w:jc w:val="both"/>
        <w:rPr>
          <w:rFonts w:ascii="Calibri" w:hAnsi="Calibri" w:cs="Calibri"/>
          <w:i/>
          <w:iCs/>
        </w:rPr>
      </w:pPr>
      <w:r w:rsidRPr="00FD2EA7">
        <w:rPr>
          <w:rFonts w:ascii="Calibri" w:hAnsi="Calibri" w:cs="Calibri"/>
          <w:i/>
          <w:iCs/>
        </w:rPr>
        <w:t>Other services</w:t>
      </w:r>
    </w:p>
    <w:p w:rsidR="00DA7265" w:rsidRDefault="00DA7265" w:rsidP="00DA7265">
      <w:pPr>
        <w:pStyle w:val="BodyText2"/>
        <w:spacing w:line="240" w:lineRule="auto"/>
        <w:jc w:val="both"/>
        <w:rPr>
          <w:rFonts w:ascii="Calibri" w:hAnsi="Calibri" w:cs="Calibri"/>
          <w:iCs/>
        </w:rPr>
      </w:pPr>
      <w:r>
        <w:rPr>
          <w:rFonts w:ascii="Calibri" w:hAnsi="Calibri" w:cs="Calibri"/>
          <w:iCs/>
        </w:rPr>
        <w:t>Other services in the IWS facility include:</w:t>
      </w:r>
    </w:p>
    <w:p w:rsidR="00DA7265" w:rsidRDefault="00DA7265" w:rsidP="00C91EB0">
      <w:pPr>
        <w:pStyle w:val="BodyText2"/>
        <w:numPr>
          <w:ilvl w:val="0"/>
          <w:numId w:val="15"/>
        </w:numPr>
        <w:spacing w:after="120"/>
        <w:ind w:left="714" w:hanging="357"/>
        <w:jc w:val="both"/>
        <w:rPr>
          <w:rFonts w:ascii="Calibri" w:hAnsi="Calibri" w:cs="Calibri"/>
          <w:iCs/>
        </w:rPr>
      </w:pPr>
      <w:r>
        <w:rPr>
          <w:rFonts w:ascii="Calibri" w:hAnsi="Calibri" w:cs="Calibri"/>
          <w:iCs/>
        </w:rPr>
        <w:t>Nitrogen and helium gas supply system</w:t>
      </w:r>
    </w:p>
    <w:p w:rsidR="00DA7265" w:rsidRDefault="00DA7265" w:rsidP="00C91EB0">
      <w:pPr>
        <w:pStyle w:val="BodyText2"/>
        <w:numPr>
          <w:ilvl w:val="0"/>
          <w:numId w:val="15"/>
        </w:numPr>
        <w:spacing w:after="120"/>
        <w:ind w:left="714" w:hanging="357"/>
        <w:jc w:val="both"/>
        <w:rPr>
          <w:rFonts w:ascii="Calibri" w:hAnsi="Calibri" w:cs="Calibri"/>
          <w:iCs/>
        </w:rPr>
      </w:pPr>
      <w:r>
        <w:rPr>
          <w:rFonts w:ascii="Calibri" w:hAnsi="Calibri" w:cs="Calibri"/>
          <w:iCs/>
        </w:rPr>
        <w:t>Fire-fighting system</w:t>
      </w:r>
    </w:p>
    <w:p w:rsidR="00DA7265" w:rsidRDefault="00DA7265" w:rsidP="00C91EB0">
      <w:pPr>
        <w:pStyle w:val="BodyText2"/>
        <w:numPr>
          <w:ilvl w:val="0"/>
          <w:numId w:val="15"/>
        </w:numPr>
        <w:spacing w:after="120"/>
        <w:ind w:left="714" w:hanging="357"/>
        <w:jc w:val="both"/>
        <w:rPr>
          <w:rFonts w:ascii="Calibri" w:hAnsi="Calibri" w:cs="Calibri"/>
          <w:iCs/>
        </w:rPr>
      </w:pPr>
      <w:r>
        <w:rPr>
          <w:rFonts w:ascii="Calibri" w:hAnsi="Calibri" w:cs="Calibri"/>
          <w:iCs/>
        </w:rPr>
        <w:t>Active drainage system</w:t>
      </w:r>
    </w:p>
    <w:p w:rsidR="00DA7265" w:rsidRDefault="001A3873" w:rsidP="00C91EB0">
      <w:pPr>
        <w:pStyle w:val="BodyText2"/>
        <w:numPr>
          <w:ilvl w:val="0"/>
          <w:numId w:val="15"/>
        </w:numPr>
        <w:ind w:left="714" w:hanging="357"/>
        <w:jc w:val="both"/>
        <w:rPr>
          <w:rFonts w:ascii="Calibri" w:hAnsi="Calibri" w:cs="Calibri"/>
          <w:iCs/>
        </w:rPr>
      </w:pPr>
      <w:r>
        <w:rPr>
          <w:rFonts w:ascii="Calibri" w:hAnsi="Calibri" w:cs="Calibri"/>
          <w:iCs/>
        </w:rPr>
        <w:t>Security systems and alarms interfaced with existing ANSTO site wide system</w:t>
      </w:r>
    </w:p>
    <w:p w:rsidR="000C2AC2" w:rsidRPr="00FC5CEF" w:rsidRDefault="000C2AC2" w:rsidP="004C0EA0">
      <w:pPr>
        <w:pStyle w:val="Conclusion"/>
        <w:jc w:val="both"/>
      </w:pPr>
      <w:r w:rsidRPr="00FC5CEF">
        <w:t>Conclusion</w:t>
      </w:r>
    </w:p>
    <w:p w:rsidR="000C312F" w:rsidRDefault="000C312F" w:rsidP="00C94E2C">
      <w:pPr>
        <w:pStyle w:val="BodyText2"/>
        <w:jc w:val="both"/>
        <w:rPr>
          <w:rFonts w:ascii="Calibri" w:hAnsi="Calibri" w:cs="Calibri"/>
        </w:rPr>
      </w:pPr>
      <w:r>
        <w:rPr>
          <w:rFonts w:ascii="Calibri" w:hAnsi="Calibri" w:cs="Calibri"/>
        </w:rPr>
        <w:t>ARPANSA assessor notes that no processing activities will be undertaken at the IWS facility; one TN81 cask and six drummed wastes in concrete over-pack placed in an ISO container will be store</w:t>
      </w:r>
      <w:r w:rsidR="00884534">
        <w:rPr>
          <w:rFonts w:ascii="Calibri" w:hAnsi="Calibri" w:cs="Calibri"/>
        </w:rPr>
        <w:t>d</w:t>
      </w:r>
      <w:r>
        <w:rPr>
          <w:rFonts w:ascii="Calibri" w:hAnsi="Calibri" w:cs="Calibri"/>
        </w:rPr>
        <w:t xml:space="preserve"> in the facility. Considering the nature of </w:t>
      </w:r>
      <w:r w:rsidR="00884534">
        <w:rPr>
          <w:rFonts w:ascii="Calibri" w:hAnsi="Calibri" w:cs="Calibri"/>
        </w:rPr>
        <w:t>what is</w:t>
      </w:r>
      <w:r>
        <w:rPr>
          <w:rFonts w:ascii="Calibri" w:hAnsi="Calibri" w:cs="Calibri"/>
        </w:rPr>
        <w:t xml:space="preserve"> t</w:t>
      </w:r>
      <w:r w:rsidR="004F71E7">
        <w:rPr>
          <w:rFonts w:ascii="Calibri" w:hAnsi="Calibri" w:cs="Calibri"/>
        </w:rPr>
        <w:t xml:space="preserve">o be undertaken at the facility the ARPANSA assessor considers that the systems and equipment comprising the facility are suitable for its operation. </w:t>
      </w:r>
      <w:r>
        <w:rPr>
          <w:rFonts w:ascii="Calibri" w:hAnsi="Calibri" w:cs="Calibri"/>
        </w:rPr>
        <w:t xml:space="preserve">ANSTO has applied suitable </w:t>
      </w:r>
      <w:r w:rsidR="004F71E7">
        <w:rPr>
          <w:rFonts w:ascii="Calibri" w:hAnsi="Calibri" w:cs="Calibri"/>
        </w:rPr>
        <w:t>standards and codes for the construction of these systems and equipment. Further details of construction of the structures, systems and components of the facility were considered in</w:t>
      </w:r>
      <w:r w:rsidR="00E37F7A">
        <w:rPr>
          <w:rFonts w:ascii="Calibri" w:hAnsi="Calibri" w:cs="Calibri"/>
        </w:rPr>
        <w:t xml:space="preserve"> the assessment of licence application for siting and </w:t>
      </w:r>
      <w:r w:rsidR="003454EF">
        <w:rPr>
          <w:rFonts w:ascii="Calibri" w:hAnsi="Calibri" w:cs="Calibri"/>
        </w:rPr>
        <w:t>construction</w:t>
      </w:r>
      <w:r w:rsidR="00E37F7A">
        <w:rPr>
          <w:rFonts w:ascii="Calibri" w:hAnsi="Calibri" w:cs="Calibri"/>
        </w:rPr>
        <w:t xml:space="preserve"> of the IWS facility and found acceptable (R13/06576).</w:t>
      </w:r>
    </w:p>
    <w:p w:rsidR="000C2AC2" w:rsidRPr="00AA40C8" w:rsidRDefault="00BD34DB" w:rsidP="0027294F">
      <w:pPr>
        <w:pStyle w:val="Heading3"/>
        <w:keepLines w:val="0"/>
        <w:spacing w:before="0" w:line="240" w:lineRule="auto"/>
        <w:jc w:val="both"/>
        <w:rPr>
          <w:rFonts w:ascii="Calibri" w:hAnsi="Calibri" w:cs="Calibri"/>
          <w:color w:val="0070C0"/>
        </w:rPr>
      </w:pPr>
      <w:bookmarkStart w:id="122" w:name="_Toc417974602"/>
      <w:r>
        <w:rPr>
          <w:rFonts w:ascii="Calibri" w:hAnsi="Calibri" w:cs="Calibri"/>
          <w:color w:val="0070C0"/>
        </w:rPr>
        <w:t>Final safety analysis report</w:t>
      </w:r>
      <w:r w:rsidR="000C2AC2" w:rsidRPr="00AA40C8">
        <w:rPr>
          <w:rFonts w:ascii="Calibri" w:hAnsi="Calibri" w:cs="Calibri"/>
          <w:color w:val="0070C0"/>
        </w:rPr>
        <w:t xml:space="preserve"> [Item 1</w:t>
      </w:r>
      <w:r>
        <w:rPr>
          <w:rFonts w:ascii="Calibri" w:hAnsi="Calibri" w:cs="Calibri"/>
          <w:color w:val="0070C0"/>
        </w:rPr>
        <w:t>6</w:t>
      </w:r>
      <w:r w:rsidR="000C2AC2" w:rsidRPr="00AA40C8">
        <w:rPr>
          <w:rFonts w:ascii="Calibri" w:hAnsi="Calibri" w:cs="Calibri"/>
          <w:color w:val="0070C0"/>
        </w:rPr>
        <w:t>]</w:t>
      </w:r>
      <w:bookmarkEnd w:id="122"/>
    </w:p>
    <w:p w:rsidR="00BD34DB" w:rsidRPr="005D2202" w:rsidRDefault="00BD34DB" w:rsidP="00312A7E">
      <w:pPr>
        <w:pStyle w:val="DepartmentalNormal"/>
        <w:jc w:val="both"/>
        <w:rPr>
          <w:i/>
        </w:rPr>
      </w:pPr>
      <w:r w:rsidRPr="005D2202">
        <w:rPr>
          <w:i/>
        </w:rPr>
        <w:t xml:space="preserve">Item 16 </w:t>
      </w:r>
      <w:r>
        <w:rPr>
          <w:i/>
        </w:rPr>
        <w:t>of part 1 of Schedule 3 of the Regulation requires the applicant to provide a final safety analysis report that demonstrates the adequacy of the design of the controlled facility, and includes the results of commissioning tests.</w:t>
      </w:r>
    </w:p>
    <w:p w:rsidR="000C2AC2" w:rsidRDefault="00BD34DB" w:rsidP="00312A7E">
      <w:pPr>
        <w:pStyle w:val="BodyText2"/>
        <w:jc w:val="both"/>
        <w:rPr>
          <w:rFonts w:ascii="Calibri" w:hAnsi="Calibri" w:cs="Calibri"/>
          <w:i/>
          <w:iCs/>
        </w:rPr>
      </w:pPr>
      <w:r w:rsidRPr="00944E7A">
        <w:rPr>
          <w:i/>
        </w:rPr>
        <w:t>For each of the principal stages in the life of a controlled facility and as part of its regulatory assessment process, ARPANSA requires the applicant to submit a safety case with the licence application. The safety case includes the design information for the facility, the operational limits and conditions within which the facility must operate, and a safety analysis, documented in a final safety analysis report (FSAR)</w:t>
      </w:r>
      <w:r>
        <w:rPr>
          <w:i/>
        </w:rPr>
        <w:t xml:space="preserve"> </w:t>
      </w:r>
      <w:r w:rsidRPr="005D2202">
        <w:t>(RAPS</w:t>
      </w:r>
      <w:r>
        <w:rPr>
          <w:i/>
        </w:rPr>
        <w:t xml:space="preserve"> </w:t>
      </w:r>
      <w:r>
        <w:t>17-25) [4]</w:t>
      </w:r>
      <w:r w:rsidR="00F0012F">
        <w:t>, [5]</w:t>
      </w:r>
      <w:r w:rsidR="000C2AC2" w:rsidRPr="007624F2">
        <w:rPr>
          <w:rFonts w:ascii="Calibri" w:hAnsi="Calibri" w:cs="Calibri"/>
          <w:i/>
          <w:iCs/>
        </w:rPr>
        <w:t xml:space="preserve">. </w:t>
      </w:r>
    </w:p>
    <w:p w:rsidR="00BD34DB" w:rsidRPr="00C205EB" w:rsidRDefault="00BD34DB" w:rsidP="00BD34DB">
      <w:pPr>
        <w:ind w:firstLine="357"/>
        <w:rPr>
          <w:b/>
          <w:i/>
          <w:color w:val="0070C0"/>
          <w:szCs w:val="24"/>
        </w:rPr>
      </w:pPr>
      <w:r w:rsidRPr="00C205EB">
        <w:rPr>
          <w:b/>
          <w:i/>
          <w:color w:val="0070C0"/>
          <w:szCs w:val="24"/>
        </w:rPr>
        <w:t>2.3.2.1</w:t>
      </w:r>
      <w:r w:rsidRPr="00C205EB">
        <w:rPr>
          <w:b/>
          <w:i/>
          <w:color w:val="0070C0"/>
          <w:szCs w:val="24"/>
        </w:rPr>
        <w:tab/>
      </w:r>
      <w:r w:rsidRPr="00C205EB">
        <w:rPr>
          <w:b/>
          <w:i/>
          <w:color w:val="0070C0"/>
          <w:szCs w:val="24"/>
        </w:rPr>
        <w:tab/>
        <w:t>Hazard categorisation of systems, structures and components</w:t>
      </w:r>
    </w:p>
    <w:p w:rsidR="00BD34DB" w:rsidRPr="00566539" w:rsidRDefault="00566539" w:rsidP="00312A7E">
      <w:pPr>
        <w:jc w:val="both"/>
        <w:rPr>
          <w:szCs w:val="24"/>
        </w:rPr>
      </w:pPr>
      <w:r w:rsidRPr="00566539">
        <w:rPr>
          <w:szCs w:val="24"/>
        </w:rPr>
        <w:t>The safety analysis should take into account</w:t>
      </w:r>
      <w:r>
        <w:rPr>
          <w:szCs w:val="24"/>
        </w:rPr>
        <w:t xml:space="preserve"> the categorisation by safety significance of structures, systems and components and the rigour of the </w:t>
      </w:r>
      <w:r w:rsidR="00C205EB">
        <w:rPr>
          <w:szCs w:val="24"/>
        </w:rPr>
        <w:t>safety analysis is consistent with that categorisation.</w:t>
      </w:r>
    </w:p>
    <w:p w:rsidR="00BD34DB" w:rsidRDefault="00BD34DB" w:rsidP="00312A7E">
      <w:pPr>
        <w:jc w:val="both"/>
        <w:rPr>
          <w:szCs w:val="24"/>
        </w:rPr>
      </w:pPr>
      <w:r w:rsidRPr="00C205EB">
        <w:rPr>
          <w:szCs w:val="24"/>
        </w:rPr>
        <w:t xml:space="preserve">Section </w:t>
      </w:r>
      <w:r w:rsidR="00C205EB" w:rsidRPr="00C205EB">
        <w:rPr>
          <w:szCs w:val="24"/>
        </w:rPr>
        <w:t>3.3</w:t>
      </w:r>
      <w:r w:rsidR="00690183" w:rsidRPr="00C205EB">
        <w:rPr>
          <w:szCs w:val="24"/>
        </w:rPr>
        <w:t xml:space="preserve"> </w:t>
      </w:r>
      <w:r w:rsidRPr="00C205EB">
        <w:rPr>
          <w:szCs w:val="24"/>
        </w:rPr>
        <w:t>of the Safety Analysis Report (SAR) (</w:t>
      </w:r>
      <w:r w:rsidR="00C205EB" w:rsidRPr="00C205EB">
        <w:rPr>
          <w:szCs w:val="24"/>
        </w:rPr>
        <w:t>IWS-O-LA-SAR)</w:t>
      </w:r>
      <w:r w:rsidRPr="00C205EB">
        <w:rPr>
          <w:szCs w:val="24"/>
        </w:rPr>
        <w:t xml:space="preserve"> describes the categorisation of systems, structures and components (SSCs) of systems related to radiological safety following ANSTO Guidance on </w:t>
      </w:r>
      <w:r w:rsidRPr="00C205EB">
        <w:rPr>
          <w:szCs w:val="24"/>
        </w:rPr>
        <w:lastRenderedPageBreak/>
        <w:t>Safety Categorisation of Systems, Structures and Components ANSTO/T/TN/20</w:t>
      </w:r>
      <w:r w:rsidR="00C205EB">
        <w:rPr>
          <w:szCs w:val="24"/>
        </w:rPr>
        <w:t xml:space="preserve">08-11. The safety analysis is supported by </w:t>
      </w:r>
      <w:r w:rsidR="003E573A">
        <w:rPr>
          <w:szCs w:val="24"/>
        </w:rPr>
        <w:t>Safety Assessment of the IWS (ANSTO/T/TN/2012-03 rev 3) that describes the details of safety categorisation of structures, systems and components.</w:t>
      </w:r>
    </w:p>
    <w:p w:rsidR="00BD34DB" w:rsidRDefault="00FE5AB1" w:rsidP="00F92E0B">
      <w:pPr>
        <w:jc w:val="both"/>
        <w:rPr>
          <w:szCs w:val="24"/>
        </w:rPr>
      </w:pPr>
      <w:r>
        <w:rPr>
          <w:szCs w:val="24"/>
        </w:rPr>
        <w:t>The categorisation of the SSCs was also considered in the assessment of the application for siting and construction of the IWS facility and was found acceptable (R13/06576).</w:t>
      </w:r>
    </w:p>
    <w:p w:rsidR="00FE5AB1" w:rsidRDefault="00FE5AB1" w:rsidP="00F92E0B">
      <w:pPr>
        <w:jc w:val="both"/>
        <w:rPr>
          <w:szCs w:val="24"/>
        </w:rPr>
      </w:pPr>
      <w:r w:rsidRPr="00FE5AB1">
        <w:rPr>
          <w:szCs w:val="24"/>
        </w:rPr>
        <w:t xml:space="preserve">No item </w:t>
      </w:r>
      <w:r>
        <w:rPr>
          <w:szCs w:val="24"/>
        </w:rPr>
        <w:t xml:space="preserve">was identified as safety category 1 and 2. All items were </w:t>
      </w:r>
      <w:r w:rsidR="004E0009">
        <w:rPr>
          <w:szCs w:val="24"/>
        </w:rPr>
        <w:t>identified as safety category 3</w:t>
      </w:r>
      <w:r w:rsidR="004E0009">
        <w:rPr>
          <w:rStyle w:val="FootnoteReference"/>
          <w:szCs w:val="24"/>
        </w:rPr>
        <w:footnoteReference w:id="1"/>
      </w:r>
      <w:r w:rsidR="004E0009">
        <w:rPr>
          <w:szCs w:val="24"/>
        </w:rPr>
        <w:t>, which are listed below:</w:t>
      </w:r>
    </w:p>
    <w:p w:rsidR="004E0009" w:rsidRPr="004E0009" w:rsidRDefault="004E0009" w:rsidP="00C91EB0">
      <w:pPr>
        <w:pStyle w:val="ListParagraph"/>
        <w:numPr>
          <w:ilvl w:val="0"/>
          <w:numId w:val="16"/>
        </w:numPr>
        <w:ind w:left="714" w:hanging="357"/>
        <w:rPr>
          <w:szCs w:val="24"/>
        </w:rPr>
      </w:pPr>
      <w:r w:rsidRPr="004E0009">
        <w:rPr>
          <w:szCs w:val="24"/>
        </w:rPr>
        <w:t>TN 81 Transport/Storage Container shielding</w:t>
      </w:r>
    </w:p>
    <w:p w:rsidR="004E0009" w:rsidRPr="004E0009" w:rsidRDefault="004E0009" w:rsidP="00C91EB0">
      <w:pPr>
        <w:pStyle w:val="ListParagraph"/>
        <w:numPr>
          <w:ilvl w:val="0"/>
          <w:numId w:val="16"/>
        </w:numPr>
        <w:ind w:left="714" w:hanging="357"/>
        <w:rPr>
          <w:szCs w:val="24"/>
        </w:rPr>
      </w:pPr>
      <w:r w:rsidRPr="004E0009">
        <w:rPr>
          <w:szCs w:val="24"/>
        </w:rPr>
        <w:t>Technological waste drums (cemented waste)</w:t>
      </w:r>
    </w:p>
    <w:p w:rsidR="004E0009" w:rsidRPr="004E0009" w:rsidRDefault="004E0009" w:rsidP="00C91EB0">
      <w:pPr>
        <w:pStyle w:val="ListParagraph"/>
        <w:numPr>
          <w:ilvl w:val="0"/>
          <w:numId w:val="16"/>
        </w:numPr>
        <w:ind w:left="714" w:hanging="357"/>
        <w:rPr>
          <w:szCs w:val="24"/>
        </w:rPr>
      </w:pPr>
      <w:r w:rsidRPr="004E0009">
        <w:rPr>
          <w:szCs w:val="24"/>
        </w:rPr>
        <w:t>Inter-lid gas pressure monitoring system</w:t>
      </w:r>
    </w:p>
    <w:p w:rsidR="004E0009" w:rsidRPr="004E0009" w:rsidRDefault="004E0009" w:rsidP="00C91EB0">
      <w:pPr>
        <w:pStyle w:val="ListParagraph"/>
        <w:numPr>
          <w:ilvl w:val="0"/>
          <w:numId w:val="16"/>
        </w:numPr>
        <w:ind w:left="714" w:hanging="357"/>
        <w:rPr>
          <w:szCs w:val="24"/>
        </w:rPr>
      </w:pPr>
      <w:r w:rsidRPr="004E0009">
        <w:rPr>
          <w:szCs w:val="24"/>
        </w:rPr>
        <w:t>Ventilation alarms</w:t>
      </w:r>
    </w:p>
    <w:p w:rsidR="004E0009" w:rsidRPr="004E0009" w:rsidRDefault="004E0009" w:rsidP="00C91EB0">
      <w:pPr>
        <w:pStyle w:val="ListParagraph"/>
        <w:numPr>
          <w:ilvl w:val="0"/>
          <w:numId w:val="16"/>
        </w:numPr>
        <w:ind w:left="714" w:hanging="357"/>
        <w:rPr>
          <w:szCs w:val="24"/>
        </w:rPr>
      </w:pPr>
      <w:r w:rsidRPr="004E0009">
        <w:rPr>
          <w:szCs w:val="24"/>
        </w:rPr>
        <w:t>Radiation monitor</w:t>
      </w:r>
    </w:p>
    <w:p w:rsidR="004E0009" w:rsidRPr="004E0009" w:rsidRDefault="004E0009" w:rsidP="00C91EB0">
      <w:pPr>
        <w:pStyle w:val="ListParagraph"/>
        <w:numPr>
          <w:ilvl w:val="0"/>
          <w:numId w:val="16"/>
        </w:numPr>
        <w:ind w:left="714" w:hanging="357"/>
        <w:rPr>
          <w:szCs w:val="24"/>
        </w:rPr>
      </w:pPr>
      <w:r w:rsidRPr="004E0009">
        <w:rPr>
          <w:szCs w:val="24"/>
        </w:rPr>
        <w:t>Building crane</w:t>
      </w:r>
    </w:p>
    <w:p w:rsidR="004E0009" w:rsidRPr="004E0009" w:rsidRDefault="004E0009" w:rsidP="00C91EB0">
      <w:pPr>
        <w:pStyle w:val="ListParagraph"/>
        <w:numPr>
          <w:ilvl w:val="0"/>
          <w:numId w:val="16"/>
        </w:numPr>
        <w:ind w:left="714" w:hanging="357"/>
        <w:rPr>
          <w:szCs w:val="24"/>
        </w:rPr>
      </w:pPr>
      <w:r w:rsidRPr="004E0009">
        <w:rPr>
          <w:szCs w:val="24"/>
        </w:rPr>
        <w:t>Fire detection system</w:t>
      </w:r>
    </w:p>
    <w:p w:rsidR="004E0009" w:rsidRPr="004E0009" w:rsidRDefault="004E0009" w:rsidP="00C91EB0">
      <w:pPr>
        <w:pStyle w:val="ListParagraph"/>
        <w:numPr>
          <w:ilvl w:val="0"/>
          <w:numId w:val="16"/>
        </w:numPr>
        <w:ind w:left="714" w:hanging="357"/>
        <w:rPr>
          <w:szCs w:val="24"/>
        </w:rPr>
      </w:pPr>
      <w:r w:rsidRPr="004E0009">
        <w:rPr>
          <w:szCs w:val="24"/>
        </w:rPr>
        <w:t>Fire hose reels and portable fire extinguishers</w:t>
      </w:r>
    </w:p>
    <w:p w:rsidR="00BD34DB" w:rsidRPr="00B561D9" w:rsidRDefault="00BD34DB" w:rsidP="00BD34DB">
      <w:pPr>
        <w:ind w:firstLine="357"/>
        <w:rPr>
          <w:b/>
          <w:i/>
          <w:color w:val="0070C0"/>
          <w:szCs w:val="24"/>
        </w:rPr>
      </w:pPr>
      <w:r w:rsidRPr="00B561D9">
        <w:rPr>
          <w:b/>
          <w:i/>
          <w:color w:val="0070C0"/>
          <w:szCs w:val="24"/>
        </w:rPr>
        <w:t>2.3.2.</w:t>
      </w:r>
      <w:r w:rsidR="005D36F5">
        <w:rPr>
          <w:b/>
          <w:i/>
          <w:color w:val="0070C0"/>
          <w:szCs w:val="24"/>
        </w:rPr>
        <w:t>2</w:t>
      </w:r>
      <w:r w:rsidRPr="00B561D9">
        <w:rPr>
          <w:b/>
          <w:i/>
          <w:color w:val="0070C0"/>
          <w:szCs w:val="24"/>
        </w:rPr>
        <w:tab/>
      </w:r>
      <w:r w:rsidRPr="00B561D9">
        <w:rPr>
          <w:b/>
          <w:i/>
          <w:color w:val="0070C0"/>
          <w:szCs w:val="24"/>
        </w:rPr>
        <w:tab/>
        <w:t xml:space="preserve">Safety Analysis </w:t>
      </w:r>
    </w:p>
    <w:p w:rsidR="00BD34DB" w:rsidRDefault="00BD34DB" w:rsidP="00F92E0B">
      <w:pPr>
        <w:jc w:val="both"/>
        <w:rPr>
          <w:szCs w:val="24"/>
        </w:rPr>
      </w:pPr>
      <w:r>
        <w:rPr>
          <w:szCs w:val="24"/>
        </w:rPr>
        <w:t xml:space="preserve">The safety analysis has considered routine operational conditions and potential accident scenarios, which is supported by ANSTO Safety Assessment of the </w:t>
      </w:r>
      <w:r w:rsidR="00690183">
        <w:rPr>
          <w:szCs w:val="24"/>
        </w:rPr>
        <w:t>IWS</w:t>
      </w:r>
      <w:r>
        <w:rPr>
          <w:szCs w:val="24"/>
        </w:rPr>
        <w:t>, ANSO/T/TN/201</w:t>
      </w:r>
      <w:r w:rsidR="005D36F5">
        <w:rPr>
          <w:szCs w:val="24"/>
        </w:rPr>
        <w:t>2-03</w:t>
      </w:r>
      <w:r>
        <w:rPr>
          <w:szCs w:val="24"/>
        </w:rPr>
        <w:t>. ANSTO risk assessment included a detailed hazard identification using the HAZOP technique with the pa</w:t>
      </w:r>
      <w:r w:rsidR="005D36F5">
        <w:rPr>
          <w:szCs w:val="24"/>
        </w:rPr>
        <w:t>rticipation of officers from Waste Operations</w:t>
      </w:r>
      <w:r>
        <w:rPr>
          <w:szCs w:val="24"/>
        </w:rPr>
        <w:t>.</w:t>
      </w:r>
    </w:p>
    <w:p w:rsidR="00BD34DB" w:rsidRDefault="00BD34DB" w:rsidP="00F92E0B">
      <w:pPr>
        <w:jc w:val="both"/>
        <w:rPr>
          <w:szCs w:val="24"/>
        </w:rPr>
      </w:pPr>
      <w:r>
        <w:rPr>
          <w:szCs w:val="24"/>
        </w:rPr>
        <w:t xml:space="preserve">Details of safety analysis are presented in Section </w:t>
      </w:r>
      <w:r w:rsidR="005D36F5">
        <w:rPr>
          <w:szCs w:val="24"/>
        </w:rPr>
        <w:t>9</w:t>
      </w:r>
      <w:r>
        <w:rPr>
          <w:szCs w:val="24"/>
        </w:rPr>
        <w:t xml:space="preserve"> of the</w:t>
      </w:r>
      <w:r w:rsidR="00690183">
        <w:rPr>
          <w:szCs w:val="24"/>
        </w:rPr>
        <w:t xml:space="preserve"> IWS SAR</w:t>
      </w:r>
      <w:r>
        <w:rPr>
          <w:szCs w:val="24"/>
        </w:rPr>
        <w:t>.</w:t>
      </w:r>
      <w:r w:rsidR="005D36F5">
        <w:rPr>
          <w:szCs w:val="24"/>
        </w:rPr>
        <w:t xml:space="preserve"> </w:t>
      </w:r>
      <w:r>
        <w:rPr>
          <w:szCs w:val="24"/>
        </w:rPr>
        <w:t>The safety analysis has taken into account the hazard controls in place. These include:</w:t>
      </w:r>
    </w:p>
    <w:p w:rsidR="00BD34DB" w:rsidRDefault="00BD34DB" w:rsidP="00C91EB0">
      <w:pPr>
        <w:pStyle w:val="ListParagraph"/>
        <w:numPr>
          <w:ilvl w:val="0"/>
          <w:numId w:val="11"/>
        </w:numPr>
        <w:ind w:left="771" w:hanging="357"/>
        <w:jc w:val="both"/>
        <w:rPr>
          <w:szCs w:val="24"/>
        </w:rPr>
      </w:pPr>
      <w:r>
        <w:rPr>
          <w:szCs w:val="24"/>
        </w:rPr>
        <w:t xml:space="preserve">Radiological hazard control </w:t>
      </w:r>
    </w:p>
    <w:p w:rsidR="00BD34DB" w:rsidRDefault="00087839" w:rsidP="00C91EB0">
      <w:pPr>
        <w:pStyle w:val="ListParagraph"/>
        <w:numPr>
          <w:ilvl w:val="0"/>
          <w:numId w:val="11"/>
        </w:numPr>
        <w:ind w:left="771" w:hanging="357"/>
        <w:jc w:val="both"/>
        <w:rPr>
          <w:szCs w:val="24"/>
        </w:rPr>
      </w:pPr>
      <w:r>
        <w:rPr>
          <w:szCs w:val="24"/>
        </w:rPr>
        <w:t>Industrial</w:t>
      </w:r>
      <w:r w:rsidR="00BD34DB">
        <w:rPr>
          <w:szCs w:val="24"/>
        </w:rPr>
        <w:t xml:space="preserve"> hazard control</w:t>
      </w:r>
    </w:p>
    <w:p w:rsidR="00BD34DB" w:rsidRDefault="00BD34DB" w:rsidP="00F92E0B">
      <w:pPr>
        <w:pStyle w:val="BodyTextIndent"/>
        <w:ind w:left="0"/>
        <w:jc w:val="both"/>
        <w:rPr>
          <w:szCs w:val="24"/>
        </w:rPr>
      </w:pPr>
      <w:r>
        <w:rPr>
          <w:szCs w:val="24"/>
        </w:rPr>
        <w:t xml:space="preserve">The key routine safety issues considered in the </w:t>
      </w:r>
      <w:r w:rsidR="00690183">
        <w:rPr>
          <w:szCs w:val="24"/>
        </w:rPr>
        <w:t>IWS</w:t>
      </w:r>
      <w:r w:rsidR="00087839">
        <w:rPr>
          <w:szCs w:val="24"/>
        </w:rPr>
        <w:t xml:space="preserve"> include routine </w:t>
      </w:r>
      <w:r>
        <w:rPr>
          <w:szCs w:val="24"/>
        </w:rPr>
        <w:t>radiation exposure to personnel</w:t>
      </w:r>
      <w:r w:rsidR="00087839">
        <w:rPr>
          <w:szCs w:val="24"/>
        </w:rPr>
        <w:t xml:space="preserve"> from CBF-C2 cemented waste and TN-81 transport/storage container.</w:t>
      </w:r>
      <w:r>
        <w:rPr>
          <w:szCs w:val="24"/>
        </w:rPr>
        <w:t xml:space="preserve"> </w:t>
      </w:r>
    </w:p>
    <w:p w:rsidR="00BD34DB" w:rsidRDefault="00BD34DB" w:rsidP="00F92E0B">
      <w:pPr>
        <w:pStyle w:val="BodyTextIndent"/>
        <w:ind w:left="0"/>
        <w:jc w:val="both"/>
        <w:rPr>
          <w:szCs w:val="24"/>
        </w:rPr>
      </w:pPr>
      <w:r>
        <w:rPr>
          <w:szCs w:val="24"/>
        </w:rPr>
        <w:t xml:space="preserve">Appropriate controls are in place to deal with the above hazards and details are described in Section </w:t>
      </w:r>
      <w:r w:rsidR="005D36F5">
        <w:rPr>
          <w:szCs w:val="24"/>
        </w:rPr>
        <w:t xml:space="preserve">9.3 </w:t>
      </w:r>
      <w:r>
        <w:rPr>
          <w:szCs w:val="24"/>
        </w:rPr>
        <w:t xml:space="preserve">of the </w:t>
      </w:r>
      <w:r w:rsidR="00690183">
        <w:rPr>
          <w:szCs w:val="24"/>
        </w:rPr>
        <w:t>SAR</w:t>
      </w:r>
      <w:r>
        <w:rPr>
          <w:szCs w:val="24"/>
        </w:rPr>
        <w:t>. These controls include both engineering and administrative controls. The controls described in the Safety Analysis Report are considered suitable by the ARPANSA assessor.</w:t>
      </w:r>
    </w:p>
    <w:p w:rsidR="00BD34DB" w:rsidRDefault="00BD34DB" w:rsidP="00F92E0B">
      <w:pPr>
        <w:pStyle w:val="BodyTextIndent"/>
        <w:ind w:left="0"/>
        <w:jc w:val="both"/>
        <w:rPr>
          <w:szCs w:val="24"/>
        </w:rPr>
      </w:pPr>
      <w:r>
        <w:rPr>
          <w:szCs w:val="24"/>
        </w:rPr>
        <w:lastRenderedPageBreak/>
        <w:t>In terms of internal abnormal events ANSTO identified the following accident scenarios in the HAZOP process and these accidents were subjected to safety assessment.</w:t>
      </w:r>
      <w:r w:rsidR="00A700F0">
        <w:rPr>
          <w:szCs w:val="24"/>
        </w:rPr>
        <w:t xml:space="preserve"> The following ten </w:t>
      </w:r>
      <w:r>
        <w:rPr>
          <w:szCs w:val="24"/>
        </w:rPr>
        <w:t xml:space="preserve">scenarios have been identified with risks associated radiological consequences </w:t>
      </w:r>
      <w:r w:rsidR="008A7344">
        <w:rPr>
          <w:szCs w:val="24"/>
        </w:rPr>
        <w:t>related to the operation of the IWS</w:t>
      </w:r>
      <w:r>
        <w:rPr>
          <w:szCs w:val="24"/>
        </w:rPr>
        <w:t>:</w:t>
      </w:r>
    </w:p>
    <w:p w:rsidR="00BD34DB" w:rsidRDefault="00A700F0" w:rsidP="00C91EB0">
      <w:pPr>
        <w:pStyle w:val="BodyTextIndent"/>
        <w:numPr>
          <w:ilvl w:val="0"/>
          <w:numId w:val="17"/>
        </w:numPr>
        <w:spacing w:after="120"/>
        <w:ind w:left="714" w:hanging="357"/>
        <w:rPr>
          <w:szCs w:val="24"/>
        </w:rPr>
      </w:pPr>
      <w:r>
        <w:rPr>
          <w:szCs w:val="24"/>
        </w:rPr>
        <w:t>Accidental dose from possible damage to TN81 Transport/Storage container</w:t>
      </w:r>
    </w:p>
    <w:p w:rsidR="00A700F0" w:rsidRDefault="00A700F0" w:rsidP="00C91EB0">
      <w:pPr>
        <w:pStyle w:val="BodyTextIndent"/>
        <w:numPr>
          <w:ilvl w:val="0"/>
          <w:numId w:val="17"/>
        </w:numPr>
        <w:spacing w:after="120"/>
        <w:ind w:left="714" w:hanging="357"/>
        <w:rPr>
          <w:szCs w:val="24"/>
        </w:rPr>
      </w:pPr>
      <w:r>
        <w:rPr>
          <w:szCs w:val="24"/>
        </w:rPr>
        <w:t xml:space="preserve">Damage to the seals of the </w:t>
      </w:r>
      <w:r w:rsidR="00D66F8F">
        <w:rPr>
          <w:szCs w:val="24"/>
        </w:rPr>
        <w:t>T</w:t>
      </w:r>
      <w:r>
        <w:rPr>
          <w:szCs w:val="24"/>
        </w:rPr>
        <w:t>N81 Transport/Storage container</w:t>
      </w:r>
    </w:p>
    <w:p w:rsidR="00A700F0" w:rsidRDefault="00D66F8F" w:rsidP="00C91EB0">
      <w:pPr>
        <w:pStyle w:val="BodyTextIndent"/>
        <w:numPr>
          <w:ilvl w:val="0"/>
          <w:numId w:val="17"/>
        </w:numPr>
        <w:spacing w:after="120"/>
        <w:ind w:left="714" w:hanging="357"/>
        <w:rPr>
          <w:szCs w:val="24"/>
        </w:rPr>
      </w:pPr>
      <w:r>
        <w:rPr>
          <w:szCs w:val="24"/>
        </w:rPr>
        <w:t>TN81 Transport/Storage container tip over</w:t>
      </w:r>
    </w:p>
    <w:p w:rsidR="00D66F8F" w:rsidRDefault="00C123B5" w:rsidP="00C91EB0">
      <w:pPr>
        <w:pStyle w:val="BodyTextIndent"/>
        <w:numPr>
          <w:ilvl w:val="0"/>
          <w:numId w:val="17"/>
        </w:numPr>
        <w:spacing w:after="120"/>
        <w:ind w:left="714" w:hanging="357"/>
        <w:rPr>
          <w:szCs w:val="24"/>
        </w:rPr>
      </w:pPr>
      <w:r>
        <w:rPr>
          <w:szCs w:val="24"/>
        </w:rPr>
        <w:t>Burying of TN81 Transport/Storage container</w:t>
      </w:r>
    </w:p>
    <w:p w:rsidR="00C123B5" w:rsidRDefault="00C123B5" w:rsidP="00C91EB0">
      <w:pPr>
        <w:pStyle w:val="BodyTextIndent"/>
        <w:numPr>
          <w:ilvl w:val="0"/>
          <w:numId w:val="17"/>
        </w:numPr>
        <w:spacing w:after="120"/>
        <w:ind w:left="714" w:hanging="357"/>
        <w:rPr>
          <w:szCs w:val="24"/>
        </w:rPr>
      </w:pPr>
      <w:r>
        <w:rPr>
          <w:szCs w:val="24"/>
        </w:rPr>
        <w:t>Accidental radiation exposure from technological waste (CBF-C2)</w:t>
      </w:r>
    </w:p>
    <w:p w:rsidR="00C123B5" w:rsidRDefault="00C123B5" w:rsidP="00C91EB0">
      <w:pPr>
        <w:pStyle w:val="BodyTextIndent"/>
        <w:numPr>
          <w:ilvl w:val="0"/>
          <w:numId w:val="17"/>
        </w:numPr>
        <w:spacing w:after="120"/>
        <w:ind w:left="714" w:hanging="357"/>
        <w:rPr>
          <w:szCs w:val="24"/>
        </w:rPr>
      </w:pPr>
      <w:r>
        <w:rPr>
          <w:szCs w:val="24"/>
        </w:rPr>
        <w:t>Inter-lid gas pressure monitoring failure</w:t>
      </w:r>
    </w:p>
    <w:p w:rsidR="00C123B5" w:rsidRDefault="00C123B5" w:rsidP="00C91EB0">
      <w:pPr>
        <w:pStyle w:val="BodyTextIndent"/>
        <w:numPr>
          <w:ilvl w:val="0"/>
          <w:numId w:val="17"/>
        </w:numPr>
        <w:spacing w:after="120"/>
        <w:ind w:left="714" w:hanging="357"/>
        <w:rPr>
          <w:szCs w:val="24"/>
        </w:rPr>
      </w:pPr>
      <w:r>
        <w:rPr>
          <w:szCs w:val="24"/>
        </w:rPr>
        <w:t>Vehicular incident causing radiological hazard</w:t>
      </w:r>
    </w:p>
    <w:p w:rsidR="00C123B5" w:rsidRDefault="00C123B5" w:rsidP="00C91EB0">
      <w:pPr>
        <w:pStyle w:val="BodyTextIndent"/>
        <w:numPr>
          <w:ilvl w:val="0"/>
          <w:numId w:val="17"/>
        </w:numPr>
        <w:spacing w:after="120"/>
        <w:ind w:left="714" w:hanging="357"/>
        <w:rPr>
          <w:szCs w:val="24"/>
        </w:rPr>
      </w:pPr>
      <w:r>
        <w:rPr>
          <w:szCs w:val="24"/>
        </w:rPr>
        <w:t>Failure of radiation monitors</w:t>
      </w:r>
    </w:p>
    <w:p w:rsidR="00C123B5" w:rsidRDefault="00C123B5" w:rsidP="00C91EB0">
      <w:pPr>
        <w:pStyle w:val="BodyTextIndent"/>
        <w:numPr>
          <w:ilvl w:val="0"/>
          <w:numId w:val="17"/>
        </w:numPr>
        <w:spacing w:after="120"/>
        <w:ind w:left="714" w:hanging="357"/>
        <w:rPr>
          <w:szCs w:val="24"/>
        </w:rPr>
      </w:pPr>
      <w:r>
        <w:rPr>
          <w:szCs w:val="24"/>
        </w:rPr>
        <w:t>Radiological contamination hazard</w:t>
      </w:r>
    </w:p>
    <w:p w:rsidR="00C123B5" w:rsidRDefault="00C123B5" w:rsidP="00C91EB0">
      <w:pPr>
        <w:pStyle w:val="BodyTextIndent"/>
        <w:numPr>
          <w:ilvl w:val="0"/>
          <w:numId w:val="17"/>
        </w:numPr>
        <w:ind w:left="714" w:hanging="357"/>
        <w:rPr>
          <w:szCs w:val="24"/>
        </w:rPr>
      </w:pPr>
      <w:r>
        <w:rPr>
          <w:szCs w:val="24"/>
        </w:rPr>
        <w:t>Fire in the store</w:t>
      </w:r>
    </w:p>
    <w:p w:rsidR="00CB1A21" w:rsidRDefault="00CB1A21" w:rsidP="00F92E0B">
      <w:pPr>
        <w:pStyle w:val="BodyTextIndent"/>
        <w:ind w:left="0"/>
        <w:jc w:val="both"/>
        <w:rPr>
          <w:szCs w:val="24"/>
        </w:rPr>
      </w:pPr>
      <w:r w:rsidRPr="00913A9B">
        <w:rPr>
          <w:szCs w:val="24"/>
        </w:rPr>
        <w:t xml:space="preserve">Considering the likelihood of the accidents and the controls in place </w:t>
      </w:r>
      <w:r>
        <w:rPr>
          <w:szCs w:val="24"/>
        </w:rPr>
        <w:t>ANSTO analysis show</w:t>
      </w:r>
      <w:r w:rsidRPr="00913A9B">
        <w:rPr>
          <w:szCs w:val="24"/>
        </w:rPr>
        <w:t xml:space="preserve"> that </w:t>
      </w:r>
      <w:r>
        <w:rPr>
          <w:szCs w:val="24"/>
        </w:rPr>
        <w:t xml:space="preserve">the risks associated with the postulated accident scenarios related to the operation of the </w:t>
      </w:r>
      <w:r w:rsidRPr="00CB1A21">
        <w:rPr>
          <w:szCs w:val="24"/>
        </w:rPr>
        <w:t>IWS</w:t>
      </w:r>
      <w:r>
        <w:rPr>
          <w:szCs w:val="24"/>
        </w:rPr>
        <w:t xml:space="preserve"> have been assessed to be very low. </w:t>
      </w:r>
      <w:r w:rsidR="0093046B">
        <w:rPr>
          <w:szCs w:val="24"/>
        </w:rPr>
        <w:t xml:space="preserve"> ANSTO safety assessment </w:t>
      </w:r>
      <w:r w:rsidR="003520A4">
        <w:rPr>
          <w:szCs w:val="24"/>
        </w:rPr>
        <w:t xml:space="preserve">resulted in three recommendations </w:t>
      </w:r>
      <w:r w:rsidR="00740FEF">
        <w:rPr>
          <w:szCs w:val="24"/>
        </w:rPr>
        <w:t>for further risk reduction</w:t>
      </w:r>
      <w:r w:rsidR="00BC4B8B">
        <w:rPr>
          <w:szCs w:val="24"/>
        </w:rPr>
        <w:t xml:space="preserve"> -</w:t>
      </w:r>
      <w:r w:rsidR="00740FEF">
        <w:rPr>
          <w:szCs w:val="24"/>
        </w:rPr>
        <w:t xml:space="preserve"> use of barricading and/or shielding around the technological wastes, erecting bunds on the floor around the perimeter</w:t>
      </w:r>
      <w:r w:rsidR="00E80E4B">
        <w:rPr>
          <w:szCs w:val="24"/>
        </w:rPr>
        <w:t xml:space="preserve"> and providing a dedicated moveable set of steps to facilitate access to all sides of the TN 81 cask. </w:t>
      </w:r>
      <w:r w:rsidR="004622F0">
        <w:rPr>
          <w:szCs w:val="24"/>
        </w:rPr>
        <w:t xml:space="preserve">ANSTO states that </w:t>
      </w:r>
      <w:r w:rsidR="00D7141B">
        <w:rPr>
          <w:szCs w:val="24"/>
        </w:rPr>
        <w:t>they considered these recommendations and will be implemented after installation of the containers. ARPANSA will follow it up after commissioning of the facility.</w:t>
      </w:r>
    </w:p>
    <w:p w:rsidR="00BD34DB" w:rsidRDefault="00BD34DB" w:rsidP="00F92E0B">
      <w:pPr>
        <w:pStyle w:val="BodyTextIndent"/>
        <w:ind w:left="0"/>
        <w:jc w:val="both"/>
        <w:rPr>
          <w:szCs w:val="24"/>
        </w:rPr>
      </w:pPr>
      <w:r>
        <w:rPr>
          <w:szCs w:val="24"/>
        </w:rPr>
        <w:t>The ARPANSA assessor considers that scenarios considered in the safety analysis are consistent with the design, construction and operation of the facility.</w:t>
      </w:r>
    </w:p>
    <w:p w:rsidR="00BD34DB" w:rsidRDefault="00BD34DB" w:rsidP="00F92E0B">
      <w:pPr>
        <w:pStyle w:val="BodyTextIndent"/>
        <w:ind w:left="0"/>
        <w:jc w:val="both"/>
        <w:rPr>
          <w:szCs w:val="24"/>
        </w:rPr>
      </w:pPr>
      <w:r>
        <w:rPr>
          <w:szCs w:val="24"/>
        </w:rPr>
        <w:t xml:space="preserve">The safety analysis has also considered relevant external events impacting on the safety of the facility </w:t>
      </w:r>
      <w:r w:rsidR="00E80E4B">
        <w:rPr>
          <w:szCs w:val="24"/>
        </w:rPr>
        <w:t xml:space="preserve">which were </w:t>
      </w:r>
      <w:r w:rsidR="009A2DA4">
        <w:rPr>
          <w:szCs w:val="24"/>
        </w:rPr>
        <w:t xml:space="preserve">considered in the assessment of the licence application for siting and construction of the facility and </w:t>
      </w:r>
      <w:r w:rsidR="00BC4B8B">
        <w:rPr>
          <w:szCs w:val="24"/>
        </w:rPr>
        <w:t xml:space="preserve">were </w:t>
      </w:r>
      <w:r w:rsidR="009A2DA4">
        <w:rPr>
          <w:szCs w:val="24"/>
        </w:rPr>
        <w:t>found acceptable (R13/06576).</w:t>
      </w:r>
    </w:p>
    <w:p w:rsidR="00BD34DB" w:rsidRPr="00B561D9" w:rsidRDefault="00BD34DB" w:rsidP="00BD34DB">
      <w:pPr>
        <w:pStyle w:val="BodyTextIndent"/>
        <w:ind w:left="0" w:firstLine="357"/>
        <w:rPr>
          <w:b/>
          <w:i/>
          <w:color w:val="0070C0"/>
          <w:szCs w:val="24"/>
        </w:rPr>
      </w:pPr>
      <w:r w:rsidRPr="00B561D9">
        <w:rPr>
          <w:b/>
          <w:i/>
          <w:color w:val="0070C0"/>
          <w:szCs w:val="24"/>
        </w:rPr>
        <w:t>2.3.2.</w:t>
      </w:r>
      <w:r w:rsidR="00295C0D">
        <w:rPr>
          <w:b/>
          <w:i/>
          <w:color w:val="0070C0"/>
          <w:szCs w:val="24"/>
        </w:rPr>
        <w:t>3</w:t>
      </w:r>
      <w:r w:rsidRPr="00B561D9">
        <w:rPr>
          <w:b/>
          <w:i/>
          <w:color w:val="0070C0"/>
          <w:szCs w:val="24"/>
        </w:rPr>
        <w:tab/>
      </w:r>
      <w:r w:rsidRPr="00B561D9">
        <w:rPr>
          <w:b/>
          <w:i/>
          <w:color w:val="0070C0"/>
          <w:szCs w:val="24"/>
        </w:rPr>
        <w:tab/>
        <w:t>Hazard categorisation</w:t>
      </w:r>
    </w:p>
    <w:p w:rsidR="00BD34DB" w:rsidRDefault="00BD34DB" w:rsidP="00F92E0B">
      <w:pPr>
        <w:pStyle w:val="BodyTextIndent"/>
        <w:ind w:left="0"/>
        <w:jc w:val="both"/>
        <w:rPr>
          <w:szCs w:val="24"/>
        </w:rPr>
      </w:pPr>
      <w:r>
        <w:rPr>
          <w:szCs w:val="24"/>
        </w:rPr>
        <w:t>The safety analysis for the facility did not identify any scenario with significant radiological consequence</w:t>
      </w:r>
      <w:r w:rsidR="001D401C">
        <w:rPr>
          <w:szCs w:val="24"/>
        </w:rPr>
        <w:t>s</w:t>
      </w:r>
      <w:r>
        <w:rPr>
          <w:szCs w:val="24"/>
        </w:rPr>
        <w:t xml:space="preserve"> outside the facility and therefore, ANSTO characterised the </w:t>
      </w:r>
      <w:r w:rsidR="00295C0D">
        <w:rPr>
          <w:szCs w:val="24"/>
        </w:rPr>
        <w:t>IWS</w:t>
      </w:r>
      <w:r>
        <w:rPr>
          <w:szCs w:val="24"/>
        </w:rPr>
        <w:t xml:space="preserve"> as hazard category F1</w:t>
      </w:r>
      <w:r>
        <w:rPr>
          <w:rStyle w:val="FootnoteReference"/>
          <w:szCs w:val="24"/>
        </w:rPr>
        <w:footnoteReference w:id="2"/>
      </w:r>
      <w:r>
        <w:rPr>
          <w:szCs w:val="24"/>
        </w:rPr>
        <w:t xml:space="preserve"> according to ARPANSA Regulatory Assessment Principles [4]. </w:t>
      </w:r>
    </w:p>
    <w:p w:rsidR="00820FB4" w:rsidRDefault="00820FB4" w:rsidP="00142595">
      <w:pPr>
        <w:pStyle w:val="Conclusion"/>
        <w:jc w:val="both"/>
      </w:pPr>
    </w:p>
    <w:p w:rsidR="00BD34DB" w:rsidRPr="00142595" w:rsidRDefault="00BD34DB" w:rsidP="00142595">
      <w:pPr>
        <w:pStyle w:val="Conclusion"/>
        <w:jc w:val="both"/>
      </w:pPr>
      <w:r w:rsidRPr="00142595">
        <w:lastRenderedPageBreak/>
        <w:t>Conclusion</w:t>
      </w:r>
    </w:p>
    <w:p w:rsidR="007D295E" w:rsidRDefault="00BD34DB" w:rsidP="00F92E0B">
      <w:pPr>
        <w:jc w:val="both"/>
      </w:pPr>
      <w:r>
        <w:rPr>
          <w:szCs w:val="24"/>
        </w:rPr>
        <w:t>The ARPANSA assessor considers that the FSAR has adequately addressed the hazard categorisation of systems, structures and components, operating limits and conditions, routine operational conditions and potential accidental conditions. The safety analysis of the facility shows that the hazard category of the facility is F1. This is considered acceptable to the ARPANSA assessor.</w:t>
      </w:r>
    </w:p>
    <w:p w:rsidR="00D17164" w:rsidRPr="00944E7A" w:rsidRDefault="00D17164" w:rsidP="00D17164">
      <w:pPr>
        <w:pStyle w:val="Heading3"/>
      </w:pPr>
      <w:bookmarkStart w:id="123" w:name="_Toc497727944"/>
      <w:bookmarkStart w:id="124" w:name="_Toc13454335"/>
      <w:bookmarkStart w:id="125" w:name="_Toc297107197"/>
      <w:bookmarkStart w:id="126" w:name="_Toc375216986"/>
      <w:bookmarkStart w:id="127" w:name="_Toc417974603"/>
      <w:r w:rsidRPr="00944E7A">
        <w:t>Operational limits and conditions [Item 17]</w:t>
      </w:r>
      <w:bookmarkEnd w:id="123"/>
      <w:bookmarkEnd w:id="124"/>
      <w:bookmarkEnd w:id="125"/>
      <w:bookmarkEnd w:id="126"/>
      <w:bookmarkEnd w:id="127"/>
    </w:p>
    <w:p w:rsidR="00D17164" w:rsidRDefault="00D17164" w:rsidP="00D17164">
      <w:r w:rsidRPr="00152036">
        <w:rPr>
          <w:i/>
        </w:rPr>
        <w:t>Item 1</w:t>
      </w:r>
      <w:r>
        <w:rPr>
          <w:i/>
        </w:rPr>
        <w:t>7</w:t>
      </w:r>
      <w:r w:rsidRPr="00152036">
        <w:rPr>
          <w:i/>
        </w:rPr>
        <w:t xml:space="preserve"> of part 1 of Schedule 3 of the Regulation requires the applicant to provide</w:t>
      </w:r>
      <w:r>
        <w:rPr>
          <w:i/>
        </w:rPr>
        <w:t xml:space="preserve"> operational limits and conditions of the controlled facility.</w:t>
      </w:r>
    </w:p>
    <w:p w:rsidR="00D17164" w:rsidRDefault="00D17164" w:rsidP="0075578E">
      <w:pPr>
        <w:jc w:val="both"/>
      </w:pPr>
      <w:r>
        <w:rPr>
          <w:i/>
        </w:rPr>
        <w:t>It is expected that the Safety Analysis Report (SAR) includes the numerical values for the operational limits and conditions, and the proximity to the relevant safety limits, for conditions of normal and abnormal operation (RAP 22) [4]</w:t>
      </w:r>
      <w:r w:rsidR="00F0012F">
        <w:rPr>
          <w:i/>
        </w:rPr>
        <w:t>, [5]</w:t>
      </w:r>
      <w:r>
        <w:rPr>
          <w:i/>
        </w:rPr>
        <w:t>.</w:t>
      </w:r>
    </w:p>
    <w:p w:rsidR="00D17164" w:rsidRDefault="008821B9" w:rsidP="0075578E">
      <w:pPr>
        <w:jc w:val="both"/>
      </w:pPr>
      <w:r>
        <w:t>The key aspects considered to derive the operational limits and conditions (OLCs) include</w:t>
      </w:r>
      <w:r w:rsidR="0037457D">
        <w:t xml:space="preserve"> parameter limits,</w:t>
      </w:r>
      <w:r>
        <w:t xml:space="preserve"> </w:t>
      </w:r>
      <w:r w:rsidR="0037457D">
        <w:t xml:space="preserve">the functional capability and the performance levels of </w:t>
      </w:r>
      <w:r>
        <w:t xml:space="preserve">safety related items, </w:t>
      </w:r>
      <w:r w:rsidR="0037457D">
        <w:t>and personnel.</w:t>
      </w:r>
    </w:p>
    <w:p w:rsidR="00545747" w:rsidRDefault="00545747" w:rsidP="00BA0D52">
      <w:pPr>
        <w:spacing w:line="240" w:lineRule="auto"/>
        <w:jc w:val="both"/>
      </w:pPr>
      <w:r>
        <w:t>They key limiting parameters related to the waste items will be;</w:t>
      </w:r>
    </w:p>
    <w:p w:rsidR="0037457D" w:rsidRDefault="00545747" w:rsidP="00C91EB0">
      <w:pPr>
        <w:pStyle w:val="ListParagraph"/>
        <w:numPr>
          <w:ilvl w:val="0"/>
          <w:numId w:val="18"/>
        </w:numPr>
        <w:spacing w:after="120"/>
        <w:ind w:left="822" w:hanging="357"/>
        <w:jc w:val="both"/>
      </w:pPr>
      <w:r>
        <w:t>Number of TN81 cask and the number of canisters in this cask: One TN 81 cask with a maximum of 28 canisters</w:t>
      </w:r>
    </w:p>
    <w:p w:rsidR="00545747" w:rsidRDefault="00545747" w:rsidP="00C91EB0">
      <w:pPr>
        <w:pStyle w:val="ListParagraph"/>
        <w:numPr>
          <w:ilvl w:val="0"/>
          <w:numId w:val="18"/>
        </w:numPr>
        <w:spacing w:after="120"/>
        <w:ind w:left="822" w:hanging="357"/>
        <w:jc w:val="both"/>
      </w:pPr>
      <w:r>
        <w:t>Number of cemented technological waste drums (CBF-C2) in an</w:t>
      </w:r>
      <w:r w:rsidR="00A660C0">
        <w:t xml:space="preserve"> IP2-</w:t>
      </w:r>
      <w:r>
        <w:t xml:space="preserve"> ISO container : Six drums</w:t>
      </w:r>
    </w:p>
    <w:p w:rsidR="00545747" w:rsidRDefault="00545747" w:rsidP="00C91EB0">
      <w:pPr>
        <w:pStyle w:val="ListParagraph"/>
        <w:numPr>
          <w:ilvl w:val="0"/>
          <w:numId w:val="18"/>
        </w:numPr>
        <w:ind w:left="822" w:hanging="357"/>
        <w:jc w:val="both"/>
      </w:pPr>
      <w:r>
        <w:t xml:space="preserve">Cumulative radionuclide inventory specified in the </w:t>
      </w:r>
      <w:r w:rsidR="00E370B5">
        <w:t>licence application</w:t>
      </w:r>
    </w:p>
    <w:p w:rsidR="0037457D" w:rsidRDefault="00E370B5" w:rsidP="0075578E">
      <w:pPr>
        <w:jc w:val="both"/>
      </w:pPr>
      <w:r>
        <w:t>The ARPANSA assessor sought clarification from ANSTO for including TN81 cask surface dose rates, pressure limits for the seal, TN81 cask surface temperature as part of OLCs. ANSTO stated that these aspects will be considered as routine monitoring parameters and as part of routine surveillance.</w:t>
      </w:r>
    </w:p>
    <w:p w:rsidR="005A1F37" w:rsidRDefault="005A1F37" w:rsidP="0075578E">
      <w:pPr>
        <w:jc w:val="both"/>
      </w:pPr>
      <w:r>
        <w:t xml:space="preserve">ANSTO safety analysis considered a conservative estimate of radionuclide inventory </w:t>
      </w:r>
      <w:r w:rsidR="005F082B">
        <w:t>to determine the safety envelope of the facility. It states that the exact inventory will be available just prior to the loading of the waste in transport container in France and this inventory will be provided to ARPANSA once available.</w:t>
      </w:r>
    </w:p>
    <w:p w:rsidR="007675D8" w:rsidRDefault="007675D8" w:rsidP="000F2C7F">
      <w:pPr>
        <w:jc w:val="both"/>
      </w:pPr>
      <w:r>
        <w:t>The ARPANSA assessor notes that the TN81 cask and its operational parameters including the radioactive contents and the number of canisters will be subject to separate ARPANSA approval for transport and storage.</w:t>
      </w:r>
    </w:p>
    <w:p w:rsidR="00B224CC" w:rsidRPr="00142595" w:rsidRDefault="00B224CC" w:rsidP="00142595">
      <w:pPr>
        <w:pStyle w:val="Conclusion"/>
        <w:jc w:val="both"/>
      </w:pPr>
      <w:r w:rsidRPr="00142595">
        <w:t>Conclusion</w:t>
      </w:r>
    </w:p>
    <w:p w:rsidR="00A660C0" w:rsidRDefault="00347111" w:rsidP="000F2C7F">
      <w:pPr>
        <w:jc w:val="both"/>
      </w:pPr>
      <w:r>
        <w:t>The ARPANSA assessor considers that is imperative that the OLCs</w:t>
      </w:r>
      <w:r w:rsidRPr="00FA4BC8">
        <w:t xml:space="preserve"> </w:t>
      </w:r>
      <w:r>
        <w:t xml:space="preserve">are </w:t>
      </w:r>
      <w:r w:rsidRPr="00FA4BC8">
        <w:t>derived from the detailed safety analysis of the facility</w:t>
      </w:r>
      <w:r>
        <w:t xml:space="preserve"> following systematic considerations of parameter limits, the functional capability and the performance levels of equipment and personnel</w:t>
      </w:r>
      <w:r w:rsidRPr="00FA4BC8">
        <w:t xml:space="preserve">. </w:t>
      </w:r>
      <w:r>
        <w:t xml:space="preserve">Further, referring to the IAEA Safety Guide: Storage of Radioactive Waste (IAEA WS-G-6.1, 2006), the ARPANSA Radioactive </w:t>
      </w:r>
      <w:r w:rsidR="00A660C0">
        <w:t>W</w:t>
      </w:r>
      <w:r>
        <w:t>aste Guide [5] recommends to consider specification of waste packages and their content, surface dose rates of packages,</w:t>
      </w:r>
      <w:r w:rsidR="00A660C0">
        <w:t xml:space="preserve"> radioactive inventory,  surveillance requirements and other relevant parameters as part of OLCs. </w:t>
      </w:r>
    </w:p>
    <w:p w:rsidR="00B224CC" w:rsidRDefault="00A660C0" w:rsidP="00BA0D52">
      <w:pPr>
        <w:spacing w:line="240" w:lineRule="auto"/>
        <w:jc w:val="both"/>
      </w:pPr>
      <w:r>
        <w:lastRenderedPageBreak/>
        <w:t xml:space="preserve">Therefore, the ARPANSA assessor </w:t>
      </w:r>
      <w:r w:rsidR="001E0932">
        <w:t>considers</w:t>
      </w:r>
      <w:r>
        <w:t xml:space="preserve"> </w:t>
      </w:r>
      <w:r w:rsidR="004F21B7">
        <w:t xml:space="preserve">that the OLCs for the facility should </w:t>
      </w:r>
      <w:r w:rsidR="00DA26BF">
        <w:t>address</w:t>
      </w:r>
      <w:r w:rsidR="004F21B7">
        <w:t xml:space="preserve"> </w:t>
      </w:r>
      <w:r>
        <w:t xml:space="preserve">the following </w:t>
      </w:r>
      <w:r w:rsidR="00973683">
        <w:t xml:space="preserve">parameters </w:t>
      </w:r>
      <w:r w:rsidR="00D75E00">
        <w:t>and submit the updat</w:t>
      </w:r>
      <w:r w:rsidR="00AA32B8">
        <w:t>ed OLCs to ARPANSA for approval</w:t>
      </w:r>
      <w:r>
        <w:t>:</w:t>
      </w:r>
      <w:r w:rsidR="00347111">
        <w:t xml:space="preserve"> </w:t>
      </w:r>
    </w:p>
    <w:p w:rsidR="00A660C0" w:rsidRDefault="00A660C0" w:rsidP="00C91EB0">
      <w:pPr>
        <w:pStyle w:val="ListParagraph"/>
        <w:numPr>
          <w:ilvl w:val="0"/>
          <w:numId w:val="31"/>
        </w:numPr>
        <w:spacing w:after="120"/>
        <w:ind w:left="714" w:hanging="357"/>
        <w:jc w:val="both"/>
      </w:pPr>
      <w:r>
        <w:t>One TN 81 transport/storage container containing up to 28 canisters of vitrified waste</w:t>
      </w:r>
    </w:p>
    <w:p w:rsidR="00A660C0" w:rsidRPr="001910B3" w:rsidRDefault="00A660C0" w:rsidP="00C91EB0">
      <w:pPr>
        <w:pStyle w:val="ListParagraph"/>
        <w:numPr>
          <w:ilvl w:val="0"/>
          <w:numId w:val="31"/>
        </w:numPr>
        <w:spacing w:after="120"/>
        <w:ind w:left="714" w:hanging="357"/>
        <w:jc w:val="both"/>
      </w:pPr>
      <w:r>
        <w:t xml:space="preserve">Six </w:t>
      </w:r>
      <w:r w:rsidR="001910B3">
        <w:rPr>
          <w:rFonts w:ascii="Calibri" w:hAnsi="Calibri" w:cs="Calibri"/>
          <w:iCs/>
        </w:rPr>
        <w:t>(6) CBF-C2 containers in an IP-2 ISO container</w:t>
      </w:r>
    </w:p>
    <w:p w:rsidR="001910B3" w:rsidRPr="001910B3" w:rsidRDefault="001910B3" w:rsidP="00C91EB0">
      <w:pPr>
        <w:pStyle w:val="ListParagraph"/>
        <w:numPr>
          <w:ilvl w:val="0"/>
          <w:numId w:val="31"/>
        </w:numPr>
        <w:spacing w:after="120"/>
        <w:ind w:left="714" w:hanging="357"/>
        <w:jc w:val="both"/>
      </w:pPr>
      <w:r>
        <w:rPr>
          <w:rFonts w:ascii="Calibri" w:hAnsi="Calibri" w:cs="Calibri"/>
          <w:iCs/>
        </w:rPr>
        <w:t>Maximum radionuclide inventory used in the safety analysis for the facility</w:t>
      </w:r>
    </w:p>
    <w:p w:rsidR="001910B3" w:rsidRPr="001910B3" w:rsidRDefault="001910B3" w:rsidP="00C91EB0">
      <w:pPr>
        <w:pStyle w:val="ListParagraph"/>
        <w:numPr>
          <w:ilvl w:val="0"/>
          <w:numId w:val="31"/>
        </w:numPr>
        <w:spacing w:after="120"/>
        <w:ind w:left="714" w:hanging="357"/>
        <w:jc w:val="both"/>
      </w:pPr>
      <w:r>
        <w:rPr>
          <w:rFonts w:ascii="Calibri" w:hAnsi="Calibri" w:cs="Calibri"/>
          <w:iCs/>
        </w:rPr>
        <w:t xml:space="preserve">Maximum thermal load of </w:t>
      </w:r>
      <w:r w:rsidR="00A666F4">
        <w:rPr>
          <w:rFonts w:ascii="Calibri" w:hAnsi="Calibri" w:cs="Calibri"/>
          <w:iCs/>
        </w:rPr>
        <w:t>48.5 kW for each canister of vitrified waste</w:t>
      </w:r>
    </w:p>
    <w:p w:rsidR="001910B3" w:rsidRPr="001910B3" w:rsidRDefault="001910B3" w:rsidP="00C91EB0">
      <w:pPr>
        <w:pStyle w:val="ListParagraph"/>
        <w:numPr>
          <w:ilvl w:val="0"/>
          <w:numId w:val="31"/>
        </w:numPr>
        <w:spacing w:after="120"/>
        <w:ind w:left="714" w:hanging="357"/>
        <w:jc w:val="both"/>
      </w:pPr>
      <w:r>
        <w:rPr>
          <w:rFonts w:ascii="Calibri" w:hAnsi="Calibri" w:cs="Calibri"/>
          <w:iCs/>
        </w:rPr>
        <w:t>Maximum surface dos</w:t>
      </w:r>
      <w:r w:rsidR="00AA33EE">
        <w:rPr>
          <w:rFonts w:ascii="Calibri" w:hAnsi="Calibri" w:cs="Calibri"/>
          <w:iCs/>
        </w:rPr>
        <w:t>e</w:t>
      </w:r>
      <w:r>
        <w:rPr>
          <w:rFonts w:ascii="Calibri" w:hAnsi="Calibri" w:cs="Calibri"/>
          <w:iCs/>
        </w:rPr>
        <w:t xml:space="preserve"> rate of 1.3 </w:t>
      </w:r>
      <w:proofErr w:type="spellStart"/>
      <w:r>
        <w:rPr>
          <w:rFonts w:ascii="Calibri" w:hAnsi="Calibri" w:cs="Calibri"/>
          <w:iCs/>
        </w:rPr>
        <w:t>mSv</w:t>
      </w:r>
      <w:proofErr w:type="spellEnd"/>
      <w:r>
        <w:rPr>
          <w:rFonts w:ascii="Calibri" w:hAnsi="Calibri" w:cs="Calibri"/>
          <w:iCs/>
        </w:rPr>
        <w:t xml:space="preserve">/h for </w:t>
      </w:r>
      <w:r w:rsidR="00052C3E">
        <w:rPr>
          <w:rFonts w:ascii="Calibri" w:hAnsi="Calibri" w:cs="Calibri"/>
          <w:iCs/>
        </w:rPr>
        <w:t>CBF-C2 container</w:t>
      </w:r>
    </w:p>
    <w:p w:rsidR="001910B3" w:rsidRPr="00973683" w:rsidRDefault="001910B3" w:rsidP="00C91EB0">
      <w:pPr>
        <w:pStyle w:val="ListParagraph"/>
        <w:numPr>
          <w:ilvl w:val="0"/>
          <w:numId w:val="31"/>
        </w:numPr>
        <w:spacing w:after="120"/>
        <w:ind w:left="714" w:hanging="357"/>
        <w:jc w:val="both"/>
      </w:pPr>
      <w:r>
        <w:rPr>
          <w:rFonts w:ascii="Calibri" w:hAnsi="Calibri" w:cs="Calibri"/>
          <w:iCs/>
        </w:rPr>
        <w:t xml:space="preserve">Maximum external surface temperature of </w:t>
      </w:r>
      <w:r w:rsidR="00052C3E">
        <w:rPr>
          <w:rFonts w:ascii="Calibri" w:hAnsi="Calibri" w:cs="Calibri"/>
          <w:iCs/>
        </w:rPr>
        <w:t xml:space="preserve"> TN 81 container of 112</w:t>
      </w:r>
      <w:r w:rsidR="00973683">
        <w:rPr>
          <w:rFonts w:ascii="Calibri" w:hAnsi="Calibri" w:cs="Calibri"/>
          <w:iCs/>
        </w:rPr>
        <w:t xml:space="preserve"> </w:t>
      </w:r>
      <w:r w:rsidR="00973683">
        <w:rPr>
          <w:rFonts w:ascii="Calibri" w:hAnsi="Calibri" w:cs="Calibri"/>
          <w:iCs/>
        </w:rPr>
        <w:sym w:font="Symbol" w:char="F0B0"/>
      </w:r>
      <w:r w:rsidR="00973683">
        <w:rPr>
          <w:rFonts w:ascii="Calibri" w:hAnsi="Calibri" w:cs="Calibri"/>
          <w:iCs/>
        </w:rPr>
        <w:t>C</w:t>
      </w:r>
    </w:p>
    <w:p w:rsidR="00973683" w:rsidRPr="00F21CBD" w:rsidRDefault="00F21CBD" w:rsidP="00C91EB0">
      <w:pPr>
        <w:pStyle w:val="ListParagraph"/>
        <w:numPr>
          <w:ilvl w:val="0"/>
          <w:numId w:val="31"/>
        </w:numPr>
        <w:spacing w:after="120"/>
        <w:ind w:left="714" w:hanging="357"/>
        <w:jc w:val="both"/>
      </w:pPr>
      <w:r>
        <w:rPr>
          <w:rFonts w:ascii="Calibri" w:hAnsi="Calibri" w:cs="Calibri"/>
          <w:iCs/>
        </w:rPr>
        <w:t>The standard helium leak rate (SHL) does not exceed the value of 10</w:t>
      </w:r>
      <w:r w:rsidRPr="00F21CBD">
        <w:rPr>
          <w:rFonts w:ascii="Calibri" w:hAnsi="Calibri" w:cs="Calibri"/>
          <w:iCs/>
          <w:vertAlign w:val="superscript"/>
        </w:rPr>
        <w:t>-8</w:t>
      </w:r>
      <w:r>
        <w:rPr>
          <w:rFonts w:ascii="Calibri" w:hAnsi="Calibri" w:cs="Calibri"/>
          <w:iCs/>
        </w:rPr>
        <w:t xml:space="preserve"> Pa m</w:t>
      </w:r>
      <w:r w:rsidRPr="00F21CBD">
        <w:rPr>
          <w:rFonts w:ascii="Calibri" w:hAnsi="Calibri" w:cs="Calibri"/>
          <w:iCs/>
          <w:vertAlign w:val="superscript"/>
        </w:rPr>
        <w:t>3</w:t>
      </w:r>
      <w:r>
        <w:rPr>
          <w:rFonts w:ascii="Calibri" w:hAnsi="Calibri" w:cs="Calibri"/>
          <w:iCs/>
        </w:rPr>
        <w:t>/s</w:t>
      </w:r>
    </w:p>
    <w:p w:rsidR="00F21CBD" w:rsidRDefault="00F21CBD" w:rsidP="00C91EB0">
      <w:pPr>
        <w:pStyle w:val="ListParagraph"/>
        <w:numPr>
          <w:ilvl w:val="0"/>
          <w:numId w:val="31"/>
        </w:numPr>
        <w:ind w:left="714" w:hanging="357"/>
        <w:jc w:val="both"/>
      </w:pPr>
      <w:r>
        <w:rPr>
          <w:rFonts w:ascii="Calibri" w:hAnsi="Calibri" w:cs="Calibri"/>
          <w:iCs/>
        </w:rPr>
        <w:t>Maximum surface contact dose rate of 335 µ</w:t>
      </w:r>
      <w:proofErr w:type="spellStart"/>
      <w:r>
        <w:rPr>
          <w:rFonts w:ascii="Calibri" w:hAnsi="Calibri" w:cs="Calibri"/>
          <w:iCs/>
        </w:rPr>
        <w:t>Sv</w:t>
      </w:r>
      <w:proofErr w:type="spellEnd"/>
      <w:r>
        <w:rPr>
          <w:rFonts w:ascii="Calibri" w:hAnsi="Calibri" w:cs="Calibri"/>
          <w:iCs/>
        </w:rPr>
        <w:t xml:space="preserve">/h for TN81 container </w:t>
      </w:r>
    </w:p>
    <w:p w:rsidR="001E0932" w:rsidRDefault="001E0932" w:rsidP="0075578E">
      <w:pPr>
        <w:jc w:val="both"/>
      </w:pPr>
      <w:r>
        <w:t>Though the exact inventory is not available at the time of assessment, ANSTO used a bounding inventory in the safety analysis for the facility and this is considered acceptable to the ARPANSA assessor. Further, ANSTO gave commitment to provide the list of inventory that will be available prior to the loading of the waste into transport container in France. The ARPANSA assessor considers that ANSTO should be advised to provide the exact inventory of radionuclides in a timely manner following the loading of waste into the transport containers.</w:t>
      </w:r>
    </w:p>
    <w:p w:rsidR="001E0932" w:rsidRDefault="001E0932" w:rsidP="0075578E">
      <w:pPr>
        <w:jc w:val="both"/>
      </w:pPr>
      <w:r>
        <w:t>The ARPANSA assessor considers that the information submitted to the OLCs are acceptable subject to the following condition:</w:t>
      </w:r>
    </w:p>
    <w:p w:rsidR="001E0932" w:rsidRDefault="001E0932" w:rsidP="00661349">
      <w:pPr>
        <w:ind w:left="284"/>
        <w:jc w:val="both"/>
      </w:pPr>
      <w:r w:rsidRPr="001E0932">
        <w:rPr>
          <w:i/>
        </w:rPr>
        <w:t>The licence holder must ensure that the facility complies with the Operational Limits and Conditions (OLCs) approved by the CEO</w:t>
      </w:r>
      <w:r>
        <w:t>.</w:t>
      </w:r>
    </w:p>
    <w:p w:rsidR="00E77709" w:rsidRDefault="00E77709" w:rsidP="0075578E">
      <w:pPr>
        <w:jc w:val="both"/>
      </w:pPr>
    </w:p>
    <w:p w:rsidR="00022E84" w:rsidRPr="00944E7A" w:rsidRDefault="00022E84" w:rsidP="00022E84">
      <w:pPr>
        <w:pStyle w:val="Heading3"/>
      </w:pPr>
      <w:bookmarkStart w:id="128" w:name="_Toc497727945"/>
      <w:bookmarkStart w:id="129" w:name="_Toc13454337"/>
      <w:bookmarkStart w:id="130" w:name="_Toc297107198"/>
      <w:bookmarkStart w:id="131" w:name="_Toc375216987"/>
      <w:bookmarkStart w:id="132" w:name="_Toc417974604"/>
      <w:r w:rsidRPr="00944E7A">
        <w:t>Arrangements for commissioning [Item 18]</w:t>
      </w:r>
      <w:bookmarkEnd w:id="128"/>
      <w:bookmarkEnd w:id="129"/>
      <w:bookmarkEnd w:id="130"/>
      <w:bookmarkEnd w:id="131"/>
      <w:bookmarkEnd w:id="132"/>
    </w:p>
    <w:p w:rsidR="00D17164" w:rsidRDefault="00022E84" w:rsidP="0075578E">
      <w:pPr>
        <w:jc w:val="both"/>
      </w:pPr>
      <w:r w:rsidRPr="00927B57">
        <w:rPr>
          <w:i/>
          <w:szCs w:val="24"/>
        </w:rPr>
        <w:t>Item 1</w:t>
      </w:r>
      <w:r>
        <w:rPr>
          <w:i/>
          <w:szCs w:val="24"/>
        </w:rPr>
        <w:t>8</w:t>
      </w:r>
      <w:r w:rsidRPr="00927B57">
        <w:rPr>
          <w:i/>
          <w:szCs w:val="24"/>
        </w:rPr>
        <w:t xml:space="preserve"> of Part 1 of Schedule 3 of the Regulation requires the applicant to provide the arrangements for </w:t>
      </w:r>
      <w:r>
        <w:rPr>
          <w:i/>
          <w:szCs w:val="24"/>
        </w:rPr>
        <w:t>commissioning</w:t>
      </w:r>
      <w:r w:rsidRPr="00927B57">
        <w:rPr>
          <w:i/>
          <w:szCs w:val="24"/>
        </w:rPr>
        <w:t xml:space="preserve"> the facility.</w:t>
      </w:r>
    </w:p>
    <w:p w:rsidR="00D17164" w:rsidRDefault="009E7325" w:rsidP="0075578E">
      <w:pPr>
        <w:jc w:val="both"/>
      </w:pPr>
      <w:r>
        <w:t xml:space="preserve">The application is supported by a document entitled ‘Arrangements for Commissioning’ (IWS-O-LA-COM). ANSTO </w:t>
      </w:r>
      <w:r w:rsidR="00425874">
        <w:t xml:space="preserve">states </w:t>
      </w:r>
      <w:r w:rsidR="003427FA">
        <w:t xml:space="preserve">that </w:t>
      </w:r>
      <w:r>
        <w:t xml:space="preserve">there are no equipment or plant items that perform process operation or activities in the store. One TN81 cask and six fibre-concrete (CBF-2) containers will be stored at the facility. The following </w:t>
      </w:r>
      <w:r w:rsidR="00A0457B">
        <w:t>systems and services will be tested and commissioned:</w:t>
      </w:r>
    </w:p>
    <w:p w:rsidR="00A0457B" w:rsidRDefault="00A0457B" w:rsidP="00C91EB0">
      <w:pPr>
        <w:pStyle w:val="ListParagraph"/>
        <w:numPr>
          <w:ilvl w:val="0"/>
          <w:numId w:val="12"/>
        </w:numPr>
        <w:spacing w:after="120"/>
        <w:ind w:left="714" w:hanging="357"/>
        <w:jc w:val="both"/>
      </w:pPr>
      <w:r w:rsidRPr="00A0457B">
        <w:t>Building crane</w:t>
      </w:r>
    </w:p>
    <w:p w:rsidR="00A0457B" w:rsidRDefault="00A0457B" w:rsidP="00C91EB0">
      <w:pPr>
        <w:pStyle w:val="ListParagraph"/>
        <w:numPr>
          <w:ilvl w:val="0"/>
          <w:numId w:val="12"/>
        </w:numPr>
        <w:spacing w:after="120"/>
        <w:ind w:left="714" w:hanging="357"/>
        <w:jc w:val="both"/>
      </w:pPr>
      <w:r w:rsidRPr="00A0457B">
        <w:t>Inter-lid pressure monitoring system (TN81)</w:t>
      </w:r>
    </w:p>
    <w:p w:rsidR="00A0457B" w:rsidRDefault="00A0457B" w:rsidP="00C91EB0">
      <w:pPr>
        <w:pStyle w:val="ListParagraph"/>
        <w:numPr>
          <w:ilvl w:val="0"/>
          <w:numId w:val="12"/>
        </w:numPr>
        <w:spacing w:after="120"/>
        <w:ind w:left="714" w:hanging="357"/>
        <w:jc w:val="both"/>
      </w:pPr>
      <w:r w:rsidRPr="00A0457B">
        <w:t>Helium gas pipework (TN81)</w:t>
      </w:r>
    </w:p>
    <w:p w:rsidR="00A0457B" w:rsidRDefault="00A0457B" w:rsidP="00C91EB0">
      <w:pPr>
        <w:pStyle w:val="ListParagraph"/>
        <w:numPr>
          <w:ilvl w:val="0"/>
          <w:numId w:val="12"/>
        </w:numPr>
        <w:spacing w:after="120"/>
        <w:ind w:left="714" w:hanging="357"/>
        <w:jc w:val="both"/>
      </w:pPr>
      <w:r w:rsidRPr="00A0457B">
        <w:t>radiation alarm</w:t>
      </w:r>
    </w:p>
    <w:p w:rsidR="00A0457B" w:rsidRDefault="00A0457B" w:rsidP="00C91EB0">
      <w:pPr>
        <w:pStyle w:val="ListParagraph"/>
        <w:numPr>
          <w:ilvl w:val="0"/>
          <w:numId w:val="12"/>
        </w:numPr>
        <w:spacing w:after="120"/>
        <w:ind w:left="714" w:hanging="357"/>
        <w:jc w:val="both"/>
      </w:pPr>
      <w:r w:rsidRPr="00A0457B">
        <w:t>fire alarm</w:t>
      </w:r>
    </w:p>
    <w:p w:rsidR="00A0457B" w:rsidRDefault="00044AF5" w:rsidP="00C91EB0">
      <w:pPr>
        <w:pStyle w:val="ListParagraph"/>
        <w:numPr>
          <w:ilvl w:val="0"/>
          <w:numId w:val="12"/>
        </w:numPr>
        <w:spacing w:after="120"/>
        <w:ind w:left="714" w:hanging="357"/>
        <w:jc w:val="both"/>
      </w:pPr>
      <w:r w:rsidRPr="00044AF5">
        <w:t>ventilation alarm</w:t>
      </w:r>
    </w:p>
    <w:p w:rsidR="00044AF5" w:rsidRDefault="00044AF5" w:rsidP="00C91EB0">
      <w:pPr>
        <w:pStyle w:val="ListParagraph"/>
        <w:numPr>
          <w:ilvl w:val="0"/>
          <w:numId w:val="12"/>
        </w:numPr>
        <w:spacing w:after="120"/>
        <w:ind w:left="714" w:hanging="357"/>
        <w:jc w:val="both"/>
      </w:pPr>
      <w:r w:rsidRPr="00044AF5">
        <w:t>occupancy sensors</w:t>
      </w:r>
    </w:p>
    <w:p w:rsidR="00044AF5" w:rsidRDefault="00044AF5" w:rsidP="00C91EB0">
      <w:pPr>
        <w:pStyle w:val="ListParagraph"/>
        <w:numPr>
          <w:ilvl w:val="0"/>
          <w:numId w:val="12"/>
        </w:numPr>
        <w:spacing w:after="120"/>
        <w:ind w:left="714" w:hanging="357"/>
        <w:jc w:val="both"/>
      </w:pPr>
      <w:r w:rsidRPr="00044AF5">
        <w:t>lighting and electrical systems</w:t>
      </w:r>
    </w:p>
    <w:p w:rsidR="00044AF5" w:rsidRDefault="00044AF5" w:rsidP="00C91EB0">
      <w:pPr>
        <w:pStyle w:val="ListParagraph"/>
        <w:numPr>
          <w:ilvl w:val="0"/>
          <w:numId w:val="12"/>
        </w:numPr>
        <w:spacing w:after="120"/>
        <w:ind w:left="714" w:hanging="357"/>
        <w:jc w:val="both"/>
      </w:pPr>
      <w:r w:rsidRPr="00044AF5">
        <w:t>drainage system</w:t>
      </w:r>
    </w:p>
    <w:p w:rsidR="00044AF5" w:rsidRDefault="00044AF5" w:rsidP="00C91EB0">
      <w:pPr>
        <w:pStyle w:val="ListParagraph"/>
        <w:numPr>
          <w:ilvl w:val="0"/>
          <w:numId w:val="12"/>
        </w:numPr>
        <w:ind w:left="714" w:hanging="357"/>
        <w:jc w:val="both"/>
      </w:pPr>
      <w:r w:rsidRPr="00044AF5">
        <w:t>security devices- CCTV</w:t>
      </w:r>
    </w:p>
    <w:p w:rsidR="00A0457B" w:rsidRDefault="00044AF5" w:rsidP="0075578E">
      <w:pPr>
        <w:jc w:val="both"/>
      </w:pPr>
      <w:r>
        <w:lastRenderedPageBreak/>
        <w:t>No systems/items will require hot commissioning, that is, involving radioactive material. However, the use of sealed radioactive source</w:t>
      </w:r>
      <w:r w:rsidR="00425874">
        <w:t>s</w:t>
      </w:r>
      <w:r>
        <w:t xml:space="preserve"> to commission gamma monitors is covered under ANSTO source licence (S0045) and therefore, </w:t>
      </w:r>
      <w:r w:rsidR="000E2245">
        <w:t>does not require further regulatory approval</w:t>
      </w:r>
      <w:r>
        <w:t xml:space="preserve">. </w:t>
      </w:r>
    </w:p>
    <w:p w:rsidR="00AA32B8" w:rsidRDefault="00AA32B8" w:rsidP="0075578E">
      <w:pPr>
        <w:jc w:val="both"/>
        <w:rPr>
          <w:i/>
        </w:rPr>
      </w:pPr>
    </w:p>
    <w:p w:rsidR="00AA32B8" w:rsidRDefault="00AA32B8" w:rsidP="0075578E">
      <w:pPr>
        <w:jc w:val="both"/>
        <w:rPr>
          <w:i/>
        </w:rPr>
      </w:pPr>
    </w:p>
    <w:p w:rsidR="00B43558" w:rsidRPr="00D73663" w:rsidRDefault="00D73663" w:rsidP="0075578E">
      <w:pPr>
        <w:jc w:val="both"/>
        <w:rPr>
          <w:i/>
        </w:rPr>
      </w:pPr>
      <w:r w:rsidRPr="00D73663">
        <w:rPr>
          <w:i/>
        </w:rPr>
        <w:t>TN81 transport/storage container</w:t>
      </w:r>
    </w:p>
    <w:p w:rsidR="00D73663" w:rsidRDefault="00D73663" w:rsidP="0075578E">
      <w:pPr>
        <w:jc w:val="both"/>
      </w:pPr>
      <w:r>
        <w:t>TN81 cask is designed with appropriate passive safety features so that it is maintenance free, and does not contain any moving parts.</w:t>
      </w:r>
      <w:r w:rsidR="00060A17">
        <w:t xml:space="preserve"> </w:t>
      </w:r>
      <w:r w:rsidR="002C4B8A">
        <w:t>The cask will not involve any commissioning at the IWS as it will contain the reprocessed waste</w:t>
      </w:r>
      <w:r>
        <w:t xml:space="preserve"> </w:t>
      </w:r>
      <w:r w:rsidR="002C4B8A">
        <w:t>while it is transported to the site. However, ANSTO has employed a third party to oversee the manufacture of the TN81 cask according to the strictest quality assurance.</w:t>
      </w:r>
    </w:p>
    <w:p w:rsidR="002C4B8A" w:rsidRPr="002C4B8A" w:rsidRDefault="002C4B8A" w:rsidP="0075578E">
      <w:pPr>
        <w:jc w:val="both"/>
        <w:rPr>
          <w:i/>
        </w:rPr>
      </w:pPr>
      <w:r w:rsidRPr="002C4B8A">
        <w:rPr>
          <w:i/>
        </w:rPr>
        <w:t>Building crane</w:t>
      </w:r>
    </w:p>
    <w:p w:rsidR="002C4B8A" w:rsidRDefault="002C4B8A" w:rsidP="0075578E">
      <w:pPr>
        <w:jc w:val="both"/>
      </w:pPr>
      <w:r>
        <w:t xml:space="preserve">ANSTO states that the </w:t>
      </w:r>
      <w:r w:rsidR="001C518A">
        <w:t>building crane has been procured from a reputable supplier and it will be commissioned according to the plan provided by the crane manufacturer and</w:t>
      </w:r>
      <w:r w:rsidR="00162036">
        <w:t xml:space="preserve"> approved by the ANSTO Lifting E</w:t>
      </w:r>
      <w:r w:rsidR="001C518A">
        <w:t>quipment Approval Officer (LEAO).</w:t>
      </w:r>
      <w:r w:rsidR="00162036">
        <w:t xml:space="preserve"> This crane is a 140 tonnes Dangerous Goods Rated (DGR) crane, and has a total capacity of 175 tonnes, which is 25% more than the design load.</w:t>
      </w:r>
      <w:r w:rsidR="0081403E">
        <w:t xml:space="preserve"> ANSTO LEAO has reviewed the crane design and approved it. ANSTO will perform the following major testing and commissioning activities:</w:t>
      </w:r>
    </w:p>
    <w:p w:rsidR="0081403E" w:rsidRDefault="0081403E" w:rsidP="00C91EB0">
      <w:pPr>
        <w:pStyle w:val="ListParagraph"/>
        <w:numPr>
          <w:ilvl w:val="0"/>
          <w:numId w:val="13"/>
        </w:numPr>
        <w:spacing w:after="120"/>
        <w:ind w:left="714" w:hanging="357"/>
        <w:jc w:val="both"/>
      </w:pPr>
      <w:r w:rsidRPr="0081403E">
        <w:t>Crane load capacity test including crane deflection test</w:t>
      </w:r>
    </w:p>
    <w:p w:rsidR="0081403E" w:rsidRDefault="0081403E" w:rsidP="00C91EB0">
      <w:pPr>
        <w:pStyle w:val="ListParagraph"/>
        <w:numPr>
          <w:ilvl w:val="0"/>
          <w:numId w:val="13"/>
        </w:numPr>
        <w:spacing w:after="120"/>
        <w:ind w:left="714" w:hanging="357"/>
        <w:jc w:val="both"/>
      </w:pPr>
      <w:r w:rsidRPr="0081403E">
        <w:t>Overload protection (i.e. overload safety setting)</w:t>
      </w:r>
    </w:p>
    <w:p w:rsidR="0081403E" w:rsidRDefault="0081403E" w:rsidP="00C91EB0">
      <w:pPr>
        <w:pStyle w:val="ListParagraph"/>
        <w:numPr>
          <w:ilvl w:val="0"/>
          <w:numId w:val="13"/>
        </w:numPr>
        <w:spacing w:after="120"/>
        <w:ind w:left="714" w:hanging="357"/>
        <w:jc w:val="both"/>
      </w:pPr>
      <w:r w:rsidRPr="0081403E">
        <w:t>Hoist upper and lower work limit</w:t>
      </w:r>
    </w:p>
    <w:p w:rsidR="0081403E" w:rsidRDefault="0081403E" w:rsidP="00C91EB0">
      <w:pPr>
        <w:pStyle w:val="ListParagraph"/>
        <w:numPr>
          <w:ilvl w:val="0"/>
          <w:numId w:val="13"/>
        </w:numPr>
        <w:spacing w:after="120"/>
        <w:ind w:left="714" w:hanging="357"/>
        <w:jc w:val="both"/>
      </w:pPr>
      <w:r w:rsidRPr="0081403E">
        <w:t>Long and cross travel limit</w:t>
      </w:r>
    </w:p>
    <w:p w:rsidR="0081403E" w:rsidRDefault="0081403E" w:rsidP="00C91EB0">
      <w:pPr>
        <w:pStyle w:val="ListParagraph"/>
        <w:numPr>
          <w:ilvl w:val="0"/>
          <w:numId w:val="13"/>
        </w:numPr>
        <w:ind w:left="714" w:hanging="357"/>
        <w:jc w:val="both"/>
      </w:pPr>
      <w:r w:rsidRPr="0081403E">
        <w:t>Hoist, long and cross travel speeds</w:t>
      </w:r>
    </w:p>
    <w:p w:rsidR="0081403E" w:rsidRPr="003C2DD3" w:rsidRDefault="003C2DD3" w:rsidP="00804DB0">
      <w:pPr>
        <w:jc w:val="both"/>
        <w:rPr>
          <w:i/>
        </w:rPr>
      </w:pPr>
      <w:r w:rsidRPr="003C2DD3">
        <w:rPr>
          <w:i/>
        </w:rPr>
        <w:t>Inter-lid pressure monitoring system</w:t>
      </w:r>
    </w:p>
    <w:p w:rsidR="003C2DD3" w:rsidRDefault="00977BE1" w:rsidP="00804DB0">
      <w:pPr>
        <w:jc w:val="both"/>
      </w:pPr>
      <w:r>
        <w:t xml:space="preserve">AREVA will test and commission this device and will supply </w:t>
      </w:r>
      <w:r w:rsidR="00804DB0">
        <w:t xml:space="preserve">results </w:t>
      </w:r>
      <w:r>
        <w:t>to ANSTO. ANSTO will install the monitoring following the AREVA Instruction Manual. After installation, the commissioning of the system involves checking whether the signals from three pressure sensors represent the gas pressure in the inter-lid space and they are displayed on the monitor accurately.</w:t>
      </w:r>
    </w:p>
    <w:p w:rsidR="003C2DD3" w:rsidRPr="00977BE1" w:rsidRDefault="00977BE1" w:rsidP="00804DB0">
      <w:pPr>
        <w:jc w:val="both"/>
        <w:rPr>
          <w:i/>
        </w:rPr>
      </w:pPr>
      <w:r w:rsidRPr="00977BE1">
        <w:rPr>
          <w:i/>
        </w:rPr>
        <w:t>Helium gas pipework</w:t>
      </w:r>
    </w:p>
    <w:p w:rsidR="00977BE1" w:rsidRDefault="00C24BB5" w:rsidP="00804DB0">
      <w:pPr>
        <w:jc w:val="both"/>
      </w:pPr>
      <w:r>
        <w:t>Commissioning of this item will involve visual check and pressure test. T</w:t>
      </w:r>
      <w:r w:rsidR="005F26F6">
        <w:t xml:space="preserve">he test result will be approved </w:t>
      </w:r>
      <w:r w:rsidR="00804DB0">
        <w:t xml:space="preserve">by </w:t>
      </w:r>
      <w:r w:rsidR="005F26F6">
        <w:t>the Piped Gas System Approval Officer (PGSAO)</w:t>
      </w:r>
      <w:r>
        <w:t>.</w:t>
      </w:r>
    </w:p>
    <w:p w:rsidR="00C24BB5" w:rsidRPr="00270882" w:rsidRDefault="00270882" w:rsidP="00804DB0">
      <w:pPr>
        <w:jc w:val="both"/>
        <w:rPr>
          <w:i/>
        </w:rPr>
      </w:pPr>
      <w:r w:rsidRPr="00270882">
        <w:rPr>
          <w:i/>
        </w:rPr>
        <w:t>Radiation alarm</w:t>
      </w:r>
    </w:p>
    <w:p w:rsidR="003C2DD3" w:rsidRDefault="005732A9" w:rsidP="00804DB0">
      <w:pPr>
        <w:jc w:val="both"/>
      </w:pPr>
      <w:r>
        <w:t>Fixed radiation monitors will be commissioned using calibration and test sources in consultation with the RPA.</w:t>
      </w:r>
    </w:p>
    <w:p w:rsidR="00B43558" w:rsidRPr="005732A9" w:rsidRDefault="005732A9" w:rsidP="00804DB0">
      <w:pPr>
        <w:jc w:val="both"/>
        <w:rPr>
          <w:i/>
        </w:rPr>
      </w:pPr>
      <w:r w:rsidRPr="005732A9">
        <w:rPr>
          <w:i/>
        </w:rPr>
        <w:t>Fire alarm</w:t>
      </w:r>
    </w:p>
    <w:p w:rsidR="005732A9" w:rsidRDefault="005A3E7C" w:rsidP="00804DB0">
      <w:pPr>
        <w:jc w:val="both"/>
      </w:pPr>
      <w:r>
        <w:lastRenderedPageBreak/>
        <w:t>ANSTO states that the commissioning of fire detectors, fire instrument panels will be undertaken by the contractor using expertise and staff from ANSTO.</w:t>
      </w:r>
    </w:p>
    <w:p w:rsidR="002917D9" w:rsidRPr="00431A23" w:rsidRDefault="00431A23" w:rsidP="00804DB0">
      <w:pPr>
        <w:jc w:val="both"/>
        <w:rPr>
          <w:i/>
        </w:rPr>
      </w:pPr>
      <w:r w:rsidRPr="00431A23">
        <w:rPr>
          <w:i/>
        </w:rPr>
        <w:t>Lighting and electrical systems</w:t>
      </w:r>
    </w:p>
    <w:p w:rsidR="00431A23" w:rsidRDefault="00431A23" w:rsidP="00804DB0">
      <w:pPr>
        <w:jc w:val="both"/>
      </w:pPr>
      <w:r>
        <w:t>ANSTO Site Services Engineer (Electrical) staff and the contractor will verify the commissioning and testing of lighting and electrical systems.</w:t>
      </w:r>
    </w:p>
    <w:p w:rsidR="00431A23" w:rsidRPr="00431A23" w:rsidRDefault="00431A23" w:rsidP="00804DB0">
      <w:pPr>
        <w:jc w:val="both"/>
        <w:rPr>
          <w:i/>
        </w:rPr>
      </w:pPr>
      <w:r w:rsidRPr="00431A23">
        <w:rPr>
          <w:i/>
        </w:rPr>
        <w:t>Drainage system</w:t>
      </w:r>
    </w:p>
    <w:p w:rsidR="00B2035C" w:rsidRDefault="00B2035C" w:rsidP="00804DB0">
      <w:pPr>
        <w:jc w:val="both"/>
      </w:pPr>
      <w:r>
        <w:t>The commissioning of building drainage system will be undertaken by the contractor using expertise and staff from ANSTO Support Services group and Waste Operations.</w:t>
      </w:r>
    </w:p>
    <w:p w:rsidR="00431A23" w:rsidRPr="00B2035C" w:rsidRDefault="00B2035C" w:rsidP="00804DB0">
      <w:pPr>
        <w:jc w:val="both"/>
        <w:rPr>
          <w:b/>
        </w:rPr>
      </w:pPr>
      <w:r w:rsidRPr="00B2035C">
        <w:rPr>
          <w:b/>
        </w:rPr>
        <w:t>Testing and commissioning criteria</w:t>
      </w:r>
    </w:p>
    <w:p w:rsidR="00B2035C" w:rsidRDefault="00B2035C" w:rsidP="00804DB0">
      <w:pPr>
        <w:jc w:val="both"/>
      </w:pPr>
      <w:r>
        <w:t xml:space="preserve">ANSTO has described the criteria to be used to test and commission the items at the IWS including the activities involved </w:t>
      </w:r>
      <w:r w:rsidR="00FA200F">
        <w:t>in commissioning</w:t>
      </w:r>
      <w:r>
        <w:t>, success criteria and the holding points</w:t>
      </w:r>
      <w:r w:rsidR="00337A19">
        <w:t>.</w:t>
      </w:r>
    </w:p>
    <w:p w:rsidR="00337A19" w:rsidRDefault="00D7141B" w:rsidP="00804DB0">
      <w:pPr>
        <w:jc w:val="both"/>
      </w:pPr>
      <w:r w:rsidRPr="00D7141B">
        <w:t>ANSTO has provided the commissioning schedule of the above systems and services. The schedule shows that commissioning of these items is expected to be completed in July 2015.</w:t>
      </w:r>
    </w:p>
    <w:p w:rsidR="002917D9" w:rsidRDefault="00B2035C" w:rsidP="00B2035C">
      <w:pPr>
        <w:pStyle w:val="Conclusion"/>
      </w:pPr>
      <w:r w:rsidRPr="007D295E">
        <w:t>Conclusion</w:t>
      </w:r>
    </w:p>
    <w:p w:rsidR="002917D9" w:rsidRDefault="00337A19" w:rsidP="00804DB0">
      <w:pPr>
        <w:jc w:val="both"/>
      </w:pPr>
      <w:r>
        <w:t>The ARPANSA assessor considers that the arrangements for commissioning described in the application are acceptable.</w:t>
      </w:r>
      <w:r w:rsidR="00270C42">
        <w:t xml:space="preserve"> </w:t>
      </w:r>
    </w:p>
    <w:p w:rsidR="00022E84" w:rsidRPr="00944E7A" w:rsidRDefault="00022E84" w:rsidP="00022E84">
      <w:pPr>
        <w:pStyle w:val="Heading3"/>
      </w:pPr>
      <w:bookmarkStart w:id="133" w:name="_Toc497727946"/>
      <w:bookmarkStart w:id="134" w:name="_Toc13454339"/>
      <w:bookmarkStart w:id="135" w:name="_Toc297107199"/>
      <w:bookmarkStart w:id="136" w:name="_Toc375216988"/>
      <w:bookmarkStart w:id="137" w:name="_Toc417974605"/>
      <w:r w:rsidRPr="00944E7A">
        <w:t>Arrangements for operation [Item 19]</w:t>
      </w:r>
      <w:bookmarkEnd w:id="133"/>
      <w:bookmarkEnd w:id="134"/>
      <w:bookmarkEnd w:id="135"/>
      <w:bookmarkEnd w:id="136"/>
      <w:bookmarkEnd w:id="137"/>
    </w:p>
    <w:p w:rsidR="00022E84" w:rsidRDefault="00022E84" w:rsidP="00804DB0">
      <w:pPr>
        <w:jc w:val="both"/>
      </w:pPr>
      <w:r w:rsidRPr="00927B57">
        <w:rPr>
          <w:i/>
          <w:szCs w:val="24"/>
        </w:rPr>
        <w:t>Item 19 of Part 1 of Schedule 3 of the Regulation requires the applicant to provide the arrangements for operating the facility.</w:t>
      </w:r>
    </w:p>
    <w:p w:rsidR="00D17164" w:rsidRDefault="00F36C25" w:rsidP="00804DB0">
      <w:pPr>
        <w:jc w:val="both"/>
      </w:pPr>
      <w:r>
        <w:t>The application is supported</w:t>
      </w:r>
      <w:r w:rsidR="00917D05">
        <w:t xml:space="preserve"> by a document entitled IWS-Arrangements for operating the facility, IWS-O-LA-DOP. This document describes the arrangements in place to operate the IWS facility including the steps and procedures that will be undertaken from the receipt and handling of the TN81 cask to the setting up for monitoring whilst in storage for interim period. The arrangements also describe the </w:t>
      </w:r>
      <w:r w:rsidR="00C43F47">
        <w:t xml:space="preserve">surveillance and </w:t>
      </w:r>
      <w:r w:rsidR="00917D05">
        <w:t>maintenance activities during the operation the facility.</w:t>
      </w:r>
    </w:p>
    <w:p w:rsidR="00917D05" w:rsidRDefault="00917D05" w:rsidP="00804DB0">
      <w:pPr>
        <w:jc w:val="both"/>
      </w:pPr>
      <w:r>
        <w:t>The ARPANSA assessor notes that the operation of the facility will not involv</w:t>
      </w:r>
      <w:r w:rsidR="00935920">
        <w:t>e any processing activities including unloading and reloading of wastes from the cask and into the cask.</w:t>
      </w:r>
    </w:p>
    <w:p w:rsidR="00935920" w:rsidRDefault="00935920" w:rsidP="00804DB0">
      <w:pPr>
        <w:jc w:val="both"/>
      </w:pPr>
      <w:proofErr w:type="gramStart"/>
      <w:r>
        <w:t>Section 3</w:t>
      </w:r>
      <w:r w:rsidR="00D9705B">
        <w:t>.1</w:t>
      </w:r>
      <w:r>
        <w:t xml:space="preserve"> of the ‘operating arrangements’ describe</w:t>
      </w:r>
      <w:proofErr w:type="gramEnd"/>
      <w:r>
        <w:t xml:space="preserve"> the </w:t>
      </w:r>
      <w:r w:rsidR="00D9705B">
        <w:t>detailed steps involved in the following operations related to TN 81 cask</w:t>
      </w:r>
      <w:r w:rsidR="009A59AA">
        <w:t xml:space="preserve"> [Note: TN81 is a Type B (U) transport and storage container]</w:t>
      </w:r>
      <w:r w:rsidR="00D9705B">
        <w:t>:</w:t>
      </w:r>
    </w:p>
    <w:p w:rsidR="00D9705B" w:rsidRDefault="00D9705B" w:rsidP="00C91EB0">
      <w:pPr>
        <w:pStyle w:val="ListParagraph"/>
        <w:numPr>
          <w:ilvl w:val="0"/>
          <w:numId w:val="19"/>
        </w:numPr>
        <w:jc w:val="both"/>
      </w:pPr>
      <w:r>
        <w:t>Receipt of the package</w:t>
      </w:r>
    </w:p>
    <w:p w:rsidR="00D9705B" w:rsidRDefault="00D9705B" w:rsidP="00C91EB0">
      <w:pPr>
        <w:pStyle w:val="ListParagraph"/>
        <w:numPr>
          <w:ilvl w:val="0"/>
          <w:numId w:val="19"/>
        </w:numPr>
        <w:jc w:val="both"/>
      </w:pPr>
      <w:r>
        <w:t>Mounting of the secondary lid</w:t>
      </w:r>
    </w:p>
    <w:p w:rsidR="00D9705B" w:rsidRDefault="00D9705B" w:rsidP="00C91EB0">
      <w:pPr>
        <w:pStyle w:val="ListParagraph"/>
        <w:numPr>
          <w:ilvl w:val="0"/>
          <w:numId w:val="19"/>
        </w:numPr>
        <w:jc w:val="both"/>
      </w:pPr>
      <w:r>
        <w:t>Mounting of the monitoring system</w:t>
      </w:r>
    </w:p>
    <w:p w:rsidR="00D9705B" w:rsidRDefault="00D9705B" w:rsidP="00C91EB0">
      <w:pPr>
        <w:pStyle w:val="ListParagraph"/>
        <w:numPr>
          <w:ilvl w:val="0"/>
          <w:numId w:val="19"/>
        </w:numPr>
        <w:jc w:val="both"/>
      </w:pPr>
      <w:r>
        <w:t>Leak tightness tests</w:t>
      </w:r>
    </w:p>
    <w:p w:rsidR="00D9705B" w:rsidRDefault="00D9705B" w:rsidP="00C91EB0">
      <w:pPr>
        <w:pStyle w:val="ListParagraph"/>
        <w:numPr>
          <w:ilvl w:val="0"/>
          <w:numId w:val="19"/>
        </w:numPr>
        <w:jc w:val="both"/>
      </w:pPr>
      <w:r>
        <w:t>Storing of the package</w:t>
      </w:r>
    </w:p>
    <w:p w:rsidR="00F36C25" w:rsidRDefault="00D9705B" w:rsidP="00804DB0">
      <w:pPr>
        <w:jc w:val="both"/>
      </w:pPr>
      <w:r>
        <w:t>Monitoring and maintenance activities</w:t>
      </w:r>
      <w:r w:rsidR="006F567B">
        <w:t xml:space="preserve"> for TN81</w:t>
      </w:r>
      <w:r>
        <w:t xml:space="preserve"> are described in section 3.2 of the document.</w:t>
      </w:r>
    </w:p>
    <w:p w:rsidR="00417ECF" w:rsidRDefault="00D9705B" w:rsidP="00804DB0">
      <w:pPr>
        <w:jc w:val="both"/>
      </w:pPr>
      <w:r>
        <w:lastRenderedPageBreak/>
        <w:t>Section 4.1 of the ‘operating arrangements’ describe the procedures</w:t>
      </w:r>
      <w:r w:rsidR="009A59AA">
        <w:t xml:space="preserve"> for set up the DV78 container, which is an IP2 package derived from an ISO 200-foot container. The DV78 consists of a single storage rack which forms partitioned frame for placement of up to six (6) individual CBF-C2</w:t>
      </w:r>
      <w:r w:rsidR="00417ECF">
        <w:t xml:space="preserve"> cy</w:t>
      </w:r>
      <w:r w:rsidR="009A59AA">
        <w:t>linders</w:t>
      </w:r>
      <w:r w:rsidR="00417ECF">
        <w:t xml:space="preserve"> containing technological waste.</w:t>
      </w:r>
    </w:p>
    <w:p w:rsidR="006F567B" w:rsidRDefault="00417ECF" w:rsidP="00804DB0">
      <w:pPr>
        <w:jc w:val="both"/>
      </w:pPr>
      <w:r>
        <w:t xml:space="preserve">Section 4.2 of the document describes monitoring and </w:t>
      </w:r>
      <w:r w:rsidR="006F567B">
        <w:t xml:space="preserve">maintenance </w:t>
      </w:r>
      <w:r w:rsidR="00710762">
        <w:t xml:space="preserve">of </w:t>
      </w:r>
      <w:r w:rsidR="006F567B">
        <w:t>DV 78.</w:t>
      </w:r>
    </w:p>
    <w:p w:rsidR="00C7263B" w:rsidRDefault="006F567B" w:rsidP="00804DB0">
      <w:pPr>
        <w:jc w:val="both"/>
      </w:pPr>
      <w:r>
        <w:t>The arrangements for the facility including the building systems and equipment are described in section 5 of ‘operating arrangements’.</w:t>
      </w:r>
      <w:r w:rsidR="00C7263B">
        <w:t xml:space="preserve"> Section 5.2 of this document describes the maintenance tasks and frequency of maintenance.</w:t>
      </w:r>
    </w:p>
    <w:p w:rsidR="00731516" w:rsidRPr="005F6342" w:rsidRDefault="00731516" w:rsidP="00731516">
      <w:pPr>
        <w:pStyle w:val="Conclusion"/>
      </w:pPr>
      <w:r w:rsidRPr="005F6342">
        <w:t>Conclusion</w:t>
      </w:r>
    </w:p>
    <w:p w:rsidR="00D9705B" w:rsidRDefault="00C7263B" w:rsidP="00804DB0">
      <w:pPr>
        <w:jc w:val="both"/>
      </w:pPr>
      <w:r>
        <w:t>Considering that the IWS will house one TN81 container and a DV78 container, the arrangements for operation of the facility described in the application are acceptable. The ARPANSA assessor notes that ANSTO will provide the results of the receipt and set up of these containers as part of hot commissioning of the facility.</w:t>
      </w:r>
      <w:r w:rsidR="00417ECF">
        <w:t xml:space="preserve"> </w:t>
      </w:r>
      <w:r w:rsidR="009A59AA">
        <w:t xml:space="preserve"> </w:t>
      </w:r>
      <w:r w:rsidR="00D9705B">
        <w:t xml:space="preserve"> </w:t>
      </w:r>
    </w:p>
    <w:p w:rsidR="002E194F" w:rsidRPr="00C734EB" w:rsidRDefault="002E194F" w:rsidP="00BA0D52">
      <w:pPr>
        <w:pStyle w:val="Heading2"/>
        <w:spacing w:line="240" w:lineRule="auto"/>
      </w:pPr>
      <w:bookmarkStart w:id="138" w:name="_Toc13047987"/>
      <w:bookmarkStart w:id="139" w:name="_Toc13454341"/>
      <w:bookmarkStart w:id="140" w:name="_Toc35926819"/>
      <w:bookmarkStart w:id="141" w:name="_Toc297107200"/>
      <w:bookmarkStart w:id="142" w:name="_Toc417974606"/>
      <w:r w:rsidRPr="00C734EB">
        <w:t>O</w:t>
      </w:r>
      <w:r w:rsidR="007D295E" w:rsidRPr="00C734EB">
        <w:t>ther Matters for Consideration</w:t>
      </w:r>
      <w:bookmarkEnd w:id="138"/>
      <w:bookmarkEnd w:id="139"/>
      <w:bookmarkEnd w:id="140"/>
      <w:bookmarkEnd w:id="141"/>
      <w:bookmarkEnd w:id="142"/>
    </w:p>
    <w:p w:rsidR="002E194F" w:rsidRPr="00D460E4" w:rsidRDefault="002E194F" w:rsidP="00B247F2">
      <w:pPr>
        <w:pStyle w:val="Heading3"/>
        <w:spacing w:after="200" w:line="240" w:lineRule="auto"/>
        <w:jc w:val="both"/>
      </w:pPr>
      <w:bookmarkStart w:id="143" w:name="_Toc13454343"/>
      <w:bookmarkStart w:id="144" w:name="_Toc297107201"/>
      <w:bookmarkStart w:id="145" w:name="_Toc368493405"/>
      <w:bookmarkStart w:id="146" w:name="_Toc417974607"/>
      <w:r w:rsidRPr="00D460E4">
        <w:t>Whether the information establishes that the proposed conduct</w:t>
      </w:r>
      <w:r w:rsidR="00C00D5D" w:rsidRPr="00D460E4">
        <w:t xml:space="preserve"> can be carried out </w:t>
      </w:r>
      <w:r w:rsidRPr="00D460E4">
        <w:t>without undue risk to the health and safety of people, and to the environment [</w:t>
      </w:r>
      <w:r w:rsidR="00051944" w:rsidRPr="00D460E4">
        <w:t xml:space="preserve">paragraph </w:t>
      </w:r>
      <w:r w:rsidRPr="00D460E4">
        <w:t>41(3</w:t>
      </w:r>
      <w:proofErr w:type="gramStart"/>
      <w:r w:rsidRPr="00D460E4">
        <w:t>)(</w:t>
      </w:r>
      <w:proofErr w:type="gramEnd"/>
      <w:r w:rsidRPr="00D460E4">
        <w:t>b)</w:t>
      </w:r>
      <w:r w:rsidR="00051944" w:rsidRPr="00D460E4">
        <w:t xml:space="preserve"> of the Regulations</w:t>
      </w:r>
      <w:r w:rsidRPr="00D460E4">
        <w:t>]</w:t>
      </w:r>
      <w:bookmarkEnd w:id="143"/>
      <w:bookmarkEnd w:id="144"/>
      <w:bookmarkEnd w:id="145"/>
      <w:bookmarkEnd w:id="146"/>
      <w:r w:rsidR="007D295E" w:rsidRPr="00D460E4">
        <w:t xml:space="preserve"> </w:t>
      </w:r>
    </w:p>
    <w:p w:rsidR="004335AF" w:rsidRDefault="00E874CC" w:rsidP="00804DB0">
      <w:pPr>
        <w:pStyle w:val="BodyText2"/>
        <w:jc w:val="both"/>
        <w:rPr>
          <w:szCs w:val="24"/>
        </w:rPr>
      </w:pPr>
      <w:r w:rsidRPr="00676C35">
        <w:rPr>
          <w:szCs w:val="24"/>
        </w:rPr>
        <w:t>The a</w:t>
      </w:r>
      <w:r w:rsidR="00D6751D" w:rsidRPr="00676C35">
        <w:rPr>
          <w:szCs w:val="24"/>
        </w:rPr>
        <w:t xml:space="preserve">pplication to </w:t>
      </w:r>
      <w:r w:rsidR="00421046">
        <w:rPr>
          <w:szCs w:val="24"/>
        </w:rPr>
        <w:t>operate</w:t>
      </w:r>
      <w:r w:rsidR="007A4EC8" w:rsidRPr="00676C35">
        <w:rPr>
          <w:szCs w:val="24"/>
        </w:rPr>
        <w:t xml:space="preserve"> the </w:t>
      </w:r>
      <w:r w:rsidR="00406118">
        <w:rPr>
          <w:szCs w:val="24"/>
        </w:rPr>
        <w:t>IWS</w:t>
      </w:r>
      <w:r w:rsidR="00EA372A">
        <w:rPr>
          <w:szCs w:val="24"/>
        </w:rPr>
        <w:t xml:space="preserve"> Facility</w:t>
      </w:r>
      <w:r w:rsidRPr="00676C35">
        <w:rPr>
          <w:szCs w:val="24"/>
        </w:rPr>
        <w:t xml:space="preserve"> </w:t>
      </w:r>
      <w:r w:rsidR="00D6751D" w:rsidRPr="00676C35">
        <w:rPr>
          <w:szCs w:val="24"/>
        </w:rPr>
        <w:t xml:space="preserve">has included information that establishes acceptable controls by identifying the hazards and assessing the safety and risks of </w:t>
      </w:r>
      <w:r w:rsidR="00037F52">
        <w:rPr>
          <w:szCs w:val="24"/>
        </w:rPr>
        <w:t xml:space="preserve">the </w:t>
      </w:r>
      <w:r w:rsidR="00D6751D" w:rsidRPr="00676C35">
        <w:rPr>
          <w:szCs w:val="24"/>
        </w:rPr>
        <w:t xml:space="preserve">proposed activities. The </w:t>
      </w:r>
      <w:r w:rsidRPr="00676C35">
        <w:rPr>
          <w:szCs w:val="24"/>
        </w:rPr>
        <w:t>a</w:t>
      </w:r>
      <w:r w:rsidR="00D6751D" w:rsidRPr="00676C35">
        <w:rPr>
          <w:szCs w:val="24"/>
        </w:rPr>
        <w:t xml:space="preserve">pplication </w:t>
      </w:r>
      <w:r w:rsidR="00037F52">
        <w:rPr>
          <w:szCs w:val="24"/>
        </w:rPr>
        <w:t xml:space="preserve">has been assessed </w:t>
      </w:r>
      <w:r w:rsidR="00D6751D" w:rsidRPr="00676C35">
        <w:rPr>
          <w:szCs w:val="24"/>
        </w:rPr>
        <w:t xml:space="preserve">against </w:t>
      </w:r>
      <w:r w:rsidR="00037F52">
        <w:rPr>
          <w:szCs w:val="24"/>
        </w:rPr>
        <w:t xml:space="preserve">the </w:t>
      </w:r>
      <w:r w:rsidR="00D6751D" w:rsidRPr="00676C35">
        <w:rPr>
          <w:szCs w:val="24"/>
        </w:rPr>
        <w:t>relevant matters to be taken into account by the CEO, as described in section</w:t>
      </w:r>
      <w:r w:rsidR="00CD17FD" w:rsidRPr="00676C35">
        <w:rPr>
          <w:szCs w:val="24"/>
        </w:rPr>
        <w:t>s</w:t>
      </w:r>
      <w:r w:rsidR="00D6751D" w:rsidRPr="00676C35">
        <w:rPr>
          <w:szCs w:val="24"/>
        </w:rPr>
        <w:t xml:space="preserve"> </w:t>
      </w:r>
      <w:r w:rsidR="00C017D8">
        <w:rPr>
          <w:szCs w:val="24"/>
        </w:rPr>
        <w:t>2.1 to 2.3</w:t>
      </w:r>
      <w:r w:rsidR="007B41A7">
        <w:rPr>
          <w:szCs w:val="24"/>
        </w:rPr>
        <w:t xml:space="preserve"> </w:t>
      </w:r>
      <w:r w:rsidR="00D6751D" w:rsidRPr="00676C35">
        <w:rPr>
          <w:szCs w:val="24"/>
        </w:rPr>
        <w:t>of this report.</w:t>
      </w:r>
      <w:r w:rsidR="00F25A9D">
        <w:rPr>
          <w:szCs w:val="24"/>
        </w:rPr>
        <w:t xml:space="preserve"> </w:t>
      </w:r>
    </w:p>
    <w:p w:rsidR="002E194F" w:rsidRPr="00676C35" w:rsidRDefault="00D6751D" w:rsidP="00804DB0">
      <w:pPr>
        <w:pStyle w:val="BodyText2"/>
        <w:jc w:val="both"/>
        <w:rPr>
          <w:szCs w:val="24"/>
        </w:rPr>
      </w:pPr>
      <w:r w:rsidRPr="00676C35">
        <w:rPr>
          <w:szCs w:val="24"/>
        </w:rPr>
        <w:t>Based on this assessment, the ARPANSA assessor</w:t>
      </w:r>
      <w:r w:rsidR="008351DE" w:rsidRPr="00676C35">
        <w:rPr>
          <w:szCs w:val="24"/>
        </w:rPr>
        <w:t xml:space="preserve"> is</w:t>
      </w:r>
      <w:r w:rsidRPr="00676C35">
        <w:rPr>
          <w:szCs w:val="24"/>
        </w:rPr>
        <w:t xml:space="preserve"> of the opinion that the in</w:t>
      </w:r>
      <w:r w:rsidR="00E874CC" w:rsidRPr="00676C35">
        <w:rPr>
          <w:szCs w:val="24"/>
        </w:rPr>
        <w:t>formation contained within the a</w:t>
      </w:r>
      <w:r w:rsidRPr="00676C35">
        <w:rPr>
          <w:szCs w:val="24"/>
        </w:rPr>
        <w:t>pplication establish</w:t>
      </w:r>
      <w:r w:rsidR="009A0CC5">
        <w:rPr>
          <w:szCs w:val="24"/>
        </w:rPr>
        <w:t>es</w:t>
      </w:r>
      <w:r w:rsidRPr="00676C35">
        <w:rPr>
          <w:szCs w:val="24"/>
        </w:rPr>
        <w:t xml:space="preserve"> that </w:t>
      </w:r>
      <w:r w:rsidR="00406118">
        <w:rPr>
          <w:szCs w:val="24"/>
        </w:rPr>
        <w:t>operation of the IWS facility</w:t>
      </w:r>
      <w:r w:rsidR="007A4EC8" w:rsidRPr="00676C35">
        <w:rPr>
          <w:szCs w:val="24"/>
        </w:rPr>
        <w:t xml:space="preserve"> </w:t>
      </w:r>
      <w:r w:rsidRPr="00676C35">
        <w:rPr>
          <w:szCs w:val="24"/>
        </w:rPr>
        <w:t>can be carried out without undue risk to the health and safety of people, and to the environment and therefore</w:t>
      </w:r>
      <w:r w:rsidR="008F0CD0">
        <w:rPr>
          <w:szCs w:val="24"/>
        </w:rPr>
        <w:t xml:space="preserve"> will</w:t>
      </w:r>
      <w:r w:rsidRPr="00676C35">
        <w:rPr>
          <w:szCs w:val="24"/>
        </w:rPr>
        <w:t xml:space="preserve"> satisfy the requirement of Regulation 41(3)(b).</w:t>
      </w:r>
    </w:p>
    <w:p w:rsidR="002E194F" w:rsidRPr="00D460E4" w:rsidRDefault="002E194F" w:rsidP="004A35A6">
      <w:pPr>
        <w:pStyle w:val="Heading3"/>
        <w:spacing w:line="240" w:lineRule="auto"/>
        <w:jc w:val="both"/>
      </w:pPr>
      <w:bookmarkStart w:id="147" w:name="_Toc13454345"/>
      <w:bookmarkStart w:id="148" w:name="_Toc297107202"/>
      <w:bookmarkStart w:id="149" w:name="_Toc368493406"/>
      <w:bookmarkStart w:id="150" w:name="_Toc417974608"/>
      <w:r w:rsidRPr="00D460E4">
        <w:t>Whether there is a net benefit from the conduct [</w:t>
      </w:r>
      <w:r w:rsidR="00051944" w:rsidRPr="00D460E4">
        <w:t xml:space="preserve">paragraph </w:t>
      </w:r>
      <w:r w:rsidRPr="00D460E4">
        <w:t>41(3</w:t>
      </w:r>
      <w:proofErr w:type="gramStart"/>
      <w:r w:rsidRPr="00D460E4">
        <w:t>)(</w:t>
      </w:r>
      <w:proofErr w:type="gramEnd"/>
      <w:r w:rsidRPr="00D460E4">
        <w:t>c)</w:t>
      </w:r>
      <w:r w:rsidR="00051944" w:rsidRPr="00D460E4">
        <w:t xml:space="preserve"> of the Regulations</w:t>
      </w:r>
      <w:r w:rsidRPr="00D460E4">
        <w:t>]</w:t>
      </w:r>
      <w:bookmarkEnd w:id="147"/>
      <w:bookmarkEnd w:id="148"/>
      <w:bookmarkEnd w:id="149"/>
      <w:bookmarkEnd w:id="150"/>
    </w:p>
    <w:p w:rsidR="00406118" w:rsidRPr="00406118" w:rsidRDefault="0012732B" w:rsidP="00804DB0">
      <w:pPr>
        <w:jc w:val="both"/>
        <w:rPr>
          <w:szCs w:val="24"/>
        </w:rPr>
      </w:pPr>
      <w:r>
        <w:rPr>
          <w:szCs w:val="24"/>
        </w:rPr>
        <w:t>The HIFAR reactor was used for about 49 years for</w:t>
      </w:r>
      <w:r w:rsidR="00406118" w:rsidRPr="00406118">
        <w:rPr>
          <w:szCs w:val="24"/>
        </w:rPr>
        <w:t xml:space="preserve"> producing radioisotopes for industry, radiopharmaceuticals for diagnostic and therapeutic uses, irradiation of high quality silicon ingots for the electronics industry, materials research, scientific research in relation to neutron beam</w:t>
      </w:r>
      <w:r w:rsidR="00406118">
        <w:rPr>
          <w:szCs w:val="24"/>
        </w:rPr>
        <w:t xml:space="preserve"> </w:t>
      </w:r>
      <w:r w:rsidR="00406118" w:rsidRPr="00406118">
        <w:rPr>
          <w:szCs w:val="24"/>
        </w:rPr>
        <w:t>work etc.</w:t>
      </w:r>
      <w:r>
        <w:rPr>
          <w:szCs w:val="24"/>
        </w:rPr>
        <w:t xml:space="preserve"> </w:t>
      </w:r>
      <w:r w:rsidRPr="00406118">
        <w:rPr>
          <w:szCs w:val="24"/>
        </w:rPr>
        <w:t>Australia is obliged by international contracts and agreements to accept the reprocessed waste from HIFAR used fuel assemblies</w:t>
      </w:r>
      <w:r>
        <w:rPr>
          <w:szCs w:val="24"/>
        </w:rPr>
        <w:t xml:space="preserve"> and store the waste for an interim period</w:t>
      </w:r>
      <w:r w:rsidRPr="00406118">
        <w:rPr>
          <w:szCs w:val="24"/>
        </w:rPr>
        <w:t xml:space="preserve">. </w:t>
      </w:r>
      <w:r>
        <w:rPr>
          <w:szCs w:val="24"/>
        </w:rPr>
        <w:t xml:space="preserve">  </w:t>
      </w:r>
    </w:p>
    <w:p w:rsidR="005930D7" w:rsidRPr="00676C35" w:rsidRDefault="0012732B" w:rsidP="00804DB0">
      <w:pPr>
        <w:jc w:val="both"/>
        <w:rPr>
          <w:szCs w:val="24"/>
        </w:rPr>
      </w:pPr>
      <w:r>
        <w:rPr>
          <w:szCs w:val="24"/>
        </w:rPr>
        <w:t xml:space="preserve">It is expected that the operation of the facility may involve low level of exposure, </w:t>
      </w:r>
      <w:r w:rsidR="00802B8D">
        <w:rPr>
          <w:szCs w:val="24"/>
        </w:rPr>
        <w:t>below the</w:t>
      </w:r>
      <w:r>
        <w:rPr>
          <w:szCs w:val="24"/>
        </w:rPr>
        <w:t xml:space="preserve"> annual public exposure limit of 1 </w:t>
      </w:r>
      <w:proofErr w:type="spellStart"/>
      <w:r>
        <w:rPr>
          <w:szCs w:val="24"/>
        </w:rPr>
        <w:t>mSv</w:t>
      </w:r>
      <w:proofErr w:type="spellEnd"/>
      <w:r>
        <w:rPr>
          <w:szCs w:val="24"/>
        </w:rPr>
        <w:t xml:space="preserve">, </w:t>
      </w:r>
      <w:r w:rsidR="00A37D8D">
        <w:rPr>
          <w:szCs w:val="24"/>
        </w:rPr>
        <w:t xml:space="preserve">but the benefit </w:t>
      </w:r>
      <w:r w:rsidR="007B41A7">
        <w:rPr>
          <w:szCs w:val="24"/>
        </w:rPr>
        <w:t xml:space="preserve">that </w:t>
      </w:r>
      <w:r w:rsidR="00A37D8D">
        <w:rPr>
          <w:szCs w:val="24"/>
        </w:rPr>
        <w:t xml:space="preserve">millions of patients </w:t>
      </w:r>
      <w:r>
        <w:rPr>
          <w:szCs w:val="24"/>
        </w:rPr>
        <w:t xml:space="preserve">received </w:t>
      </w:r>
      <w:r w:rsidR="00802B8D">
        <w:rPr>
          <w:szCs w:val="24"/>
        </w:rPr>
        <w:t xml:space="preserve">from radiopharmaceuticals </w:t>
      </w:r>
      <w:r>
        <w:rPr>
          <w:szCs w:val="24"/>
        </w:rPr>
        <w:t xml:space="preserve">during the operation of the HIFAR reactor </w:t>
      </w:r>
      <w:r w:rsidR="00A37D8D">
        <w:rPr>
          <w:szCs w:val="24"/>
        </w:rPr>
        <w:t>will outweigh the risk</w:t>
      </w:r>
      <w:r w:rsidR="004335AF">
        <w:rPr>
          <w:szCs w:val="24"/>
        </w:rPr>
        <w:t>s</w:t>
      </w:r>
      <w:r w:rsidR="00A039E8">
        <w:rPr>
          <w:szCs w:val="24"/>
        </w:rPr>
        <w:t xml:space="preserve"> </w:t>
      </w:r>
      <w:r w:rsidR="00A37D8D">
        <w:rPr>
          <w:szCs w:val="24"/>
        </w:rPr>
        <w:t xml:space="preserve">associated with the operation of the facility. </w:t>
      </w:r>
    </w:p>
    <w:p w:rsidR="002E194F" w:rsidRPr="00676C35" w:rsidRDefault="008F0CD0" w:rsidP="00804DB0">
      <w:pPr>
        <w:jc w:val="both"/>
        <w:rPr>
          <w:b/>
          <w:szCs w:val="24"/>
          <w:u w:val="single"/>
        </w:rPr>
      </w:pPr>
      <w:r>
        <w:rPr>
          <w:szCs w:val="24"/>
        </w:rPr>
        <w:t xml:space="preserve">The </w:t>
      </w:r>
      <w:r w:rsidR="00D6751D" w:rsidRPr="00676C35">
        <w:rPr>
          <w:szCs w:val="24"/>
        </w:rPr>
        <w:t>ARPANSA assessor</w:t>
      </w:r>
      <w:r w:rsidR="00B9600C">
        <w:rPr>
          <w:szCs w:val="24"/>
        </w:rPr>
        <w:t xml:space="preserve"> </w:t>
      </w:r>
      <w:r w:rsidR="00D6751D" w:rsidRPr="00676C35">
        <w:rPr>
          <w:szCs w:val="24"/>
        </w:rPr>
        <w:t>consider</w:t>
      </w:r>
      <w:r w:rsidR="00B9600C">
        <w:rPr>
          <w:szCs w:val="24"/>
        </w:rPr>
        <w:t>s</w:t>
      </w:r>
      <w:r w:rsidR="00D6751D" w:rsidRPr="00676C35">
        <w:rPr>
          <w:szCs w:val="24"/>
        </w:rPr>
        <w:t xml:space="preserve"> that </w:t>
      </w:r>
      <w:r w:rsidR="0012732B">
        <w:rPr>
          <w:szCs w:val="24"/>
        </w:rPr>
        <w:t xml:space="preserve">operation of </w:t>
      </w:r>
      <w:r w:rsidR="0076271B">
        <w:rPr>
          <w:szCs w:val="24"/>
        </w:rPr>
        <w:t xml:space="preserve">the facility will provide </w:t>
      </w:r>
      <w:r w:rsidR="0081724D">
        <w:rPr>
          <w:szCs w:val="24"/>
        </w:rPr>
        <w:t xml:space="preserve">a </w:t>
      </w:r>
      <w:r w:rsidR="0076271B">
        <w:rPr>
          <w:szCs w:val="24"/>
        </w:rPr>
        <w:t>net benefit.</w:t>
      </w:r>
    </w:p>
    <w:p w:rsidR="002E194F" w:rsidRPr="00D460E4" w:rsidRDefault="002E194F" w:rsidP="00BA0D52">
      <w:pPr>
        <w:pStyle w:val="Heading3"/>
        <w:spacing w:line="240" w:lineRule="auto"/>
      </w:pPr>
      <w:bookmarkStart w:id="151" w:name="_Toc13454347"/>
      <w:bookmarkStart w:id="152" w:name="_Toc297107203"/>
      <w:bookmarkStart w:id="153" w:name="_Toc368493407"/>
      <w:bookmarkStart w:id="154" w:name="_Toc417974609"/>
      <w:r w:rsidRPr="00D460E4">
        <w:lastRenderedPageBreak/>
        <w:t>Whether the doses are as low as reasonably achievable, having regard to economic and social factors [</w:t>
      </w:r>
      <w:r w:rsidR="00051944" w:rsidRPr="00D460E4">
        <w:t xml:space="preserve">paragraph </w:t>
      </w:r>
      <w:r w:rsidRPr="00D460E4">
        <w:t>41(3</w:t>
      </w:r>
      <w:proofErr w:type="gramStart"/>
      <w:r w:rsidRPr="00D460E4">
        <w:t>)(</w:t>
      </w:r>
      <w:proofErr w:type="gramEnd"/>
      <w:r w:rsidRPr="00D460E4">
        <w:t>d)</w:t>
      </w:r>
      <w:r w:rsidR="00051944" w:rsidRPr="00D460E4">
        <w:t xml:space="preserve"> of the Regulations</w:t>
      </w:r>
      <w:r w:rsidRPr="00D460E4">
        <w:t>]</w:t>
      </w:r>
      <w:bookmarkEnd w:id="151"/>
      <w:bookmarkEnd w:id="152"/>
      <w:bookmarkEnd w:id="153"/>
      <w:bookmarkEnd w:id="154"/>
    </w:p>
    <w:p w:rsidR="002E194F" w:rsidRPr="00676C35" w:rsidRDefault="00644D48" w:rsidP="005F4062">
      <w:pPr>
        <w:jc w:val="both"/>
        <w:rPr>
          <w:szCs w:val="24"/>
        </w:rPr>
      </w:pPr>
      <w:bookmarkStart w:id="155" w:name="_Toc13048120"/>
      <w:bookmarkStart w:id="156" w:name="_Toc13454348"/>
      <w:r w:rsidRPr="00676C35">
        <w:rPr>
          <w:szCs w:val="24"/>
        </w:rPr>
        <w:t xml:space="preserve">The dose constraint for operators of the facility is </w:t>
      </w:r>
      <w:proofErr w:type="gramStart"/>
      <w:r w:rsidRPr="00676C35">
        <w:rPr>
          <w:szCs w:val="24"/>
        </w:rPr>
        <w:t>1</w:t>
      </w:r>
      <w:r w:rsidR="00382248" w:rsidRPr="00676C35">
        <w:rPr>
          <w:szCs w:val="24"/>
        </w:rPr>
        <w:t>5</w:t>
      </w:r>
      <w:r w:rsidRPr="00676C35">
        <w:rPr>
          <w:szCs w:val="24"/>
        </w:rPr>
        <w:t xml:space="preserve"> </w:t>
      </w:r>
      <w:proofErr w:type="spellStart"/>
      <w:r w:rsidRPr="00676C35">
        <w:rPr>
          <w:szCs w:val="24"/>
        </w:rPr>
        <w:t>mSv</w:t>
      </w:r>
      <w:proofErr w:type="spellEnd"/>
      <w:r w:rsidRPr="00676C35">
        <w:rPr>
          <w:szCs w:val="24"/>
        </w:rPr>
        <w:t>/year</w:t>
      </w:r>
      <w:proofErr w:type="gramEnd"/>
      <w:r w:rsidRPr="00676C35">
        <w:rPr>
          <w:szCs w:val="24"/>
        </w:rPr>
        <w:t>.</w:t>
      </w:r>
      <w:r w:rsidR="003F5EC9">
        <w:rPr>
          <w:szCs w:val="24"/>
        </w:rPr>
        <w:t xml:space="preserve"> In addition, ANSTO has an annual ALARA objective of 2 </w:t>
      </w:r>
      <w:proofErr w:type="spellStart"/>
      <w:r w:rsidR="003F5EC9">
        <w:rPr>
          <w:szCs w:val="24"/>
        </w:rPr>
        <w:t>mSv</w:t>
      </w:r>
      <w:proofErr w:type="spellEnd"/>
      <w:r w:rsidR="003F5EC9">
        <w:rPr>
          <w:szCs w:val="24"/>
        </w:rPr>
        <w:t xml:space="preserve"> as part of further optimisation of radiation protection.</w:t>
      </w:r>
      <w:r w:rsidR="00802B8D">
        <w:rPr>
          <w:szCs w:val="24"/>
        </w:rPr>
        <w:t xml:space="preserve"> Considering the tasks involved in the operation of the facility the estimated dose to the operator will be below the </w:t>
      </w:r>
      <w:r w:rsidR="00F4518C">
        <w:rPr>
          <w:szCs w:val="24"/>
        </w:rPr>
        <w:t>annual</w:t>
      </w:r>
      <w:r w:rsidR="00802B8D">
        <w:rPr>
          <w:szCs w:val="24"/>
        </w:rPr>
        <w:t xml:space="preserve"> public exposure limit of 1 </w:t>
      </w:r>
      <w:proofErr w:type="spellStart"/>
      <w:r w:rsidR="00802B8D">
        <w:rPr>
          <w:szCs w:val="24"/>
        </w:rPr>
        <w:t>mSv</w:t>
      </w:r>
      <w:proofErr w:type="spellEnd"/>
      <w:r w:rsidR="00802B8D">
        <w:rPr>
          <w:szCs w:val="24"/>
        </w:rPr>
        <w:t>. Therefore, the ARPANSA assessor considers that the doses are ALARA.</w:t>
      </w:r>
    </w:p>
    <w:p w:rsidR="002E194F" w:rsidRPr="00D460E4" w:rsidRDefault="002E194F" w:rsidP="00BA0D52">
      <w:pPr>
        <w:pStyle w:val="Heading3"/>
        <w:spacing w:line="240" w:lineRule="auto"/>
      </w:pPr>
      <w:bookmarkStart w:id="157" w:name="_Toc13454349"/>
      <w:bookmarkStart w:id="158" w:name="_Toc297107204"/>
      <w:bookmarkStart w:id="159" w:name="_Toc368493408"/>
      <w:bookmarkStart w:id="160" w:name="_Toc417974610"/>
      <w:bookmarkEnd w:id="155"/>
      <w:bookmarkEnd w:id="156"/>
      <w:r w:rsidRPr="00D460E4">
        <w:t>Whether the Applicant can comply with the regulations and the licence conditions [</w:t>
      </w:r>
      <w:r w:rsidR="00051944" w:rsidRPr="00D460E4">
        <w:t xml:space="preserve">paragraph </w:t>
      </w:r>
      <w:r w:rsidRPr="00D460E4">
        <w:t>41(3</w:t>
      </w:r>
      <w:proofErr w:type="gramStart"/>
      <w:r w:rsidRPr="00D460E4">
        <w:t>)(</w:t>
      </w:r>
      <w:proofErr w:type="gramEnd"/>
      <w:r w:rsidRPr="00D460E4">
        <w:t>e)</w:t>
      </w:r>
      <w:r w:rsidR="00051944" w:rsidRPr="00D460E4">
        <w:t xml:space="preserve"> of the Regulations</w:t>
      </w:r>
      <w:r w:rsidRPr="00D460E4">
        <w:t>]</w:t>
      </w:r>
      <w:bookmarkEnd w:id="157"/>
      <w:bookmarkEnd w:id="158"/>
      <w:bookmarkEnd w:id="159"/>
      <w:bookmarkEnd w:id="160"/>
    </w:p>
    <w:p w:rsidR="002E194F" w:rsidRPr="00676C35" w:rsidRDefault="00166EA0" w:rsidP="005F4062">
      <w:pPr>
        <w:pStyle w:val="BodyText2"/>
        <w:jc w:val="both"/>
        <w:rPr>
          <w:szCs w:val="24"/>
        </w:rPr>
      </w:pPr>
      <w:r w:rsidRPr="00676C35">
        <w:rPr>
          <w:szCs w:val="24"/>
        </w:rPr>
        <w:t xml:space="preserve">The </w:t>
      </w:r>
      <w:r w:rsidR="00A039E8">
        <w:rPr>
          <w:szCs w:val="24"/>
        </w:rPr>
        <w:t>a</w:t>
      </w:r>
      <w:r w:rsidRPr="00676C35">
        <w:rPr>
          <w:szCs w:val="24"/>
        </w:rPr>
        <w:t xml:space="preserve">pplicant is the CEO of ANSTO. ANSTO is licensed by ARPANSA to operate numerous nuclear installations and prescribed radiation facilities and </w:t>
      </w:r>
      <w:r w:rsidR="00922494">
        <w:rPr>
          <w:szCs w:val="24"/>
        </w:rPr>
        <w:t xml:space="preserve">it </w:t>
      </w:r>
      <w:r w:rsidRPr="00676C35">
        <w:rPr>
          <w:szCs w:val="24"/>
        </w:rPr>
        <w:t xml:space="preserve">has </w:t>
      </w:r>
      <w:r w:rsidR="00922494">
        <w:rPr>
          <w:szCs w:val="24"/>
        </w:rPr>
        <w:t xml:space="preserve">been </w:t>
      </w:r>
      <w:r w:rsidRPr="00676C35">
        <w:rPr>
          <w:szCs w:val="24"/>
        </w:rPr>
        <w:t xml:space="preserve">proven that </w:t>
      </w:r>
      <w:r w:rsidR="00922494">
        <w:rPr>
          <w:szCs w:val="24"/>
        </w:rPr>
        <w:t>ANSTO is</w:t>
      </w:r>
      <w:r w:rsidRPr="00676C35">
        <w:rPr>
          <w:szCs w:val="24"/>
        </w:rPr>
        <w:t xml:space="preserve"> capable of complying with the ARPANS Act </w:t>
      </w:r>
      <w:r w:rsidR="00A039E8">
        <w:rPr>
          <w:szCs w:val="24"/>
        </w:rPr>
        <w:t xml:space="preserve">and Regulations </w:t>
      </w:r>
      <w:r w:rsidRPr="00676C35">
        <w:rPr>
          <w:szCs w:val="24"/>
        </w:rPr>
        <w:t>and licence conditions.</w:t>
      </w:r>
      <w:r w:rsidR="00C440F9">
        <w:rPr>
          <w:szCs w:val="24"/>
        </w:rPr>
        <w:t xml:space="preserve"> In addition, compliance with licence conditions is verified by ARPANSA inspection.</w:t>
      </w:r>
    </w:p>
    <w:p w:rsidR="002E194F" w:rsidRDefault="002E194F" w:rsidP="00BA0D52">
      <w:pPr>
        <w:pStyle w:val="Heading3"/>
        <w:spacing w:line="240" w:lineRule="auto"/>
      </w:pPr>
      <w:bookmarkStart w:id="161" w:name="_Toc13454351"/>
      <w:bookmarkStart w:id="162" w:name="_Toc297107205"/>
      <w:bookmarkStart w:id="163" w:name="_Toc368493409"/>
      <w:bookmarkStart w:id="164" w:name="_Toc417974611"/>
      <w:r w:rsidRPr="00D460E4">
        <w:t>Whether the Application has been signed by an authorised person [</w:t>
      </w:r>
      <w:r w:rsidR="00051944" w:rsidRPr="00D460E4">
        <w:t xml:space="preserve">paragraph </w:t>
      </w:r>
      <w:r w:rsidRPr="00D460E4">
        <w:t>41(3</w:t>
      </w:r>
      <w:proofErr w:type="gramStart"/>
      <w:r w:rsidRPr="00D460E4">
        <w:t>)(</w:t>
      </w:r>
      <w:proofErr w:type="gramEnd"/>
      <w:r w:rsidRPr="00D460E4">
        <w:t>f)</w:t>
      </w:r>
      <w:r w:rsidR="00051944" w:rsidRPr="00D460E4">
        <w:t xml:space="preserve"> of the Regulations</w:t>
      </w:r>
      <w:r w:rsidRPr="00D460E4">
        <w:t>]</w:t>
      </w:r>
      <w:bookmarkEnd w:id="161"/>
      <w:bookmarkEnd w:id="162"/>
      <w:bookmarkEnd w:id="163"/>
      <w:bookmarkEnd w:id="164"/>
    </w:p>
    <w:p w:rsidR="002E194F" w:rsidRDefault="00166EA0" w:rsidP="005F4062">
      <w:pPr>
        <w:pStyle w:val="BodyText2"/>
        <w:jc w:val="both"/>
        <w:rPr>
          <w:szCs w:val="24"/>
        </w:rPr>
      </w:pPr>
      <w:r w:rsidRPr="00676C35">
        <w:rPr>
          <w:szCs w:val="24"/>
        </w:rPr>
        <w:t>The application was signed by</w:t>
      </w:r>
      <w:r w:rsidR="00084BB3" w:rsidRPr="00676C35">
        <w:rPr>
          <w:szCs w:val="24"/>
        </w:rPr>
        <w:t xml:space="preserve"> </w:t>
      </w:r>
      <w:r w:rsidR="003F5EC9">
        <w:rPr>
          <w:szCs w:val="24"/>
        </w:rPr>
        <w:t>Dr Adrian</w:t>
      </w:r>
      <w:r w:rsidR="00382248" w:rsidRPr="00676C35">
        <w:rPr>
          <w:szCs w:val="24"/>
        </w:rPr>
        <w:t xml:space="preserve"> Paterson,</w:t>
      </w:r>
      <w:r w:rsidR="00084BB3" w:rsidRPr="00676C35">
        <w:rPr>
          <w:szCs w:val="24"/>
        </w:rPr>
        <w:t xml:space="preserve"> </w:t>
      </w:r>
      <w:r w:rsidR="00397ADD" w:rsidRPr="00676C35">
        <w:rPr>
          <w:szCs w:val="24"/>
        </w:rPr>
        <w:t>the</w:t>
      </w:r>
      <w:r w:rsidRPr="00676C35">
        <w:rPr>
          <w:szCs w:val="24"/>
        </w:rPr>
        <w:t xml:space="preserve"> CEO of ANSTO.</w:t>
      </w:r>
    </w:p>
    <w:p w:rsidR="002E194F" w:rsidRPr="00D460E4" w:rsidRDefault="002E194F" w:rsidP="00BA0D52">
      <w:pPr>
        <w:pStyle w:val="Heading3"/>
        <w:spacing w:line="240" w:lineRule="auto"/>
      </w:pPr>
      <w:bookmarkStart w:id="165" w:name="_Toc13454353"/>
      <w:bookmarkStart w:id="166" w:name="_Toc297107206"/>
      <w:bookmarkStart w:id="167" w:name="_Toc368493410"/>
      <w:bookmarkStart w:id="168" w:name="_Toc417974612"/>
      <w:r w:rsidRPr="00D460E4">
        <w:t>If the Application is for a facility licence for a nuclear installation - the content of any public submissions [</w:t>
      </w:r>
      <w:r w:rsidR="00051944" w:rsidRPr="00D460E4">
        <w:t xml:space="preserve">paragraph </w:t>
      </w:r>
      <w:r w:rsidRPr="00D460E4">
        <w:t>41(3</w:t>
      </w:r>
      <w:proofErr w:type="gramStart"/>
      <w:r w:rsidRPr="00D460E4">
        <w:t>)(</w:t>
      </w:r>
      <w:proofErr w:type="gramEnd"/>
      <w:r w:rsidRPr="00D460E4">
        <w:t>g)</w:t>
      </w:r>
      <w:r w:rsidR="00051944" w:rsidRPr="00D460E4">
        <w:t xml:space="preserve"> of the Regulations</w:t>
      </w:r>
      <w:r w:rsidRPr="00D460E4">
        <w:t>]</w:t>
      </w:r>
      <w:bookmarkEnd w:id="165"/>
      <w:bookmarkEnd w:id="166"/>
      <w:bookmarkEnd w:id="167"/>
      <w:bookmarkEnd w:id="168"/>
    </w:p>
    <w:p w:rsidR="00B246AE" w:rsidRDefault="007E4F1F" w:rsidP="005F4062">
      <w:pPr>
        <w:jc w:val="both"/>
        <w:rPr>
          <w:szCs w:val="24"/>
        </w:rPr>
      </w:pPr>
      <w:r>
        <w:rPr>
          <w:szCs w:val="24"/>
        </w:rPr>
        <w:t xml:space="preserve">Regulation 40 requires the CEO of ARPANSA to advertise receipt of the licence application for the </w:t>
      </w:r>
      <w:r w:rsidR="003454EF">
        <w:rPr>
          <w:szCs w:val="24"/>
        </w:rPr>
        <w:t xml:space="preserve">IWS </w:t>
      </w:r>
      <w:r>
        <w:rPr>
          <w:szCs w:val="24"/>
        </w:rPr>
        <w:t>Facility and to invite submissions</w:t>
      </w:r>
      <w:r w:rsidR="00157250">
        <w:rPr>
          <w:szCs w:val="24"/>
        </w:rPr>
        <w:t xml:space="preserve"> from the public in the Australian Government Gazette and a national newspaper</w:t>
      </w:r>
      <w:r>
        <w:rPr>
          <w:szCs w:val="24"/>
        </w:rPr>
        <w:t xml:space="preserve">. </w:t>
      </w:r>
      <w:r w:rsidR="00B246AE">
        <w:rPr>
          <w:szCs w:val="24"/>
        </w:rPr>
        <w:t xml:space="preserve"> </w:t>
      </w:r>
      <w:r w:rsidR="00157250">
        <w:rPr>
          <w:szCs w:val="24"/>
        </w:rPr>
        <w:t xml:space="preserve">ARPANSA </w:t>
      </w:r>
      <w:r w:rsidR="00B246AE">
        <w:rPr>
          <w:szCs w:val="24"/>
        </w:rPr>
        <w:t>published</w:t>
      </w:r>
      <w:r w:rsidR="00157250">
        <w:rPr>
          <w:szCs w:val="24"/>
        </w:rPr>
        <w:t xml:space="preserve"> </w:t>
      </w:r>
      <w:r w:rsidR="00B246AE">
        <w:rPr>
          <w:szCs w:val="24"/>
        </w:rPr>
        <w:t xml:space="preserve">the following </w:t>
      </w:r>
      <w:r w:rsidR="00157250">
        <w:rPr>
          <w:szCs w:val="24"/>
        </w:rPr>
        <w:t xml:space="preserve">notices in accordance with </w:t>
      </w:r>
      <w:r w:rsidR="00A039E8">
        <w:rPr>
          <w:szCs w:val="24"/>
        </w:rPr>
        <w:t>r</w:t>
      </w:r>
      <w:r w:rsidR="00157250">
        <w:rPr>
          <w:szCs w:val="24"/>
        </w:rPr>
        <w:t xml:space="preserve">egulation </w:t>
      </w:r>
      <w:r w:rsidR="00A039E8">
        <w:rPr>
          <w:szCs w:val="24"/>
        </w:rPr>
        <w:t>40</w:t>
      </w:r>
      <w:r w:rsidR="00B246AE">
        <w:rPr>
          <w:szCs w:val="24"/>
        </w:rPr>
        <w:t xml:space="preserve">: </w:t>
      </w:r>
    </w:p>
    <w:p w:rsidR="007E4F1F" w:rsidRDefault="00B246AE" w:rsidP="005F4062">
      <w:pPr>
        <w:pStyle w:val="ListParagraph"/>
        <w:numPr>
          <w:ilvl w:val="0"/>
          <w:numId w:val="5"/>
        </w:numPr>
        <w:ind w:left="714" w:hanging="357"/>
        <w:jc w:val="both"/>
        <w:rPr>
          <w:szCs w:val="24"/>
        </w:rPr>
      </w:pPr>
      <w:r>
        <w:rPr>
          <w:szCs w:val="24"/>
        </w:rPr>
        <w:t>A</w:t>
      </w:r>
      <w:r w:rsidR="007E4F1F">
        <w:rPr>
          <w:szCs w:val="24"/>
        </w:rPr>
        <w:t xml:space="preserve"> notice in the </w:t>
      </w:r>
      <w:r w:rsidR="00592C70">
        <w:rPr>
          <w:szCs w:val="24"/>
        </w:rPr>
        <w:t xml:space="preserve">Australian </w:t>
      </w:r>
      <w:r w:rsidR="0081724D">
        <w:rPr>
          <w:szCs w:val="24"/>
        </w:rPr>
        <w:t xml:space="preserve">Government </w:t>
      </w:r>
      <w:r w:rsidR="00193A34">
        <w:rPr>
          <w:szCs w:val="24"/>
        </w:rPr>
        <w:t xml:space="preserve">Gazette on </w:t>
      </w:r>
      <w:r w:rsidR="00421046">
        <w:rPr>
          <w:szCs w:val="24"/>
        </w:rPr>
        <w:t>10</w:t>
      </w:r>
      <w:r w:rsidR="00F4518C">
        <w:rPr>
          <w:szCs w:val="24"/>
        </w:rPr>
        <w:t xml:space="preserve"> December 2014</w:t>
      </w:r>
      <w:r>
        <w:rPr>
          <w:szCs w:val="24"/>
        </w:rPr>
        <w:t>.</w:t>
      </w:r>
    </w:p>
    <w:p w:rsidR="00193A34" w:rsidRDefault="00B246AE" w:rsidP="005F4062">
      <w:pPr>
        <w:pStyle w:val="ListParagraph"/>
        <w:numPr>
          <w:ilvl w:val="0"/>
          <w:numId w:val="5"/>
        </w:numPr>
        <w:ind w:left="714" w:hanging="357"/>
        <w:jc w:val="both"/>
        <w:rPr>
          <w:szCs w:val="24"/>
        </w:rPr>
      </w:pPr>
      <w:r>
        <w:rPr>
          <w:szCs w:val="24"/>
        </w:rPr>
        <w:t>A</w:t>
      </w:r>
      <w:r w:rsidR="00157250">
        <w:rPr>
          <w:szCs w:val="24"/>
        </w:rPr>
        <w:t xml:space="preserve"> notice on </w:t>
      </w:r>
      <w:r>
        <w:rPr>
          <w:szCs w:val="24"/>
        </w:rPr>
        <w:t xml:space="preserve">the </w:t>
      </w:r>
      <w:r w:rsidR="00193A34">
        <w:rPr>
          <w:szCs w:val="24"/>
        </w:rPr>
        <w:t xml:space="preserve">ARPANSA </w:t>
      </w:r>
      <w:r w:rsidR="00157250">
        <w:rPr>
          <w:szCs w:val="24"/>
        </w:rPr>
        <w:t>w</w:t>
      </w:r>
      <w:r w:rsidR="00193A34">
        <w:rPr>
          <w:szCs w:val="24"/>
        </w:rPr>
        <w:t>ebsite</w:t>
      </w:r>
      <w:r w:rsidR="00421046">
        <w:rPr>
          <w:szCs w:val="24"/>
        </w:rPr>
        <w:t xml:space="preserve"> 10 December 2014</w:t>
      </w:r>
      <w:r>
        <w:rPr>
          <w:szCs w:val="24"/>
        </w:rPr>
        <w:t>.</w:t>
      </w:r>
      <w:r w:rsidR="00022E84">
        <w:rPr>
          <w:szCs w:val="24"/>
        </w:rPr>
        <w:t xml:space="preserve"> </w:t>
      </w:r>
    </w:p>
    <w:p w:rsidR="00193A34" w:rsidRDefault="00B246AE" w:rsidP="005F4062">
      <w:pPr>
        <w:pStyle w:val="ListParagraph"/>
        <w:numPr>
          <w:ilvl w:val="0"/>
          <w:numId w:val="5"/>
        </w:numPr>
        <w:ind w:left="714" w:hanging="357"/>
        <w:jc w:val="both"/>
        <w:rPr>
          <w:szCs w:val="24"/>
        </w:rPr>
      </w:pPr>
      <w:r>
        <w:rPr>
          <w:szCs w:val="24"/>
        </w:rPr>
        <w:t>A</w:t>
      </w:r>
      <w:r w:rsidR="00157250">
        <w:rPr>
          <w:szCs w:val="24"/>
        </w:rPr>
        <w:t xml:space="preserve"> notice</w:t>
      </w:r>
      <w:r w:rsidR="00193A34">
        <w:rPr>
          <w:szCs w:val="24"/>
        </w:rPr>
        <w:t xml:space="preserve"> in </w:t>
      </w:r>
      <w:r w:rsidR="00157250">
        <w:rPr>
          <w:szCs w:val="24"/>
        </w:rPr>
        <w:t>T</w:t>
      </w:r>
      <w:r w:rsidR="00193A34">
        <w:rPr>
          <w:szCs w:val="24"/>
        </w:rPr>
        <w:t xml:space="preserve">he Australian </w:t>
      </w:r>
      <w:r w:rsidR="00157250">
        <w:rPr>
          <w:szCs w:val="24"/>
        </w:rPr>
        <w:t xml:space="preserve">newspaper </w:t>
      </w:r>
      <w:r w:rsidR="00193A34">
        <w:rPr>
          <w:szCs w:val="24"/>
        </w:rPr>
        <w:t xml:space="preserve">on </w:t>
      </w:r>
      <w:r w:rsidR="00421046">
        <w:rPr>
          <w:szCs w:val="24"/>
        </w:rPr>
        <w:t>10</w:t>
      </w:r>
      <w:r w:rsidR="002F3668" w:rsidRPr="00421046">
        <w:rPr>
          <w:szCs w:val="24"/>
        </w:rPr>
        <w:t xml:space="preserve"> December 2014</w:t>
      </w:r>
      <w:r>
        <w:rPr>
          <w:szCs w:val="24"/>
        </w:rPr>
        <w:t>.</w:t>
      </w:r>
      <w:r w:rsidR="00157250">
        <w:rPr>
          <w:szCs w:val="24"/>
        </w:rPr>
        <w:t xml:space="preserve"> </w:t>
      </w:r>
    </w:p>
    <w:p w:rsidR="006336CB" w:rsidRDefault="009A0CC5" w:rsidP="005F4062">
      <w:pPr>
        <w:jc w:val="both"/>
        <w:rPr>
          <w:szCs w:val="24"/>
        </w:rPr>
      </w:pPr>
      <w:r>
        <w:rPr>
          <w:szCs w:val="24"/>
        </w:rPr>
        <w:t>A c</w:t>
      </w:r>
      <w:r w:rsidR="00193A34">
        <w:rPr>
          <w:szCs w:val="24"/>
        </w:rPr>
        <w:t>op</w:t>
      </w:r>
      <w:r>
        <w:rPr>
          <w:szCs w:val="24"/>
        </w:rPr>
        <w:t>y</w:t>
      </w:r>
      <w:r w:rsidR="00193A34">
        <w:rPr>
          <w:szCs w:val="24"/>
        </w:rPr>
        <w:t xml:space="preserve"> of the </w:t>
      </w:r>
      <w:r w:rsidR="00022E84">
        <w:rPr>
          <w:szCs w:val="24"/>
        </w:rPr>
        <w:t>operation</w:t>
      </w:r>
      <w:r>
        <w:rPr>
          <w:szCs w:val="24"/>
        </w:rPr>
        <w:t xml:space="preserve"> </w:t>
      </w:r>
      <w:r w:rsidR="00193A34">
        <w:rPr>
          <w:szCs w:val="24"/>
        </w:rPr>
        <w:t xml:space="preserve">licence application submitted by ANSTO </w:t>
      </w:r>
      <w:r>
        <w:rPr>
          <w:szCs w:val="24"/>
        </w:rPr>
        <w:t xml:space="preserve">was </w:t>
      </w:r>
      <w:r w:rsidR="00193A34">
        <w:rPr>
          <w:szCs w:val="24"/>
        </w:rPr>
        <w:t xml:space="preserve">made available to the public along with the advice </w:t>
      </w:r>
      <w:r w:rsidR="00D23D4D">
        <w:rPr>
          <w:szCs w:val="24"/>
        </w:rPr>
        <w:t xml:space="preserve">on </w:t>
      </w:r>
      <w:r w:rsidR="00193A34">
        <w:rPr>
          <w:szCs w:val="24"/>
        </w:rPr>
        <w:t xml:space="preserve">to how </w:t>
      </w:r>
      <w:r w:rsidR="00D23D4D">
        <w:rPr>
          <w:szCs w:val="24"/>
        </w:rPr>
        <w:t>make a</w:t>
      </w:r>
      <w:r w:rsidR="00193A34">
        <w:rPr>
          <w:szCs w:val="24"/>
        </w:rPr>
        <w:t xml:space="preserve"> submission</w:t>
      </w:r>
      <w:r w:rsidR="00193A34" w:rsidRPr="00180F6D">
        <w:rPr>
          <w:szCs w:val="24"/>
        </w:rPr>
        <w:t>.</w:t>
      </w:r>
    </w:p>
    <w:p w:rsidR="00193A34" w:rsidRDefault="00193A34" w:rsidP="005F4062">
      <w:pPr>
        <w:jc w:val="both"/>
        <w:rPr>
          <w:szCs w:val="24"/>
        </w:rPr>
      </w:pPr>
      <w:r>
        <w:rPr>
          <w:szCs w:val="24"/>
        </w:rPr>
        <w:t xml:space="preserve">In making a decision on the licence application, </w:t>
      </w:r>
      <w:r w:rsidR="00051944">
        <w:rPr>
          <w:szCs w:val="24"/>
        </w:rPr>
        <w:t xml:space="preserve">paragraph </w:t>
      </w:r>
      <w:r>
        <w:rPr>
          <w:szCs w:val="24"/>
        </w:rPr>
        <w:t>41</w:t>
      </w:r>
      <w:r w:rsidR="00051944">
        <w:rPr>
          <w:szCs w:val="24"/>
        </w:rPr>
        <w:t>(3</w:t>
      </w:r>
      <w:proofErr w:type="gramStart"/>
      <w:r w:rsidR="00051944">
        <w:rPr>
          <w:szCs w:val="24"/>
        </w:rPr>
        <w:t>)</w:t>
      </w:r>
      <w:r>
        <w:rPr>
          <w:szCs w:val="24"/>
        </w:rPr>
        <w:t>(</w:t>
      </w:r>
      <w:proofErr w:type="gramEnd"/>
      <w:r>
        <w:rPr>
          <w:szCs w:val="24"/>
        </w:rPr>
        <w:t>g)</w:t>
      </w:r>
      <w:r w:rsidR="00051944">
        <w:rPr>
          <w:szCs w:val="24"/>
        </w:rPr>
        <w:t xml:space="preserve"> of the Regulations</w:t>
      </w:r>
      <w:r>
        <w:rPr>
          <w:szCs w:val="24"/>
        </w:rPr>
        <w:t xml:space="preserve"> requires the CEO of ARPANSA to take into account any submissions received from the public about the application.</w:t>
      </w:r>
    </w:p>
    <w:p w:rsidR="00CE229D" w:rsidRDefault="00DF214A" w:rsidP="005F4062">
      <w:pPr>
        <w:spacing w:before="120"/>
        <w:jc w:val="both"/>
        <w:rPr>
          <w:szCs w:val="24"/>
        </w:rPr>
      </w:pPr>
      <w:r w:rsidRPr="006A6556">
        <w:rPr>
          <w:szCs w:val="24"/>
        </w:rPr>
        <w:t xml:space="preserve">ARPANSA </w:t>
      </w:r>
      <w:r w:rsidR="00022E84">
        <w:rPr>
          <w:szCs w:val="24"/>
        </w:rPr>
        <w:t>received three (3) submissions related to the operating licensi</w:t>
      </w:r>
      <w:r w:rsidR="00DC22A7">
        <w:rPr>
          <w:szCs w:val="24"/>
        </w:rPr>
        <w:t>ng application for the facility as described below:</w:t>
      </w:r>
    </w:p>
    <w:p w:rsidR="00DC22A7" w:rsidRPr="006B095B" w:rsidRDefault="00DC22A7" w:rsidP="005F4062">
      <w:pPr>
        <w:jc w:val="both"/>
        <w:rPr>
          <w:b/>
          <w:szCs w:val="24"/>
        </w:rPr>
      </w:pPr>
      <w:r w:rsidRPr="006B095B">
        <w:rPr>
          <w:b/>
          <w:szCs w:val="24"/>
        </w:rPr>
        <w:t>Submission 1: Lack of time for public submission</w:t>
      </w:r>
    </w:p>
    <w:p w:rsidR="00FD1727" w:rsidRDefault="00DC22A7" w:rsidP="005F4062">
      <w:pPr>
        <w:jc w:val="both"/>
        <w:rPr>
          <w:szCs w:val="24"/>
        </w:rPr>
      </w:pPr>
      <w:r>
        <w:rPr>
          <w:szCs w:val="24"/>
        </w:rPr>
        <w:t xml:space="preserve">This submission </w:t>
      </w:r>
      <w:r w:rsidR="006B095B">
        <w:rPr>
          <w:szCs w:val="24"/>
        </w:rPr>
        <w:t>states that the proposal for a N</w:t>
      </w:r>
      <w:r>
        <w:rPr>
          <w:szCs w:val="24"/>
        </w:rPr>
        <w:t xml:space="preserve">ational </w:t>
      </w:r>
      <w:r w:rsidR="006B095B">
        <w:rPr>
          <w:szCs w:val="24"/>
        </w:rPr>
        <w:t>Radioactive W</w:t>
      </w:r>
      <w:r>
        <w:rPr>
          <w:szCs w:val="24"/>
        </w:rPr>
        <w:t>aste Repository in South Australia was the best option, and the duration for public submission was inadequate. The submission requested for extension for consultation period.</w:t>
      </w:r>
    </w:p>
    <w:p w:rsidR="00DC22A7" w:rsidRDefault="00DC22A7" w:rsidP="005F4062">
      <w:pPr>
        <w:jc w:val="both"/>
        <w:rPr>
          <w:szCs w:val="24"/>
        </w:rPr>
      </w:pPr>
      <w:r w:rsidRPr="006B095B">
        <w:rPr>
          <w:i/>
          <w:szCs w:val="24"/>
        </w:rPr>
        <w:t>ARPANSA comment</w:t>
      </w:r>
      <w:r>
        <w:rPr>
          <w:szCs w:val="24"/>
        </w:rPr>
        <w:t xml:space="preserve">: ARPANSA granted </w:t>
      </w:r>
      <w:r w:rsidR="006B095B">
        <w:rPr>
          <w:szCs w:val="24"/>
        </w:rPr>
        <w:t>extension as per re</w:t>
      </w:r>
      <w:r w:rsidR="00421046">
        <w:rPr>
          <w:szCs w:val="24"/>
        </w:rPr>
        <w:t>quest until 13</w:t>
      </w:r>
      <w:r w:rsidR="006B095B">
        <w:rPr>
          <w:szCs w:val="24"/>
        </w:rPr>
        <w:t xml:space="preserve"> February 2015 but no further submission was received. National Radioactive Waste Repository is related to Government’s policy. </w:t>
      </w:r>
    </w:p>
    <w:p w:rsidR="009214FB" w:rsidRPr="006B095B" w:rsidRDefault="006B095B" w:rsidP="005F4062">
      <w:pPr>
        <w:jc w:val="both"/>
        <w:rPr>
          <w:b/>
          <w:szCs w:val="24"/>
        </w:rPr>
      </w:pPr>
      <w:r w:rsidRPr="006B095B">
        <w:rPr>
          <w:b/>
          <w:szCs w:val="24"/>
        </w:rPr>
        <w:t>Submission 2: Recommendation to approve the operation of the IWS Facility</w:t>
      </w:r>
    </w:p>
    <w:p w:rsidR="009214FB" w:rsidRDefault="006B095B" w:rsidP="005F4062">
      <w:pPr>
        <w:jc w:val="both"/>
        <w:rPr>
          <w:szCs w:val="24"/>
        </w:rPr>
      </w:pPr>
      <w:r>
        <w:rPr>
          <w:szCs w:val="24"/>
        </w:rPr>
        <w:lastRenderedPageBreak/>
        <w:t>This submission recommends approving the operating licence to ANSTO to operate the IWS Facility.</w:t>
      </w:r>
    </w:p>
    <w:p w:rsidR="006B095B" w:rsidRDefault="006B095B" w:rsidP="005F4062">
      <w:pPr>
        <w:jc w:val="both"/>
        <w:rPr>
          <w:szCs w:val="24"/>
        </w:rPr>
      </w:pPr>
      <w:r w:rsidRPr="006B095B">
        <w:rPr>
          <w:i/>
          <w:szCs w:val="24"/>
        </w:rPr>
        <w:t>ARPANSA comment</w:t>
      </w:r>
      <w:r w:rsidRPr="006B095B">
        <w:rPr>
          <w:szCs w:val="24"/>
        </w:rPr>
        <w:t>:</w:t>
      </w:r>
      <w:r>
        <w:rPr>
          <w:szCs w:val="24"/>
        </w:rPr>
        <w:t xml:space="preserve"> </w:t>
      </w:r>
      <w:r w:rsidR="00715E3A">
        <w:rPr>
          <w:szCs w:val="24"/>
        </w:rPr>
        <w:t xml:space="preserve">In granting </w:t>
      </w:r>
      <w:r w:rsidR="00C3667E">
        <w:rPr>
          <w:szCs w:val="24"/>
        </w:rPr>
        <w:t xml:space="preserve">a </w:t>
      </w:r>
      <w:r w:rsidR="00715E3A">
        <w:rPr>
          <w:szCs w:val="24"/>
        </w:rPr>
        <w:t>licence to operate a controlled facility</w:t>
      </w:r>
      <w:r w:rsidR="00C3667E">
        <w:rPr>
          <w:szCs w:val="24"/>
        </w:rPr>
        <w:t>,</w:t>
      </w:r>
      <w:r w:rsidR="00715E3A">
        <w:rPr>
          <w:szCs w:val="24"/>
        </w:rPr>
        <w:t xml:space="preserve"> ARPANSA undertakes rigorous assessment of the</w:t>
      </w:r>
      <w:r w:rsidR="00AE7D3F">
        <w:t xml:space="preserve"> plans and arrangements for managing safety and of the SAR</w:t>
      </w:r>
      <w:r w:rsidR="00715E3A">
        <w:rPr>
          <w:szCs w:val="24"/>
        </w:rPr>
        <w:t xml:space="preserve"> </w:t>
      </w:r>
      <w:r w:rsidR="00AE7D3F">
        <w:rPr>
          <w:szCs w:val="24"/>
        </w:rPr>
        <w:t xml:space="preserve">that </w:t>
      </w:r>
      <w:r w:rsidR="00AE7D3F">
        <w:t>demonstrates the appropriate application of defence in depth principles</w:t>
      </w:r>
      <w:r w:rsidR="00C3667E">
        <w:t>.</w:t>
      </w:r>
    </w:p>
    <w:p w:rsidR="00420AF0" w:rsidRPr="00420AF0" w:rsidRDefault="006B095B" w:rsidP="005F4062">
      <w:pPr>
        <w:jc w:val="both"/>
        <w:rPr>
          <w:b/>
          <w:szCs w:val="24"/>
        </w:rPr>
      </w:pPr>
      <w:r w:rsidRPr="00420AF0">
        <w:rPr>
          <w:b/>
          <w:szCs w:val="24"/>
        </w:rPr>
        <w:t xml:space="preserve">Submission 3: </w:t>
      </w:r>
      <w:r w:rsidR="00A65B9F">
        <w:rPr>
          <w:b/>
          <w:szCs w:val="24"/>
        </w:rPr>
        <w:t xml:space="preserve">Development and operation of a long term </w:t>
      </w:r>
      <w:r w:rsidR="00A65B9F" w:rsidRPr="00420AF0">
        <w:rPr>
          <w:b/>
          <w:szCs w:val="24"/>
        </w:rPr>
        <w:t>solution</w:t>
      </w:r>
      <w:r w:rsidR="00A65B9F">
        <w:rPr>
          <w:b/>
          <w:szCs w:val="24"/>
        </w:rPr>
        <w:t xml:space="preserve"> for ANSTO’s and Australia’s nuclear waste</w:t>
      </w:r>
      <w:r w:rsidR="00A65B9F" w:rsidRPr="00420AF0">
        <w:rPr>
          <w:b/>
          <w:szCs w:val="24"/>
        </w:rPr>
        <w:t xml:space="preserve"> and expedite</w:t>
      </w:r>
      <w:r w:rsidR="00A65B9F">
        <w:rPr>
          <w:b/>
          <w:szCs w:val="24"/>
        </w:rPr>
        <w:t>d</w:t>
      </w:r>
      <w:r w:rsidR="00A65B9F" w:rsidRPr="00420AF0">
        <w:rPr>
          <w:b/>
          <w:szCs w:val="24"/>
        </w:rPr>
        <w:t xml:space="preserve"> the establishment of a National Radioactive Waste Repository</w:t>
      </w:r>
    </w:p>
    <w:p w:rsidR="00420AF0" w:rsidRDefault="00420AF0" w:rsidP="005F4062">
      <w:pPr>
        <w:jc w:val="both"/>
        <w:rPr>
          <w:szCs w:val="24"/>
        </w:rPr>
      </w:pPr>
      <w:r w:rsidRPr="006B095B">
        <w:rPr>
          <w:i/>
          <w:szCs w:val="24"/>
        </w:rPr>
        <w:t>ARPANSA comment</w:t>
      </w:r>
      <w:r w:rsidRPr="006B095B">
        <w:rPr>
          <w:szCs w:val="24"/>
        </w:rPr>
        <w:t>:</w:t>
      </w:r>
      <w:r>
        <w:rPr>
          <w:szCs w:val="24"/>
        </w:rPr>
        <w:t xml:space="preserve"> </w:t>
      </w:r>
      <w:r w:rsidR="00607CD0" w:rsidRPr="00687CE3">
        <w:rPr>
          <w:szCs w:val="24"/>
        </w:rPr>
        <w:t>Establishment of a National Radioactive Waste Management Facility is contingent on Government policy and the eventual submission of a license application (in the first instance likely to be to prepare a site for the NRWMF) from the Department of Industry and Science. When and if received, the application will be thoroughly reviewed by ARPANSA</w:t>
      </w:r>
      <w:r>
        <w:rPr>
          <w:szCs w:val="24"/>
        </w:rPr>
        <w:t>.</w:t>
      </w:r>
    </w:p>
    <w:p w:rsidR="002E194F" w:rsidRPr="00D460E4" w:rsidRDefault="002E194F" w:rsidP="00BA0D52">
      <w:pPr>
        <w:pStyle w:val="Heading3"/>
        <w:spacing w:line="240" w:lineRule="auto"/>
      </w:pPr>
      <w:bookmarkStart w:id="169" w:name="_Toc297107207"/>
      <w:bookmarkStart w:id="170" w:name="_Toc368493411"/>
      <w:bookmarkStart w:id="171" w:name="_Toc417974613"/>
      <w:r w:rsidRPr="00D460E4">
        <w:t>International Best Practice</w:t>
      </w:r>
      <w:bookmarkEnd w:id="169"/>
      <w:bookmarkEnd w:id="170"/>
      <w:bookmarkEnd w:id="171"/>
    </w:p>
    <w:p w:rsidR="002E194F" w:rsidRPr="00676C35" w:rsidRDefault="0096779B" w:rsidP="005F4062">
      <w:pPr>
        <w:jc w:val="both"/>
      </w:pPr>
      <w:bookmarkStart w:id="172" w:name="_Hlt497728600"/>
      <w:bookmarkEnd w:id="172"/>
      <w:r>
        <w:t>Sub-s</w:t>
      </w:r>
      <w:r w:rsidR="002E194F" w:rsidRPr="00676C35">
        <w:t>ection 32(3) of the Act</w:t>
      </w:r>
      <w:r w:rsidR="00710762">
        <w:t xml:space="preserve"> </w:t>
      </w:r>
      <w:r w:rsidR="002E194F" w:rsidRPr="00676C35">
        <w:t>requires the CEO, in making a decision on a facility licence, to take into account international best practice in relation to radiation protection and nuclear safety</w:t>
      </w:r>
      <w:r w:rsidR="005F4062">
        <w:t>.</w:t>
      </w:r>
      <w:r w:rsidR="002E194F" w:rsidRPr="00676C35">
        <w:t xml:space="preserve"> </w:t>
      </w:r>
    </w:p>
    <w:p w:rsidR="002E194F" w:rsidRPr="00676C35" w:rsidRDefault="002E194F" w:rsidP="005F4062">
      <w:pPr>
        <w:jc w:val="both"/>
      </w:pPr>
      <w:r w:rsidRPr="00676C35">
        <w:t xml:space="preserve"> ARPANSA has developed a set of Guidelines</w:t>
      </w:r>
      <w:r w:rsidR="008E7649" w:rsidRPr="00676C35">
        <w:t xml:space="preserve"> [</w:t>
      </w:r>
      <w:r w:rsidR="00A65492" w:rsidRPr="00676C35">
        <w:t>3</w:t>
      </w:r>
      <w:r w:rsidR="008E7649" w:rsidRPr="00676C35">
        <w:t>]</w:t>
      </w:r>
      <w:r w:rsidR="00421046">
        <w:t>,</w:t>
      </w:r>
      <w:r w:rsidRPr="00676C35">
        <w:t xml:space="preserve"> Principles</w:t>
      </w:r>
      <w:r w:rsidR="008E7649" w:rsidRPr="00676C35">
        <w:t xml:space="preserve"> [</w:t>
      </w:r>
      <w:r w:rsidR="00A65492" w:rsidRPr="00676C35">
        <w:t>4</w:t>
      </w:r>
      <w:r w:rsidR="008E7649" w:rsidRPr="00676C35">
        <w:t>]</w:t>
      </w:r>
      <w:r w:rsidR="00421046">
        <w:t xml:space="preserve"> and</w:t>
      </w:r>
      <w:r w:rsidR="00710762">
        <w:t xml:space="preserve"> a</w:t>
      </w:r>
      <w:r w:rsidR="00421046">
        <w:t xml:space="preserve"> </w:t>
      </w:r>
      <w:r w:rsidR="00F0012F">
        <w:t>Radioactive W</w:t>
      </w:r>
      <w:r w:rsidR="00421046">
        <w:t>aste Guide [5]</w:t>
      </w:r>
      <w:r w:rsidR="004A35A6">
        <w:t xml:space="preserve"> </w:t>
      </w:r>
      <w:r w:rsidRPr="00676C35">
        <w:t xml:space="preserve">which </w:t>
      </w:r>
      <w:proofErr w:type="gramStart"/>
      <w:r w:rsidRPr="00676C35">
        <w:t>are</w:t>
      </w:r>
      <w:proofErr w:type="gramEnd"/>
      <w:r w:rsidRPr="00676C35">
        <w:t xml:space="preserve"> based on international standards and recommendations, particularly those of the International Atomic Energy Agency (IAEA), and the contemporary practices in the radiation and nuclear safety indu</w:t>
      </w:r>
      <w:r w:rsidR="00C81704" w:rsidRPr="00676C35">
        <w:t xml:space="preserve">stries of developed </w:t>
      </w:r>
      <w:r w:rsidR="007D295E">
        <w:t>c</w:t>
      </w:r>
      <w:r w:rsidR="00C81704" w:rsidRPr="00676C35">
        <w:t xml:space="preserve">ountries. </w:t>
      </w:r>
      <w:r w:rsidRPr="00676C35">
        <w:t xml:space="preserve">The IAEA standards and recommendations have been developed by consensus of member countries and represent the distillation of best practice of their cumulative radiation and nuclear safety experience.  </w:t>
      </w:r>
    </w:p>
    <w:p w:rsidR="00674519" w:rsidRDefault="00B13EEC" w:rsidP="005F4062">
      <w:pPr>
        <w:jc w:val="both"/>
      </w:pPr>
      <w:r w:rsidRPr="002F3668">
        <w:t xml:space="preserve">The </w:t>
      </w:r>
      <w:r w:rsidR="00674519" w:rsidRPr="002F3668">
        <w:t xml:space="preserve">ARPANSA assessor notes that </w:t>
      </w:r>
      <w:r w:rsidR="002F3668" w:rsidRPr="002F3668">
        <w:t>reprocessed waste is stored for an interim period</w:t>
      </w:r>
      <w:r w:rsidR="000937B0">
        <w:t>,</w:t>
      </w:r>
      <w:r w:rsidR="002F3668" w:rsidRPr="002F3668">
        <w:t xml:space="preserve"> </w:t>
      </w:r>
      <w:r w:rsidR="000937B0">
        <w:t xml:space="preserve">using similar transport/storage containers, </w:t>
      </w:r>
      <w:r w:rsidR="002F3668" w:rsidRPr="002F3668">
        <w:t xml:space="preserve">in other countries such </w:t>
      </w:r>
      <w:r w:rsidR="002F3668">
        <w:t xml:space="preserve">as Switzerland, Japan </w:t>
      </w:r>
      <w:r w:rsidR="002F3668" w:rsidRPr="002F3668">
        <w:t>and Germany.</w:t>
      </w:r>
    </w:p>
    <w:p w:rsidR="002E194F" w:rsidRPr="00676C35" w:rsidRDefault="002E194F" w:rsidP="005F4062">
      <w:pPr>
        <w:jc w:val="both"/>
      </w:pPr>
      <w:r w:rsidRPr="00676C35">
        <w:t xml:space="preserve">To address </w:t>
      </w:r>
      <w:r w:rsidR="00840FA6">
        <w:t>sub-</w:t>
      </w:r>
      <w:r w:rsidR="00F354A0" w:rsidRPr="00676C35">
        <w:t>section</w:t>
      </w:r>
      <w:r w:rsidRPr="00676C35">
        <w:t xml:space="preserve"> 32(3) of the Act, th</w:t>
      </w:r>
      <w:r w:rsidR="008C1366">
        <w:t xml:space="preserve">e assessor </w:t>
      </w:r>
      <w:r w:rsidRPr="00676C35">
        <w:t xml:space="preserve">took into account assessments of the application against the </w:t>
      </w:r>
      <w:r w:rsidR="004A35A6">
        <w:t>Guidelines</w:t>
      </w:r>
      <w:r w:rsidR="008E7649" w:rsidRPr="00676C35">
        <w:t xml:space="preserve"> [</w:t>
      </w:r>
      <w:r w:rsidR="00A65492" w:rsidRPr="00676C35">
        <w:t>3</w:t>
      </w:r>
      <w:r w:rsidR="008E7649" w:rsidRPr="00676C35">
        <w:t>]</w:t>
      </w:r>
      <w:r w:rsidR="00F0012F">
        <w:t>,</w:t>
      </w:r>
      <w:r w:rsidR="002F3668">
        <w:t xml:space="preserve"> </w:t>
      </w:r>
      <w:r w:rsidR="004A35A6">
        <w:t>Principles</w:t>
      </w:r>
      <w:r w:rsidR="008E7649" w:rsidRPr="00676C35">
        <w:t xml:space="preserve"> [</w:t>
      </w:r>
      <w:r w:rsidR="00A65492" w:rsidRPr="00676C35">
        <w:t>4</w:t>
      </w:r>
      <w:r w:rsidR="008E7649" w:rsidRPr="00676C35">
        <w:t>]</w:t>
      </w:r>
      <w:r w:rsidR="00F0012F">
        <w:t xml:space="preserve"> and Regulatory Waste Guide [5]. </w:t>
      </w:r>
      <w:r w:rsidR="004A35A6">
        <w:t xml:space="preserve"> </w:t>
      </w:r>
    </w:p>
    <w:p w:rsidR="00D67044" w:rsidRPr="00676C35" w:rsidRDefault="00077737" w:rsidP="005F4062">
      <w:pPr>
        <w:tabs>
          <w:tab w:val="left" w:pos="840"/>
        </w:tabs>
        <w:jc w:val="both"/>
        <w:rPr>
          <w:szCs w:val="24"/>
        </w:rPr>
      </w:pPr>
      <w:r w:rsidRPr="00676C35">
        <w:rPr>
          <w:szCs w:val="24"/>
        </w:rPr>
        <w:t xml:space="preserve">The dose limits considered in the </w:t>
      </w:r>
      <w:r w:rsidR="00833546" w:rsidRPr="00676C35">
        <w:rPr>
          <w:szCs w:val="24"/>
        </w:rPr>
        <w:t>siting</w:t>
      </w:r>
      <w:r w:rsidRPr="00676C35">
        <w:rPr>
          <w:szCs w:val="24"/>
        </w:rPr>
        <w:t xml:space="preserve"> of the facility are in accordance with the RPS</w:t>
      </w:r>
      <w:r w:rsidR="00794C2A">
        <w:rPr>
          <w:szCs w:val="24"/>
        </w:rPr>
        <w:t xml:space="preserve"> 1</w:t>
      </w:r>
      <w:r w:rsidR="00F82DC9">
        <w:rPr>
          <w:szCs w:val="24"/>
        </w:rPr>
        <w:t xml:space="preserve"> (Radiation Protection </w:t>
      </w:r>
      <w:r w:rsidR="00D61B1F">
        <w:rPr>
          <w:szCs w:val="24"/>
        </w:rPr>
        <w:t>S</w:t>
      </w:r>
      <w:r w:rsidR="00F82DC9">
        <w:rPr>
          <w:szCs w:val="24"/>
        </w:rPr>
        <w:t>eries No. 1) [</w:t>
      </w:r>
      <w:r w:rsidR="00F0012F">
        <w:rPr>
          <w:szCs w:val="24"/>
        </w:rPr>
        <w:t>6</w:t>
      </w:r>
      <w:r w:rsidR="00F82DC9">
        <w:rPr>
          <w:szCs w:val="24"/>
        </w:rPr>
        <w:t>]</w:t>
      </w:r>
      <w:r w:rsidR="00794C2A">
        <w:rPr>
          <w:szCs w:val="24"/>
        </w:rPr>
        <w:t xml:space="preserve">, which is based on the </w:t>
      </w:r>
      <w:r w:rsidR="008A7EE1">
        <w:rPr>
          <w:szCs w:val="24"/>
        </w:rPr>
        <w:t>1991 Recommendations of the International Commission on Radiological Protection (</w:t>
      </w:r>
      <w:r w:rsidR="00794C2A">
        <w:rPr>
          <w:szCs w:val="24"/>
        </w:rPr>
        <w:t>ICRP</w:t>
      </w:r>
      <w:r w:rsidR="008A7EE1">
        <w:rPr>
          <w:szCs w:val="24"/>
        </w:rPr>
        <w:t>) in its</w:t>
      </w:r>
      <w:r w:rsidR="00794C2A">
        <w:rPr>
          <w:szCs w:val="24"/>
        </w:rPr>
        <w:t xml:space="preserve"> </w:t>
      </w:r>
      <w:r w:rsidR="008A7EE1">
        <w:rPr>
          <w:szCs w:val="24"/>
        </w:rPr>
        <w:t xml:space="preserve">Publication </w:t>
      </w:r>
      <w:r w:rsidR="00794C2A">
        <w:rPr>
          <w:szCs w:val="24"/>
        </w:rPr>
        <w:t>60</w:t>
      </w:r>
      <w:r w:rsidR="00F82DC9">
        <w:rPr>
          <w:szCs w:val="24"/>
        </w:rPr>
        <w:t xml:space="preserve"> [</w:t>
      </w:r>
      <w:r w:rsidR="00B91760">
        <w:rPr>
          <w:szCs w:val="24"/>
        </w:rPr>
        <w:t>7</w:t>
      </w:r>
      <w:r w:rsidR="00C2659D">
        <w:rPr>
          <w:szCs w:val="24"/>
        </w:rPr>
        <w:t>]</w:t>
      </w:r>
      <w:r w:rsidR="008A7EE1">
        <w:rPr>
          <w:szCs w:val="24"/>
        </w:rPr>
        <w:t>,</w:t>
      </w:r>
      <w:r w:rsidR="00794C2A">
        <w:rPr>
          <w:szCs w:val="24"/>
        </w:rPr>
        <w:t xml:space="preserve"> superseded by ICRP </w:t>
      </w:r>
      <w:r w:rsidR="008A7EE1">
        <w:rPr>
          <w:szCs w:val="24"/>
        </w:rPr>
        <w:t xml:space="preserve">Publication </w:t>
      </w:r>
      <w:r w:rsidR="00794C2A">
        <w:rPr>
          <w:szCs w:val="24"/>
        </w:rPr>
        <w:t>103</w:t>
      </w:r>
      <w:r w:rsidR="00F82DC9">
        <w:rPr>
          <w:szCs w:val="24"/>
        </w:rPr>
        <w:t xml:space="preserve"> [</w:t>
      </w:r>
      <w:r w:rsidR="004A35A6">
        <w:rPr>
          <w:szCs w:val="24"/>
        </w:rPr>
        <w:t>8</w:t>
      </w:r>
      <w:r w:rsidR="00C2659D">
        <w:rPr>
          <w:szCs w:val="24"/>
        </w:rPr>
        <w:t>]</w:t>
      </w:r>
      <w:r w:rsidRPr="00676C35">
        <w:rPr>
          <w:szCs w:val="24"/>
        </w:rPr>
        <w:t xml:space="preserve">. </w:t>
      </w:r>
      <w:r w:rsidR="008A7EE1">
        <w:rPr>
          <w:szCs w:val="24"/>
        </w:rPr>
        <w:t>RPS 1 is currently being revised to take into account ICRP Publication 103</w:t>
      </w:r>
      <w:r w:rsidR="00FA125D">
        <w:rPr>
          <w:szCs w:val="24"/>
        </w:rPr>
        <w:t xml:space="preserve"> [</w:t>
      </w:r>
      <w:r w:rsidR="00B91760">
        <w:rPr>
          <w:szCs w:val="24"/>
        </w:rPr>
        <w:t>8</w:t>
      </w:r>
      <w:r w:rsidR="00FA125D">
        <w:rPr>
          <w:szCs w:val="24"/>
        </w:rPr>
        <w:t>]</w:t>
      </w:r>
      <w:r w:rsidR="004B2DCE">
        <w:rPr>
          <w:szCs w:val="24"/>
        </w:rPr>
        <w:t xml:space="preserve"> and IAEA Safety Requirements [9]</w:t>
      </w:r>
      <w:r w:rsidR="008A7EE1">
        <w:rPr>
          <w:szCs w:val="24"/>
        </w:rPr>
        <w:t>; the changes are not material to the review of this application.</w:t>
      </w:r>
      <w:r w:rsidR="004D0CD4">
        <w:rPr>
          <w:szCs w:val="24"/>
        </w:rPr>
        <w:t xml:space="preserve"> Further, ARPANSA’s Fundamentals: Protection against Ionising Radiation [</w:t>
      </w:r>
      <w:r w:rsidR="004B2DCE">
        <w:rPr>
          <w:szCs w:val="24"/>
        </w:rPr>
        <w:t>10</w:t>
      </w:r>
      <w:r w:rsidR="004D0CD4">
        <w:rPr>
          <w:szCs w:val="24"/>
        </w:rPr>
        <w:t>] is based on internationally accepted framework and safety principles [8, 1</w:t>
      </w:r>
      <w:r w:rsidR="004B2DCE">
        <w:rPr>
          <w:szCs w:val="24"/>
        </w:rPr>
        <w:t>1</w:t>
      </w:r>
      <w:r w:rsidR="004D0CD4">
        <w:rPr>
          <w:szCs w:val="24"/>
        </w:rPr>
        <w:t>].</w:t>
      </w:r>
    </w:p>
    <w:p w:rsidR="00A65492" w:rsidRPr="005715CB" w:rsidRDefault="00D67044" w:rsidP="00BA0D52">
      <w:pPr>
        <w:pStyle w:val="Conclusion"/>
        <w:spacing w:before="360" w:line="240" w:lineRule="auto"/>
      </w:pPr>
      <w:r w:rsidRPr="007D295E">
        <w:t>Conclusion</w:t>
      </w:r>
    </w:p>
    <w:p w:rsidR="00D73A9C" w:rsidRPr="00676C35" w:rsidRDefault="00B13EEC" w:rsidP="005F4062">
      <w:pPr>
        <w:jc w:val="both"/>
        <w:rPr>
          <w:szCs w:val="24"/>
        </w:rPr>
      </w:pPr>
      <w:r>
        <w:rPr>
          <w:szCs w:val="24"/>
        </w:rPr>
        <w:t>T</w:t>
      </w:r>
      <w:r w:rsidR="00833546" w:rsidRPr="00674519">
        <w:rPr>
          <w:szCs w:val="24"/>
        </w:rPr>
        <w:t xml:space="preserve">he information contained in the </w:t>
      </w:r>
      <w:r w:rsidR="008C1366">
        <w:rPr>
          <w:szCs w:val="24"/>
        </w:rPr>
        <w:t>a</w:t>
      </w:r>
      <w:r w:rsidR="00833546" w:rsidRPr="00674519">
        <w:rPr>
          <w:szCs w:val="24"/>
        </w:rPr>
        <w:t xml:space="preserve">pplication refers to </w:t>
      </w:r>
      <w:r w:rsidR="00A87924" w:rsidRPr="00674519">
        <w:rPr>
          <w:szCs w:val="24"/>
        </w:rPr>
        <w:t xml:space="preserve">ICRP recommendations (ICRP </w:t>
      </w:r>
      <w:r w:rsidR="00A87924">
        <w:rPr>
          <w:szCs w:val="24"/>
        </w:rPr>
        <w:t xml:space="preserve">Publication </w:t>
      </w:r>
      <w:r w:rsidR="00A87924" w:rsidRPr="00674519">
        <w:rPr>
          <w:szCs w:val="24"/>
        </w:rPr>
        <w:t>103)</w:t>
      </w:r>
      <w:r w:rsidR="00A87924">
        <w:rPr>
          <w:szCs w:val="24"/>
        </w:rPr>
        <w:t xml:space="preserve"> [8] and </w:t>
      </w:r>
      <w:r w:rsidR="00833546" w:rsidRPr="00674519">
        <w:rPr>
          <w:szCs w:val="24"/>
        </w:rPr>
        <w:t>relevant IAEA safety Standards</w:t>
      </w:r>
      <w:r w:rsidR="0076271B" w:rsidRPr="00674519">
        <w:rPr>
          <w:szCs w:val="24"/>
        </w:rPr>
        <w:t xml:space="preserve"> (GSR Part 3, BSS)</w:t>
      </w:r>
      <w:r w:rsidR="00FA125D">
        <w:rPr>
          <w:szCs w:val="24"/>
        </w:rPr>
        <w:t xml:space="preserve"> [</w:t>
      </w:r>
      <w:r w:rsidR="004A35A6">
        <w:rPr>
          <w:szCs w:val="24"/>
        </w:rPr>
        <w:t>9</w:t>
      </w:r>
      <w:r w:rsidR="00FA125D">
        <w:rPr>
          <w:szCs w:val="24"/>
        </w:rPr>
        <w:t>]</w:t>
      </w:r>
      <w:r w:rsidR="00833546" w:rsidRPr="00674519">
        <w:rPr>
          <w:szCs w:val="24"/>
        </w:rPr>
        <w:t xml:space="preserve">. </w:t>
      </w:r>
      <w:r w:rsidR="00C01A09" w:rsidRPr="00674519">
        <w:rPr>
          <w:szCs w:val="24"/>
        </w:rPr>
        <w:t xml:space="preserve">The facility has incorporated internationally </w:t>
      </w:r>
      <w:r w:rsidR="00542DAE" w:rsidRPr="00674519">
        <w:rPr>
          <w:szCs w:val="24"/>
        </w:rPr>
        <w:t>applicable</w:t>
      </w:r>
      <w:r w:rsidR="00C01A09" w:rsidRPr="00674519">
        <w:rPr>
          <w:szCs w:val="24"/>
        </w:rPr>
        <w:t xml:space="preserve"> principles in the </w:t>
      </w:r>
      <w:r w:rsidR="00D46A9A">
        <w:rPr>
          <w:szCs w:val="24"/>
        </w:rPr>
        <w:t>operation</w:t>
      </w:r>
      <w:r w:rsidR="00287392">
        <w:rPr>
          <w:szCs w:val="24"/>
        </w:rPr>
        <w:t xml:space="preserve"> </w:t>
      </w:r>
      <w:r w:rsidR="00C01A09" w:rsidRPr="00674519">
        <w:rPr>
          <w:szCs w:val="24"/>
        </w:rPr>
        <w:t xml:space="preserve">of the facility. </w:t>
      </w:r>
      <w:r w:rsidR="00EB0D60">
        <w:rPr>
          <w:szCs w:val="24"/>
        </w:rPr>
        <w:t xml:space="preserve"> </w:t>
      </w:r>
      <w:r w:rsidR="00C61C84">
        <w:rPr>
          <w:szCs w:val="24"/>
        </w:rPr>
        <w:t xml:space="preserve">Storage provisions are practised </w:t>
      </w:r>
      <w:r w:rsidR="00EB0D60">
        <w:rPr>
          <w:szCs w:val="24"/>
        </w:rPr>
        <w:t xml:space="preserve">in other countries </w:t>
      </w:r>
      <w:r w:rsidR="00C61C84">
        <w:rPr>
          <w:szCs w:val="24"/>
        </w:rPr>
        <w:t xml:space="preserve">including Switzerland, </w:t>
      </w:r>
      <w:r w:rsidR="005F4062">
        <w:rPr>
          <w:szCs w:val="24"/>
        </w:rPr>
        <w:t>J</w:t>
      </w:r>
      <w:r w:rsidR="00C61C84">
        <w:rPr>
          <w:szCs w:val="24"/>
        </w:rPr>
        <w:t>apan and Germany.</w:t>
      </w:r>
      <w:r w:rsidR="00EB0D60">
        <w:rPr>
          <w:szCs w:val="24"/>
        </w:rPr>
        <w:t xml:space="preserve"> </w:t>
      </w:r>
      <w:r>
        <w:rPr>
          <w:szCs w:val="24"/>
        </w:rPr>
        <w:t xml:space="preserve">The </w:t>
      </w:r>
      <w:r w:rsidR="00542DAE" w:rsidRPr="00674519">
        <w:rPr>
          <w:szCs w:val="24"/>
        </w:rPr>
        <w:t xml:space="preserve">ARPANSA assessor </w:t>
      </w:r>
      <w:r w:rsidR="00D73A9C" w:rsidRPr="00674519">
        <w:rPr>
          <w:szCs w:val="24"/>
        </w:rPr>
        <w:t>consider</w:t>
      </w:r>
      <w:r w:rsidR="00542DAE" w:rsidRPr="00674519">
        <w:rPr>
          <w:szCs w:val="24"/>
        </w:rPr>
        <w:t>s</w:t>
      </w:r>
      <w:r w:rsidR="00D73A9C" w:rsidRPr="00674519">
        <w:rPr>
          <w:szCs w:val="24"/>
        </w:rPr>
        <w:t xml:space="preserve"> that the </w:t>
      </w:r>
      <w:r>
        <w:rPr>
          <w:szCs w:val="24"/>
        </w:rPr>
        <w:t>adoption</w:t>
      </w:r>
      <w:r w:rsidRPr="00674519">
        <w:rPr>
          <w:szCs w:val="24"/>
        </w:rPr>
        <w:t xml:space="preserve"> </w:t>
      </w:r>
      <w:r w:rsidR="00EB0D60" w:rsidRPr="00674519">
        <w:rPr>
          <w:szCs w:val="24"/>
        </w:rPr>
        <w:t xml:space="preserve">of international best </w:t>
      </w:r>
      <w:r w:rsidR="00D46A9A">
        <w:rPr>
          <w:szCs w:val="24"/>
        </w:rPr>
        <w:t>practice</w:t>
      </w:r>
      <w:r w:rsidR="00EB0D60" w:rsidRPr="00674519">
        <w:rPr>
          <w:szCs w:val="24"/>
        </w:rPr>
        <w:t xml:space="preserve"> in </w:t>
      </w:r>
      <w:r w:rsidR="00EB0D60">
        <w:rPr>
          <w:szCs w:val="24"/>
        </w:rPr>
        <w:t>design and technology</w:t>
      </w:r>
      <w:r w:rsidR="00C61C84">
        <w:rPr>
          <w:szCs w:val="24"/>
        </w:rPr>
        <w:t>, operation</w:t>
      </w:r>
      <w:r w:rsidR="00EB0D60">
        <w:rPr>
          <w:szCs w:val="24"/>
        </w:rPr>
        <w:t xml:space="preserve"> and </w:t>
      </w:r>
      <w:r w:rsidR="00D73A9C" w:rsidRPr="00674519">
        <w:rPr>
          <w:szCs w:val="24"/>
        </w:rPr>
        <w:t>radiation protection</w:t>
      </w:r>
      <w:r>
        <w:rPr>
          <w:szCs w:val="24"/>
        </w:rPr>
        <w:t xml:space="preserve"> as described in the application</w:t>
      </w:r>
      <w:r w:rsidR="00D73A9C" w:rsidRPr="00674519">
        <w:rPr>
          <w:szCs w:val="24"/>
        </w:rPr>
        <w:t xml:space="preserve"> is acceptable.</w:t>
      </w:r>
    </w:p>
    <w:p w:rsidR="00D73A9C" w:rsidRPr="007A24C7" w:rsidRDefault="00C26486" w:rsidP="00BA0D52">
      <w:pPr>
        <w:pStyle w:val="Heading1"/>
        <w:spacing w:line="240" w:lineRule="auto"/>
      </w:pPr>
      <w:bookmarkStart w:id="173" w:name="_Toc417974614"/>
      <w:bookmarkStart w:id="174" w:name="_Toc35926820"/>
      <w:r>
        <w:lastRenderedPageBreak/>
        <w:t>ARPANSA CONSIDERATION</w:t>
      </w:r>
      <w:r w:rsidR="0096726D">
        <w:t xml:space="preserve"> OF MATTERS IDENTIFED IN THE SITING </w:t>
      </w:r>
      <w:r w:rsidR="00926FB5">
        <w:t xml:space="preserve">AND CONSTRUCTION </w:t>
      </w:r>
      <w:r w:rsidR="0096726D">
        <w:t>ASSESSMENT</w:t>
      </w:r>
      <w:bookmarkEnd w:id="173"/>
    </w:p>
    <w:p w:rsidR="000969EB" w:rsidRDefault="0096726D" w:rsidP="005F4062">
      <w:pPr>
        <w:jc w:val="both"/>
      </w:pPr>
      <w:r>
        <w:t>In the</w:t>
      </w:r>
      <w:r w:rsidR="00D61B1F">
        <w:t xml:space="preserve"> CEO’s</w:t>
      </w:r>
      <w:r>
        <w:t xml:space="preserve"> statement of reasons </w:t>
      </w:r>
      <w:r w:rsidR="00D61B1F">
        <w:t xml:space="preserve">for issuing </w:t>
      </w:r>
      <w:r>
        <w:t xml:space="preserve">a </w:t>
      </w:r>
      <w:r w:rsidR="00926FB5">
        <w:t xml:space="preserve">siting and construction </w:t>
      </w:r>
      <w:r w:rsidR="000969EB">
        <w:t xml:space="preserve">licence the following matters were requested to consider by ANSTO as part of the application for a licence to </w:t>
      </w:r>
      <w:r w:rsidR="000969EB" w:rsidRPr="000969EB">
        <w:rPr>
          <w:i/>
        </w:rPr>
        <w:t>operate</w:t>
      </w:r>
      <w:r w:rsidR="000969EB">
        <w:t xml:space="preserve"> the IWS Facility. </w:t>
      </w:r>
    </w:p>
    <w:p w:rsidR="000969EB" w:rsidRDefault="000969EB" w:rsidP="00C91EB0">
      <w:pPr>
        <w:pStyle w:val="ListParagraph"/>
        <w:numPr>
          <w:ilvl w:val="0"/>
          <w:numId w:val="32"/>
        </w:numPr>
        <w:spacing w:after="120"/>
        <w:ind w:left="714" w:hanging="357"/>
        <w:jc w:val="both"/>
      </w:pPr>
      <w:r>
        <w:t>Radionuclide inventory</w:t>
      </w:r>
    </w:p>
    <w:p w:rsidR="000969EB" w:rsidRDefault="000969EB" w:rsidP="00C91EB0">
      <w:pPr>
        <w:pStyle w:val="ListParagraph"/>
        <w:numPr>
          <w:ilvl w:val="0"/>
          <w:numId w:val="32"/>
        </w:numPr>
        <w:spacing w:after="120"/>
        <w:ind w:left="714" w:hanging="357"/>
        <w:jc w:val="both"/>
      </w:pPr>
      <w:r>
        <w:t>Contingency planning</w:t>
      </w:r>
    </w:p>
    <w:p w:rsidR="000969EB" w:rsidRDefault="000969EB" w:rsidP="00C91EB0">
      <w:pPr>
        <w:pStyle w:val="ListParagraph"/>
        <w:numPr>
          <w:ilvl w:val="0"/>
          <w:numId w:val="32"/>
        </w:numPr>
        <w:ind w:left="714" w:hanging="357"/>
        <w:jc w:val="both"/>
      </w:pPr>
      <w:r>
        <w:t>Further development of the safety case</w:t>
      </w:r>
    </w:p>
    <w:p w:rsidR="00AE3EA3" w:rsidRPr="00AE3EA3" w:rsidRDefault="00AE3EA3" w:rsidP="005F4062">
      <w:pPr>
        <w:jc w:val="both"/>
      </w:pPr>
      <w:r>
        <w:t>T</w:t>
      </w:r>
      <w:r w:rsidRPr="00AE3EA3">
        <w:t>he</w:t>
      </w:r>
      <w:r>
        <w:t xml:space="preserve"> application has addressed the above matters and their assessments are described below.</w:t>
      </w:r>
    </w:p>
    <w:p w:rsidR="004C3F30" w:rsidRDefault="004C3F30" w:rsidP="00662804">
      <w:pPr>
        <w:pStyle w:val="Heading2"/>
      </w:pPr>
      <w:bookmarkStart w:id="175" w:name="_Toc417974615"/>
      <w:r w:rsidRPr="004C3F30">
        <w:t>Radionuclide inventory</w:t>
      </w:r>
      <w:bookmarkEnd w:id="175"/>
    </w:p>
    <w:p w:rsidR="0053522A" w:rsidRPr="000E47B8" w:rsidRDefault="004C3F30" w:rsidP="005F4062">
      <w:pPr>
        <w:jc w:val="both"/>
      </w:pPr>
      <w:r w:rsidRPr="000E47B8">
        <w:t>ANSTO</w:t>
      </w:r>
      <w:r w:rsidR="008E0E47" w:rsidRPr="000E47B8">
        <w:t xml:space="preserve"> </w:t>
      </w:r>
      <w:r w:rsidR="00EA442D" w:rsidRPr="000E47B8">
        <w:t>has considered a conservative estimate of the radionuclide inventory in the safety analysis for the facility</w:t>
      </w:r>
      <w:r w:rsidR="004F4566" w:rsidRPr="000E47B8">
        <w:t>, and the exact inventory would be available just prior to the loading of the waste into transport containers in France.</w:t>
      </w:r>
      <w:r w:rsidR="0053522A" w:rsidRPr="000E47B8">
        <w:t xml:space="preserve"> ANSTO gave commitment to provide ARPANSA with the exact inventory of radionuclide once available. Further the form and the radionuclide inventory</w:t>
      </w:r>
      <w:r w:rsidR="006D2DEF" w:rsidRPr="000E47B8">
        <w:t xml:space="preserve"> of the waste returning from the UK has been provided to ARPANSA. It is </w:t>
      </w:r>
      <w:r w:rsidR="00673CA4">
        <w:t>expected</w:t>
      </w:r>
      <w:r w:rsidR="006D2DEF" w:rsidRPr="000E47B8">
        <w:t xml:space="preserve"> that the form of the waste returning from the UK will be in vitrified form. However, the scope of the current licence does not include the UK waste. In the event the waste returning from the UK is stored in the IWS Facility, it will be subject to a relevant change under Regulation 51. </w:t>
      </w:r>
      <w:r w:rsidR="0053522A" w:rsidRPr="000E47B8">
        <w:t xml:space="preserve"> </w:t>
      </w:r>
    </w:p>
    <w:p w:rsidR="004C3F30" w:rsidRPr="000E47B8" w:rsidRDefault="0053522A" w:rsidP="005F4062">
      <w:pPr>
        <w:jc w:val="both"/>
      </w:pPr>
      <w:r w:rsidRPr="000E47B8">
        <w:t xml:space="preserve">The ARPANSA assessor considers that this </w:t>
      </w:r>
      <w:r w:rsidR="006D2DEF" w:rsidRPr="000E47B8">
        <w:t>aspect has been adequately addressed.</w:t>
      </w:r>
    </w:p>
    <w:p w:rsidR="00406C91" w:rsidRDefault="00406C91" w:rsidP="00662804">
      <w:pPr>
        <w:pStyle w:val="Heading2"/>
      </w:pPr>
      <w:bookmarkStart w:id="176" w:name="_Toc417974616"/>
      <w:r w:rsidRPr="00B43558">
        <w:t>ANSTO Contingency Plan</w:t>
      </w:r>
      <w:bookmarkEnd w:id="176"/>
    </w:p>
    <w:p w:rsidR="000E47B8" w:rsidRDefault="000E47B8" w:rsidP="00B247F2">
      <w:pPr>
        <w:jc w:val="both"/>
      </w:pPr>
      <w:r>
        <w:t>It is expected that the contingency plan should include the management of reprocessing waste returned from the UK taking into account the specific time frames</w:t>
      </w:r>
      <w:r w:rsidR="00D633BD">
        <w:t xml:space="preserve">. ANSTO submitted a contingency plan, and the assessment of this plan is presented below.  </w:t>
      </w:r>
    </w:p>
    <w:p w:rsidR="004479D9" w:rsidRPr="00B43558" w:rsidRDefault="00234B6A" w:rsidP="00B247F2">
      <w:pPr>
        <w:pStyle w:val="Heading3"/>
        <w:spacing w:before="120"/>
      </w:pPr>
      <w:bookmarkStart w:id="177" w:name="_Toc417974617"/>
      <w:r w:rsidRPr="00B43558">
        <w:t>Lifetime and future use of the facility</w:t>
      </w:r>
      <w:bookmarkEnd w:id="177"/>
    </w:p>
    <w:p w:rsidR="000D7C61" w:rsidRDefault="000D7C61" w:rsidP="003F61A9">
      <w:pPr>
        <w:jc w:val="both"/>
      </w:pPr>
      <w:r>
        <w:t>ANSTO refers to the Government plans to construct and operate the National Radioactive Waste Management Facility (NRWMF)</w:t>
      </w:r>
      <w:r>
        <w:rPr>
          <w:rStyle w:val="FootnoteReference"/>
        </w:rPr>
        <w:footnoteReference w:id="3"/>
      </w:r>
      <w:r>
        <w:t xml:space="preserve"> which may be operational by the end of the decade (2020). In this case the waste returning from France (TN 81 Transport/Storage container and the six cemented waste drums) will be transferred from ANSTO IWS to the NRWMF.</w:t>
      </w:r>
    </w:p>
    <w:p w:rsidR="000D24E1" w:rsidRDefault="000D24E1" w:rsidP="003F61A9">
      <w:pPr>
        <w:jc w:val="both"/>
      </w:pPr>
      <w:r>
        <w:t xml:space="preserve">ANSTO has considered options in the contingency plan in the event there is delay beyond the current plan, which </w:t>
      </w:r>
      <w:proofErr w:type="gramStart"/>
      <w:r>
        <w:t>are</w:t>
      </w:r>
      <w:proofErr w:type="gramEnd"/>
      <w:r>
        <w:t xml:space="preserve"> described in the following sections.</w:t>
      </w:r>
    </w:p>
    <w:p w:rsidR="000D24E1" w:rsidRDefault="000D24E1" w:rsidP="003F61A9">
      <w:pPr>
        <w:jc w:val="both"/>
      </w:pPr>
      <w:r>
        <w:t xml:space="preserve">The conservative design life considered is 40 years. However, should </w:t>
      </w:r>
      <w:r w:rsidR="00DA26BF">
        <w:t>an</w:t>
      </w:r>
      <w:r w:rsidR="00434018">
        <w:t xml:space="preserve"> extension of the IWS facility</w:t>
      </w:r>
      <w:r>
        <w:t xml:space="preserve"> be required</w:t>
      </w:r>
      <w:r w:rsidR="00DA26BF">
        <w:t>,</w:t>
      </w:r>
      <w:r>
        <w:t xml:space="preserve"> ANSTO would undertake an assessment of the integrity of the structure. </w:t>
      </w:r>
      <w:r w:rsidR="00434018">
        <w:t xml:space="preserve">In the event an </w:t>
      </w:r>
      <w:r w:rsidR="00434018">
        <w:lastRenderedPageBreak/>
        <w:t>assessment suggests closure of the facility, ANSTO would initiate the construction of a new store, which would require separate regulatory approval</w:t>
      </w:r>
      <w:r>
        <w:t>.</w:t>
      </w:r>
    </w:p>
    <w:p w:rsidR="004C1FAB" w:rsidRPr="004C1FAB" w:rsidRDefault="009D5726" w:rsidP="00F76234">
      <w:pPr>
        <w:pStyle w:val="Heading3"/>
      </w:pPr>
      <w:bookmarkStart w:id="178" w:name="_Toc417974618"/>
      <w:r>
        <w:t>Long term storage of waste and final disposal</w:t>
      </w:r>
      <w:bookmarkEnd w:id="178"/>
    </w:p>
    <w:p w:rsidR="00A771D3" w:rsidRDefault="00A771D3" w:rsidP="003F61A9">
      <w:pPr>
        <w:jc w:val="both"/>
      </w:pPr>
      <w:r>
        <w:t xml:space="preserve">ANSTO states that </w:t>
      </w:r>
      <w:r w:rsidR="00085CCD">
        <w:t>the waste returning from France will be transferred from the IWS to the NRWMF once NRWMF becomes operational.</w:t>
      </w:r>
      <w:r>
        <w:t xml:space="preserve"> The waste returning from the United Kingdom may go directly to the NRWMF if it is operational, or may go to the IWS for interim storage if the NRWMF is not operational by </w:t>
      </w:r>
      <w:r w:rsidR="00085CCD">
        <w:t>the</w:t>
      </w:r>
      <w:r>
        <w:t xml:space="preserve"> time</w:t>
      </w:r>
      <w:r w:rsidR="00085CCD">
        <w:t xml:space="preserve"> the waste returns from UK</w:t>
      </w:r>
      <w:r>
        <w:t>.</w:t>
      </w:r>
    </w:p>
    <w:p w:rsidR="00A771D3" w:rsidRDefault="00085CCD" w:rsidP="003F61A9">
      <w:pPr>
        <w:jc w:val="both"/>
      </w:pPr>
      <w:r>
        <w:t>ANSTO considers that i</w:t>
      </w:r>
      <w:r w:rsidR="00A771D3">
        <w:t xml:space="preserve">n the unlikely event that the NRWMF is not built within 40 years, ANSTO would make a submission to ARPANSA to amend the licence to extend it for a defined period of time. This </w:t>
      </w:r>
      <w:r w:rsidR="007E46D0">
        <w:t xml:space="preserve">approach is in line with the international practice as </w:t>
      </w:r>
      <w:r w:rsidR="00875E97">
        <w:t xml:space="preserve">the </w:t>
      </w:r>
      <w:r w:rsidR="00A771D3">
        <w:t xml:space="preserve">approach being assessed by the Swiss Interim Storage Facility (ZWILAG) and other countries (such as Germany) that store vitrified and other HLW in similar waste containers. </w:t>
      </w:r>
      <w:r w:rsidR="007E46D0">
        <w:t xml:space="preserve">In that case ANSTO will undertake ANSTO </w:t>
      </w:r>
      <w:r w:rsidR="00613BF8">
        <w:t>appropriate assessment to meet regulatory requirements. ANSTO also considered reloading the waste into a new TN81 cask, and the reloading operation will be undertaken in a purpose-built facility subject to regulatory approval.</w:t>
      </w:r>
    </w:p>
    <w:p w:rsidR="00A771D3" w:rsidRDefault="005620D4" w:rsidP="003F61A9">
      <w:pPr>
        <w:jc w:val="both"/>
      </w:pPr>
      <w:r w:rsidRPr="005620D4">
        <w:t xml:space="preserve">Noting that </w:t>
      </w:r>
      <w:r>
        <w:t xml:space="preserve">the Government is currently </w:t>
      </w:r>
      <w:r w:rsidR="00BE2DE5">
        <w:t xml:space="preserve">inviting nominations of sites for </w:t>
      </w:r>
      <w:r w:rsidRPr="005620D4">
        <w:t xml:space="preserve">the NRWMF, </w:t>
      </w:r>
      <w:r w:rsidR="00BE2DE5">
        <w:t xml:space="preserve">possibly involving </w:t>
      </w:r>
      <w:r w:rsidRPr="005620D4">
        <w:t>co-loca</w:t>
      </w:r>
      <w:r w:rsidR="00BE2DE5">
        <w:t>tion</w:t>
      </w:r>
      <w:r w:rsidRPr="005620D4">
        <w:t xml:space="preserve"> </w:t>
      </w:r>
      <w:r w:rsidR="00BE2DE5">
        <w:t xml:space="preserve">of </w:t>
      </w:r>
      <w:r w:rsidR="00875E97">
        <w:t xml:space="preserve">a </w:t>
      </w:r>
      <w:r w:rsidRPr="005620D4">
        <w:t xml:space="preserve">near surface disposal </w:t>
      </w:r>
      <w:r w:rsidR="00BE2DE5">
        <w:t>facility</w:t>
      </w:r>
      <w:r w:rsidR="00BE2DE5" w:rsidRPr="005620D4">
        <w:t xml:space="preserve"> </w:t>
      </w:r>
      <w:r w:rsidRPr="005620D4">
        <w:t xml:space="preserve">for Low Level Waste (LLW) and an above ground store for </w:t>
      </w:r>
      <w:r>
        <w:t xml:space="preserve">Intermediate Level Waste (ILW) it is </w:t>
      </w:r>
      <w:r w:rsidR="00BE2DE5">
        <w:t xml:space="preserve">feasible </w:t>
      </w:r>
      <w:r>
        <w:t>that t</w:t>
      </w:r>
      <w:r w:rsidRPr="005620D4">
        <w:t>he NRWMF will cater for the long term above ground storage (approximately 100 years) of Intermediate Level Waste including the waste reprocessed in France and the United Kingdom.</w:t>
      </w:r>
      <w:r>
        <w:t xml:space="preserve"> ANSTO states that a</w:t>
      </w:r>
      <w:r w:rsidR="00A771D3" w:rsidRPr="005620D4">
        <w:t xml:space="preserve"> final disposal strategy will be subject to Australian Government policy including monitoring of best practice disposal for such waste worldwide.</w:t>
      </w:r>
    </w:p>
    <w:p w:rsidR="004C1FAB" w:rsidRDefault="009D5726" w:rsidP="00F76234">
      <w:pPr>
        <w:pStyle w:val="Heading3"/>
      </w:pPr>
      <w:bookmarkStart w:id="179" w:name="_Toc417974619"/>
      <w:r>
        <w:t>Contingency options</w:t>
      </w:r>
      <w:bookmarkEnd w:id="179"/>
    </w:p>
    <w:p w:rsidR="00F056A1" w:rsidRDefault="00F056A1" w:rsidP="00F056A1">
      <w:r>
        <w:t xml:space="preserve">In the scenario </w:t>
      </w:r>
      <w:r w:rsidRPr="00F056A1">
        <w:t>of the unavailability of the NRWMF, ANSTO has identified the following options</w:t>
      </w:r>
      <w:r>
        <w:t xml:space="preserve"> for contingency.</w:t>
      </w:r>
    </w:p>
    <w:p w:rsidR="004C1FAB" w:rsidRPr="00773BB3" w:rsidRDefault="009D5726" w:rsidP="00F76234">
      <w:pPr>
        <w:pStyle w:val="Heading4"/>
        <w:ind w:left="1814"/>
      </w:pPr>
      <w:r>
        <w:t>Permanent disposal of returned ILW residues at ANSTO</w:t>
      </w:r>
    </w:p>
    <w:p w:rsidR="00773BB3" w:rsidRDefault="005C1A04" w:rsidP="003F61A9">
      <w:pPr>
        <w:jc w:val="both"/>
      </w:pPr>
      <w:r>
        <w:t xml:space="preserve">As mentioned above the permanent disposal option will be </w:t>
      </w:r>
      <w:r w:rsidR="00807E90">
        <w:t xml:space="preserve">determined by the Government policy. Further, the ANSTO Act precludes “premises on which the Lucas Heights Research Laboratories are situated to become a national nuclear waste repository for wastes generated from the activities of others.” Therefore, ANSTO has not considered this option further. </w:t>
      </w:r>
    </w:p>
    <w:p w:rsidR="004C1FAB" w:rsidRPr="00F0261C" w:rsidRDefault="009D5726" w:rsidP="00F76234">
      <w:pPr>
        <w:pStyle w:val="Heading4"/>
        <w:ind w:left="1814"/>
      </w:pPr>
      <w:r>
        <w:t>Retention of the returned residues at ANSTO until the availability of a</w:t>
      </w:r>
      <w:r w:rsidR="007819EB">
        <w:t xml:space="preserve"> </w:t>
      </w:r>
      <w:r>
        <w:t>final disposal option</w:t>
      </w:r>
    </w:p>
    <w:p w:rsidR="00F0261C" w:rsidRDefault="0064113E" w:rsidP="003F61A9">
      <w:pPr>
        <w:jc w:val="both"/>
      </w:pPr>
      <w:r>
        <w:t>ANSTO refers to the Government’s planning for siting and construction of the NRWMF which will be a near surface disposal repository for low level waste (LLW), co-located with an above ground store for ILW. This plan will have the provision for ILW storage above ground for approximately 100 years. The Government will continue to explore final disposal options including geological disposal over this period taking into account international best practice of disposal of such waste.</w:t>
      </w:r>
    </w:p>
    <w:p w:rsidR="0090714B" w:rsidRDefault="009D5726" w:rsidP="00F76234">
      <w:pPr>
        <w:pStyle w:val="Heading4"/>
        <w:ind w:left="1814"/>
      </w:pPr>
      <w:r>
        <w:lastRenderedPageBreak/>
        <w:t>Retention of the returned residues at ANSTO until the availability of the NRWMF for storage</w:t>
      </w:r>
    </w:p>
    <w:p w:rsidR="00233F37" w:rsidRDefault="00233F37" w:rsidP="003F61A9">
      <w:pPr>
        <w:tabs>
          <w:tab w:val="left" w:pos="1520"/>
        </w:tabs>
        <w:jc w:val="both"/>
      </w:pPr>
      <w:r>
        <w:t xml:space="preserve">ANSTO’s application is predicated on a 40 year operating life for the IWS. The actual storage period of the returned residues is anticipated to be much shorter, based on the anticipated programme for the construction of the NRWMF, subject to regulatory approval. If the NRWMF </w:t>
      </w:r>
      <w:r w:rsidR="00DA26BF">
        <w:t>were to be</w:t>
      </w:r>
      <w:r>
        <w:t xml:space="preserve"> delayed beyond the 40 year</w:t>
      </w:r>
      <w:r w:rsidR="00DA26BF">
        <w:t>s</w:t>
      </w:r>
      <w:r>
        <w:t>, ANSTO would undertake actions to support a</w:t>
      </w:r>
      <w:r w:rsidR="00DA26BF">
        <w:t>n</w:t>
      </w:r>
      <w:r>
        <w:t xml:space="preserve"> extension of the facility and container</w:t>
      </w:r>
      <w:r w:rsidR="00DA26BF">
        <w:t>,</w:t>
      </w:r>
      <w:r>
        <w:t xml:space="preserve"> or the safe transfer to another approved dual usage container.</w:t>
      </w:r>
    </w:p>
    <w:p w:rsidR="00B07866" w:rsidRDefault="00B81706" w:rsidP="00F76234">
      <w:pPr>
        <w:pStyle w:val="Heading4"/>
        <w:ind w:left="1814"/>
      </w:pPr>
      <w:r>
        <w:t>R</w:t>
      </w:r>
      <w:r w:rsidR="009D5726">
        <w:t>eturn of residues</w:t>
      </w:r>
    </w:p>
    <w:p w:rsidR="00C61CD0" w:rsidRDefault="00C61CD0" w:rsidP="003F61A9">
      <w:pPr>
        <w:tabs>
          <w:tab w:val="left" w:pos="1520"/>
        </w:tabs>
        <w:jc w:val="both"/>
      </w:pPr>
      <w:r>
        <w:t xml:space="preserve">According to international agreements </w:t>
      </w:r>
      <w:r w:rsidR="00DA26BF">
        <w:t xml:space="preserve">with the </w:t>
      </w:r>
      <w:r>
        <w:t>UK and France, Australia has obligation to receive the reprocessed residues as the country of origin, and this is line with the IAEA Joint Convention on Spent Fuel and Radioactive Waste Management.</w:t>
      </w:r>
      <w:r w:rsidR="00036AB6">
        <w:t xml:space="preserve"> ANSTO was advised by AREVA that France will be exercising their contractual right to return the reprocessed residues by the end of 2015. Therefore, ANSTO has not considered this option further.</w:t>
      </w:r>
    </w:p>
    <w:p w:rsidR="00452CC6" w:rsidRDefault="009D5726" w:rsidP="00F76234">
      <w:pPr>
        <w:pStyle w:val="Heading4"/>
        <w:ind w:left="1814"/>
      </w:pPr>
      <w:r>
        <w:t>Transfer to another licensed facility for interim storage</w:t>
      </w:r>
    </w:p>
    <w:p w:rsidR="004166D5" w:rsidRPr="00406C91" w:rsidRDefault="00406C91" w:rsidP="00406C91">
      <w:r w:rsidRPr="00406C91">
        <w:t>Since there is no</w:t>
      </w:r>
      <w:r>
        <w:t xml:space="preserve"> licensed facility for interim storage ANSTO has not considered this option further.</w:t>
      </w:r>
    </w:p>
    <w:p w:rsidR="005F6342" w:rsidRPr="005F6342" w:rsidRDefault="005F6342" w:rsidP="00D228BE">
      <w:pPr>
        <w:pStyle w:val="Conclusion"/>
      </w:pPr>
      <w:r w:rsidRPr="005F6342">
        <w:t>Conclusion</w:t>
      </w:r>
    </w:p>
    <w:p w:rsidR="006E6034" w:rsidRDefault="00930AEC" w:rsidP="003F61A9">
      <w:pPr>
        <w:jc w:val="both"/>
      </w:pPr>
      <w:r>
        <w:t>It appears that there are some uncertainties regarding</w:t>
      </w:r>
      <w:r w:rsidRPr="00930AEC">
        <w:t xml:space="preserve"> establishment of the NRWMF. ANSTO has referred to credible plans and dealt with contingencies in an acceptable manner for the purpose of </w:t>
      </w:r>
      <w:r w:rsidR="001E0932">
        <w:t>operation of the</w:t>
      </w:r>
      <w:r w:rsidRPr="00930AEC">
        <w:t xml:space="preserve"> </w:t>
      </w:r>
      <w:r w:rsidR="001E0932">
        <w:t>facility</w:t>
      </w:r>
      <w:r w:rsidRPr="00930AEC">
        <w:t xml:space="preserve">. </w:t>
      </w:r>
      <w:r>
        <w:t>The ARPANSA assessor notes that though the faci</w:t>
      </w:r>
      <w:r w:rsidR="006E6034">
        <w:t xml:space="preserve">lity is for interim storage, </w:t>
      </w:r>
      <w:r w:rsidRPr="00930AEC">
        <w:t>the lice</w:t>
      </w:r>
      <w:r w:rsidR="006E6034">
        <w:t>nce is not time-limited. Considering</w:t>
      </w:r>
      <w:r w:rsidRPr="00930AEC">
        <w:t xml:space="preserve"> uncertainty </w:t>
      </w:r>
      <w:r w:rsidR="006E6034">
        <w:t>related to the</w:t>
      </w:r>
      <w:r w:rsidRPr="00930AEC">
        <w:t xml:space="preserve"> waste to be returned from the UK, </w:t>
      </w:r>
      <w:r>
        <w:t>the</w:t>
      </w:r>
      <w:r w:rsidR="006E6034">
        <w:t xml:space="preserve"> ARPANSA assessor recommends a licence condition for submission of plans to the CEO of ARPANSA for the removal of waste stored in the IWS facility by 30 June 2020.</w:t>
      </w:r>
      <w:r w:rsidR="00B47ECE">
        <w:t xml:space="preserve"> Such plans should address operational experience, plans for future operations</w:t>
      </w:r>
      <w:r w:rsidR="00CA1919">
        <w:t xml:space="preserve"> and transfer to the NRWMF.</w:t>
      </w:r>
    </w:p>
    <w:p w:rsidR="00CA1919" w:rsidRDefault="005F6342" w:rsidP="003F61A9">
      <w:pPr>
        <w:jc w:val="both"/>
      </w:pPr>
      <w:r>
        <w:t>The A</w:t>
      </w:r>
      <w:r w:rsidR="00D65508">
        <w:t>R</w:t>
      </w:r>
      <w:r>
        <w:t xml:space="preserve">PANSA assessor considers that </w:t>
      </w:r>
      <w:r w:rsidR="00CA1919">
        <w:t>ANSTO’s contingency plans are acceptable subject to the following condition:</w:t>
      </w:r>
    </w:p>
    <w:p w:rsidR="00CA1919" w:rsidRPr="00661349" w:rsidRDefault="00CA1919" w:rsidP="00661349">
      <w:pPr>
        <w:ind w:left="284"/>
        <w:jc w:val="both"/>
        <w:rPr>
          <w:i/>
        </w:rPr>
      </w:pPr>
      <w:r w:rsidRPr="00661349">
        <w:rPr>
          <w:i/>
        </w:rPr>
        <w:t>The licence holder must submit to the CEO, no later than 30 June 2020 and in a form acceptable to the CEO, plans for the removal of waste stored in the facility.</w:t>
      </w:r>
    </w:p>
    <w:p w:rsidR="005F6342" w:rsidRDefault="005F6342" w:rsidP="003F61A9">
      <w:pPr>
        <w:jc w:val="both"/>
      </w:pPr>
    </w:p>
    <w:p w:rsidR="00A20CD8" w:rsidRPr="00D633BD" w:rsidRDefault="00A20CD8" w:rsidP="00F76234">
      <w:pPr>
        <w:pStyle w:val="Heading2"/>
      </w:pPr>
      <w:bookmarkStart w:id="180" w:name="_Toc417974620"/>
      <w:r w:rsidRPr="00D633BD">
        <w:t>The safety case</w:t>
      </w:r>
      <w:bookmarkEnd w:id="180"/>
    </w:p>
    <w:p w:rsidR="00A20CD8" w:rsidRDefault="00604F4C" w:rsidP="003F61A9">
      <w:pPr>
        <w:jc w:val="both"/>
      </w:pPr>
      <w:r>
        <w:t xml:space="preserve">In the </w:t>
      </w:r>
      <w:r w:rsidR="00A9761E">
        <w:t xml:space="preserve">CEO’s statement of reasons for issuing a siting and construction licence, ANSTO was requested to consider </w:t>
      </w:r>
      <w:r w:rsidRPr="00427528">
        <w:t>additional elements</w:t>
      </w:r>
      <w:r w:rsidR="00A9761E">
        <w:t xml:space="preserve"> in the </w:t>
      </w:r>
      <w:r w:rsidR="005D332D">
        <w:t xml:space="preserve">safety case for the </w:t>
      </w:r>
      <w:r w:rsidR="00A9761E">
        <w:t>application to operate the IWS Facility. These include</w:t>
      </w:r>
      <w:r w:rsidRPr="00427528">
        <w:t xml:space="preserve"> transport, maintenance, demographic issues and the timeline for safe storage, </w:t>
      </w:r>
      <w:r>
        <w:t xml:space="preserve">and further handling of the waste post the life-time of the </w:t>
      </w:r>
      <w:r w:rsidR="00A9761E">
        <w:t>facility</w:t>
      </w:r>
      <w:r w:rsidR="00A9761E" w:rsidRPr="00A9761E">
        <w:t>.</w:t>
      </w:r>
    </w:p>
    <w:p w:rsidR="00263BDB" w:rsidRDefault="00B25EDB" w:rsidP="003F61A9">
      <w:pPr>
        <w:jc w:val="both"/>
      </w:pPr>
      <w:r>
        <w:t>In order to address this matter ANSTO submitted a separate document entitled</w:t>
      </w:r>
      <w:r w:rsidR="00801F96">
        <w:t xml:space="preserve"> ‘Interim Waste Store Operating Licence Summary Safety Case’ (</w:t>
      </w:r>
      <w:r w:rsidR="00801F96" w:rsidRPr="00801F96">
        <w:t>IWS-O-LA-SC, Rev 4</w:t>
      </w:r>
      <w:r w:rsidR="00801F96">
        <w:t xml:space="preserve">). </w:t>
      </w:r>
      <w:r w:rsidR="006C0557">
        <w:t xml:space="preserve">The document refers to various key aspects including SAR, safety assessment, plans and arrangements for managing safety, safety </w:t>
      </w:r>
      <w:r w:rsidR="006C0557">
        <w:lastRenderedPageBreak/>
        <w:t>assessment of site characteristics and site related design bases, topical SAR for TN 81 cask (prepared by AREVA)</w:t>
      </w:r>
      <w:r w:rsidR="00801F96">
        <w:t xml:space="preserve"> </w:t>
      </w:r>
      <w:r w:rsidR="006C0557">
        <w:t>and supporting drawing, documents, reports etc</w:t>
      </w:r>
      <w:r w:rsidR="00F41B85">
        <w:t>. for detailed analysis</w:t>
      </w:r>
      <w:r w:rsidR="006C0557">
        <w:t>.</w:t>
      </w:r>
      <w:r w:rsidR="00DA6B61">
        <w:t xml:space="preserve"> ANSTO states that in preparing the safety case </w:t>
      </w:r>
      <w:r w:rsidR="00263BDB">
        <w:t>the following documents have been considered:</w:t>
      </w:r>
    </w:p>
    <w:p w:rsidR="00A20CD8" w:rsidRDefault="00263BDB" w:rsidP="00C91EB0">
      <w:pPr>
        <w:pStyle w:val="ListParagraph"/>
        <w:numPr>
          <w:ilvl w:val="0"/>
          <w:numId w:val="33"/>
        </w:numPr>
        <w:ind w:left="760" w:hanging="357"/>
        <w:jc w:val="both"/>
      </w:pPr>
      <w:r>
        <w:t>ARPANSA Waste Guide [5]</w:t>
      </w:r>
    </w:p>
    <w:p w:rsidR="00263BDB" w:rsidRDefault="00263BDB" w:rsidP="00C91EB0">
      <w:pPr>
        <w:pStyle w:val="ListParagraph"/>
        <w:numPr>
          <w:ilvl w:val="0"/>
          <w:numId w:val="33"/>
        </w:numPr>
        <w:spacing w:line="240" w:lineRule="auto"/>
        <w:ind w:left="760" w:hanging="357"/>
        <w:contextualSpacing w:val="0"/>
        <w:jc w:val="both"/>
      </w:pPr>
      <w:r w:rsidRPr="00263BDB">
        <w:t>IAEA Draft Safety Guide DS284: The Safety Case and Safety Assessment for Predisposa</w:t>
      </w:r>
      <w:r>
        <w:t>l</w:t>
      </w:r>
      <w:r w:rsidRPr="00263BDB">
        <w:t xml:space="preserve"> Management of Radioactive Waste</w:t>
      </w:r>
    </w:p>
    <w:p w:rsidR="00680AAE" w:rsidRDefault="0040087D" w:rsidP="003F61A9">
      <w:pPr>
        <w:jc w:val="both"/>
      </w:pPr>
      <w:r w:rsidRPr="0099314C">
        <w:rPr>
          <w:i/>
        </w:rPr>
        <w:t>Transport of the waste packages</w:t>
      </w:r>
      <w:r>
        <w:t>: The application has addressed the safety issues associated with the transport of TN81 container and DV78 ISO container.</w:t>
      </w:r>
      <w:r w:rsidR="00680AAE">
        <w:t xml:space="preserve"> The ARPANSA assessor notes that transport of the waste packages will be subject to separate regulatory approval.</w:t>
      </w:r>
      <w:r w:rsidR="00680AAE" w:rsidRPr="00680AAE">
        <w:t xml:space="preserve"> </w:t>
      </w:r>
      <w:r w:rsidR="00680AAE">
        <w:t>If the NRWMF eventuates t</w:t>
      </w:r>
      <w:r w:rsidR="00680AAE" w:rsidRPr="00680AAE">
        <w:t>he next transport of the waste packages would be from LHSTC to the NRWMF</w:t>
      </w:r>
      <w:r w:rsidR="00680AAE">
        <w:t>, which will also be subject to future regulatory approval. However, the proposed infrastructure associated with the facility will be adequate to support the next stage of transport from LHSTC.</w:t>
      </w:r>
    </w:p>
    <w:p w:rsidR="00D25DA3" w:rsidRDefault="0099314C" w:rsidP="003F61A9">
      <w:pPr>
        <w:jc w:val="both"/>
      </w:pPr>
      <w:r w:rsidRPr="0099314C">
        <w:rPr>
          <w:i/>
        </w:rPr>
        <w:t>Maintenance</w:t>
      </w:r>
      <w:r>
        <w:t>: The maintenance aspect has been assessed under ‘Arrangement for Operation’ in section 2.3.5 of this report and found adequate.</w:t>
      </w:r>
    </w:p>
    <w:p w:rsidR="0099314C" w:rsidRDefault="0099314C" w:rsidP="003F61A9">
      <w:pPr>
        <w:jc w:val="both"/>
      </w:pPr>
      <w:r w:rsidRPr="0099314C">
        <w:rPr>
          <w:i/>
        </w:rPr>
        <w:t>Demographic issues</w:t>
      </w:r>
      <w:r>
        <w:t xml:space="preserve">: </w:t>
      </w:r>
      <w:r w:rsidR="00673CA4">
        <w:t>ANSTO safety assessment of the IWS that supports the safety analysis has considered the detailed aspect of the site characteristics including the surrounding population and the projected population to 2021. Considering the design</w:t>
      </w:r>
      <w:r w:rsidR="00305CAB">
        <w:t xml:space="preserve"> safety features and operational controls</w:t>
      </w:r>
      <w:r w:rsidR="00673CA4">
        <w:t xml:space="preserve"> of the facility,</w:t>
      </w:r>
      <w:r w:rsidR="00305CAB">
        <w:t xml:space="preserve"> form of the waste and the safety features of storage packages, ANSTO analysis shows that there is </w:t>
      </w:r>
      <w:r w:rsidR="00B81706">
        <w:t xml:space="preserve">no </w:t>
      </w:r>
      <w:r w:rsidR="00305CAB">
        <w:t xml:space="preserve">radiological impact on the population around the ANSTO site from the operation of the facility. </w:t>
      </w:r>
    </w:p>
    <w:p w:rsidR="00D25DA3" w:rsidRDefault="00F41B85" w:rsidP="003F61A9">
      <w:pPr>
        <w:jc w:val="both"/>
      </w:pPr>
      <w:r w:rsidRPr="00F41B85">
        <w:rPr>
          <w:i/>
        </w:rPr>
        <w:t>Timeline for safe storage</w:t>
      </w:r>
      <w:r>
        <w:t xml:space="preserve">: </w:t>
      </w:r>
      <w:r w:rsidR="00C23606">
        <w:t>ANSTO states that the facility is designed for 40 years and the TN 81 package has a design life of 40 years. It is expected that the waste will be transferred to the NRWMF when it becomes operational. ANSTO has prepared a contingency plan for the wastes if the construction of the national facility is delayed or cance</w:t>
      </w:r>
      <w:r w:rsidR="00E15317">
        <w:t>lled by the Federal Government as described above under contingency plan.</w:t>
      </w:r>
    </w:p>
    <w:p w:rsidR="00E15317" w:rsidRDefault="00E15317" w:rsidP="003F61A9">
      <w:pPr>
        <w:jc w:val="both"/>
      </w:pPr>
      <w:r w:rsidRPr="00E15317">
        <w:rPr>
          <w:i/>
        </w:rPr>
        <w:t>Further handling of the waste</w:t>
      </w:r>
      <w:r w:rsidR="007A4AB6">
        <w:rPr>
          <w:i/>
        </w:rPr>
        <w:t xml:space="preserve"> post the life-time of the facility</w:t>
      </w:r>
      <w:r>
        <w:t xml:space="preserve">: </w:t>
      </w:r>
      <w:r w:rsidR="00787C70">
        <w:t xml:space="preserve"> </w:t>
      </w:r>
      <w:r w:rsidR="00B2755F">
        <w:t>ANSTO estimated that t</w:t>
      </w:r>
      <w:r w:rsidR="00787C70">
        <w:t>he IWS will initially have a conservative design life of 40 years</w:t>
      </w:r>
      <w:r w:rsidR="00B2755F">
        <w:t>. If the NRWMF does not eventuate within that time-frame and should</w:t>
      </w:r>
      <w:r w:rsidR="00787C70">
        <w:t xml:space="preserve"> a licence extension be required, engineering assessments would be carried out to assess the integrity of the</w:t>
      </w:r>
      <w:r w:rsidR="00B2755F">
        <w:t xml:space="preserve"> </w:t>
      </w:r>
      <w:r w:rsidR="00787C70">
        <w:t>structure. If that assessment find</w:t>
      </w:r>
      <w:r w:rsidR="00B2755F">
        <w:t>s</w:t>
      </w:r>
      <w:r w:rsidR="00787C70">
        <w:t xml:space="preserve"> that the IWS requires closure, ANSTO would initiate the construction of a new store subject to </w:t>
      </w:r>
      <w:r w:rsidR="00B2755F">
        <w:t>regulatory approval</w:t>
      </w:r>
      <w:r w:rsidR="00787C70">
        <w:t>.</w:t>
      </w:r>
      <w:r w:rsidR="00B2755F">
        <w:t xml:space="preserve"> Further details are described above under contingency plan. </w:t>
      </w:r>
      <w:r w:rsidR="00D15B60">
        <w:t xml:space="preserve"> The ARPANSA assessor considers that this aspect has been adequately addressed.</w:t>
      </w:r>
    </w:p>
    <w:p w:rsidR="00D15B60" w:rsidRDefault="00D15B60" w:rsidP="00D15B60">
      <w:pPr>
        <w:pStyle w:val="Conclusion"/>
      </w:pPr>
      <w:bookmarkStart w:id="181" w:name="_Toc297107208"/>
      <w:bookmarkStart w:id="182" w:name="_Toc417974621"/>
      <w:r w:rsidRPr="005F6342">
        <w:t>Conclusion</w:t>
      </w:r>
      <w:r>
        <w:t xml:space="preserve"> </w:t>
      </w:r>
    </w:p>
    <w:p w:rsidR="00D15B60" w:rsidRPr="005F6342" w:rsidRDefault="00D15B60" w:rsidP="00D15B60">
      <w:r>
        <w:t>The ARPANSA assessor considers that the issues identified in the CEO’s statement of reasons for granting the siting and construction licence of the IWS facility</w:t>
      </w:r>
      <w:r w:rsidR="00CA1919">
        <w:t xml:space="preserve"> have been adequately addressed subject to the recommended licence condition related to submission of plans for removal of waste stored in the facility by 30 June 2020 as described above.</w:t>
      </w:r>
    </w:p>
    <w:p w:rsidR="002E194F" w:rsidRPr="00927E50" w:rsidRDefault="002E194F" w:rsidP="00820FB4">
      <w:pPr>
        <w:pStyle w:val="Heading1"/>
        <w:spacing w:line="240" w:lineRule="auto"/>
      </w:pPr>
      <w:r w:rsidRPr="00927E50">
        <w:lastRenderedPageBreak/>
        <w:t>CONCLUSIONS</w:t>
      </w:r>
      <w:bookmarkEnd w:id="174"/>
      <w:bookmarkEnd w:id="181"/>
      <w:bookmarkEnd w:id="182"/>
      <w:r w:rsidRPr="00927E50">
        <w:t xml:space="preserve"> </w:t>
      </w:r>
    </w:p>
    <w:p w:rsidR="002E194F" w:rsidRPr="00676C35" w:rsidRDefault="002E194F" w:rsidP="00DF3A84">
      <w:pPr>
        <w:ind w:right="-45"/>
        <w:jc w:val="both"/>
      </w:pPr>
      <w:r w:rsidRPr="00676C35">
        <w:t xml:space="preserve">The matters set out in </w:t>
      </w:r>
      <w:r w:rsidR="00614DB1">
        <w:t>sub-r</w:t>
      </w:r>
      <w:r w:rsidRPr="00676C35">
        <w:t xml:space="preserve">egulation 41(3) that the CEO is required to take into account in making a licensing decision, have been described </w:t>
      </w:r>
      <w:r w:rsidR="009B6BCC" w:rsidRPr="00676C35">
        <w:t xml:space="preserve">in this report </w:t>
      </w:r>
      <w:r w:rsidRPr="00676C35">
        <w:t xml:space="preserve">in </w:t>
      </w:r>
      <w:r w:rsidR="009B6BCC" w:rsidRPr="00676C35">
        <w:t>section</w:t>
      </w:r>
      <w:r w:rsidRPr="00676C35">
        <w:t xml:space="preserve"> </w:t>
      </w:r>
      <w:r w:rsidR="009B6BCC" w:rsidRPr="00444559">
        <w:t>2.</w:t>
      </w:r>
      <w:r w:rsidR="00611A98">
        <w:t>5</w:t>
      </w:r>
      <w:r w:rsidRPr="00676C35">
        <w:t xml:space="preserve"> </w:t>
      </w:r>
      <w:r w:rsidR="009B6BCC" w:rsidRPr="00676C35">
        <w:t>Other Matters for Consideration</w:t>
      </w:r>
      <w:r w:rsidRPr="00676C35">
        <w:t>. The application and information provided in support of the application provide evidence that:</w:t>
      </w:r>
    </w:p>
    <w:p w:rsidR="002E194F" w:rsidRPr="00676C35" w:rsidRDefault="00C91B82" w:rsidP="00BA0D52">
      <w:pPr>
        <w:pStyle w:val="ListParagraph"/>
        <w:numPr>
          <w:ilvl w:val="0"/>
          <w:numId w:val="4"/>
        </w:numPr>
        <w:spacing w:after="120" w:line="240" w:lineRule="auto"/>
        <w:ind w:left="714" w:right="-45" w:hanging="357"/>
        <w:contextualSpacing w:val="0"/>
        <w:jc w:val="both"/>
      </w:pPr>
      <w:r>
        <w:t>T</w:t>
      </w:r>
      <w:r w:rsidR="002E194F" w:rsidRPr="00676C35">
        <w:t xml:space="preserve">he application was in a form approved by the CEO under </w:t>
      </w:r>
      <w:r w:rsidR="005B2E3E">
        <w:t>sub-r</w:t>
      </w:r>
      <w:r w:rsidR="002E194F" w:rsidRPr="00676C35">
        <w:t>egulation 39(1), including payment o</w:t>
      </w:r>
      <w:r w:rsidR="00861D9D" w:rsidRPr="00676C35">
        <w:t xml:space="preserve">f the relevant application fee </w:t>
      </w:r>
      <w:r w:rsidR="00861D9D" w:rsidRPr="00444559">
        <w:t>(section 1.1)</w:t>
      </w:r>
      <w:r w:rsidR="000B521F">
        <w:t>.</w:t>
      </w:r>
    </w:p>
    <w:p w:rsidR="002E194F" w:rsidRPr="00676C35" w:rsidRDefault="00C91B82" w:rsidP="00BA0D52">
      <w:pPr>
        <w:pStyle w:val="ListParagraph"/>
        <w:numPr>
          <w:ilvl w:val="0"/>
          <w:numId w:val="4"/>
        </w:numPr>
        <w:spacing w:after="120" w:line="240" w:lineRule="auto"/>
        <w:ind w:left="714" w:right="-45" w:hanging="357"/>
        <w:contextualSpacing w:val="0"/>
        <w:jc w:val="both"/>
      </w:pPr>
      <w:r>
        <w:t>T</w:t>
      </w:r>
      <w:r w:rsidR="002E194F" w:rsidRPr="00676C35">
        <w:t xml:space="preserve">he applicant included all of the information required by the CEO under </w:t>
      </w:r>
      <w:r w:rsidR="005B2E3E">
        <w:t xml:space="preserve">section </w:t>
      </w:r>
      <w:r w:rsidR="005B2E3E" w:rsidRPr="00676C35">
        <w:t xml:space="preserve">34 </w:t>
      </w:r>
      <w:r w:rsidR="002E194F" w:rsidRPr="00676C35">
        <w:t>of the Act (</w:t>
      </w:r>
      <w:r w:rsidR="009D64DF">
        <w:t>s</w:t>
      </w:r>
      <w:r w:rsidR="00F07F66" w:rsidRPr="00444559">
        <w:t xml:space="preserve">ections </w:t>
      </w:r>
      <w:r w:rsidR="002E194F" w:rsidRPr="00444559">
        <w:t xml:space="preserve">2.1 </w:t>
      </w:r>
      <w:r w:rsidR="00A00ED3" w:rsidRPr="00444559">
        <w:t>to</w:t>
      </w:r>
      <w:r w:rsidR="002E194F" w:rsidRPr="00444559">
        <w:t xml:space="preserve"> 2.3)</w:t>
      </w:r>
      <w:r w:rsidR="000B521F">
        <w:t>.</w:t>
      </w:r>
    </w:p>
    <w:p w:rsidR="002E194F" w:rsidRPr="00676C35" w:rsidRDefault="00C91B82" w:rsidP="00BA0D52">
      <w:pPr>
        <w:pStyle w:val="ListParagraph"/>
        <w:numPr>
          <w:ilvl w:val="0"/>
          <w:numId w:val="4"/>
        </w:numPr>
        <w:spacing w:after="120" w:line="240" w:lineRule="auto"/>
        <w:ind w:left="714" w:right="-45" w:hanging="357"/>
        <w:contextualSpacing w:val="0"/>
        <w:jc w:val="both"/>
      </w:pPr>
      <w:r>
        <w:t>T</w:t>
      </w:r>
      <w:r w:rsidR="002E194F" w:rsidRPr="00676C35">
        <w:t xml:space="preserve">he information establishes that </w:t>
      </w:r>
      <w:r w:rsidR="000937B0">
        <w:t>operation</w:t>
      </w:r>
      <w:r w:rsidR="00542DAE" w:rsidRPr="00676C35">
        <w:t xml:space="preserve"> of</w:t>
      </w:r>
      <w:r w:rsidR="002E194F" w:rsidRPr="00676C35">
        <w:t xml:space="preserve"> the </w:t>
      </w:r>
      <w:r w:rsidR="000937B0">
        <w:t>IWS</w:t>
      </w:r>
      <w:r w:rsidR="00EA372A">
        <w:t xml:space="preserve"> Facility</w:t>
      </w:r>
      <w:r w:rsidR="004871BF">
        <w:t xml:space="preserve"> </w:t>
      </w:r>
      <w:r w:rsidR="002E194F" w:rsidRPr="00676C35">
        <w:t>poses no undue risk to the health and safety of people or to the environment</w:t>
      </w:r>
      <w:r w:rsidR="00F53822">
        <w:t>;</w:t>
      </w:r>
      <w:r w:rsidR="00976F25">
        <w:t xml:space="preserve"> t</w:t>
      </w:r>
      <w:r w:rsidR="002E194F" w:rsidRPr="00676C35">
        <w:t xml:space="preserve">his has been considered for both </w:t>
      </w:r>
      <w:r w:rsidR="00382248" w:rsidRPr="00676C35">
        <w:t xml:space="preserve">anticipated </w:t>
      </w:r>
      <w:r w:rsidR="002E194F" w:rsidRPr="00676C35">
        <w:t>normal operation and p</w:t>
      </w:r>
      <w:r w:rsidR="00CD17FD" w:rsidRPr="00676C35">
        <w:t>otential accident scenarios</w:t>
      </w:r>
      <w:r w:rsidR="00542DAE" w:rsidRPr="00676C35">
        <w:t xml:space="preserve"> if the facility is approved for operation in </w:t>
      </w:r>
      <w:r w:rsidR="000373E0">
        <w:t xml:space="preserve">the </w:t>
      </w:r>
      <w:r w:rsidR="00542DAE" w:rsidRPr="00676C35">
        <w:t>future</w:t>
      </w:r>
      <w:r w:rsidR="00CD17FD" w:rsidRPr="00676C35">
        <w:t xml:space="preserve"> </w:t>
      </w:r>
      <w:r w:rsidR="00F07F66" w:rsidRPr="00676C35">
        <w:t>(</w:t>
      </w:r>
      <w:r w:rsidR="009D64DF">
        <w:t>section 2.</w:t>
      </w:r>
      <w:r w:rsidR="009335FE">
        <w:t>4</w:t>
      </w:r>
      <w:r w:rsidR="007A2E20">
        <w:t>.1</w:t>
      </w:r>
      <w:r w:rsidR="002E194F" w:rsidRPr="00676C35">
        <w:t>)</w:t>
      </w:r>
      <w:r w:rsidR="000B521F">
        <w:t>.</w:t>
      </w:r>
    </w:p>
    <w:p w:rsidR="002E194F" w:rsidRPr="00676C35" w:rsidRDefault="00C91B82" w:rsidP="00BA0D52">
      <w:pPr>
        <w:pStyle w:val="ListParagraph"/>
        <w:numPr>
          <w:ilvl w:val="0"/>
          <w:numId w:val="4"/>
        </w:numPr>
        <w:spacing w:after="120" w:line="240" w:lineRule="auto"/>
        <w:ind w:left="714" w:right="-45" w:hanging="357"/>
        <w:contextualSpacing w:val="0"/>
        <w:jc w:val="both"/>
      </w:pPr>
      <w:r>
        <w:t>T</w:t>
      </w:r>
      <w:r w:rsidR="002E194F" w:rsidRPr="00676C35">
        <w:t xml:space="preserve">he applicant has shown a net benefit from </w:t>
      </w:r>
      <w:r w:rsidR="000937B0">
        <w:t>operation</w:t>
      </w:r>
      <w:r w:rsidR="000373E0" w:rsidRPr="00676C35">
        <w:t xml:space="preserve"> </w:t>
      </w:r>
      <w:r w:rsidR="002E194F" w:rsidRPr="00676C35">
        <w:t xml:space="preserve">of the </w:t>
      </w:r>
      <w:r w:rsidR="000937B0">
        <w:t>IWS</w:t>
      </w:r>
      <w:r w:rsidR="00EA372A">
        <w:t xml:space="preserve"> Facility</w:t>
      </w:r>
      <w:r w:rsidR="00976F25">
        <w:t xml:space="preserve"> </w:t>
      </w:r>
      <w:r w:rsidR="002E194F" w:rsidRPr="00676C35">
        <w:t>(</w:t>
      </w:r>
      <w:r w:rsidR="009335FE">
        <w:t>section 2.4</w:t>
      </w:r>
      <w:r w:rsidR="00CD17FD" w:rsidRPr="00444559">
        <w:t>.2</w:t>
      </w:r>
      <w:r w:rsidR="002E194F" w:rsidRPr="00444559">
        <w:t>)</w:t>
      </w:r>
    </w:p>
    <w:p w:rsidR="002E194F" w:rsidRPr="00676C35" w:rsidRDefault="00C91B82" w:rsidP="00BA0D52">
      <w:pPr>
        <w:pStyle w:val="ListParagraph"/>
        <w:numPr>
          <w:ilvl w:val="0"/>
          <w:numId w:val="4"/>
        </w:numPr>
        <w:spacing w:after="120" w:line="240" w:lineRule="auto"/>
        <w:ind w:left="714" w:right="-45" w:hanging="357"/>
        <w:contextualSpacing w:val="0"/>
        <w:jc w:val="both"/>
      </w:pPr>
      <w:r>
        <w:t>R</w:t>
      </w:r>
      <w:r w:rsidR="00377C45">
        <w:t>easonably achievable efforts have been proposed to optimise protection taking into account available information of t</w:t>
      </w:r>
      <w:r w:rsidR="002E194F" w:rsidRPr="00676C35">
        <w:t xml:space="preserve">he magnitude of individual doses, the number of people exposed and the likelihood that exposure will </w:t>
      </w:r>
      <w:r w:rsidR="00377C45">
        <w:t>occur</w:t>
      </w:r>
      <w:r w:rsidR="00CD17FD" w:rsidRPr="00676C35">
        <w:t xml:space="preserve"> </w:t>
      </w:r>
      <w:r w:rsidR="002E194F" w:rsidRPr="00676C35">
        <w:t>(</w:t>
      </w:r>
      <w:r w:rsidR="009335FE">
        <w:t>section 2.4</w:t>
      </w:r>
      <w:r w:rsidR="009D64DF">
        <w:t>.3</w:t>
      </w:r>
      <w:r w:rsidR="002E194F" w:rsidRPr="00676C35">
        <w:t>)</w:t>
      </w:r>
      <w:r w:rsidR="00A95BC8" w:rsidRPr="00676C35">
        <w:t>.</w:t>
      </w:r>
    </w:p>
    <w:p w:rsidR="002E194F" w:rsidRPr="00676C35" w:rsidRDefault="00C91B82" w:rsidP="00BA0D52">
      <w:pPr>
        <w:pStyle w:val="ListParagraph"/>
        <w:numPr>
          <w:ilvl w:val="0"/>
          <w:numId w:val="4"/>
        </w:numPr>
        <w:spacing w:after="120" w:line="240" w:lineRule="auto"/>
        <w:ind w:left="714" w:right="-45" w:hanging="357"/>
        <w:contextualSpacing w:val="0"/>
        <w:jc w:val="both"/>
      </w:pPr>
      <w:r>
        <w:t>T</w:t>
      </w:r>
      <w:r w:rsidR="002E194F" w:rsidRPr="00676C35">
        <w:t>he applicant has shown a capacity for complying with the reg</w:t>
      </w:r>
      <w:r w:rsidR="00A00ED3" w:rsidRPr="00676C35">
        <w:t>ulations and licence conditions</w:t>
      </w:r>
      <w:r w:rsidR="002E194F" w:rsidRPr="00676C35">
        <w:t xml:space="preserve"> (</w:t>
      </w:r>
      <w:r w:rsidR="00CD17FD" w:rsidRPr="00676C35">
        <w:t xml:space="preserve">section </w:t>
      </w:r>
      <w:r w:rsidR="009D64DF">
        <w:t>2.</w:t>
      </w:r>
      <w:r w:rsidR="009335FE">
        <w:t>4</w:t>
      </w:r>
      <w:r w:rsidR="009D64DF">
        <w:t>.4</w:t>
      </w:r>
      <w:r w:rsidR="002E194F" w:rsidRPr="00676C35">
        <w:t>)</w:t>
      </w:r>
      <w:r>
        <w:t>.</w:t>
      </w:r>
    </w:p>
    <w:p w:rsidR="002E194F" w:rsidRPr="00676C35" w:rsidRDefault="00C91B82" w:rsidP="00BA0D52">
      <w:pPr>
        <w:pStyle w:val="ListParagraph"/>
        <w:numPr>
          <w:ilvl w:val="0"/>
          <w:numId w:val="4"/>
        </w:numPr>
        <w:spacing w:after="120" w:line="240" w:lineRule="auto"/>
        <w:ind w:left="714" w:right="-45" w:hanging="357"/>
        <w:contextualSpacing w:val="0"/>
        <w:jc w:val="both"/>
      </w:pPr>
      <w:r>
        <w:t>T</w:t>
      </w:r>
      <w:r w:rsidR="002E194F" w:rsidRPr="00676C35">
        <w:t>he application was signed by the requisite office holder (</w:t>
      </w:r>
      <w:r w:rsidR="0089333E" w:rsidRPr="00676C35">
        <w:t xml:space="preserve">section </w:t>
      </w:r>
      <w:r w:rsidR="009335FE">
        <w:t>2.4</w:t>
      </w:r>
      <w:r w:rsidR="009D64DF">
        <w:t>.5</w:t>
      </w:r>
      <w:r w:rsidR="002E194F" w:rsidRPr="00676C35">
        <w:t>)</w:t>
      </w:r>
      <w:r>
        <w:t>.</w:t>
      </w:r>
    </w:p>
    <w:p w:rsidR="000847E2" w:rsidRDefault="007A2E20" w:rsidP="00DF3A84">
      <w:pPr>
        <w:pStyle w:val="p2"/>
        <w:tabs>
          <w:tab w:val="clear" w:pos="720"/>
        </w:tabs>
        <w:spacing w:line="276" w:lineRule="auto"/>
        <w:jc w:val="both"/>
        <w:rPr>
          <w:snapToGrid w:val="0"/>
        </w:rPr>
      </w:pPr>
      <w:bookmarkStart w:id="183" w:name="_Toc492282562"/>
      <w:bookmarkStart w:id="184" w:name="_Toc497727950"/>
      <w:bookmarkStart w:id="185" w:name="_Toc13047991"/>
      <w:bookmarkStart w:id="186" w:name="_Toc13454356"/>
      <w:r>
        <w:rPr>
          <w:snapToGrid w:val="0"/>
        </w:rPr>
        <w:t>The content</w:t>
      </w:r>
      <w:r w:rsidR="00377C45">
        <w:rPr>
          <w:snapToGrid w:val="0"/>
        </w:rPr>
        <w:t>s</w:t>
      </w:r>
      <w:r>
        <w:rPr>
          <w:snapToGrid w:val="0"/>
        </w:rPr>
        <w:t xml:space="preserve"> of public submission</w:t>
      </w:r>
      <w:r w:rsidR="00377C45">
        <w:rPr>
          <w:snapToGrid w:val="0"/>
        </w:rPr>
        <w:t>s</w:t>
      </w:r>
      <w:r>
        <w:rPr>
          <w:snapToGrid w:val="0"/>
        </w:rPr>
        <w:t xml:space="preserve"> </w:t>
      </w:r>
      <w:r w:rsidR="00377C45">
        <w:rPr>
          <w:snapToGrid w:val="0"/>
        </w:rPr>
        <w:t xml:space="preserve">were </w:t>
      </w:r>
      <w:r w:rsidR="00C61C84">
        <w:rPr>
          <w:snapToGrid w:val="0"/>
        </w:rPr>
        <w:t>considered in section 2.4</w:t>
      </w:r>
      <w:r>
        <w:rPr>
          <w:snapToGrid w:val="0"/>
        </w:rPr>
        <w:t>.</w:t>
      </w:r>
      <w:r w:rsidR="002C638F">
        <w:rPr>
          <w:snapToGrid w:val="0"/>
        </w:rPr>
        <w:t>6</w:t>
      </w:r>
      <w:r>
        <w:rPr>
          <w:snapToGrid w:val="0"/>
        </w:rPr>
        <w:t xml:space="preserve"> of this report. </w:t>
      </w:r>
    </w:p>
    <w:p w:rsidR="002E194F" w:rsidRDefault="000847E2" w:rsidP="00DF3A84">
      <w:pPr>
        <w:pStyle w:val="p2"/>
        <w:tabs>
          <w:tab w:val="clear" w:pos="720"/>
        </w:tabs>
        <w:spacing w:line="276" w:lineRule="auto"/>
        <w:jc w:val="both"/>
        <w:rPr>
          <w:snapToGrid w:val="0"/>
        </w:rPr>
      </w:pPr>
      <w:r>
        <w:rPr>
          <w:snapToGrid w:val="0"/>
        </w:rPr>
        <w:t>T</w:t>
      </w:r>
      <w:r w:rsidR="002E194F" w:rsidRPr="00676C35">
        <w:rPr>
          <w:snapToGrid w:val="0"/>
        </w:rPr>
        <w:t>he regulatory review documents relied on in the licence assessment and prepara</w:t>
      </w:r>
      <w:r w:rsidR="00A00ED3" w:rsidRPr="00676C35">
        <w:rPr>
          <w:snapToGrid w:val="0"/>
        </w:rPr>
        <w:t>tion of this report (</w:t>
      </w:r>
      <w:r w:rsidR="0089333E" w:rsidRPr="00676C35">
        <w:rPr>
          <w:snapToGrid w:val="0"/>
        </w:rPr>
        <w:t xml:space="preserve">section </w:t>
      </w:r>
      <w:r w:rsidR="009D64DF">
        <w:rPr>
          <w:snapToGrid w:val="0"/>
        </w:rPr>
        <w:t>1.3</w:t>
      </w:r>
      <w:r w:rsidR="002E194F" w:rsidRPr="00676C35">
        <w:rPr>
          <w:snapToGrid w:val="0"/>
        </w:rPr>
        <w:t xml:space="preserve">) reflect current international best practice in relation to radiation </w:t>
      </w:r>
      <w:r w:rsidR="00E874CC" w:rsidRPr="00676C35">
        <w:rPr>
          <w:snapToGrid w:val="0"/>
        </w:rPr>
        <w:t>protection and nuclear safety.</w:t>
      </w:r>
      <w:r w:rsidR="00A65492" w:rsidRPr="00676C35">
        <w:rPr>
          <w:snapToGrid w:val="0"/>
        </w:rPr>
        <w:t xml:space="preserve"> Further, the standards and practices considered in the </w:t>
      </w:r>
      <w:r w:rsidR="00D228BE">
        <w:rPr>
          <w:snapToGrid w:val="0"/>
        </w:rPr>
        <w:t>preliminary</w:t>
      </w:r>
      <w:r w:rsidR="009D64DF">
        <w:rPr>
          <w:snapToGrid w:val="0"/>
        </w:rPr>
        <w:t xml:space="preserve"> </w:t>
      </w:r>
      <w:r w:rsidR="00A65492" w:rsidRPr="00676C35">
        <w:rPr>
          <w:snapToGrid w:val="0"/>
        </w:rPr>
        <w:t xml:space="preserve">design of the facility and </w:t>
      </w:r>
      <w:r w:rsidR="009D64DF">
        <w:rPr>
          <w:snapToGrid w:val="0"/>
        </w:rPr>
        <w:t xml:space="preserve">the existing </w:t>
      </w:r>
      <w:r w:rsidR="00A65492" w:rsidRPr="00676C35">
        <w:rPr>
          <w:snapToGrid w:val="0"/>
        </w:rPr>
        <w:t xml:space="preserve">operating practices have also been considered as part of international best practice.  </w:t>
      </w:r>
    </w:p>
    <w:p w:rsidR="002E194F" w:rsidRPr="00E359A2" w:rsidRDefault="002E194F" w:rsidP="00820FB4">
      <w:pPr>
        <w:pStyle w:val="Heading1"/>
      </w:pPr>
      <w:bookmarkStart w:id="187" w:name="_Toc35926821"/>
      <w:bookmarkStart w:id="188" w:name="_Toc297107209"/>
      <w:bookmarkStart w:id="189" w:name="_Toc417974622"/>
      <w:bookmarkStart w:id="190" w:name="_Toc490284103"/>
      <w:bookmarkStart w:id="191" w:name="_Toc492201659"/>
      <w:bookmarkStart w:id="192" w:name="_Toc492280724"/>
      <w:bookmarkStart w:id="193" w:name="_Toc13047992"/>
      <w:bookmarkStart w:id="194" w:name="_Toc13048130"/>
      <w:bookmarkStart w:id="195" w:name="_Toc13454357"/>
      <w:bookmarkEnd w:id="183"/>
      <w:bookmarkEnd w:id="184"/>
      <w:bookmarkEnd w:id="185"/>
      <w:bookmarkEnd w:id="186"/>
      <w:r w:rsidRPr="00E359A2">
        <w:t>RECOMMENDATIONS</w:t>
      </w:r>
      <w:bookmarkEnd w:id="187"/>
      <w:bookmarkEnd w:id="188"/>
      <w:bookmarkEnd w:id="189"/>
    </w:p>
    <w:p w:rsidR="002E194F" w:rsidRPr="00CD5563" w:rsidRDefault="002E194F" w:rsidP="00AF0230">
      <w:pPr>
        <w:pStyle w:val="Heading2"/>
        <w:spacing w:before="240"/>
      </w:pPr>
      <w:bookmarkStart w:id="196" w:name="_Toc417974623"/>
      <w:bookmarkEnd w:id="190"/>
      <w:bookmarkEnd w:id="191"/>
      <w:bookmarkEnd w:id="192"/>
      <w:bookmarkEnd w:id="193"/>
      <w:bookmarkEnd w:id="194"/>
      <w:bookmarkEnd w:id="195"/>
      <w:r w:rsidRPr="00CD5563">
        <w:t>I</w:t>
      </w:r>
      <w:r w:rsidR="00CD5563">
        <w:t>ssue of Licence</w:t>
      </w:r>
      <w:bookmarkEnd w:id="196"/>
    </w:p>
    <w:p w:rsidR="002E194F" w:rsidRDefault="002E194F" w:rsidP="00DF3A84">
      <w:pPr>
        <w:jc w:val="both"/>
      </w:pPr>
      <w:r w:rsidRPr="00676C35">
        <w:t xml:space="preserve">It is recommended that Facility Licence </w:t>
      </w:r>
      <w:r w:rsidR="001C42F0">
        <w:t>F0</w:t>
      </w:r>
      <w:r w:rsidR="008342AB">
        <w:t>2</w:t>
      </w:r>
      <w:r w:rsidR="000937B0">
        <w:t>92</w:t>
      </w:r>
      <w:r w:rsidR="00E874CC" w:rsidRPr="00676C35">
        <w:t xml:space="preserve"> </w:t>
      </w:r>
      <w:r w:rsidRPr="00676C35">
        <w:t xml:space="preserve">be issued to </w:t>
      </w:r>
      <w:r w:rsidR="007E4CAD">
        <w:t xml:space="preserve">ANSTO </w:t>
      </w:r>
      <w:r w:rsidRPr="00676C35">
        <w:t xml:space="preserve">in respect of licence application </w:t>
      </w:r>
      <w:r w:rsidR="00B7774D">
        <w:t>A0292</w:t>
      </w:r>
      <w:r w:rsidR="00E874CC" w:rsidRPr="00676C35">
        <w:t xml:space="preserve"> </w:t>
      </w:r>
      <w:r w:rsidRPr="00676C35">
        <w:t xml:space="preserve">authorising the </w:t>
      </w:r>
      <w:r w:rsidR="000937B0">
        <w:t>operation</w:t>
      </w:r>
      <w:r w:rsidRPr="00676C35">
        <w:t xml:space="preserve"> </w:t>
      </w:r>
      <w:r w:rsidR="00E874CC" w:rsidRPr="00676C35">
        <w:t xml:space="preserve">of </w:t>
      </w:r>
      <w:r w:rsidRPr="00676C35">
        <w:t xml:space="preserve">a controlled facility, namely the </w:t>
      </w:r>
      <w:r w:rsidR="000937B0">
        <w:t>IWS</w:t>
      </w:r>
      <w:r w:rsidR="00696D1C" w:rsidRPr="00676C35">
        <w:t xml:space="preserve"> Facility</w:t>
      </w:r>
      <w:r w:rsidR="00CB6955">
        <w:t>,</w:t>
      </w:r>
      <w:r w:rsidR="00696D1C" w:rsidRPr="00676C35">
        <w:t xml:space="preserve"> </w:t>
      </w:r>
      <w:r w:rsidR="00831682">
        <w:t>subject to the licence condition</w:t>
      </w:r>
      <w:r w:rsidR="00CA1919">
        <w:t>s</w:t>
      </w:r>
      <w:r w:rsidR="00831682">
        <w:t xml:space="preserve"> listed below.</w:t>
      </w:r>
    </w:p>
    <w:p w:rsidR="00262D4C" w:rsidRDefault="00831682" w:rsidP="00AF0230">
      <w:pPr>
        <w:pStyle w:val="Heading2"/>
        <w:spacing w:before="240"/>
      </w:pPr>
      <w:bookmarkStart w:id="197" w:name="_Toc417974624"/>
      <w:r>
        <w:t>Licence Condition</w:t>
      </w:r>
      <w:r w:rsidR="00B2459E">
        <w:t>s</w:t>
      </w:r>
      <w:bookmarkEnd w:id="197"/>
    </w:p>
    <w:p w:rsidR="00777FCA" w:rsidRPr="004C34B6" w:rsidRDefault="00777FCA" w:rsidP="00777FCA">
      <w:pPr>
        <w:pStyle w:val="ListParagraph"/>
        <w:numPr>
          <w:ilvl w:val="0"/>
          <w:numId w:val="34"/>
        </w:numPr>
        <w:contextualSpacing w:val="0"/>
        <w:jc w:val="both"/>
      </w:pPr>
      <w:r w:rsidRPr="00616EF5">
        <w:t>The licence holder must provide to the CEO of ARPANSA within twenty-eight (28) days of the end of each quarter, and in a form acceptable to the CEO, information about compliance for the previous quarter year.</w:t>
      </w:r>
    </w:p>
    <w:p w:rsidR="00777FCA" w:rsidRDefault="00777FCA" w:rsidP="00C91EB0">
      <w:pPr>
        <w:pStyle w:val="ListParagraph"/>
        <w:numPr>
          <w:ilvl w:val="0"/>
          <w:numId w:val="34"/>
        </w:numPr>
        <w:contextualSpacing w:val="0"/>
        <w:jc w:val="both"/>
      </w:pPr>
      <w:r>
        <w:t>The licence holder must update the Safety Analysis Report (SAR) of the facility at least once in every three (3) years to ensure that the SAR reflects the current status of the facility.</w:t>
      </w:r>
    </w:p>
    <w:p w:rsidR="00777FCA" w:rsidRDefault="00777FCA" w:rsidP="00C91EB0">
      <w:pPr>
        <w:pStyle w:val="ListParagraph"/>
        <w:numPr>
          <w:ilvl w:val="0"/>
          <w:numId w:val="34"/>
        </w:numPr>
        <w:contextualSpacing w:val="0"/>
        <w:jc w:val="both"/>
      </w:pPr>
      <w:r>
        <w:lastRenderedPageBreak/>
        <w:t>The licence holder must assess the safety and security of the facility at least once in every ten (10) years and document the results of such assessment, taking into account recent operating experience and international best practices.</w:t>
      </w:r>
    </w:p>
    <w:p w:rsidR="00B2459E" w:rsidRDefault="00B2459E" w:rsidP="00C91EB0">
      <w:pPr>
        <w:pStyle w:val="ListParagraph"/>
        <w:numPr>
          <w:ilvl w:val="0"/>
          <w:numId w:val="34"/>
        </w:numPr>
        <w:contextualSpacing w:val="0"/>
        <w:jc w:val="both"/>
      </w:pPr>
      <w:r>
        <w:t xml:space="preserve">The licence holder must </w:t>
      </w:r>
      <w:r w:rsidR="002E26A5">
        <w:t>ensure that the facility complies with the Operational Limits and Conditions (OLCs) approved by the CEO.</w:t>
      </w:r>
      <w:r>
        <w:t xml:space="preserve"> </w:t>
      </w:r>
    </w:p>
    <w:p w:rsidR="00C91EB0" w:rsidRDefault="00C91EB0" w:rsidP="00C91EB0">
      <w:pPr>
        <w:pStyle w:val="ListParagraph"/>
        <w:numPr>
          <w:ilvl w:val="0"/>
          <w:numId w:val="34"/>
        </w:numPr>
        <w:contextualSpacing w:val="0"/>
        <w:jc w:val="both"/>
      </w:pPr>
      <w:r>
        <w:t>The licence holder must submit to the CEO, no later than 30 June 2020 and in a form acceptable to the CEO, plans for the removal of waste stored in the facility.</w:t>
      </w:r>
    </w:p>
    <w:p w:rsidR="00831682" w:rsidRDefault="00831682" w:rsidP="00DF3A84">
      <w:pPr>
        <w:pStyle w:val="ListParagraph"/>
        <w:widowControl w:val="0"/>
        <w:tabs>
          <w:tab w:val="left" w:pos="3261"/>
        </w:tabs>
        <w:ind w:left="0"/>
        <w:jc w:val="both"/>
      </w:pPr>
    </w:p>
    <w:p w:rsidR="00777FCA" w:rsidRDefault="00777FCA" w:rsidP="00DF3A84">
      <w:pPr>
        <w:pStyle w:val="ListParagraph"/>
        <w:widowControl w:val="0"/>
        <w:tabs>
          <w:tab w:val="left" w:pos="3261"/>
        </w:tabs>
        <w:ind w:left="0"/>
        <w:jc w:val="both"/>
      </w:pPr>
    </w:p>
    <w:p w:rsidR="00777FCA" w:rsidRDefault="00777FCA" w:rsidP="00DF3A84">
      <w:pPr>
        <w:pStyle w:val="ListParagraph"/>
        <w:widowControl w:val="0"/>
        <w:tabs>
          <w:tab w:val="left" w:pos="3261"/>
        </w:tabs>
        <w:ind w:left="0"/>
        <w:jc w:val="both"/>
      </w:pPr>
    </w:p>
    <w:p w:rsidR="00777FCA" w:rsidRDefault="00777FCA" w:rsidP="00DF3A84">
      <w:pPr>
        <w:pStyle w:val="ListParagraph"/>
        <w:widowControl w:val="0"/>
        <w:tabs>
          <w:tab w:val="left" w:pos="3261"/>
        </w:tabs>
        <w:ind w:left="0"/>
        <w:jc w:val="both"/>
      </w:pPr>
    </w:p>
    <w:p w:rsidR="00777FCA" w:rsidRDefault="00777FCA" w:rsidP="00DF3A84">
      <w:pPr>
        <w:pStyle w:val="ListParagraph"/>
        <w:widowControl w:val="0"/>
        <w:tabs>
          <w:tab w:val="left" w:pos="3261"/>
        </w:tabs>
        <w:ind w:left="0"/>
        <w:jc w:val="both"/>
      </w:pPr>
    </w:p>
    <w:p w:rsidR="00777FCA" w:rsidRDefault="00777FCA" w:rsidP="00DF3A84">
      <w:pPr>
        <w:pStyle w:val="ListParagraph"/>
        <w:widowControl w:val="0"/>
        <w:tabs>
          <w:tab w:val="left" w:pos="3261"/>
        </w:tabs>
        <w:ind w:left="0"/>
        <w:jc w:val="both"/>
      </w:pPr>
    </w:p>
    <w:tbl>
      <w:tblPr>
        <w:tblW w:w="90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039"/>
      </w:tblGrid>
      <w:tr w:rsidR="002E194F" w:rsidRPr="00676C35" w:rsidTr="005B1EE8">
        <w:tc>
          <w:tcPr>
            <w:tcW w:w="9039" w:type="dxa"/>
          </w:tcPr>
          <w:p w:rsidR="002E194F" w:rsidRPr="00676C35" w:rsidRDefault="00CD5563" w:rsidP="00B81706">
            <w:pPr>
              <w:spacing w:before="40"/>
              <w:rPr>
                <w:b/>
              </w:rPr>
            </w:pPr>
            <w:bookmarkStart w:id="198" w:name="_Hlt16049254"/>
            <w:bookmarkEnd w:id="198"/>
            <w:r>
              <w:rPr>
                <w:b/>
              </w:rPr>
              <w:t>Assessor</w:t>
            </w:r>
          </w:p>
          <w:p w:rsidR="002E194F" w:rsidRPr="00676C35" w:rsidRDefault="002E194F" w:rsidP="00EF56F0">
            <w:pPr>
              <w:spacing w:before="120" w:after="120"/>
            </w:pPr>
            <w:r w:rsidRPr="00676C35">
              <w:t>NAME:</w:t>
            </w:r>
            <w:r w:rsidR="006B54DA" w:rsidRPr="00676C35">
              <w:t xml:space="preserve"> Samir Sarkar</w:t>
            </w:r>
            <w:r w:rsidRPr="00676C35">
              <w:tab/>
            </w:r>
            <w:r w:rsidRPr="00676C35">
              <w:tab/>
            </w:r>
            <w:r w:rsidRPr="00676C35">
              <w:tab/>
              <w:t>SIGNATURE:</w:t>
            </w:r>
            <w:r w:rsidRPr="00676C35">
              <w:tab/>
            </w:r>
            <w:r w:rsidRPr="00676C35">
              <w:tab/>
            </w:r>
            <w:r w:rsidR="00EF56F0" w:rsidRPr="00EF56F0">
              <w:rPr>
                <w:i/>
              </w:rPr>
              <w:t>ORIGINAL SIGNED</w:t>
            </w:r>
            <w:r w:rsidRPr="00676C35">
              <w:tab/>
            </w:r>
            <w:r w:rsidR="00EF56F0">
              <w:tab/>
            </w:r>
            <w:r w:rsidRPr="00676C35">
              <w:t>DATE:</w:t>
            </w:r>
            <w:r w:rsidR="00933408" w:rsidRPr="00676C35">
              <w:t xml:space="preserve">   </w:t>
            </w:r>
            <w:r w:rsidR="00EF56F0">
              <w:t>7</w:t>
            </w:r>
            <w:r w:rsidR="00933408" w:rsidRPr="00676C35">
              <w:t xml:space="preserve"> </w:t>
            </w:r>
            <w:r w:rsidR="00BD73FB" w:rsidRPr="00676C35">
              <w:t xml:space="preserve"> </w:t>
            </w:r>
            <w:r w:rsidR="00D419AC" w:rsidRPr="00676C35">
              <w:t>/</w:t>
            </w:r>
            <w:r w:rsidR="00CD5563">
              <w:t xml:space="preserve">  </w:t>
            </w:r>
            <w:r w:rsidR="00EF56F0">
              <w:t>5</w:t>
            </w:r>
            <w:r w:rsidR="00D419AC" w:rsidRPr="00676C35">
              <w:t xml:space="preserve"> </w:t>
            </w:r>
            <w:r w:rsidR="00933408" w:rsidRPr="00676C35">
              <w:t xml:space="preserve"> / 20</w:t>
            </w:r>
            <w:r w:rsidR="002E26A5">
              <w:t>15</w:t>
            </w:r>
          </w:p>
        </w:tc>
      </w:tr>
      <w:tr w:rsidR="001F5E17" w:rsidRPr="00676C35" w:rsidTr="005B1EE8">
        <w:tc>
          <w:tcPr>
            <w:tcW w:w="9039" w:type="dxa"/>
          </w:tcPr>
          <w:p w:rsidR="001F5E17" w:rsidRPr="00676C35" w:rsidRDefault="00CD5563" w:rsidP="00003702">
            <w:pPr>
              <w:rPr>
                <w:b/>
              </w:rPr>
            </w:pPr>
            <w:r>
              <w:rPr>
                <w:b/>
              </w:rPr>
              <w:t>Branch Head</w:t>
            </w:r>
          </w:p>
          <w:p w:rsidR="001F5E17" w:rsidRPr="00676C35" w:rsidRDefault="00DF3A84" w:rsidP="00EF56F0">
            <w:pPr>
              <w:spacing w:before="120" w:after="120"/>
            </w:pPr>
            <w:r>
              <w:t>NAME:</w:t>
            </w:r>
            <w:r w:rsidR="00B42CA7">
              <w:t xml:space="preserve">  </w:t>
            </w:r>
            <w:r w:rsidR="000937B0">
              <w:t>Jack Dillich</w:t>
            </w:r>
            <w:r w:rsidR="001F5E17" w:rsidRPr="00676C35">
              <w:tab/>
            </w:r>
            <w:r w:rsidR="001F5E17" w:rsidRPr="00676C35">
              <w:tab/>
            </w:r>
            <w:r>
              <w:t xml:space="preserve">        </w:t>
            </w:r>
            <w:r w:rsidR="001F5E17" w:rsidRPr="00676C35">
              <w:t>SIGNATURE:</w:t>
            </w:r>
            <w:r w:rsidR="00D419AC" w:rsidRPr="00676C35">
              <w:tab/>
            </w:r>
            <w:r w:rsidR="00EF56F0" w:rsidRPr="00676C35">
              <w:tab/>
            </w:r>
            <w:r w:rsidR="00EF56F0" w:rsidRPr="00EF56F0">
              <w:rPr>
                <w:i/>
              </w:rPr>
              <w:t>ORIGINAL SIGNED</w:t>
            </w:r>
            <w:r w:rsidR="00EF56F0" w:rsidRPr="00676C35">
              <w:tab/>
            </w:r>
            <w:r w:rsidR="00EF56F0">
              <w:tab/>
            </w:r>
            <w:r w:rsidR="00D419AC" w:rsidRPr="00676C35">
              <w:t xml:space="preserve">DATE:  </w:t>
            </w:r>
            <w:r w:rsidR="00EF56F0">
              <w:t xml:space="preserve"> 7</w:t>
            </w:r>
            <w:r w:rsidR="00D419AC" w:rsidRPr="00676C35">
              <w:t xml:space="preserve">  / </w:t>
            </w:r>
            <w:r w:rsidR="00CD5563">
              <w:t xml:space="preserve"> </w:t>
            </w:r>
            <w:r w:rsidR="00EF56F0">
              <w:t>5</w:t>
            </w:r>
            <w:r w:rsidR="00CD5563">
              <w:t xml:space="preserve"> </w:t>
            </w:r>
            <w:r w:rsidR="00564CAA" w:rsidRPr="00676C35">
              <w:t xml:space="preserve"> / </w:t>
            </w:r>
            <w:r w:rsidR="002E26A5">
              <w:t>2015</w:t>
            </w:r>
          </w:p>
        </w:tc>
      </w:tr>
    </w:tbl>
    <w:p w:rsidR="008A4764" w:rsidRDefault="008A4764">
      <w:r>
        <w:br w:type="page"/>
      </w:r>
    </w:p>
    <w:p w:rsidR="00E276BF" w:rsidRPr="00676C35" w:rsidRDefault="00805B1E" w:rsidP="002E2A34">
      <w:pPr>
        <w:pStyle w:val="Heading1"/>
      </w:pPr>
      <w:bookmarkStart w:id="199" w:name="_Toc306282489"/>
      <w:bookmarkStart w:id="200" w:name="_Toc417974625"/>
      <w:r w:rsidRPr="00676C35">
        <w:lastRenderedPageBreak/>
        <w:t>REFERENCES</w:t>
      </w:r>
      <w:bookmarkEnd w:id="199"/>
      <w:bookmarkEnd w:id="200"/>
    </w:p>
    <w:p w:rsidR="005A46E6" w:rsidRPr="00676C35" w:rsidRDefault="005A46E6" w:rsidP="005A46E6">
      <w:r w:rsidRPr="00676C35">
        <w:t>[1]</w:t>
      </w:r>
      <w:r w:rsidRPr="00676C35">
        <w:tab/>
      </w:r>
      <w:r w:rsidRPr="00676C35">
        <w:tab/>
      </w:r>
      <w:r w:rsidR="004466A5" w:rsidRPr="00676C35">
        <w:rPr>
          <w:i/>
          <w:color w:val="000000"/>
          <w:szCs w:val="24"/>
        </w:rPr>
        <w:t xml:space="preserve">Australian Radiation Protection and Nuclear Safety Act 1998 </w:t>
      </w:r>
    </w:p>
    <w:p w:rsidR="005A46E6" w:rsidRPr="00676C35" w:rsidRDefault="005A46E6" w:rsidP="005A46E6">
      <w:r w:rsidRPr="00676C35">
        <w:t xml:space="preserve">[2] </w:t>
      </w:r>
      <w:r w:rsidR="00E17A06">
        <w:tab/>
      </w:r>
      <w:r w:rsidR="00E17A06">
        <w:tab/>
      </w:r>
      <w:r w:rsidR="004466A5" w:rsidRPr="00676C35">
        <w:rPr>
          <w:i/>
          <w:color w:val="000000"/>
          <w:szCs w:val="24"/>
        </w:rPr>
        <w:t>Australian Radiation Protection and Nuclear Safety Regulations 1999</w:t>
      </w:r>
    </w:p>
    <w:p w:rsidR="005A46E6" w:rsidRPr="00676C35" w:rsidRDefault="005A46E6" w:rsidP="009335FE">
      <w:pPr>
        <w:ind w:left="794" w:hanging="794"/>
      </w:pPr>
      <w:r w:rsidRPr="00676C35">
        <w:t>[3]</w:t>
      </w:r>
      <w:r w:rsidRPr="00676C35">
        <w:tab/>
      </w:r>
      <w:r w:rsidR="009335FE">
        <w:rPr>
          <w:szCs w:val="24"/>
        </w:rPr>
        <w:t>Australian Radiation Protection and Nuclear Safety Agency,</w:t>
      </w:r>
      <w:r w:rsidR="009335FE" w:rsidRPr="00676C35">
        <w:rPr>
          <w:i/>
          <w:szCs w:val="24"/>
        </w:rPr>
        <w:t xml:space="preserve"> </w:t>
      </w:r>
      <w:r w:rsidR="004466A5" w:rsidRPr="00676C35">
        <w:rPr>
          <w:i/>
        </w:rPr>
        <w:t>Regulatory Guide</w:t>
      </w:r>
      <w:r w:rsidR="004466A5" w:rsidRPr="00676C35">
        <w:t xml:space="preserve">: </w:t>
      </w:r>
      <w:r w:rsidR="004466A5" w:rsidRPr="00676C35">
        <w:rPr>
          <w:i/>
        </w:rPr>
        <w:t>Plans &amp; Arrangements for Managing Safety v</w:t>
      </w:r>
      <w:r w:rsidR="00C16E55">
        <w:rPr>
          <w:i/>
        </w:rPr>
        <w:t>5</w:t>
      </w:r>
      <w:r w:rsidR="004466A5" w:rsidRPr="00676C35">
        <w:t xml:space="preserve"> (</w:t>
      </w:r>
      <w:r w:rsidR="00C16E55">
        <w:t>May 2014</w:t>
      </w:r>
      <w:r w:rsidR="004466A5" w:rsidRPr="00676C35">
        <w:t>)</w:t>
      </w:r>
    </w:p>
    <w:p w:rsidR="005A46E6" w:rsidRDefault="008E7212" w:rsidP="00E17A06">
      <w:pPr>
        <w:ind w:left="794" w:hanging="794"/>
        <w:rPr>
          <w:szCs w:val="24"/>
        </w:rPr>
      </w:pPr>
      <w:r w:rsidRPr="00676C35">
        <w:t>[4</w:t>
      </w:r>
      <w:r w:rsidR="005A46E6" w:rsidRPr="00676C35">
        <w:t xml:space="preserve">] </w:t>
      </w:r>
      <w:r w:rsidR="00E17A06">
        <w:tab/>
      </w:r>
      <w:r w:rsidR="00180F6D">
        <w:rPr>
          <w:szCs w:val="24"/>
        </w:rPr>
        <w:t>Australian Radiation Protection and Nuclear Safety Agency,</w:t>
      </w:r>
      <w:r w:rsidR="00180F6D" w:rsidRPr="00676C35">
        <w:rPr>
          <w:i/>
          <w:szCs w:val="24"/>
        </w:rPr>
        <w:t xml:space="preserve"> </w:t>
      </w:r>
      <w:r w:rsidR="007A0429" w:rsidRPr="00676C35">
        <w:rPr>
          <w:i/>
          <w:szCs w:val="24"/>
        </w:rPr>
        <w:t>Regulatory Assessment Principles for Controlled Facilities</w:t>
      </w:r>
      <w:r w:rsidR="007A0429" w:rsidRPr="00676C35">
        <w:rPr>
          <w:szCs w:val="24"/>
        </w:rPr>
        <w:t>, RB-STD-42-00, Revision 1, October 2001</w:t>
      </w:r>
    </w:p>
    <w:p w:rsidR="009335FE" w:rsidRPr="00676C35" w:rsidRDefault="009335FE" w:rsidP="00E17A06">
      <w:pPr>
        <w:ind w:left="794" w:hanging="794"/>
        <w:rPr>
          <w:szCs w:val="24"/>
        </w:rPr>
      </w:pPr>
      <w:r>
        <w:rPr>
          <w:szCs w:val="24"/>
        </w:rPr>
        <w:t>[5]</w:t>
      </w:r>
      <w:r>
        <w:rPr>
          <w:szCs w:val="24"/>
        </w:rPr>
        <w:tab/>
        <w:t xml:space="preserve">Australian Radiation Protection and Nuclear Safety Agency, </w:t>
      </w:r>
      <w:r w:rsidR="00E5316A">
        <w:rPr>
          <w:i/>
          <w:szCs w:val="24"/>
        </w:rPr>
        <w:t>Regulatory Guide: Licensing of R</w:t>
      </w:r>
      <w:r w:rsidRPr="00E5316A">
        <w:rPr>
          <w:i/>
          <w:szCs w:val="24"/>
        </w:rPr>
        <w:t>adioactive Storage and Disposal facilities v2</w:t>
      </w:r>
      <w:r>
        <w:rPr>
          <w:szCs w:val="24"/>
        </w:rPr>
        <w:t xml:space="preserve"> (march 2013)</w:t>
      </w:r>
    </w:p>
    <w:p w:rsidR="00F82DC9" w:rsidRDefault="000937B0" w:rsidP="00E17A06">
      <w:pPr>
        <w:spacing w:after="240"/>
        <w:ind w:left="794" w:hanging="794"/>
        <w:rPr>
          <w:szCs w:val="24"/>
        </w:rPr>
      </w:pPr>
      <w:r>
        <w:rPr>
          <w:szCs w:val="24"/>
        </w:rPr>
        <w:t>[</w:t>
      </w:r>
      <w:r w:rsidR="00E5316A">
        <w:rPr>
          <w:szCs w:val="24"/>
        </w:rPr>
        <w:t>6</w:t>
      </w:r>
      <w:r w:rsidR="00F82DC9">
        <w:rPr>
          <w:szCs w:val="24"/>
        </w:rPr>
        <w:t>]</w:t>
      </w:r>
      <w:r w:rsidR="00F82DC9">
        <w:rPr>
          <w:szCs w:val="24"/>
        </w:rPr>
        <w:tab/>
        <w:t>Australian Radiation Protection and Nuclear Safety Agency,</w:t>
      </w:r>
      <w:r w:rsidR="00F82DC9" w:rsidRPr="00F82DC9">
        <w:rPr>
          <w:szCs w:val="24"/>
        </w:rPr>
        <w:t xml:space="preserve"> </w:t>
      </w:r>
      <w:r w:rsidR="00F82DC9" w:rsidRPr="00F6647E">
        <w:rPr>
          <w:i/>
          <w:szCs w:val="24"/>
        </w:rPr>
        <w:t>Recommendations for Limiting Exposure to Ionizing Radiation</w:t>
      </w:r>
      <w:r w:rsidR="00F82DC9" w:rsidRPr="00F82DC9">
        <w:rPr>
          <w:szCs w:val="24"/>
        </w:rPr>
        <w:t xml:space="preserve"> (1995) and </w:t>
      </w:r>
      <w:r w:rsidR="00F82DC9" w:rsidRPr="00F6647E">
        <w:rPr>
          <w:i/>
          <w:szCs w:val="24"/>
        </w:rPr>
        <w:t xml:space="preserve">National Standard for Limiting Occupational Exposure to Ionizing Radiation </w:t>
      </w:r>
      <w:r w:rsidR="00F82DC9" w:rsidRPr="00F82DC9">
        <w:rPr>
          <w:szCs w:val="24"/>
        </w:rPr>
        <w:t>(republished 2002)</w:t>
      </w:r>
    </w:p>
    <w:p w:rsidR="0042356E" w:rsidRDefault="00F82DC9" w:rsidP="00E17A06">
      <w:pPr>
        <w:ind w:left="794" w:hanging="794"/>
        <w:rPr>
          <w:szCs w:val="24"/>
        </w:rPr>
      </w:pPr>
      <w:r>
        <w:rPr>
          <w:szCs w:val="24"/>
        </w:rPr>
        <w:t>[</w:t>
      </w:r>
      <w:r w:rsidR="00E5316A">
        <w:rPr>
          <w:szCs w:val="24"/>
        </w:rPr>
        <w:t>7</w:t>
      </w:r>
      <w:r w:rsidR="0042356E">
        <w:rPr>
          <w:szCs w:val="24"/>
        </w:rPr>
        <w:t>]</w:t>
      </w:r>
      <w:r w:rsidR="0042356E">
        <w:rPr>
          <w:szCs w:val="24"/>
        </w:rPr>
        <w:tab/>
      </w:r>
      <w:r w:rsidR="00C2659D">
        <w:rPr>
          <w:szCs w:val="24"/>
        </w:rPr>
        <w:t xml:space="preserve">International Commission on </w:t>
      </w:r>
      <w:r w:rsidR="000373E0">
        <w:rPr>
          <w:szCs w:val="24"/>
        </w:rPr>
        <w:t>R</w:t>
      </w:r>
      <w:r w:rsidR="00C2659D">
        <w:rPr>
          <w:szCs w:val="24"/>
        </w:rPr>
        <w:t xml:space="preserve">adiological Protection, ICRP, Publication 60, </w:t>
      </w:r>
      <w:proofErr w:type="gramStart"/>
      <w:r w:rsidR="00C2659D">
        <w:rPr>
          <w:szCs w:val="24"/>
        </w:rPr>
        <w:t>The</w:t>
      </w:r>
      <w:proofErr w:type="gramEnd"/>
      <w:r w:rsidR="00C2659D">
        <w:rPr>
          <w:szCs w:val="24"/>
        </w:rPr>
        <w:t xml:space="preserve"> 1990 Recommendations of the ICRP</w:t>
      </w:r>
    </w:p>
    <w:p w:rsidR="00C2659D" w:rsidRDefault="000937B0" w:rsidP="00E17A06">
      <w:pPr>
        <w:ind w:left="794" w:hanging="794"/>
        <w:rPr>
          <w:szCs w:val="24"/>
        </w:rPr>
      </w:pPr>
      <w:r>
        <w:rPr>
          <w:szCs w:val="24"/>
        </w:rPr>
        <w:t>[</w:t>
      </w:r>
      <w:r w:rsidR="00E5316A">
        <w:rPr>
          <w:szCs w:val="24"/>
        </w:rPr>
        <w:t>8</w:t>
      </w:r>
      <w:r w:rsidR="00C2659D">
        <w:rPr>
          <w:szCs w:val="24"/>
        </w:rPr>
        <w:t xml:space="preserve">] </w:t>
      </w:r>
      <w:r w:rsidR="00E17A06">
        <w:rPr>
          <w:szCs w:val="24"/>
        </w:rPr>
        <w:tab/>
      </w:r>
      <w:r w:rsidR="00C2659D">
        <w:rPr>
          <w:szCs w:val="24"/>
        </w:rPr>
        <w:t xml:space="preserve">International Commission on </w:t>
      </w:r>
      <w:r w:rsidR="000373E0">
        <w:rPr>
          <w:szCs w:val="24"/>
        </w:rPr>
        <w:t>R</w:t>
      </w:r>
      <w:r w:rsidR="00C2659D">
        <w:rPr>
          <w:szCs w:val="24"/>
        </w:rPr>
        <w:t xml:space="preserve">adiological Protection, ICRP, Publication 103, </w:t>
      </w:r>
      <w:proofErr w:type="gramStart"/>
      <w:r w:rsidR="00C2659D">
        <w:rPr>
          <w:szCs w:val="24"/>
        </w:rPr>
        <w:t>The</w:t>
      </w:r>
      <w:proofErr w:type="gramEnd"/>
      <w:r w:rsidR="00C2659D">
        <w:rPr>
          <w:szCs w:val="24"/>
        </w:rPr>
        <w:t xml:space="preserve"> 2007 Recommendations of the ICRP</w:t>
      </w:r>
    </w:p>
    <w:p w:rsidR="00C2659D" w:rsidRDefault="00E5316A" w:rsidP="00E17A06">
      <w:pPr>
        <w:ind w:left="794" w:hanging="794"/>
        <w:rPr>
          <w:szCs w:val="24"/>
        </w:rPr>
      </w:pPr>
      <w:r>
        <w:rPr>
          <w:szCs w:val="24"/>
        </w:rPr>
        <w:t>[9</w:t>
      </w:r>
      <w:r w:rsidR="00C2659D">
        <w:rPr>
          <w:szCs w:val="24"/>
        </w:rPr>
        <w:t xml:space="preserve">] </w:t>
      </w:r>
      <w:r w:rsidR="00E17A06">
        <w:rPr>
          <w:szCs w:val="24"/>
        </w:rPr>
        <w:tab/>
      </w:r>
      <w:r w:rsidR="00C2659D">
        <w:rPr>
          <w:szCs w:val="24"/>
        </w:rPr>
        <w:t>International Atomic Energy Agency, IAEA</w:t>
      </w:r>
      <w:r w:rsidR="00C40F8B">
        <w:rPr>
          <w:szCs w:val="24"/>
        </w:rPr>
        <w:t>, Radiation</w:t>
      </w:r>
      <w:r w:rsidR="00C2659D">
        <w:rPr>
          <w:szCs w:val="24"/>
        </w:rPr>
        <w:t xml:space="preserve"> Protection and </w:t>
      </w:r>
      <w:r w:rsidR="000373E0">
        <w:rPr>
          <w:szCs w:val="24"/>
        </w:rPr>
        <w:t>S</w:t>
      </w:r>
      <w:r w:rsidR="00C2659D">
        <w:rPr>
          <w:szCs w:val="24"/>
        </w:rPr>
        <w:t>afety of Radiation Sources: International Basic safety Standards, Interim Edition, General Safety Requirements Part 3, 2011</w:t>
      </w:r>
    </w:p>
    <w:p w:rsidR="004B2DCE" w:rsidRDefault="004B2DCE" w:rsidP="00E17A06">
      <w:pPr>
        <w:ind w:left="794" w:hanging="794"/>
        <w:rPr>
          <w:szCs w:val="24"/>
        </w:rPr>
      </w:pPr>
      <w:r>
        <w:rPr>
          <w:szCs w:val="24"/>
        </w:rPr>
        <w:t>[</w:t>
      </w:r>
      <w:r w:rsidR="00E5316A">
        <w:rPr>
          <w:szCs w:val="24"/>
        </w:rPr>
        <w:t>10</w:t>
      </w:r>
      <w:r>
        <w:rPr>
          <w:szCs w:val="24"/>
        </w:rPr>
        <w:t>]</w:t>
      </w:r>
      <w:r>
        <w:rPr>
          <w:szCs w:val="24"/>
        </w:rPr>
        <w:tab/>
        <w:t>Australian Radiation Protection and Nuclear Safety Agency</w:t>
      </w:r>
      <w:r w:rsidR="00C40F8B">
        <w:rPr>
          <w:szCs w:val="24"/>
        </w:rPr>
        <w:t xml:space="preserve">, </w:t>
      </w:r>
      <w:r w:rsidR="00C40F8B" w:rsidRPr="00C40F8B">
        <w:rPr>
          <w:i/>
          <w:szCs w:val="24"/>
        </w:rPr>
        <w:t>Fundamentals</w:t>
      </w:r>
      <w:r w:rsidRPr="00C40F8B">
        <w:rPr>
          <w:i/>
          <w:szCs w:val="24"/>
        </w:rPr>
        <w:t xml:space="preserve">: Protection against Ionising Radiation, Radiation </w:t>
      </w:r>
      <w:r w:rsidR="00C40F8B" w:rsidRPr="00C40F8B">
        <w:rPr>
          <w:i/>
          <w:szCs w:val="24"/>
        </w:rPr>
        <w:t>Protection</w:t>
      </w:r>
      <w:r w:rsidRPr="00C40F8B">
        <w:rPr>
          <w:i/>
          <w:szCs w:val="24"/>
        </w:rPr>
        <w:t xml:space="preserve"> Series F</w:t>
      </w:r>
      <w:r w:rsidR="00C40F8B" w:rsidRPr="00C40F8B">
        <w:rPr>
          <w:i/>
          <w:szCs w:val="24"/>
        </w:rPr>
        <w:t>-1</w:t>
      </w:r>
      <w:r w:rsidR="00C40F8B">
        <w:rPr>
          <w:szCs w:val="24"/>
        </w:rPr>
        <w:t xml:space="preserve"> (2014)</w:t>
      </w:r>
      <w:r>
        <w:rPr>
          <w:szCs w:val="24"/>
        </w:rPr>
        <w:t xml:space="preserve"> </w:t>
      </w:r>
    </w:p>
    <w:p w:rsidR="00C40F8B" w:rsidRDefault="000937B0" w:rsidP="00E17A06">
      <w:pPr>
        <w:ind w:left="794" w:hanging="794"/>
        <w:rPr>
          <w:szCs w:val="24"/>
        </w:rPr>
      </w:pPr>
      <w:r>
        <w:rPr>
          <w:szCs w:val="24"/>
        </w:rPr>
        <w:t>[1</w:t>
      </w:r>
      <w:r w:rsidR="00E5316A">
        <w:rPr>
          <w:szCs w:val="24"/>
        </w:rPr>
        <w:t>1</w:t>
      </w:r>
      <w:r w:rsidR="00C40F8B">
        <w:rPr>
          <w:szCs w:val="24"/>
        </w:rPr>
        <w:t>]</w:t>
      </w:r>
      <w:r w:rsidR="00C40F8B">
        <w:rPr>
          <w:szCs w:val="24"/>
        </w:rPr>
        <w:tab/>
        <w:t>International Atomic Energy Agency, IAEA, Fundamental Safety Principles, No. SF-1, 2006</w:t>
      </w:r>
    </w:p>
    <w:p w:rsidR="0075321E" w:rsidRDefault="0075321E" w:rsidP="005A46E6">
      <w:pPr>
        <w:rPr>
          <w:szCs w:val="24"/>
        </w:rPr>
      </w:pPr>
    </w:p>
    <w:p w:rsidR="00FF44FE" w:rsidRPr="00676C35" w:rsidRDefault="00FF44FE" w:rsidP="005A46E6">
      <w:pPr>
        <w:rPr>
          <w:szCs w:val="24"/>
        </w:rPr>
      </w:pPr>
    </w:p>
    <w:p w:rsidR="002443E3" w:rsidRPr="00676C35" w:rsidRDefault="002443E3" w:rsidP="005A46E6">
      <w:pPr>
        <w:rPr>
          <w:szCs w:val="24"/>
        </w:rPr>
      </w:pPr>
    </w:p>
    <w:p w:rsidR="00FF44FE" w:rsidRDefault="00FF44FE" w:rsidP="005A46E6"/>
    <w:p w:rsidR="00AA23E3" w:rsidRPr="005E038F" w:rsidRDefault="00EB1C0D" w:rsidP="005E038F">
      <w:pPr>
        <w:pStyle w:val="Appendix"/>
      </w:pPr>
      <w:r>
        <w:br w:type="page"/>
      </w:r>
      <w:bookmarkStart w:id="201" w:name="_Toc417974626"/>
      <w:r w:rsidR="00AA23E3" w:rsidRPr="005E038F">
        <w:lastRenderedPageBreak/>
        <w:t>APPENDIX</w:t>
      </w:r>
      <w:r w:rsidR="00FD510C" w:rsidRPr="005E038F">
        <w:t>-1</w:t>
      </w:r>
      <w:bookmarkEnd w:id="201"/>
    </w:p>
    <w:p w:rsidR="002C3802" w:rsidRDefault="002C3802" w:rsidP="00AA23E3">
      <w:pPr>
        <w:rPr>
          <w:szCs w:val="24"/>
        </w:rPr>
      </w:pPr>
    </w:p>
    <w:p w:rsidR="00C61C84" w:rsidRDefault="004F45CA" w:rsidP="00FE56C1">
      <w:pPr>
        <w:pStyle w:val="ListParagraph"/>
        <w:numPr>
          <w:ilvl w:val="6"/>
          <w:numId w:val="8"/>
        </w:numPr>
        <w:ind w:left="357" w:hanging="357"/>
        <w:contextualSpacing w:val="0"/>
        <w:rPr>
          <w:szCs w:val="24"/>
        </w:rPr>
      </w:pPr>
      <w:r>
        <w:rPr>
          <w:szCs w:val="24"/>
        </w:rPr>
        <w:t xml:space="preserve">ANSTO Interim Waste Store Operating Licence Application </w:t>
      </w:r>
    </w:p>
    <w:p w:rsidR="004F45CA" w:rsidRPr="004F45CA" w:rsidRDefault="004F45CA" w:rsidP="00FE56C1">
      <w:pPr>
        <w:pStyle w:val="ListParagraph"/>
        <w:numPr>
          <w:ilvl w:val="6"/>
          <w:numId w:val="8"/>
        </w:numPr>
        <w:ind w:left="357" w:hanging="357"/>
        <w:contextualSpacing w:val="0"/>
        <w:rPr>
          <w:b/>
          <w:szCs w:val="24"/>
        </w:rPr>
      </w:pPr>
      <w:r>
        <w:rPr>
          <w:szCs w:val="24"/>
        </w:rPr>
        <w:t>Interim Waste Store Operating Licence</w:t>
      </w:r>
      <w:r w:rsidR="00FE56C1">
        <w:rPr>
          <w:szCs w:val="24"/>
        </w:rPr>
        <w:t>,</w:t>
      </w:r>
      <w:r>
        <w:rPr>
          <w:szCs w:val="24"/>
        </w:rPr>
        <w:t xml:space="preserve"> Effective Control plan, IWS-O-LA-D1</w:t>
      </w:r>
    </w:p>
    <w:p w:rsidR="004F45CA" w:rsidRPr="004F45CA" w:rsidRDefault="004F45CA" w:rsidP="00FE56C1">
      <w:pPr>
        <w:pStyle w:val="ListParagraph"/>
        <w:numPr>
          <w:ilvl w:val="6"/>
          <w:numId w:val="8"/>
        </w:numPr>
        <w:ind w:left="357" w:hanging="357"/>
        <w:contextualSpacing w:val="0"/>
        <w:rPr>
          <w:b/>
          <w:szCs w:val="24"/>
        </w:rPr>
      </w:pPr>
      <w:r>
        <w:rPr>
          <w:szCs w:val="24"/>
        </w:rPr>
        <w:t>Interim Waste Store Operating Licence</w:t>
      </w:r>
      <w:r w:rsidR="00FE56C1">
        <w:rPr>
          <w:szCs w:val="24"/>
        </w:rPr>
        <w:t>,</w:t>
      </w:r>
      <w:r>
        <w:rPr>
          <w:szCs w:val="24"/>
        </w:rPr>
        <w:t xml:space="preserve"> Safety Management Plan, IWS-O-LA-D2</w:t>
      </w:r>
    </w:p>
    <w:p w:rsidR="004F45CA" w:rsidRPr="004F45CA" w:rsidRDefault="004F45CA" w:rsidP="00FE56C1">
      <w:pPr>
        <w:pStyle w:val="ListParagraph"/>
        <w:numPr>
          <w:ilvl w:val="6"/>
          <w:numId w:val="8"/>
        </w:numPr>
        <w:ind w:left="357" w:hanging="357"/>
        <w:contextualSpacing w:val="0"/>
        <w:rPr>
          <w:b/>
          <w:szCs w:val="24"/>
        </w:rPr>
      </w:pPr>
      <w:r>
        <w:rPr>
          <w:szCs w:val="24"/>
        </w:rPr>
        <w:t>Interim Waste Store Operating Licence</w:t>
      </w:r>
      <w:r w:rsidR="00FE56C1">
        <w:rPr>
          <w:szCs w:val="24"/>
        </w:rPr>
        <w:t>,</w:t>
      </w:r>
      <w:r>
        <w:rPr>
          <w:szCs w:val="24"/>
        </w:rPr>
        <w:t xml:space="preserve"> Radiation Protection plan, IWS</w:t>
      </w:r>
      <w:r w:rsidR="001C3D14">
        <w:rPr>
          <w:szCs w:val="24"/>
        </w:rPr>
        <w:t>-</w:t>
      </w:r>
      <w:r>
        <w:rPr>
          <w:szCs w:val="24"/>
        </w:rPr>
        <w:t>O-LA-D3</w:t>
      </w:r>
    </w:p>
    <w:p w:rsidR="004F45CA" w:rsidRPr="001C3D14" w:rsidRDefault="001C3D14" w:rsidP="00FE56C1">
      <w:pPr>
        <w:pStyle w:val="ListParagraph"/>
        <w:numPr>
          <w:ilvl w:val="6"/>
          <w:numId w:val="8"/>
        </w:numPr>
        <w:ind w:left="357" w:hanging="357"/>
        <w:contextualSpacing w:val="0"/>
        <w:rPr>
          <w:b/>
          <w:szCs w:val="24"/>
        </w:rPr>
      </w:pPr>
      <w:r>
        <w:rPr>
          <w:szCs w:val="24"/>
        </w:rPr>
        <w:t>Interim Waste Store Operating Licence</w:t>
      </w:r>
      <w:r w:rsidR="00FE56C1">
        <w:rPr>
          <w:szCs w:val="24"/>
        </w:rPr>
        <w:t>,</w:t>
      </w:r>
      <w:r>
        <w:rPr>
          <w:szCs w:val="24"/>
        </w:rPr>
        <w:t xml:space="preserve"> Waste Management Plan, IWS-O-LA-D4</w:t>
      </w:r>
    </w:p>
    <w:p w:rsidR="001C3D14" w:rsidRPr="001C3D14" w:rsidRDefault="001C3D14" w:rsidP="00FE56C1">
      <w:pPr>
        <w:pStyle w:val="ListParagraph"/>
        <w:numPr>
          <w:ilvl w:val="6"/>
          <w:numId w:val="8"/>
        </w:numPr>
        <w:ind w:left="357" w:hanging="357"/>
        <w:contextualSpacing w:val="0"/>
        <w:rPr>
          <w:b/>
          <w:szCs w:val="24"/>
        </w:rPr>
      </w:pPr>
      <w:r>
        <w:rPr>
          <w:szCs w:val="24"/>
        </w:rPr>
        <w:t>Interim Waste Store Operating Licence Security Plan, IWS-O-LA-D5</w:t>
      </w:r>
    </w:p>
    <w:p w:rsidR="001C3D14" w:rsidRPr="001C3D14" w:rsidRDefault="001C3D14" w:rsidP="00FE56C1">
      <w:pPr>
        <w:pStyle w:val="ListParagraph"/>
        <w:numPr>
          <w:ilvl w:val="6"/>
          <w:numId w:val="8"/>
        </w:numPr>
        <w:ind w:left="357" w:hanging="357"/>
        <w:contextualSpacing w:val="0"/>
        <w:rPr>
          <w:b/>
          <w:szCs w:val="24"/>
        </w:rPr>
      </w:pPr>
      <w:r>
        <w:rPr>
          <w:szCs w:val="24"/>
        </w:rPr>
        <w:t>Interim Waste Store Operating Licence</w:t>
      </w:r>
      <w:r w:rsidR="00FE56C1">
        <w:rPr>
          <w:szCs w:val="24"/>
        </w:rPr>
        <w:t>,</w:t>
      </w:r>
      <w:r>
        <w:rPr>
          <w:szCs w:val="24"/>
        </w:rPr>
        <w:t xml:space="preserve"> Emergency Plan, IWS-O-LA-D6</w:t>
      </w:r>
    </w:p>
    <w:p w:rsidR="001C3D14" w:rsidRPr="008D10B3" w:rsidRDefault="008D10B3" w:rsidP="00FE56C1">
      <w:pPr>
        <w:pStyle w:val="ListParagraph"/>
        <w:numPr>
          <w:ilvl w:val="6"/>
          <w:numId w:val="8"/>
        </w:numPr>
        <w:ind w:left="357" w:hanging="357"/>
        <w:contextualSpacing w:val="0"/>
        <w:rPr>
          <w:b/>
          <w:szCs w:val="24"/>
        </w:rPr>
      </w:pPr>
      <w:r>
        <w:rPr>
          <w:szCs w:val="24"/>
        </w:rPr>
        <w:t>Interim Waste Store Operating Licence</w:t>
      </w:r>
      <w:r w:rsidR="00FE56C1">
        <w:rPr>
          <w:szCs w:val="24"/>
        </w:rPr>
        <w:t>,</w:t>
      </w:r>
      <w:r>
        <w:rPr>
          <w:szCs w:val="24"/>
        </w:rPr>
        <w:t xml:space="preserve"> Description of the Structures, Components, Systems and Equipment, IWS-O-LA-FD</w:t>
      </w:r>
    </w:p>
    <w:p w:rsidR="008D10B3" w:rsidRPr="00FE56C1" w:rsidRDefault="008D10B3" w:rsidP="00FE56C1">
      <w:pPr>
        <w:pStyle w:val="ListParagraph"/>
        <w:numPr>
          <w:ilvl w:val="6"/>
          <w:numId w:val="8"/>
        </w:numPr>
        <w:ind w:left="357" w:hanging="357"/>
        <w:contextualSpacing w:val="0"/>
        <w:rPr>
          <w:b/>
          <w:szCs w:val="24"/>
        </w:rPr>
      </w:pPr>
      <w:r>
        <w:rPr>
          <w:szCs w:val="24"/>
        </w:rPr>
        <w:t>Interim Waste Store Operating Licence</w:t>
      </w:r>
      <w:r w:rsidR="00FE56C1">
        <w:rPr>
          <w:szCs w:val="24"/>
        </w:rPr>
        <w:t xml:space="preserve">, </w:t>
      </w:r>
      <w:r w:rsidR="00B42CA7">
        <w:rPr>
          <w:szCs w:val="24"/>
        </w:rPr>
        <w:t>S</w:t>
      </w:r>
      <w:r w:rsidR="00FE56C1">
        <w:rPr>
          <w:szCs w:val="24"/>
        </w:rPr>
        <w:t>afety Analysis Report, IWS-O-LA-SAR</w:t>
      </w:r>
    </w:p>
    <w:p w:rsidR="00FE56C1" w:rsidRPr="00FE56C1" w:rsidRDefault="00FE56C1" w:rsidP="00FE56C1">
      <w:pPr>
        <w:pStyle w:val="ListParagraph"/>
        <w:numPr>
          <w:ilvl w:val="6"/>
          <w:numId w:val="8"/>
        </w:numPr>
        <w:ind w:left="357" w:hanging="357"/>
        <w:contextualSpacing w:val="0"/>
        <w:rPr>
          <w:b/>
          <w:szCs w:val="24"/>
        </w:rPr>
      </w:pPr>
      <w:r>
        <w:rPr>
          <w:szCs w:val="24"/>
        </w:rPr>
        <w:t>Interim Waste Store Operating Licence, Operational Limits and Conditions, IWS-O-LA-OLC</w:t>
      </w:r>
    </w:p>
    <w:p w:rsidR="00FE56C1" w:rsidRPr="00FE56C1" w:rsidRDefault="00FE56C1" w:rsidP="00FE56C1">
      <w:pPr>
        <w:pStyle w:val="ListParagraph"/>
        <w:numPr>
          <w:ilvl w:val="6"/>
          <w:numId w:val="8"/>
        </w:numPr>
        <w:ind w:left="357" w:hanging="357"/>
        <w:contextualSpacing w:val="0"/>
        <w:rPr>
          <w:b/>
          <w:szCs w:val="24"/>
        </w:rPr>
      </w:pPr>
      <w:r>
        <w:rPr>
          <w:szCs w:val="24"/>
        </w:rPr>
        <w:t>Interim Waste Store Operating Licence, Arrangements for Commissioning, IWS-O-LA-COM</w:t>
      </w:r>
    </w:p>
    <w:p w:rsidR="00FE56C1" w:rsidRPr="00FE56C1" w:rsidRDefault="00FE56C1" w:rsidP="00FE56C1">
      <w:pPr>
        <w:pStyle w:val="ListParagraph"/>
        <w:numPr>
          <w:ilvl w:val="6"/>
          <w:numId w:val="8"/>
        </w:numPr>
        <w:ind w:left="357" w:hanging="357"/>
        <w:contextualSpacing w:val="0"/>
        <w:rPr>
          <w:b/>
          <w:szCs w:val="24"/>
        </w:rPr>
      </w:pPr>
      <w:r>
        <w:rPr>
          <w:szCs w:val="24"/>
        </w:rPr>
        <w:t>Interim Waste Store Operating Licence, Arrangements for Operating the Facility, IWS-O-LA-DOP</w:t>
      </w:r>
    </w:p>
    <w:p w:rsidR="00FE56C1" w:rsidRPr="00FE56C1" w:rsidRDefault="00FE56C1" w:rsidP="00FE56C1">
      <w:pPr>
        <w:pStyle w:val="ListParagraph"/>
        <w:numPr>
          <w:ilvl w:val="6"/>
          <w:numId w:val="8"/>
        </w:numPr>
        <w:ind w:left="357" w:hanging="357"/>
        <w:contextualSpacing w:val="0"/>
        <w:rPr>
          <w:b/>
          <w:szCs w:val="24"/>
        </w:rPr>
      </w:pPr>
      <w:r>
        <w:rPr>
          <w:szCs w:val="24"/>
        </w:rPr>
        <w:t>Safety Assessment of the Interim Waste Store, ANSTO/T/TN/2012-03 rev 3</w:t>
      </w:r>
    </w:p>
    <w:p w:rsidR="00FE56C1" w:rsidRPr="00FE56C1" w:rsidRDefault="00FE56C1" w:rsidP="00FE56C1">
      <w:pPr>
        <w:pStyle w:val="ListParagraph"/>
        <w:numPr>
          <w:ilvl w:val="6"/>
          <w:numId w:val="8"/>
        </w:numPr>
        <w:ind w:left="357" w:hanging="357"/>
        <w:contextualSpacing w:val="0"/>
        <w:rPr>
          <w:b/>
          <w:szCs w:val="24"/>
        </w:rPr>
      </w:pPr>
      <w:r>
        <w:rPr>
          <w:szCs w:val="24"/>
        </w:rPr>
        <w:t xml:space="preserve">Summary of </w:t>
      </w:r>
      <w:r w:rsidR="00B42CA7">
        <w:rPr>
          <w:szCs w:val="24"/>
        </w:rPr>
        <w:t>S</w:t>
      </w:r>
      <w:r>
        <w:rPr>
          <w:szCs w:val="24"/>
        </w:rPr>
        <w:t>afety Case for the Interim waste Store, IWS-O-LA-SC, Rev 4</w:t>
      </w:r>
    </w:p>
    <w:p w:rsidR="00FE56C1" w:rsidRPr="004F45CA" w:rsidRDefault="00AD17EF" w:rsidP="00FE56C1">
      <w:pPr>
        <w:pStyle w:val="ListParagraph"/>
        <w:numPr>
          <w:ilvl w:val="6"/>
          <w:numId w:val="8"/>
        </w:numPr>
        <w:ind w:left="357" w:hanging="357"/>
        <w:contextualSpacing w:val="0"/>
        <w:rPr>
          <w:b/>
          <w:szCs w:val="24"/>
        </w:rPr>
      </w:pPr>
      <w:r>
        <w:rPr>
          <w:szCs w:val="24"/>
        </w:rPr>
        <w:t>Transport Feasibility Study into the Return of ILW from the UK to Australia, waste Equivalence and Substitution, INS/ANSTO/R/13/001 Rev 0 )</w:t>
      </w:r>
    </w:p>
    <w:p w:rsidR="00EB1C0D" w:rsidRDefault="00EB1C0D"/>
    <w:p w:rsidR="00A560D8" w:rsidRDefault="00A560D8"/>
    <w:p w:rsidR="00A560D8" w:rsidRDefault="00A560D8"/>
    <w:p w:rsidR="00A560D8" w:rsidRDefault="00A560D8"/>
    <w:p w:rsidR="00A560D8" w:rsidRDefault="00A560D8"/>
    <w:p w:rsidR="00A560D8" w:rsidRDefault="00A560D8"/>
    <w:p w:rsidR="00A560D8" w:rsidRDefault="00A560D8"/>
    <w:p w:rsidR="00CC3D34" w:rsidRDefault="00CC3D34" w:rsidP="00CC3D34">
      <w:pPr>
        <w:pStyle w:val="Header"/>
        <w:tabs>
          <w:tab w:val="clear" w:pos="4153"/>
          <w:tab w:val="clear" w:pos="8306"/>
          <w:tab w:val="left" w:pos="-1440"/>
          <w:tab w:val="left" w:pos="3402"/>
          <w:tab w:val="left" w:pos="4678"/>
          <w:tab w:val="left" w:pos="8222"/>
        </w:tabs>
        <w:rPr>
          <w:rFonts w:ascii="Arial" w:hAnsi="Arial" w:cs="Arial"/>
          <w:b/>
        </w:rPr>
      </w:pPr>
    </w:p>
    <w:sectPr w:rsidR="00CC3D34" w:rsidSect="00AF0230">
      <w:headerReference w:type="default" r:id="rId18"/>
      <w:footerReference w:type="default" r:id="rId19"/>
      <w:headerReference w:type="first" r:id="rId20"/>
      <w:pgSz w:w="11906" w:h="16838"/>
      <w:pgMar w:top="1247" w:right="1247" w:bottom="1247" w:left="1247"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BF" w:rsidRDefault="00DA26BF" w:rsidP="005A1284">
      <w:r>
        <w:separator/>
      </w:r>
    </w:p>
    <w:p w:rsidR="00DA26BF" w:rsidRDefault="00DA26BF"/>
  </w:endnote>
  <w:endnote w:type="continuationSeparator" w:id="0">
    <w:p w:rsidR="00DA26BF" w:rsidRDefault="00DA26BF" w:rsidP="005A1284">
      <w:r>
        <w:continuationSeparator/>
      </w:r>
    </w:p>
    <w:p w:rsidR="00DA26BF" w:rsidRDefault="00DA2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Borders>
        <w:insideH w:val="single" w:sz="4" w:space="0" w:color="auto"/>
      </w:tblBorders>
      <w:tblLayout w:type="fixed"/>
      <w:tblLook w:val="0000" w:firstRow="0" w:lastRow="0" w:firstColumn="0" w:lastColumn="0" w:noHBand="0" w:noVBand="0"/>
    </w:tblPr>
    <w:tblGrid>
      <w:gridCol w:w="3080"/>
      <w:gridCol w:w="3080"/>
      <w:gridCol w:w="3162"/>
    </w:tblGrid>
    <w:tr w:rsidR="00DA26BF" w:rsidTr="0098747C">
      <w:tc>
        <w:tcPr>
          <w:tcW w:w="3080" w:type="dxa"/>
        </w:tcPr>
        <w:p w:rsidR="00DA26BF" w:rsidRPr="0098747C" w:rsidRDefault="00DA26BF" w:rsidP="00EB7DEF">
          <w:pPr>
            <w:pStyle w:val="Footer"/>
            <w:rPr>
              <w:sz w:val="16"/>
              <w:szCs w:val="16"/>
            </w:rPr>
          </w:pPr>
          <w:r w:rsidRPr="0098747C">
            <w:rPr>
              <w:sz w:val="16"/>
              <w:szCs w:val="16"/>
            </w:rPr>
            <w:t>R1</w:t>
          </w:r>
          <w:r>
            <w:rPr>
              <w:sz w:val="16"/>
              <w:szCs w:val="16"/>
            </w:rPr>
            <w:t>5</w:t>
          </w:r>
          <w:r w:rsidRPr="0098747C">
            <w:rPr>
              <w:sz w:val="16"/>
              <w:szCs w:val="16"/>
            </w:rPr>
            <w:t>/</w:t>
          </w:r>
          <w:r>
            <w:rPr>
              <w:sz w:val="16"/>
              <w:szCs w:val="16"/>
            </w:rPr>
            <w:t>05147</w:t>
          </w:r>
        </w:p>
      </w:tc>
      <w:tc>
        <w:tcPr>
          <w:tcW w:w="3080" w:type="dxa"/>
        </w:tcPr>
        <w:p w:rsidR="00DA26BF" w:rsidRPr="0098747C" w:rsidRDefault="00DA26BF">
          <w:pPr>
            <w:pStyle w:val="Footer"/>
            <w:jc w:val="center"/>
            <w:rPr>
              <w:sz w:val="16"/>
              <w:szCs w:val="16"/>
            </w:rPr>
          </w:pPr>
        </w:p>
      </w:tc>
      <w:tc>
        <w:tcPr>
          <w:tcW w:w="3162" w:type="dxa"/>
        </w:tcPr>
        <w:p w:rsidR="00DA26BF" w:rsidRPr="0098747C" w:rsidRDefault="00DA26BF">
          <w:pPr>
            <w:pStyle w:val="Footer"/>
            <w:jc w:val="right"/>
            <w:rPr>
              <w:sz w:val="16"/>
              <w:szCs w:val="16"/>
            </w:rPr>
          </w:pPr>
          <w:r w:rsidRPr="0098747C">
            <w:rPr>
              <w:sz w:val="16"/>
              <w:szCs w:val="16"/>
            </w:rPr>
            <w:t xml:space="preserve">Page </w:t>
          </w:r>
          <w:r w:rsidRPr="0098747C">
            <w:rPr>
              <w:sz w:val="16"/>
              <w:szCs w:val="16"/>
            </w:rPr>
            <w:fldChar w:fldCharType="begin"/>
          </w:r>
          <w:r w:rsidRPr="0098747C">
            <w:rPr>
              <w:sz w:val="16"/>
              <w:szCs w:val="16"/>
            </w:rPr>
            <w:instrText xml:space="preserve"> PAGE </w:instrText>
          </w:r>
          <w:r w:rsidRPr="0098747C">
            <w:rPr>
              <w:sz w:val="16"/>
              <w:szCs w:val="16"/>
            </w:rPr>
            <w:fldChar w:fldCharType="separate"/>
          </w:r>
          <w:r w:rsidR="00EF56F0">
            <w:rPr>
              <w:noProof/>
              <w:sz w:val="16"/>
              <w:szCs w:val="16"/>
            </w:rPr>
            <w:t>47</w:t>
          </w:r>
          <w:r w:rsidRPr="0098747C">
            <w:rPr>
              <w:sz w:val="16"/>
              <w:szCs w:val="16"/>
            </w:rPr>
            <w:fldChar w:fldCharType="end"/>
          </w:r>
          <w:r w:rsidRPr="0098747C">
            <w:rPr>
              <w:sz w:val="16"/>
              <w:szCs w:val="16"/>
            </w:rPr>
            <w:t xml:space="preserve"> of </w:t>
          </w:r>
          <w:r w:rsidRPr="0098747C">
            <w:rPr>
              <w:sz w:val="16"/>
              <w:szCs w:val="16"/>
            </w:rPr>
            <w:fldChar w:fldCharType="begin"/>
          </w:r>
          <w:r w:rsidRPr="0098747C">
            <w:rPr>
              <w:sz w:val="16"/>
              <w:szCs w:val="16"/>
            </w:rPr>
            <w:instrText xml:space="preserve"> NUMPAGES </w:instrText>
          </w:r>
          <w:r w:rsidRPr="0098747C">
            <w:rPr>
              <w:sz w:val="16"/>
              <w:szCs w:val="16"/>
            </w:rPr>
            <w:fldChar w:fldCharType="separate"/>
          </w:r>
          <w:r w:rsidR="00EF56F0">
            <w:rPr>
              <w:noProof/>
              <w:sz w:val="16"/>
              <w:szCs w:val="16"/>
            </w:rPr>
            <w:t>48</w:t>
          </w:r>
          <w:r w:rsidRPr="0098747C">
            <w:rPr>
              <w:sz w:val="16"/>
              <w:szCs w:val="16"/>
            </w:rPr>
            <w:fldChar w:fldCharType="end"/>
          </w:r>
          <w:bookmarkStart w:id="202" w:name="_Toc492282531"/>
          <w:bookmarkStart w:id="203" w:name="_Toc497727916"/>
          <w:bookmarkStart w:id="204" w:name="_Toc13047968"/>
          <w:bookmarkStart w:id="205" w:name="_Toc13454279"/>
          <w:bookmarkEnd w:id="202"/>
          <w:bookmarkEnd w:id="203"/>
          <w:bookmarkEnd w:id="204"/>
          <w:bookmarkEnd w:id="205"/>
        </w:p>
      </w:tc>
    </w:tr>
  </w:tbl>
  <w:p w:rsidR="00DA26BF" w:rsidRDefault="00DA26BF" w:rsidP="00A03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BF" w:rsidRDefault="00DA26BF" w:rsidP="005A1284">
      <w:r>
        <w:separator/>
      </w:r>
    </w:p>
    <w:p w:rsidR="00DA26BF" w:rsidRDefault="00DA26BF"/>
  </w:footnote>
  <w:footnote w:type="continuationSeparator" w:id="0">
    <w:p w:rsidR="00DA26BF" w:rsidRDefault="00DA26BF" w:rsidP="005A1284">
      <w:r>
        <w:continuationSeparator/>
      </w:r>
    </w:p>
    <w:p w:rsidR="00DA26BF" w:rsidRDefault="00DA26BF"/>
  </w:footnote>
  <w:footnote w:id="1">
    <w:p w:rsidR="00DA26BF" w:rsidRPr="00C31DF5" w:rsidRDefault="00DA26BF" w:rsidP="004E0009">
      <w:pPr>
        <w:pStyle w:val="FootnoteText"/>
      </w:pPr>
      <w:r>
        <w:rPr>
          <w:rStyle w:val="FootnoteReference"/>
        </w:rPr>
        <w:footnoteRef/>
      </w:r>
      <w:r>
        <w:t xml:space="preserve"> Safety category 3: Items whose failure could lead to radiological exposure exceeding 5 </w:t>
      </w:r>
      <w:proofErr w:type="spellStart"/>
      <w:r>
        <w:t>mSv</w:t>
      </w:r>
      <w:proofErr w:type="spellEnd"/>
      <w:r>
        <w:t xml:space="preserve"> but not exceed 20 </w:t>
      </w:r>
      <w:proofErr w:type="spellStart"/>
      <w:r>
        <w:t>mSv</w:t>
      </w:r>
      <w:proofErr w:type="spellEnd"/>
      <w:r>
        <w:t xml:space="preserve"> (0.25 </w:t>
      </w:r>
      <w:proofErr w:type="spellStart"/>
      <w:r>
        <w:t>mSv</w:t>
      </w:r>
      <w:proofErr w:type="spellEnd"/>
      <w:r>
        <w:t xml:space="preserve"> for a member of the public), taking into account other protective measures, with some degradation</w:t>
      </w:r>
    </w:p>
  </w:footnote>
  <w:footnote w:id="2">
    <w:p w:rsidR="00DA26BF" w:rsidRPr="00B561D9" w:rsidRDefault="00DA26BF" w:rsidP="00BD34DB">
      <w:pPr>
        <w:pStyle w:val="FootnoteText"/>
      </w:pPr>
      <w:r>
        <w:rPr>
          <w:rStyle w:val="FootnoteReference"/>
        </w:rPr>
        <w:footnoteRef/>
      </w:r>
      <w:r>
        <w:t xml:space="preserve"> </w:t>
      </w:r>
      <w:r w:rsidRPr="00B561D9">
        <w:t>Hazard category F1: where there is no potential for significant consequences outside the facility</w:t>
      </w:r>
    </w:p>
  </w:footnote>
  <w:footnote w:id="3">
    <w:p w:rsidR="00DA26BF" w:rsidRDefault="00DA26BF" w:rsidP="00434018">
      <w:pPr>
        <w:pStyle w:val="FootnoteText"/>
        <w:tabs>
          <w:tab w:val="left" w:pos="7715"/>
        </w:tabs>
      </w:pPr>
      <w:r>
        <w:rPr>
          <w:rStyle w:val="FootnoteReference"/>
        </w:rPr>
        <w:footnoteRef/>
      </w:r>
      <w:r>
        <w:t xml:space="preserve"> National Radioactive Waste Management Act 2012</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63" w:type="dxa"/>
      <w:tblBorders>
        <w:insideH w:val="single" w:sz="4" w:space="0" w:color="auto"/>
      </w:tblBorders>
      <w:tblLayout w:type="fixed"/>
      <w:tblLook w:val="0000" w:firstRow="0" w:lastRow="0" w:firstColumn="0" w:lastColumn="0" w:noHBand="0" w:noVBand="0"/>
    </w:tblPr>
    <w:tblGrid>
      <w:gridCol w:w="3221"/>
      <w:gridCol w:w="6442"/>
    </w:tblGrid>
    <w:tr w:rsidR="00DA26BF" w:rsidRPr="007B363F" w:rsidTr="00223A27">
      <w:trPr>
        <w:trHeight w:val="441"/>
      </w:trPr>
      <w:tc>
        <w:tcPr>
          <w:tcW w:w="3221" w:type="dxa"/>
        </w:tcPr>
        <w:p w:rsidR="00DA26BF" w:rsidRPr="0098747C" w:rsidRDefault="00DA26BF" w:rsidP="00223A27">
          <w:pPr>
            <w:pStyle w:val="Header"/>
            <w:rPr>
              <w:sz w:val="16"/>
              <w:szCs w:val="16"/>
            </w:rPr>
          </w:pPr>
          <w:r w:rsidRPr="0098747C">
            <w:rPr>
              <w:sz w:val="16"/>
              <w:szCs w:val="16"/>
            </w:rPr>
            <w:t xml:space="preserve">Regulatory Assessment Report </w:t>
          </w:r>
        </w:p>
      </w:tc>
      <w:tc>
        <w:tcPr>
          <w:tcW w:w="6442" w:type="dxa"/>
        </w:tcPr>
        <w:p w:rsidR="00DA26BF" w:rsidRPr="0098747C" w:rsidRDefault="00DA26BF" w:rsidP="0074429D">
          <w:pPr>
            <w:pStyle w:val="Header"/>
            <w:jc w:val="center"/>
            <w:rPr>
              <w:sz w:val="16"/>
              <w:szCs w:val="16"/>
            </w:rPr>
          </w:pPr>
          <w:r>
            <w:rPr>
              <w:sz w:val="16"/>
              <w:szCs w:val="16"/>
            </w:rPr>
            <w:tab/>
            <w:t>ANSTO</w:t>
          </w:r>
          <w:r w:rsidRPr="0098747C">
            <w:rPr>
              <w:sz w:val="16"/>
              <w:szCs w:val="16"/>
            </w:rPr>
            <w:t xml:space="preserve">: </w:t>
          </w:r>
          <w:r>
            <w:rPr>
              <w:sz w:val="16"/>
              <w:szCs w:val="16"/>
            </w:rPr>
            <w:t>Operation of IWS</w:t>
          </w:r>
        </w:p>
      </w:tc>
    </w:tr>
  </w:tbl>
  <w:p w:rsidR="00DA26BF" w:rsidRDefault="00DA26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6BF" w:rsidRDefault="00DA26BF">
    <w:pPr>
      <w:pStyle w:val="Header"/>
    </w:pPr>
    <w:bookmarkStart w:id="206" w:name="_Toc368409990"/>
    <w:bookmarkStart w:id="207" w:name="_Toc368488446"/>
    <w:bookmarkStart w:id="208" w:name="_Toc368488613"/>
    <w:r w:rsidRPr="00676C35">
      <w:rPr>
        <w:noProof/>
      </w:rPr>
      <w:drawing>
        <wp:inline distT="0" distB="0" distL="0" distR="0" wp14:anchorId="66A43B32" wp14:editId="457FE01B">
          <wp:extent cx="5715000" cy="752475"/>
          <wp:effectExtent l="19050" t="0" r="0" b="0"/>
          <wp:docPr id="2" name="Picture 2" descr="ARPNSA_strip_blue_1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PNSA_strip_blue_16cm"/>
                  <pic:cNvPicPr>
                    <a:picLocks noChangeAspect="1" noChangeArrowheads="1"/>
                  </pic:cNvPicPr>
                </pic:nvPicPr>
                <pic:blipFill>
                  <a:blip r:embed="rId1" cstate="print"/>
                  <a:srcRect/>
                  <a:stretch>
                    <a:fillRect/>
                  </a:stretch>
                </pic:blipFill>
                <pic:spPr bwMode="auto">
                  <a:xfrm>
                    <a:off x="0" y="0"/>
                    <a:ext cx="5715000" cy="752475"/>
                  </a:xfrm>
                  <a:prstGeom prst="rect">
                    <a:avLst/>
                  </a:prstGeom>
                  <a:noFill/>
                  <a:ln w="9525">
                    <a:noFill/>
                    <a:miter lim="800000"/>
                    <a:headEnd/>
                    <a:tailEnd/>
                  </a:ln>
                </pic:spPr>
              </pic:pic>
            </a:graphicData>
          </a:graphic>
        </wp:inline>
      </w:drawing>
    </w:r>
    <w:bookmarkEnd w:id="206"/>
    <w:bookmarkEnd w:id="207"/>
    <w:bookmarkEnd w:id="20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6E05"/>
    <w:multiLevelType w:val="hybridMultilevel"/>
    <w:tmpl w:val="E9E4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013521"/>
    <w:multiLevelType w:val="hybridMultilevel"/>
    <w:tmpl w:val="C9B6D110"/>
    <w:lvl w:ilvl="0" w:tplc="0C090019">
      <w:start w:val="1"/>
      <w:numFmt w:val="lowerLetter"/>
      <w:lvlText w:val="%1."/>
      <w:lvlJc w:val="left"/>
      <w:pPr>
        <w:ind w:left="720" w:hanging="360"/>
      </w:pPr>
      <w:rPr>
        <w:rFonts w:hint="default"/>
      </w:rPr>
    </w:lvl>
    <w:lvl w:ilvl="1" w:tplc="F8487C68">
      <w:numFmt w:val="bullet"/>
      <w:lvlText w:val="•"/>
      <w:lvlJc w:val="left"/>
      <w:pPr>
        <w:ind w:left="1440" w:hanging="360"/>
      </w:pPr>
      <w:rPr>
        <w:rFonts w:ascii="Times New Roman" w:eastAsiaTheme="minorHAnsi"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D82ABB"/>
    <w:multiLevelType w:val="multilevel"/>
    <w:tmpl w:val="41CEFFCE"/>
    <w:lvl w:ilvl="0">
      <w:start w:val="1"/>
      <w:numFmt w:val="decimal"/>
      <w:pStyle w:val="Paranumbered1"/>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1134"/>
        </w:tabs>
        <w:ind w:left="1134" w:hanging="567"/>
      </w:pPr>
      <w:rPr>
        <w:rFonts w:hint="default"/>
      </w:rPr>
    </w:lvl>
    <w:lvl w:ilvl="2">
      <w:start w:val="1"/>
      <w:numFmt w:val="lowerRoman"/>
      <w:pStyle w:val="Paranumberedi"/>
      <w:lvlText w:val="%3."/>
      <w:lvlJc w:val="left"/>
      <w:pPr>
        <w:tabs>
          <w:tab w:val="num" w:pos="567"/>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numFmt w:val="none"/>
      <w:lvlText w:val=""/>
      <w:lvlJc w:val="left"/>
      <w:pPr>
        <w:tabs>
          <w:tab w:val="num" w:pos="360"/>
        </w:tabs>
      </w:p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71903F0"/>
    <w:multiLevelType w:val="hybridMultilevel"/>
    <w:tmpl w:val="6C1A8E30"/>
    <w:lvl w:ilvl="0" w:tplc="A5DC65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87563C"/>
    <w:multiLevelType w:val="hybridMultilevel"/>
    <w:tmpl w:val="14CE6D70"/>
    <w:lvl w:ilvl="0" w:tplc="0C090001">
      <w:start w:val="1"/>
      <w:numFmt w:val="bullet"/>
      <w:lvlText w:val=""/>
      <w:lvlJc w:val="left"/>
      <w:pPr>
        <w:ind w:left="824" w:hanging="360"/>
      </w:pPr>
      <w:rPr>
        <w:rFonts w:ascii="Symbol" w:hAnsi="Symbol" w:hint="default"/>
      </w:rPr>
    </w:lvl>
    <w:lvl w:ilvl="1" w:tplc="0C090003" w:tentative="1">
      <w:start w:val="1"/>
      <w:numFmt w:val="bullet"/>
      <w:lvlText w:val="o"/>
      <w:lvlJc w:val="left"/>
      <w:pPr>
        <w:ind w:left="1544" w:hanging="360"/>
      </w:pPr>
      <w:rPr>
        <w:rFonts w:ascii="Courier New" w:hAnsi="Courier New" w:cs="Courier New" w:hint="default"/>
      </w:rPr>
    </w:lvl>
    <w:lvl w:ilvl="2" w:tplc="0C090005" w:tentative="1">
      <w:start w:val="1"/>
      <w:numFmt w:val="bullet"/>
      <w:lvlText w:val=""/>
      <w:lvlJc w:val="left"/>
      <w:pPr>
        <w:ind w:left="2264" w:hanging="360"/>
      </w:pPr>
      <w:rPr>
        <w:rFonts w:ascii="Wingdings" w:hAnsi="Wingdings" w:hint="default"/>
      </w:rPr>
    </w:lvl>
    <w:lvl w:ilvl="3" w:tplc="0C090001" w:tentative="1">
      <w:start w:val="1"/>
      <w:numFmt w:val="bullet"/>
      <w:lvlText w:val=""/>
      <w:lvlJc w:val="left"/>
      <w:pPr>
        <w:ind w:left="2984" w:hanging="360"/>
      </w:pPr>
      <w:rPr>
        <w:rFonts w:ascii="Symbol" w:hAnsi="Symbol" w:hint="default"/>
      </w:rPr>
    </w:lvl>
    <w:lvl w:ilvl="4" w:tplc="0C090003" w:tentative="1">
      <w:start w:val="1"/>
      <w:numFmt w:val="bullet"/>
      <w:lvlText w:val="o"/>
      <w:lvlJc w:val="left"/>
      <w:pPr>
        <w:ind w:left="3704" w:hanging="360"/>
      </w:pPr>
      <w:rPr>
        <w:rFonts w:ascii="Courier New" w:hAnsi="Courier New" w:cs="Courier New" w:hint="default"/>
      </w:rPr>
    </w:lvl>
    <w:lvl w:ilvl="5" w:tplc="0C090005" w:tentative="1">
      <w:start w:val="1"/>
      <w:numFmt w:val="bullet"/>
      <w:lvlText w:val=""/>
      <w:lvlJc w:val="left"/>
      <w:pPr>
        <w:ind w:left="4424" w:hanging="360"/>
      </w:pPr>
      <w:rPr>
        <w:rFonts w:ascii="Wingdings" w:hAnsi="Wingdings" w:hint="default"/>
      </w:rPr>
    </w:lvl>
    <w:lvl w:ilvl="6" w:tplc="0C090001" w:tentative="1">
      <w:start w:val="1"/>
      <w:numFmt w:val="bullet"/>
      <w:lvlText w:val=""/>
      <w:lvlJc w:val="left"/>
      <w:pPr>
        <w:ind w:left="5144" w:hanging="360"/>
      </w:pPr>
      <w:rPr>
        <w:rFonts w:ascii="Symbol" w:hAnsi="Symbol" w:hint="default"/>
      </w:rPr>
    </w:lvl>
    <w:lvl w:ilvl="7" w:tplc="0C090003" w:tentative="1">
      <w:start w:val="1"/>
      <w:numFmt w:val="bullet"/>
      <w:lvlText w:val="o"/>
      <w:lvlJc w:val="left"/>
      <w:pPr>
        <w:ind w:left="5864" w:hanging="360"/>
      </w:pPr>
      <w:rPr>
        <w:rFonts w:ascii="Courier New" w:hAnsi="Courier New" w:cs="Courier New" w:hint="default"/>
      </w:rPr>
    </w:lvl>
    <w:lvl w:ilvl="8" w:tplc="0C090005" w:tentative="1">
      <w:start w:val="1"/>
      <w:numFmt w:val="bullet"/>
      <w:lvlText w:val=""/>
      <w:lvlJc w:val="left"/>
      <w:pPr>
        <w:ind w:left="6584" w:hanging="360"/>
      </w:pPr>
      <w:rPr>
        <w:rFonts w:ascii="Wingdings" w:hAnsi="Wingdings" w:hint="default"/>
      </w:rPr>
    </w:lvl>
  </w:abstractNum>
  <w:abstractNum w:abstractNumId="5">
    <w:nsid w:val="10443FBB"/>
    <w:multiLevelType w:val="hybridMultilevel"/>
    <w:tmpl w:val="A2FADBFC"/>
    <w:lvl w:ilvl="0" w:tplc="FC283D7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21560C"/>
    <w:multiLevelType w:val="hybridMultilevel"/>
    <w:tmpl w:val="18FAAF50"/>
    <w:lvl w:ilvl="0" w:tplc="4544CA5C">
      <w:start w:val="1"/>
      <w:numFmt w:val="bullet"/>
      <w:pStyle w:val="aLicenceCondition"/>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57442C4"/>
    <w:multiLevelType w:val="hybridMultilevel"/>
    <w:tmpl w:val="110E92E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8">
    <w:nsid w:val="18971D9B"/>
    <w:multiLevelType w:val="multilevel"/>
    <w:tmpl w:val="67DE1814"/>
    <w:lvl w:ilvl="0">
      <w:start w:val="1"/>
      <w:numFmt w:val="decimal"/>
      <w:pStyle w:val="Heading1"/>
      <w:lvlText w:val="%1."/>
      <w:lvlJc w:val="left"/>
      <w:pPr>
        <w:ind w:left="1021" w:hanging="1021"/>
      </w:pPr>
      <w:rPr>
        <w:rFonts w:ascii="Cambria" w:hAnsi="Cambria" w:hint="default"/>
        <w:b/>
        <w:i w:val="0"/>
        <w:color w:val="365F91" w:themeColor="accent1" w:themeShade="BF"/>
        <w:sz w:val="28"/>
      </w:rPr>
    </w:lvl>
    <w:lvl w:ilvl="1">
      <w:start w:val="1"/>
      <w:numFmt w:val="decimal"/>
      <w:pStyle w:val="Heading2"/>
      <w:lvlText w:val="%1.%2"/>
      <w:lvlJc w:val="left"/>
      <w:pPr>
        <w:ind w:left="1021" w:hanging="1021"/>
      </w:pPr>
      <w:rPr>
        <w:rFonts w:ascii="Cambria" w:hAnsi="Cambria" w:hint="default"/>
        <w:b/>
        <w:i w:val="0"/>
        <w:color w:val="4F81BD" w:themeColor="accent1"/>
        <w:sz w:val="26"/>
      </w:rPr>
    </w:lvl>
    <w:lvl w:ilvl="2">
      <w:start w:val="1"/>
      <w:numFmt w:val="decimal"/>
      <w:pStyle w:val="Heading3"/>
      <w:lvlText w:val="%1.%2.%3"/>
      <w:lvlJc w:val="left"/>
      <w:pPr>
        <w:ind w:left="1021" w:hanging="1021"/>
      </w:pPr>
      <w:rPr>
        <w:rFonts w:ascii="Cambria" w:hAnsi="Cambria" w:hint="default"/>
        <w:b/>
        <w:i w:val="0"/>
        <w:color w:val="4F81BD" w:themeColor="accent1"/>
        <w:sz w:val="24"/>
      </w:rPr>
    </w:lvl>
    <w:lvl w:ilvl="3">
      <w:start w:val="1"/>
      <w:numFmt w:val="decimal"/>
      <w:pStyle w:val="Heading4"/>
      <w:lvlText w:val="%1.%2.%3.%4"/>
      <w:lvlJc w:val="left"/>
      <w:pPr>
        <w:ind w:left="4933" w:hanging="1247"/>
      </w:pPr>
      <w:rPr>
        <w:rFonts w:ascii="Cambria" w:hAnsi="Cambria" w:hint="default"/>
        <w:b/>
        <w:i w:val="0"/>
        <w:color w:val="4F81BD" w:themeColor="accent1"/>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E8455A8"/>
    <w:multiLevelType w:val="hybridMultilevel"/>
    <w:tmpl w:val="A8427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494CE9"/>
    <w:multiLevelType w:val="hybridMultilevel"/>
    <w:tmpl w:val="957EA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9B77D39"/>
    <w:multiLevelType w:val="hybridMultilevel"/>
    <w:tmpl w:val="8A9C2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C401A3"/>
    <w:multiLevelType w:val="hybridMultilevel"/>
    <w:tmpl w:val="D73EF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F83C30"/>
    <w:multiLevelType w:val="hybridMultilevel"/>
    <w:tmpl w:val="49F6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3E393A"/>
    <w:multiLevelType w:val="hybridMultilevel"/>
    <w:tmpl w:val="40125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1E84A23"/>
    <w:multiLevelType w:val="hybridMultilevel"/>
    <w:tmpl w:val="D9F4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092E4C"/>
    <w:multiLevelType w:val="hybridMultilevel"/>
    <w:tmpl w:val="715C6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963AD2"/>
    <w:multiLevelType w:val="hybridMultilevel"/>
    <w:tmpl w:val="85BE4A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422E38"/>
    <w:multiLevelType w:val="hybridMultilevel"/>
    <w:tmpl w:val="C6CC0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036EE8"/>
    <w:multiLevelType w:val="multilevel"/>
    <w:tmpl w:val="2D14A1BE"/>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911EC1"/>
    <w:multiLevelType w:val="hybridMultilevel"/>
    <w:tmpl w:val="F9F84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EE2C47"/>
    <w:multiLevelType w:val="multilevel"/>
    <w:tmpl w:val="20F479D4"/>
    <w:lvl w:ilvl="0">
      <w:start w:val="1"/>
      <w:numFmt w:val="decimal"/>
      <w:pStyle w:val="Title"/>
      <w:suff w:val="nothing"/>
      <w:lvlText w:val="Characteristic %1"/>
      <w:lvlJc w:val="left"/>
      <w:pPr>
        <w:ind w:left="5322" w:hanging="360"/>
      </w:pPr>
      <w:rPr>
        <w:rFonts w:ascii="Cambria" w:hAnsi="Cambria" w:hint="default"/>
        <w:i w:val="0"/>
        <w:sz w:val="52"/>
      </w:rPr>
    </w:lvl>
    <w:lvl w:ilvl="1">
      <w:start w:val="1"/>
      <w:numFmt w:val="decimal"/>
      <w:lvlText w:val="%1.%2"/>
      <w:lvlJc w:val="left"/>
      <w:pPr>
        <w:ind w:left="1146" w:hanging="720"/>
      </w:pPr>
      <w:rPr>
        <w:rFonts w:ascii="Cambria" w:hAnsi="Cambria" w:hint="default"/>
        <w:b/>
        <w:i w:val="0"/>
        <w:sz w:val="26"/>
      </w:rPr>
    </w:lvl>
    <w:lvl w:ilvl="2">
      <w:start w:val="1"/>
      <w:numFmt w:val="decimal"/>
      <w:pStyle w:val="Heading5"/>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7A21DFC"/>
    <w:multiLevelType w:val="hybridMultilevel"/>
    <w:tmpl w:val="1A84B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C0331E4"/>
    <w:multiLevelType w:val="hybridMultilevel"/>
    <w:tmpl w:val="92EE1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3C1EE4"/>
    <w:multiLevelType w:val="singleLevel"/>
    <w:tmpl w:val="B366CCEC"/>
    <w:lvl w:ilvl="0">
      <w:start w:val="1"/>
      <w:numFmt w:val="lowerLetter"/>
      <w:lvlText w:val="(%1)"/>
      <w:lvlJc w:val="left"/>
      <w:pPr>
        <w:tabs>
          <w:tab w:val="num" w:pos="2271"/>
        </w:tabs>
        <w:ind w:left="2271" w:hanging="570"/>
      </w:pPr>
      <w:rPr>
        <w:rFonts w:hint="default"/>
      </w:rPr>
    </w:lvl>
  </w:abstractNum>
  <w:abstractNum w:abstractNumId="25">
    <w:nsid w:val="63AC7E5E"/>
    <w:multiLevelType w:val="hybridMultilevel"/>
    <w:tmpl w:val="3E64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500D6D"/>
    <w:multiLevelType w:val="hybridMultilevel"/>
    <w:tmpl w:val="69D6A1F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7">
    <w:nsid w:val="64833247"/>
    <w:multiLevelType w:val="hybridMultilevel"/>
    <w:tmpl w:val="382A2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7394E37"/>
    <w:multiLevelType w:val="singleLevel"/>
    <w:tmpl w:val="A5DC6518"/>
    <w:lvl w:ilvl="0">
      <w:start w:val="1"/>
      <w:numFmt w:val="lowerLetter"/>
      <w:lvlText w:val="(%1)"/>
      <w:lvlJc w:val="left"/>
      <w:pPr>
        <w:tabs>
          <w:tab w:val="num" w:pos="1146"/>
        </w:tabs>
        <w:ind w:left="1146" w:hanging="720"/>
      </w:pPr>
      <w:rPr>
        <w:rFonts w:hint="default"/>
      </w:rPr>
    </w:lvl>
  </w:abstractNum>
  <w:abstractNum w:abstractNumId="29">
    <w:nsid w:val="68DF02D9"/>
    <w:multiLevelType w:val="hybridMultilevel"/>
    <w:tmpl w:val="FF0E7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A644E69"/>
    <w:multiLevelType w:val="hybridMultilevel"/>
    <w:tmpl w:val="D5BE8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FF0E8B"/>
    <w:multiLevelType w:val="hybridMultilevel"/>
    <w:tmpl w:val="54A47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2713347"/>
    <w:multiLevelType w:val="hybridMultilevel"/>
    <w:tmpl w:val="B7245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BA74EB"/>
    <w:multiLevelType w:val="hybridMultilevel"/>
    <w:tmpl w:val="68C01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5952656"/>
    <w:multiLevelType w:val="hybridMultilevel"/>
    <w:tmpl w:val="B7B65DE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nsid w:val="7B1F3892"/>
    <w:multiLevelType w:val="hybridMultilevel"/>
    <w:tmpl w:val="E0384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22"/>
  </w:num>
  <w:num w:numId="4">
    <w:abstractNumId w:val="14"/>
  </w:num>
  <w:num w:numId="5">
    <w:abstractNumId w:val="35"/>
  </w:num>
  <w:num w:numId="6">
    <w:abstractNumId w:val="27"/>
  </w:num>
  <w:num w:numId="7">
    <w:abstractNumId w:val="21"/>
  </w:num>
  <w:num w:numId="8">
    <w:abstractNumId w:val="8"/>
  </w:num>
  <w:num w:numId="9">
    <w:abstractNumId w:val="1"/>
  </w:num>
  <w:num w:numId="10">
    <w:abstractNumId w:val="19"/>
  </w:num>
  <w:num w:numId="11">
    <w:abstractNumId w:val="26"/>
  </w:num>
  <w:num w:numId="12">
    <w:abstractNumId w:val="3"/>
  </w:num>
  <w:num w:numId="13">
    <w:abstractNumId w:val="0"/>
  </w:num>
  <w:num w:numId="14">
    <w:abstractNumId w:val="32"/>
  </w:num>
  <w:num w:numId="15">
    <w:abstractNumId w:val="9"/>
  </w:num>
  <w:num w:numId="16">
    <w:abstractNumId w:val="10"/>
  </w:num>
  <w:num w:numId="17">
    <w:abstractNumId w:val="17"/>
  </w:num>
  <w:num w:numId="18">
    <w:abstractNumId w:val="4"/>
  </w:num>
  <w:num w:numId="19">
    <w:abstractNumId w:val="12"/>
  </w:num>
  <w:num w:numId="20">
    <w:abstractNumId w:val="30"/>
  </w:num>
  <w:num w:numId="21">
    <w:abstractNumId w:val="11"/>
  </w:num>
  <w:num w:numId="22">
    <w:abstractNumId w:val="7"/>
  </w:num>
  <w:num w:numId="23">
    <w:abstractNumId w:val="20"/>
  </w:num>
  <w:num w:numId="24">
    <w:abstractNumId w:val="25"/>
  </w:num>
  <w:num w:numId="25">
    <w:abstractNumId w:val="2"/>
  </w:num>
  <w:num w:numId="26">
    <w:abstractNumId w:val="29"/>
  </w:num>
  <w:num w:numId="27">
    <w:abstractNumId w:val="23"/>
  </w:num>
  <w:num w:numId="28">
    <w:abstractNumId w:val="16"/>
  </w:num>
  <w:num w:numId="29">
    <w:abstractNumId w:val="13"/>
  </w:num>
  <w:num w:numId="30">
    <w:abstractNumId w:val="33"/>
  </w:num>
  <w:num w:numId="31">
    <w:abstractNumId w:val="18"/>
  </w:num>
  <w:num w:numId="32">
    <w:abstractNumId w:val="15"/>
  </w:num>
  <w:num w:numId="33">
    <w:abstractNumId w:val="34"/>
  </w:num>
  <w:num w:numId="34">
    <w:abstractNumId w:val="31"/>
  </w:num>
  <w:num w:numId="35">
    <w:abstractNumId w:val="5"/>
  </w:num>
  <w:num w:numId="36">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397"/>
  <w:drawingGridHorizontalSpacing w:val="110"/>
  <w:displayHorizontalDrawingGridEvery w:val="2"/>
  <w:displayVerticalDrawingGridEvery w:val="2"/>
  <w:characterSpacingControl w:val="doNotCompress"/>
  <w:hdrShapeDefaults>
    <o:shapedefaults v:ext="edit" spidmax="165889">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4F"/>
    <w:rsid w:val="00000D81"/>
    <w:rsid w:val="00001CA3"/>
    <w:rsid w:val="00003702"/>
    <w:rsid w:val="00003B63"/>
    <w:rsid w:val="00003D2F"/>
    <w:rsid w:val="00003D6C"/>
    <w:rsid w:val="000040A4"/>
    <w:rsid w:val="00004EAB"/>
    <w:rsid w:val="00006295"/>
    <w:rsid w:val="000070AF"/>
    <w:rsid w:val="0001098C"/>
    <w:rsid w:val="00010F79"/>
    <w:rsid w:val="000111FC"/>
    <w:rsid w:val="00011320"/>
    <w:rsid w:val="00011A65"/>
    <w:rsid w:val="00011E79"/>
    <w:rsid w:val="00012664"/>
    <w:rsid w:val="000126D6"/>
    <w:rsid w:val="0001287D"/>
    <w:rsid w:val="00012ACA"/>
    <w:rsid w:val="00013E6E"/>
    <w:rsid w:val="000142D4"/>
    <w:rsid w:val="00014AC4"/>
    <w:rsid w:val="00015349"/>
    <w:rsid w:val="000153EC"/>
    <w:rsid w:val="00015865"/>
    <w:rsid w:val="00015CA2"/>
    <w:rsid w:val="00016A72"/>
    <w:rsid w:val="00016F01"/>
    <w:rsid w:val="0001772E"/>
    <w:rsid w:val="00020C6C"/>
    <w:rsid w:val="00020E9C"/>
    <w:rsid w:val="000214F6"/>
    <w:rsid w:val="00022530"/>
    <w:rsid w:val="00022E84"/>
    <w:rsid w:val="00023FD2"/>
    <w:rsid w:val="00024337"/>
    <w:rsid w:val="00024BAE"/>
    <w:rsid w:val="00024EE7"/>
    <w:rsid w:val="00024EEB"/>
    <w:rsid w:val="00025434"/>
    <w:rsid w:val="00026378"/>
    <w:rsid w:val="00026689"/>
    <w:rsid w:val="0002723A"/>
    <w:rsid w:val="0003072C"/>
    <w:rsid w:val="00030B91"/>
    <w:rsid w:val="00032C12"/>
    <w:rsid w:val="00032DEE"/>
    <w:rsid w:val="000337F3"/>
    <w:rsid w:val="00035081"/>
    <w:rsid w:val="00035F40"/>
    <w:rsid w:val="0003641C"/>
    <w:rsid w:val="00036A6B"/>
    <w:rsid w:val="00036AB6"/>
    <w:rsid w:val="00036D79"/>
    <w:rsid w:val="00036E22"/>
    <w:rsid w:val="000373E0"/>
    <w:rsid w:val="00037853"/>
    <w:rsid w:val="00037D1F"/>
    <w:rsid w:val="00037F52"/>
    <w:rsid w:val="0004001B"/>
    <w:rsid w:val="00041A79"/>
    <w:rsid w:val="00041B08"/>
    <w:rsid w:val="00042630"/>
    <w:rsid w:val="00042656"/>
    <w:rsid w:val="0004269E"/>
    <w:rsid w:val="00043D52"/>
    <w:rsid w:val="00044235"/>
    <w:rsid w:val="000449A7"/>
    <w:rsid w:val="00044A8C"/>
    <w:rsid w:val="00044AF5"/>
    <w:rsid w:val="00044E87"/>
    <w:rsid w:val="000461BE"/>
    <w:rsid w:val="00046FAE"/>
    <w:rsid w:val="00047473"/>
    <w:rsid w:val="00047BD0"/>
    <w:rsid w:val="00047F7C"/>
    <w:rsid w:val="0005055D"/>
    <w:rsid w:val="00051944"/>
    <w:rsid w:val="00051EE8"/>
    <w:rsid w:val="000525D7"/>
    <w:rsid w:val="00052C3E"/>
    <w:rsid w:val="00053BA3"/>
    <w:rsid w:val="00054035"/>
    <w:rsid w:val="00055384"/>
    <w:rsid w:val="00056085"/>
    <w:rsid w:val="000560D9"/>
    <w:rsid w:val="00056A83"/>
    <w:rsid w:val="00060A17"/>
    <w:rsid w:val="00060C71"/>
    <w:rsid w:val="00061206"/>
    <w:rsid w:val="000627B7"/>
    <w:rsid w:val="0006467C"/>
    <w:rsid w:val="00064F9C"/>
    <w:rsid w:val="00065496"/>
    <w:rsid w:val="000658F9"/>
    <w:rsid w:val="00066168"/>
    <w:rsid w:val="0006772B"/>
    <w:rsid w:val="00067CF1"/>
    <w:rsid w:val="00070304"/>
    <w:rsid w:val="00071527"/>
    <w:rsid w:val="000720F8"/>
    <w:rsid w:val="0007241E"/>
    <w:rsid w:val="00072976"/>
    <w:rsid w:val="00072B5A"/>
    <w:rsid w:val="00072E5D"/>
    <w:rsid w:val="000738DC"/>
    <w:rsid w:val="0007407C"/>
    <w:rsid w:val="000749BF"/>
    <w:rsid w:val="0007647B"/>
    <w:rsid w:val="00076685"/>
    <w:rsid w:val="00076F07"/>
    <w:rsid w:val="00077192"/>
    <w:rsid w:val="00077503"/>
    <w:rsid w:val="00077737"/>
    <w:rsid w:val="00077C45"/>
    <w:rsid w:val="00077F21"/>
    <w:rsid w:val="00080348"/>
    <w:rsid w:val="000804D4"/>
    <w:rsid w:val="00080DF8"/>
    <w:rsid w:val="00082019"/>
    <w:rsid w:val="000822BF"/>
    <w:rsid w:val="0008286D"/>
    <w:rsid w:val="00082EEA"/>
    <w:rsid w:val="00083555"/>
    <w:rsid w:val="00083B0B"/>
    <w:rsid w:val="000847E2"/>
    <w:rsid w:val="00084BB3"/>
    <w:rsid w:val="00084D46"/>
    <w:rsid w:val="00085106"/>
    <w:rsid w:val="000859E6"/>
    <w:rsid w:val="00085CCD"/>
    <w:rsid w:val="00085F73"/>
    <w:rsid w:val="000861C6"/>
    <w:rsid w:val="00087348"/>
    <w:rsid w:val="00087839"/>
    <w:rsid w:val="00090024"/>
    <w:rsid w:val="0009158C"/>
    <w:rsid w:val="00091E0A"/>
    <w:rsid w:val="00091FB5"/>
    <w:rsid w:val="000925C1"/>
    <w:rsid w:val="000932F2"/>
    <w:rsid w:val="000937B0"/>
    <w:rsid w:val="000944A7"/>
    <w:rsid w:val="000950FE"/>
    <w:rsid w:val="000969EB"/>
    <w:rsid w:val="000971F0"/>
    <w:rsid w:val="00097945"/>
    <w:rsid w:val="000A0687"/>
    <w:rsid w:val="000A0BE1"/>
    <w:rsid w:val="000A1CD6"/>
    <w:rsid w:val="000A25B3"/>
    <w:rsid w:val="000A2EC2"/>
    <w:rsid w:val="000A34A2"/>
    <w:rsid w:val="000A385E"/>
    <w:rsid w:val="000A3A37"/>
    <w:rsid w:val="000A446D"/>
    <w:rsid w:val="000A4CD8"/>
    <w:rsid w:val="000A4F36"/>
    <w:rsid w:val="000A6284"/>
    <w:rsid w:val="000A64F9"/>
    <w:rsid w:val="000A6CEE"/>
    <w:rsid w:val="000A7172"/>
    <w:rsid w:val="000A71DF"/>
    <w:rsid w:val="000A77E6"/>
    <w:rsid w:val="000B00A1"/>
    <w:rsid w:val="000B134E"/>
    <w:rsid w:val="000B135B"/>
    <w:rsid w:val="000B2D53"/>
    <w:rsid w:val="000B3102"/>
    <w:rsid w:val="000B3215"/>
    <w:rsid w:val="000B39B7"/>
    <w:rsid w:val="000B3AC1"/>
    <w:rsid w:val="000B521F"/>
    <w:rsid w:val="000B5FEC"/>
    <w:rsid w:val="000B6046"/>
    <w:rsid w:val="000B70B5"/>
    <w:rsid w:val="000B752E"/>
    <w:rsid w:val="000B7F6D"/>
    <w:rsid w:val="000B7F70"/>
    <w:rsid w:val="000B7FBC"/>
    <w:rsid w:val="000C06FE"/>
    <w:rsid w:val="000C0A65"/>
    <w:rsid w:val="000C211F"/>
    <w:rsid w:val="000C2AC2"/>
    <w:rsid w:val="000C312F"/>
    <w:rsid w:val="000C3695"/>
    <w:rsid w:val="000C3A5E"/>
    <w:rsid w:val="000C4007"/>
    <w:rsid w:val="000C4114"/>
    <w:rsid w:val="000C4993"/>
    <w:rsid w:val="000C516E"/>
    <w:rsid w:val="000C5593"/>
    <w:rsid w:val="000C60E4"/>
    <w:rsid w:val="000C6495"/>
    <w:rsid w:val="000C740F"/>
    <w:rsid w:val="000C7679"/>
    <w:rsid w:val="000C78AD"/>
    <w:rsid w:val="000C7DB1"/>
    <w:rsid w:val="000D0098"/>
    <w:rsid w:val="000D0793"/>
    <w:rsid w:val="000D0B78"/>
    <w:rsid w:val="000D172D"/>
    <w:rsid w:val="000D1D5B"/>
    <w:rsid w:val="000D1DBC"/>
    <w:rsid w:val="000D23C3"/>
    <w:rsid w:val="000D24E1"/>
    <w:rsid w:val="000D2C37"/>
    <w:rsid w:val="000D3A1E"/>
    <w:rsid w:val="000D412C"/>
    <w:rsid w:val="000D42C9"/>
    <w:rsid w:val="000D5F07"/>
    <w:rsid w:val="000D6292"/>
    <w:rsid w:val="000D6887"/>
    <w:rsid w:val="000D7B5A"/>
    <w:rsid w:val="000D7C61"/>
    <w:rsid w:val="000D7D37"/>
    <w:rsid w:val="000E0675"/>
    <w:rsid w:val="000E0A84"/>
    <w:rsid w:val="000E0E3F"/>
    <w:rsid w:val="000E187C"/>
    <w:rsid w:val="000E1EBE"/>
    <w:rsid w:val="000E2245"/>
    <w:rsid w:val="000E2356"/>
    <w:rsid w:val="000E2482"/>
    <w:rsid w:val="000E2678"/>
    <w:rsid w:val="000E2D37"/>
    <w:rsid w:val="000E316B"/>
    <w:rsid w:val="000E3500"/>
    <w:rsid w:val="000E3F1C"/>
    <w:rsid w:val="000E47B8"/>
    <w:rsid w:val="000E4CEB"/>
    <w:rsid w:val="000E5120"/>
    <w:rsid w:val="000E57B6"/>
    <w:rsid w:val="000E5E27"/>
    <w:rsid w:val="000F0A7D"/>
    <w:rsid w:val="000F0FB5"/>
    <w:rsid w:val="000F1284"/>
    <w:rsid w:val="000F1AAF"/>
    <w:rsid w:val="000F1B9B"/>
    <w:rsid w:val="000F28A6"/>
    <w:rsid w:val="000F2C7F"/>
    <w:rsid w:val="000F45C7"/>
    <w:rsid w:val="000F51F5"/>
    <w:rsid w:val="000F539C"/>
    <w:rsid w:val="000F53B6"/>
    <w:rsid w:val="000F5773"/>
    <w:rsid w:val="000F6568"/>
    <w:rsid w:val="001002A7"/>
    <w:rsid w:val="00100CD9"/>
    <w:rsid w:val="00100F53"/>
    <w:rsid w:val="001035BB"/>
    <w:rsid w:val="00103701"/>
    <w:rsid w:val="00103B75"/>
    <w:rsid w:val="001040DF"/>
    <w:rsid w:val="001045BA"/>
    <w:rsid w:val="001050A5"/>
    <w:rsid w:val="00105653"/>
    <w:rsid w:val="00105DBD"/>
    <w:rsid w:val="00106EE8"/>
    <w:rsid w:val="0010714B"/>
    <w:rsid w:val="00107CD9"/>
    <w:rsid w:val="00107D38"/>
    <w:rsid w:val="001101FA"/>
    <w:rsid w:val="0011034F"/>
    <w:rsid w:val="001106B1"/>
    <w:rsid w:val="00110FD7"/>
    <w:rsid w:val="00111A94"/>
    <w:rsid w:val="0011245C"/>
    <w:rsid w:val="00112CAE"/>
    <w:rsid w:val="00112D5D"/>
    <w:rsid w:val="001142BB"/>
    <w:rsid w:val="001146ED"/>
    <w:rsid w:val="00114DE8"/>
    <w:rsid w:val="00115AC7"/>
    <w:rsid w:val="001160CF"/>
    <w:rsid w:val="0011751B"/>
    <w:rsid w:val="00120433"/>
    <w:rsid w:val="00120F98"/>
    <w:rsid w:val="001214E7"/>
    <w:rsid w:val="00121B45"/>
    <w:rsid w:val="001224DC"/>
    <w:rsid w:val="0012408D"/>
    <w:rsid w:val="001244BA"/>
    <w:rsid w:val="001250FE"/>
    <w:rsid w:val="0012598B"/>
    <w:rsid w:val="00126359"/>
    <w:rsid w:val="0012732B"/>
    <w:rsid w:val="00127D4B"/>
    <w:rsid w:val="001309BC"/>
    <w:rsid w:val="00130D1A"/>
    <w:rsid w:val="00132322"/>
    <w:rsid w:val="00133628"/>
    <w:rsid w:val="00134E7B"/>
    <w:rsid w:val="00136A9E"/>
    <w:rsid w:val="0013729D"/>
    <w:rsid w:val="001372A3"/>
    <w:rsid w:val="001374C0"/>
    <w:rsid w:val="00137696"/>
    <w:rsid w:val="0014096E"/>
    <w:rsid w:val="001418E2"/>
    <w:rsid w:val="0014234B"/>
    <w:rsid w:val="00142595"/>
    <w:rsid w:val="001427E0"/>
    <w:rsid w:val="00142839"/>
    <w:rsid w:val="00142866"/>
    <w:rsid w:val="0014293F"/>
    <w:rsid w:val="001430A7"/>
    <w:rsid w:val="001430B2"/>
    <w:rsid w:val="001435E0"/>
    <w:rsid w:val="00143B66"/>
    <w:rsid w:val="00143C98"/>
    <w:rsid w:val="001446C6"/>
    <w:rsid w:val="0014478C"/>
    <w:rsid w:val="00144DEC"/>
    <w:rsid w:val="00145C24"/>
    <w:rsid w:val="00146020"/>
    <w:rsid w:val="00146177"/>
    <w:rsid w:val="00150069"/>
    <w:rsid w:val="001503F1"/>
    <w:rsid w:val="0015056E"/>
    <w:rsid w:val="0015066A"/>
    <w:rsid w:val="00150D68"/>
    <w:rsid w:val="00151F15"/>
    <w:rsid w:val="00151F43"/>
    <w:rsid w:val="0015242F"/>
    <w:rsid w:val="00152454"/>
    <w:rsid w:val="00152990"/>
    <w:rsid w:val="00154000"/>
    <w:rsid w:val="00154618"/>
    <w:rsid w:val="00155189"/>
    <w:rsid w:val="001551D1"/>
    <w:rsid w:val="001555ED"/>
    <w:rsid w:val="001555FB"/>
    <w:rsid w:val="00155791"/>
    <w:rsid w:val="001559A3"/>
    <w:rsid w:val="00156FD1"/>
    <w:rsid w:val="00157250"/>
    <w:rsid w:val="001575DD"/>
    <w:rsid w:val="0015762E"/>
    <w:rsid w:val="00157AE5"/>
    <w:rsid w:val="00157D3A"/>
    <w:rsid w:val="00160A10"/>
    <w:rsid w:val="001611E7"/>
    <w:rsid w:val="0016138C"/>
    <w:rsid w:val="00161EC1"/>
    <w:rsid w:val="00162036"/>
    <w:rsid w:val="0016245B"/>
    <w:rsid w:val="00163096"/>
    <w:rsid w:val="00164F2D"/>
    <w:rsid w:val="00165B55"/>
    <w:rsid w:val="0016622B"/>
    <w:rsid w:val="00166EA0"/>
    <w:rsid w:val="0016719E"/>
    <w:rsid w:val="001673CB"/>
    <w:rsid w:val="001673E7"/>
    <w:rsid w:val="001701D1"/>
    <w:rsid w:val="00170265"/>
    <w:rsid w:val="001703E5"/>
    <w:rsid w:val="001706A0"/>
    <w:rsid w:val="001722CC"/>
    <w:rsid w:val="00172DFB"/>
    <w:rsid w:val="0017372A"/>
    <w:rsid w:val="0017390C"/>
    <w:rsid w:val="00173C68"/>
    <w:rsid w:val="00173F1B"/>
    <w:rsid w:val="001745D5"/>
    <w:rsid w:val="00174F40"/>
    <w:rsid w:val="001758BF"/>
    <w:rsid w:val="00177D3E"/>
    <w:rsid w:val="00177E72"/>
    <w:rsid w:val="0018068D"/>
    <w:rsid w:val="00180E70"/>
    <w:rsid w:val="00180F5D"/>
    <w:rsid w:val="00180F6D"/>
    <w:rsid w:val="00181174"/>
    <w:rsid w:val="00181448"/>
    <w:rsid w:val="001815E3"/>
    <w:rsid w:val="00183647"/>
    <w:rsid w:val="001844D7"/>
    <w:rsid w:val="0018465C"/>
    <w:rsid w:val="00184D41"/>
    <w:rsid w:val="00186573"/>
    <w:rsid w:val="0018681C"/>
    <w:rsid w:val="001874D9"/>
    <w:rsid w:val="001900E8"/>
    <w:rsid w:val="00190280"/>
    <w:rsid w:val="001910B3"/>
    <w:rsid w:val="00191142"/>
    <w:rsid w:val="0019173A"/>
    <w:rsid w:val="00191F0E"/>
    <w:rsid w:val="0019362E"/>
    <w:rsid w:val="00193A34"/>
    <w:rsid w:val="00193A45"/>
    <w:rsid w:val="00193E1B"/>
    <w:rsid w:val="00194809"/>
    <w:rsid w:val="00195097"/>
    <w:rsid w:val="0019574B"/>
    <w:rsid w:val="00196391"/>
    <w:rsid w:val="001A0FA7"/>
    <w:rsid w:val="001A14FE"/>
    <w:rsid w:val="001A2DCC"/>
    <w:rsid w:val="001A3620"/>
    <w:rsid w:val="001A3873"/>
    <w:rsid w:val="001A63B3"/>
    <w:rsid w:val="001B0339"/>
    <w:rsid w:val="001B0D32"/>
    <w:rsid w:val="001B1B16"/>
    <w:rsid w:val="001B3391"/>
    <w:rsid w:val="001B3C52"/>
    <w:rsid w:val="001B5750"/>
    <w:rsid w:val="001B74DF"/>
    <w:rsid w:val="001B7585"/>
    <w:rsid w:val="001B78FD"/>
    <w:rsid w:val="001B79DC"/>
    <w:rsid w:val="001C0051"/>
    <w:rsid w:val="001C1099"/>
    <w:rsid w:val="001C1EA8"/>
    <w:rsid w:val="001C2269"/>
    <w:rsid w:val="001C2455"/>
    <w:rsid w:val="001C2672"/>
    <w:rsid w:val="001C2A38"/>
    <w:rsid w:val="001C349C"/>
    <w:rsid w:val="001C3CC5"/>
    <w:rsid w:val="001C3D14"/>
    <w:rsid w:val="001C3E20"/>
    <w:rsid w:val="001C42F0"/>
    <w:rsid w:val="001C518A"/>
    <w:rsid w:val="001C5411"/>
    <w:rsid w:val="001C5DF6"/>
    <w:rsid w:val="001C66A2"/>
    <w:rsid w:val="001C6FA5"/>
    <w:rsid w:val="001C7679"/>
    <w:rsid w:val="001D099F"/>
    <w:rsid w:val="001D11AC"/>
    <w:rsid w:val="001D1ED9"/>
    <w:rsid w:val="001D2058"/>
    <w:rsid w:val="001D2414"/>
    <w:rsid w:val="001D2B9C"/>
    <w:rsid w:val="001D30A1"/>
    <w:rsid w:val="001D30FA"/>
    <w:rsid w:val="001D3118"/>
    <w:rsid w:val="001D401C"/>
    <w:rsid w:val="001D48D3"/>
    <w:rsid w:val="001D4F89"/>
    <w:rsid w:val="001D5051"/>
    <w:rsid w:val="001D51BD"/>
    <w:rsid w:val="001D521A"/>
    <w:rsid w:val="001D54C8"/>
    <w:rsid w:val="001D746B"/>
    <w:rsid w:val="001D7ED5"/>
    <w:rsid w:val="001E0932"/>
    <w:rsid w:val="001E097B"/>
    <w:rsid w:val="001E0BC4"/>
    <w:rsid w:val="001E0FFB"/>
    <w:rsid w:val="001E1298"/>
    <w:rsid w:val="001E22FB"/>
    <w:rsid w:val="001E320B"/>
    <w:rsid w:val="001E3912"/>
    <w:rsid w:val="001E4020"/>
    <w:rsid w:val="001E49EC"/>
    <w:rsid w:val="001E4B33"/>
    <w:rsid w:val="001E5D03"/>
    <w:rsid w:val="001E6B03"/>
    <w:rsid w:val="001E6B28"/>
    <w:rsid w:val="001F0EC1"/>
    <w:rsid w:val="001F1DB4"/>
    <w:rsid w:val="001F2203"/>
    <w:rsid w:val="001F264D"/>
    <w:rsid w:val="001F3136"/>
    <w:rsid w:val="001F3C67"/>
    <w:rsid w:val="001F46F4"/>
    <w:rsid w:val="001F5E17"/>
    <w:rsid w:val="001F7D2F"/>
    <w:rsid w:val="0020064E"/>
    <w:rsid w:val="002008CA"/>
    <w:rsid w:val="0020095A"/>
    <w:rsid w:val="00200997"/>
    <w:rsid w:val="00200F5D"/>
    <w:rsid w:val="00200FA5"/>
    <w:rsid w:val="002011CF"/>
    <w:rsid w:val="00201654"/>
    <w:rsid w:val="0020197C"/>
    <w:rsid w:val="00203BBA"/>
    <w:rsid w:val="002041BE"/>
    <w:rsid w:val="00204531"/>
    <w:rsid w:val="00204A5D"/>
    <w:rsid w:val="00206238"/>
    <w:rsid w:val="00206296"/>
    <w:rsid w:val="00206D40"/>
    <w:rsid w:val="00206F00"/>
    <w:rsid w:val="002073B2"/>
    <w:rsid w:val="0020756D"/>
    <w:rsid w:val="0021006E"/>
    <w:rsid w:val="0021064D"/>
    <w:rsid w:val="00211730"/>
    <w:rsid w:val="0021177E"/>
    <w:rsid w:val="002122FF"/>
    <w:rsid w:val="00212623"/>
    <w:rsid w:val="00212A10"/>
    <w:rsid w:val="002135F2"/>
    <w:rsid w:val="00213701"/>
    <w:rsid w:val="00213A48"/>
    <w:rsid w:val="00213DE4"/>
    <w:rsid w:val="00214003"/>
    <w:rsid w:val="00214265"/>
    <w:rsid w:val="002147E6"/>
    <w:rsid w:val="002150D3"/>
    <w:rsid w:val="002152C6"/>
    <w:rsid w:val="002154D4"/>
    <w:rsid w:val="0021582B"/>
    <w:rsid w:val="00215B5A"/>
    <w:rsid w:val="0021651F"/>
    <w:rsid w:val="002167F8"/>
    <w:rsid w:val="00216910"/>
    <w:rsid w:val="00216B9C"/>
    <w:rsid w:val="002208EC"/>
    <w:rsid w:val="00220E6F"/>
    <w:rsid w:val="0022104B"/>
    <w:rsid w:val="0022194C"/>
    <w:rsid w:val="002223F1"/>
    <w:rsid w:val="00222704"/>
    <w:rsid w:val="002231CF"/>
    <w:rsid w:val="00223A27"/>
    <w:rsid w:val="00223CD7"/>
    <w:rsid w:val="00223DF9"/>
    <w:rsid w:val="002245F2"/>
    <w:rsid w:val="00224FF5"/>
    <w:rsid w:val="00226072"/>
    <w:rsid w:val="002262B6"/>
    <w:rsid w:val="0022694E"/>
    <w:rsid w:val="0022695D"/>
    <w:rsid w:val="00226D74"/>
    <w:rsid w:val="002302BF"/>
    <w:rsid w:val="00230F89"/>
    <w:rsid w:val="00230FE5"/>
    <w:rsid w:val="00231109"/>
    <w:rsid w:val="00231350"/>
    <w:rsid w:val="00231FCA"/>
    <w:rsid w:val="0023310B"/>
    <w:rsid w:val="00233838"/>
    <w:rsid w:val="00233A28"/>
    <w:rsid w:val="00233F37"/>
    <w:rsid w:val="0023404F"/>
    <w:rsid w:val="00234137"/>
    <w:rsid w:val="00234B6A"/>
    <w:rsid w:val="00234E7F"/>
    <w:rsid w:val="00235276"/>
    <w:rsid w:val="002358D0"/>
    <w:rsid w:val="00236FC6"/>
    <w:rsid w:val="0023733B"/>
    <w:rsid w:val="00237C2F"/>
    <w:rsid w:val="00237DDA"/>
    <w:rsid w:val="00240716"/>
    <w:rsid w:val="00240C45"/>
    <w:rsid w:val="00241165"/>
    <w:rsid w:val="00241310"/>
    <w:rsid w:val="00242284"/>
    <w:rsid w:val="0024233C"/>
    <w:rsid w:val="00242344"/>
    <w:rsid w:val="002427CF"/>
    <w:rsid w:val="00242811"/>
    <w:rsid w:val="00242C2D"/>
    <w:rsid w:val="00243911"/>
    <w:rsid w:val="002443E3"/>
    <w:rsid w:val="0024520C"/>
    <w:rsid w:val="00245A91"/>
    <w:rsid w:val="00245A9A"/>
    <w:rsid w:val="00245D33"/>
    <w:rsid w:val="00246161"/>
    <w:rsid w:val="002468BA"/>
    <w:rsid w:val="00247CE2"/>
    <w:rsid w:val="00250611"/>
    <w:rsid w:val="00251546"/>
    <w:rsid w:val="002518D3"/>
    <w:rsid w:val="00251CD4"/>
    <w:rsid w:val="002522F7"/>
    <w:rsid w:val="00253119"/>
    <w:rsid w:val="00253B52"/>
    <w:rsid w:val="002548E3"/>
    <w:rsid w:val="00255313"/>
    <w:rsid w:val="0025553A"/>
    <w:rsid w:val="00255A43"/>
    <w:rsid w:val="00255B52"/>
    <w:rsid w:val="00257D00"/>
    <w:rsid w:val="002600A2"/>
    <w:rsid w:val="0026128D"/>
    <w:rsid w:val="0026182D"/>
    <w:rsid w:val="00261AA2"/>
    <w:rsid w:val="00262D4C"/>
    <w:rsid w:val="00263319"/>
    <w:rsid w:val="002634F2"/>
    <w:rsid w:val="00263596"/>
    <w:rsid w:val="00263B23"/>
    <w:rsid w:val="00263BDB"/>
    <w:rsid w:val="00263CF4"/>
    <w:rsid w:val="00263ED7"/>
    <w:rsid w:val="00263FB9"/>
    <w:rsid w:val="00264982"/>
    <w:rsid w:val="00265036"/>
    <w:rsid w:val="002659CE"/>
    <w:rsid w:val="0026673D"/>
    <w:rsid w:val="00266CB9"/>
    <w:rsid w:val="00266FCE"/>
    <w:rsid w:val="00267275"/>
    <w:rsid w:val="00267315"/>
    <w:rsid w:val="0026756C"/>
    <w:rsid w:val="00270882"/>
    <w:rsid w:val="002708E8"/>
    <w:rsid w:val="00270B39"/>
    <w:rsid w:val="00270C42"/>
    <w:rsid w:val="00270E81"/>
    <w:rsid w:val="00271095"/>
    <w:rsid w:val="0027294F"/>
    <w:rsid w:val="0027367D"/>
    <w:rsid w:val="0027371C"/>
    <w:rsid w:val="00273864"/>
    <w:rsid w:val="002748A3"/>
    <w:rsid w:val="00274CC4"/>
    <w:rsid w:val="00276DB0"/>
    <w:rsid w:val="00277233"/>
    <w:rsid w:val="00280BB8"/>
    <w:rsid w:val="00280EBC"/>
    <w:rsid w:val="0028188D"/>
    <w:rsid w:val="00281943"/>
    <w:rsid w:val="00281B98"/>
    <w:rsid w:val="00281D70"/>
    <w:rsid w:val="00281DCE"/>
    <w:rsid w:val="00281E80"/>
    <w:rsid w:val="0028267C"/>
    <w:rsid w:val="00283194"/>
    <w:rsid w:val="0028397B"/>
    <w:rsid w:val="00284352"/>
    <w:rsid w:val="0028452D"/>
    <w:rsid w:val="002856E3"/>
    <w:rsid w:val="0028694D"/>
    <w:rsid w:val="00286EDA"/>
    <w:rsid w:val="00287392"/>
    <w:rsid w:val="00287EA1"/>
    <w:rsid w:val="00287F0E"/>
    <w:rsid w:val="002901DE"/>
    <w:rsid w:val="0029135C"/>
    <w:rsid w:val="002917C3"/>
    <w:rsid w:val="002917D9"/>
    <w:rsid w:val="00291F52"/>
    <w:rsid w:val="00292586"/>
    <w:rsid w:val="00292AA8"/>
    <w:rsid w:val="00292CD9"/>
    <w:rsid w:val="00292D78"/>
    <w:rsid w:val="002933A4"/>
    <w:rsid w:val="00294412"/>
    <w:rsid w:val="00294FA4"/>
    <w:rsid w:val="002958FA"/>
    <w:rsid w:val="00295C0D"/>
    <w:rsid w:val="00295C23"/>
    <w:rsid w:val="00297F8B"/>
    <w:rsid w:val="002A0355"/>
    <w:rsid w:val="002A101A"/>
    <w:rsid w:val="002A2B69"/>
    <w:rsid w:val="002A2C2B"/>
    <w:rsid w:val="002A5568"/>
    <w:rsid w:val="002A5954"/>
    <w:rsid w:val="002A5A02"/>
    <w:rsid w:val="002A635F"/>
    <w:rsid w:val="002A63C1"/>
    <w:rsid w:val="002A6A3C"/>
    <w:rsid w:val="002A7405"/>
    <w:rsid w:val="002A7D09"/>
    <w:rsid w:val="002B1880"/>
    <w:rsid w:val="002B1CE0"/>
    <w:rsid w:val="002B26F1"/>
    <w:rsid w:val="002B4255"/>
    <w:rsid w:val="002B453C"/>
    <w:rsid w:val="002B49E6"/>
    <w:rsid w:val="002B553C"/>
    <w:rsid w:val="002B609B"/>
    <w:rsid w:val="002B6406"/>
    <w:rsid w:val="002B71AB"/>
    <w:rsid w:val="002C0D40"/>
    <w:rsid w:val="002C127C"/>
    <w:rsid w:val="002C2F37"/>
    <w:rsid w:val="002C33B9"/>
    <w:rsid w:val="002C3802"/>
    <w:rsid w:val="002C417B"/>
    <w:rsid w:val="002C4B8A"/>
    <w:rsid w:val="002C5324"/>
    <w:rsid w:val="002C59D2"/>
    <w:rsid w:val="002C5AC6"/>
    <w:rsid w:val="002C638F"/>
    <w:rsid w:val="002C6AC2"/>
    <w:rsid w:val="002C6DC5"/>
    <w:rsid w:val="002C6E6B"/>
    <w:rsid w:val="002C741E"/>
    <w:rsid w:val="002C7ED1"/>
    <w:rsid w:val="002D00C1"/>
    <w:rsid w:val="002D0816"/>
    <w:rsid w:val="002D0B5D"/>
    <w:rsid w:val="002D17EA"/>
    <w:rsid w:val="002D1ACD"/>
    <w:rsid w:val="002D2C09"/>
    <w:rsid w:val="002D3CD9"/>
    <w:rsid w:val="002D4936"/>
    <w:rsid w:val="002D5121"/>
    <w:rsid w:val="002D548E"/>
    <w:rsid w:val="002D5AD1"/>
    <w:rsid w:val="002D6476"/>
    <w:rsid w:val="002D6876"/>
    <w:rsid w:val="002D6A4B"/>
    <w:rsid w:val="002D6DC9"/>
    <w:rsid w:val="002D7553"/>
    <w:rsid w:val="002D7E86"/>
    <w:rsid w:val="002E0265"/>
    <w:rsid w:val="002E0EF5"/>
    <w:rsid w:val="002E194F"/>
    <w:rsid w:val="002E24A6"/>
    <w:rsid w:val="002E26A5"/>
    <w:rsid w:val="002E27C5"/>
    <w:rsid w:val="002E2A34"/>
    <w:rsid w:val="002E3743"/>
    <w:rsid w:val="002E3E7C"/>
    <w:rsid w:val="002E42FA"/>
    <w:rsid w:val="002E4821"/>
    <w:rsid w:val="002E5108"/>
    <w:rsid w:val="002E5489"/>
    <w:rsid w:val="002E57F1"/>
    <w:rsid w:val="002E609C"/>
    <w:rsid w:val="002E6239"/>
    <w:rsid w:val="002E6321"/>
    <w:rsid w:val="002E7107"/>
    <w:rsid w:val="002F09A7"/>
    <w:rsid w:val="002F1D21"/>
    <w:rsid w:val="002F1E05"/>
    <w:rsid w:val="002F2017"/>
    <w:rsid w:val="002F221D"/>
    <w:rsid w:val="002F3668"/>
    <w:rsid w:val="002F4FA4"/>
    <w:rsid w:val="002F6535"/>
    <w:rsid w:val="002F67CA"/>
    <w:rsid w:val="002F6CFE"/>
    <w:rsid w:val="002F6EB1"/>
    <w:rsid w:val="002F6F4E"/>
    <w:rsid w:val="002F7C49"/>
    <w:rsid w:val="0030021E"/>
    <w:rsid w:val="0030085B"/>
    <w:rsid w:val="00300D9F"/>
    <w:rsid w:val="00301A53"/>
    <w:rsid w:val="00302847"/>
    <w:rsid w:val="00303C74"/>
    <w:rsid w:val="00303CF9"/>
    <w:rsid w:val="00304437"/>
    <w:rsid w:val="00304B39"/>
    <w:rsid w:val="003055D7"/>
    <w:rsid w:val="00305AFB"/>
    <w:rsid w:val="00305CAB"/>
    <w:rsid w:val="003072D8"/>
    <w:rsid w:val="003076B8"/>
    <w:rsid w:val="00307803"/>
    <w:rsid w:val="00307870"/>
    <w:rsid w:val="00307A56"/>
    <w:rsid w:val="00310F0C"/>
    <w:rsid w:val="00311462"/>
    <w:rsid w:val="00312404"/>
    <w:rsid w:val="003125BF"/>
    <w:rsid w:val="00312A7E"/>
    <w:rsid w:val="0031314C"/>
    <w:rsid w:val="003137ED"/>
    <w:rsid w:val="00313A2E"/>
    <w:rsid w:val="00314408"/>
    <w:rsid w:val="00314796"/>
    <w:rsid w:val="00314822"/>
    <w:rsid w:val="00314F5C"/>
    <w:rsid w:val="00315B4A"/>
    <w:rsid w:val="00317600"/>
    <w:rsid w:val="00317688"/>
    <w:rsid w:val="00317AAD"/>
    <w:rsid w:val="00317ACF"/>
    <w:rsid w:val="00317F00"/>
    <w:rsid w:val="00320419"/>
    <w:rsid w:val="00320AD7"/>
    <w:rsid w:val="00320D28"/>
    <w:rsid w:val="00321477"/>
    <w:rsid w:val="00321835"/>
    <w:rsid w:val="00321D02"/>
    <w:rsid w:val="00321F51"/>
    <w:rsid w:val="00322207"/>
    <w:rsid w:val="0032358E"/>
    <w:rsid w:val="003237B3"/>
    <w:rsid w:val="00324170"/>
    <w:rsid w:val="00324DC1"/>
    <w:rsid w:val="003252F4"/>
    <w:rsid w:val="0032718F"/>
    <w:rsid w:val="00327E26"/>
    <w:rsid w:val="003301C7"/>
    <w:rsid w:val="00330928"/>
    <w:rsid w:val="003309EC"/>
    <w:rsid w:val="00330F5A"/>
    <w:rsid w:val="00330FCE"/>
    <w:rsid w:val="0033117C"/>
    <w:rsid w:val="0033228F"/>
    <w:rsid w:val="00333249"/>
    <w:rsid w:val="003332CB"/>
    <w:rsid w:val="003341B7"/>
    <w:rsid w:val="00334CA5"/>
    <w:rsid w:val="003354AF"/>
    <w:rsid w:val="0033580D"/>
    <w:rsid w:val="00335B48"/>
    <w:rsid w:val="00336659"/>
    <w:rsid w:val="0033671A"/>
    <w:rsid w:val="00336B03"/>
    <w:rsid w:val="00337A19"/>
    <w:rsid w:val="00337D19"/>
    <w:rsid w:val="00337FF6"/>
    <w:rsid w:val="0034021D"/>
    <w:rsid w:val="0034033D"/>
    <w:rsid w:val="003418A3"/>
    <w:rsid w:val="00341CC0"/>
    <w:rsid w:val="0034200E"/>
    <w:rsid w:val="00342384"/>
    <w:rsid w:val="003424A0"/>
    <w:rsid w:val="003427FA"/>
    <w:rsid w:val="0034426C"/>
    <w:rsid w:val="003454EF"/>
    <w:rsid w:val="003456A5"/>
    <w:rsid w:val="00345A97"/>
    <w:rsid w:val="0034602F"/>
    <w:rsid w:val="00346CFA"/>
    <w:rsid w:val="00346D39"/>
    <w:rsid w:val="00347111"/>
    <w:rsid w:val="0035022C"/>
    <w:rsid w:val="0035093B"/>
    <w:rsid w:val="00351461"/>
    <w:rsid w:val="003514E1"/>
    <w:rsid w:val="003515E3"/>
    <w:rsid w:val="0035161B"/>
    <w:rsid w:val="003520A4"/>
    <w:rsid w:val="003526A2"/>
    <w:rsid w:val="00352B51"/>
    <w:rsid w:val="0035481E"/>
    <w:rsid w:val="00354FB2"/>
    <w:rsid w:val="003554DD"/>
    <w:rsid w:val="00356729"/>
    <w:rsid w:val="00356B2F"/>
    <w:rsid w:val="00357503"/>
    <w:rsid w:val="003576A0"/>
    <w:rsid w:val="00357750"/>
    <w:rsid w:val="00360D1E"/>
    <w:rsid w:val="00361BC9"/>
    <w:rsid w:val="003626A3"/>
    <w:rsid w:val="003646EE"/>
    <w:rsid w:val="00364DA6"/>
    <w:rsid w:val="00367158"/>
    <w:rsid w:val="003675AB"/>
    <w:rsid w:val="00367B83"/>
    <w:rsid w:val="00367DFB"/>
    <w:rsid w:val="003706B5"/>
    <w:rsid w:val="003707D2"/>
    <w:rsid w:val="00370901"/>
    <w:rsid w:val="00371BCD"/>
    <w:rsid w:val="00372C32"/>
    <w:rsid w:val="003744F6"/>
    <w:rsid w:val="0037457D"/>
    <w:rsid w:val="003748AF"/>
    <w:rsid w:val="0037562E"/>
    <w:rsid w:val="0037717E"/>
    <w:rsid w:val="00377C45"/>
    <w:rsid w:val="00380439"/>
    <w:rsid w:val="00380BB7"/>
    <w:rsid w:val="00381D74"/>
    <w:rsid w:val="00382248"/>
    <w:rsid w:val="00382775"/>
    <w:rsid w:val="00382E88"/>
    <w:rsid w:val="00382FD5"/>
    <w:rsid w:val="00383C20"/>
    <w:rsid w:val="00384D08"/>
    <w:rsid w:val="0038567F"/>
    <w:rsid w:val="00386883"/>
    <w:rsid w:val="00386AD6"/>
    <w:rsid w:val="00386C2E"/>
    <w:rsid w:val="00386DF4"/>
    <w:rsid w:val="003871F6"/>
    <w:rsid w:val="003879C1"/>
    <w:rsid w:val="00387EF2"/>
    <w:rsid w:val="00390027"/>
    <w:rsid w:val="0039017E"/>
    <w:rsid w:val="00391160"/>
    <w:rsid w:val="003917EF"/>
    <w:rsid w:val="00391874"/>
    <w:rsid w:val="003933D7"/>
    <w:rsid w:val="00393724"/>
    <w:rsid w:val="0039382B"/>
    <w:rsid w:val="00393AC2"/>
    <w:rsid w:val="0039403A"/>
    <w:rsid w:val="00394270"/>
    <w:rsid w:val="00394271"/>
    <w:rsid w:val="00394AB8"/>
    <w:rsid w:val="00395704"/>
    <w:rsid w:val="003959CB"/>
    <w:rsid w:val="00395F4F"/>
    <w:rsid w:val="00396227"/>
    <w:rsid w:val="003963BB"/>
    <w:rsid w:val="00396949"/>
    <w:rsid w:val="003978C2"/>
    <w:rsid w:val="00397ADD"/>
    <w:rsid w:val="00397D26"/>
    <w:rsid w:val="003A26E7"/>
    <w:rsid w:val="003A311C"/>
    <w:rsid w:val="003A3410"/>
    <w:rsid w:val="003A357A"/>
    <w:rsid w:val="003A3A69"/>
    <w:rsid w:val="003A3AD3"/>
    <w:rsid w:val="003A41A4"/>
    <w:rsid w:val="003A441E"/>
    <w:rsid w:val="003A460B"/>
    <w:rsid w:val="003A4710"/>
    <w:rsid w:val="003A4757"/>
    <w:rsid w:val="003A4E8E"/>
    <w:rsid w:val="003A4EFE"/>
    <w:rsid w:val="003A5592"/>
    <w:rsid w:val="003A57C2"/>
    <w:rsid w:val="003A5975"/>
    <w:rsid w:val="003A65D5"/>
    <w:rsid w:val="003A78F4"/>
    <w:rsid w:val="003B036A"/>
    <w:rsid w:val="003B0D20"/>
    <w:rsid w:val="003B1039"/>
    <w:rsid w:val="003B1722"/>
    <w:rsid w:val="003B2556"/>
    <w:rsid w:val="003B37EC"/>
    <w:rsid w:val="003B4BAB"/>
    <w:rsid w:val="003B4C99"/>
    <w:rsid w:val="003B4E02"/>
    <w:rsid w:val="003B5B17"/>
    <w:rsid w:val="003B607C"/>
    <w:rsid w:val="003C0800"/>
    <w:rsid w:val="003C0A02"/>
    <w:rsid w:val="003C2895"/>
    <w:rsid w:val="003C2DD3"/>
    <w:rsid w:val="003C3CC7"/>
    <w:rsid w:val="003C3D8C"/>
    <w:rsid w:val="003C42AA"/>
    <w:rsid w:val="003C4613"/>
    <w:rsid w:val="003C4738"/>
    <w:rsid w:val="003C48E8"/>
    <w:rsid w:val="003C5301"/>
    <w:rsid w:val="003C555D"/>
    <w:rsid w:val="003C61A5"/>
    <w:rsid w:val="003C6436"/>
    <w:rsid w:val="003C72AF"/>
    <w:rsid w:val="003D010B"/>
    <w:rsid w:val="003D0579"/>
    <w:rsid w:val="003D08D9"/>
    <w:rsid w:val="003D1B10"/>
    <w:rsid w:val="003D1F61"/>
    <w:rsid w:val="003D2819"/>
    <w:rsid w:val="003D4C63"/>
    <w:rsid w:val="003D4FDC"/>
    <w:rsid w:val="003D5008"/>
    <w:rsid w:val="003D5E90"/>
    <w:rsid w:val="003D6054"/>
    <w:rsid w:val="003D61AD"/>
    <w:rsid w:val="003D6C0B"/>
    <w:rsid w:val="003D749C"/>
    <w:rsid w:val="003D7D9B"/>
    <w:rsid w:val="003E05A9"/>
    <w:rsid w:val="003E0DD4"/>
    <w:rsid w:val="003E0EC9"/>
    <w:rsid w:val="003E11F6"/>
    <w:rsid w:val="003E147F"/>
    <w:rsid w:val="003E1540"/>
    <w:rsid w:val="003E1775"/>
    <w:rsid w:val="003E2228"/>
    <w:rsid w:val="003E398F"/>
    <w:rsid w:val="003E47DF"/>
    <w:rsid w:val="003E537E"/>
    <w:rsid w:val="003E573A"/>
    <w:rsid w:val="003E5A93"/>
    <w:rsid w:val="003E5D7E"/>
    <w:rsid w:val="003E5FA6"/>
    <w:rsid w:val="003E629C"/>
    <w:rsid w:val="003E66F2"/>
    <w:rsid w:val="003E6910"/>
    <w:rsid w:val="003F04A2"/>
    <w:rsid w:val="003F16D3"/>
    <w:rsid w:val="003F2918"/>
    <w:rsid w:val="003F3615"/>
    <w:rsid w:val="003F3D4E"/>
    <w:rsid w:val="003F45DE"/>
    <w:rsid w:val="003F46D3"/>
    <w:rsid w:val="003F4983"/>
    <w:rsid w:val="003F5000"/>
    <w:rsid w:val="003F54ED"/>
    <w:rsid w:val="003F5EC9"/>
    <w:rsid w:val="003F612D"/>
    <w:rsid w:val="003F61A9"/>
    <w:rsid w:val="003F67A3"/>
    <w:rsid w:val="003F71D9"/>
    <w:rsid w:val="004007CC"/>
    <w:rsid w:val="0040087D"/>
    <w:rsid w:val="0040175C"/>
    <w:rsid w:val="00402E22"/>
    <w:rsid w:val="00403451"/>
    <w:rsid w:val="00403B5C"/>
    <w:rsid w:val="00404292"/>
    <w:rsid w:val="00404481"/>
    <w:rsid w:val="00405A7F"/>
    <w:rsid w:val="00405B70"/>
    <w:rsid w:val="00406118"/>
    <w:rsid w:val="00406B47"/>
    <w:rsid w:val="00406C91"/>
    <w:rsid w:val="00407317"/>
    <w:rsid w:val="004079E9"/>
    <w:rsid w:val="00407E56"/>
    <w:rsid w:val="00407EE6"/>
    <w:rsid w:val="00411B9B"/>
    <w:rsid w:val="00411C29"/>
    <w:rsid w:val="0041224D"/>
    <w:rsid w:val="004122E0"/>
    <w:rsid w:val="00412D12"/>
    <w:rsid w:val="00413657"/>
    <w:rsid w:val="00413EFD"/>
    <w:rsid w:val="00413FBB"/>
    <w:rsid w:val="00414411"/>
    <w:rsid w:val="004154F9"/>
    <w:rsid w:val="0041591C"/>
    <w:rsid w:val="00415BBC"/>
    <w:rsid w:val="004166D5"/>
    <w:rsid w:val="0041707B"/>
    <w:rsid w:val="00417877"/>
    <w:rsid w:val="00417ECF"/>
    <w:rsid w:val="00420AF0"/>
    <w:rsid w:val="00421046"/>
    <w:rsid w:val="00422C37"/>
    <w:rsid w:val="00422FB7"/>
    <w:rsid w:val="00423236"/>
    <w:rsid w:val="00423543"/>
    <w:rsid w:val="0042356E"/>
    <w:rsid w:val="00423F10"/>
    <w:rsid w:val="00424035"/>
    <w:rsid w:val="00424985"/>
    <w:rsid w:val="00425309"/>
    <w:rsid w:val="00425874"/>
    <w:rsid w:val="00426802"/>
    <w:rsid w:val="00427286"/>
    <w:rsid w:val="00427873"/>
    <w:rsid w:val="0043038C"/>
    <w:rsid w:val="00430AA9"/>
    <w:rsid w:val="0043196C"/>
    <w:rsid w:val="00431A23"/>
    <w:rsid w:val="00431B29"/>
    <w:rsid w:val="00432576"/>
    <w:rsid w:val="004335AF"/>
    <w:rsid w:val="00433BB3"/>
    <w:rsid w:val="00433C20"/>
    <w:rsid w:val="00433D72"/>
    <w:rsid w:val="00434018"/>
    <w:rsid w:val="00434AF7"/>
    <w:rsid w:val="0043557B"/>
    <w:rsid w:val="00435908"/>
    <w:rsid w:val="00435BEE"/>
    <w:rsid w:val="00435C21"/>
    <w:rsid w:val="00435E68"/>
    <w:rsid w:val="00436745"/>
    <w:rsid w:val="00437422"/>
    <w:rsid w:val="004379F3"/>
    <w:rsid w:val="004403FF"/>
    <w:rsid w:val="0044078E"/>
    <w:rsid w:val="00441AD4"/>
    <w:rsid w:val="00442856"/>
    <w:rsid w:val="00442E63"/>
    <w:rsid w:val="0044382D"/>
    <w:rsid w:val="00444492"/>
    <w:rsid w:val="00444559"/>
    <w:rsid w:val="0044485F"/>
    <w:rsid w:val="00444BEB"/>
    <w:rsid w:val="0044580A"/>
    <w:rsid w:val="00445E89"/>
    <w:rsid w:val="00446497"/>
    <w:rsid w:val="004466A5"/>
    <w:rsid w:val="004467CC"/>
    <w:rsid w:val="00446B56"/>
    <w:rsid w:val="00447472"/>
    <w:rsid w:val="00447981"/>
    <w:rsid w:val="004479D9"/>
    <w:rsid w:val="00447CAF"/>
    <w:rsid w:val="00450026"/>
    <w:rsid w:val="0045091E"/>
    <w:rsid w:val="00450970"/>
    <w:rsid w:val="00451B8A"/>
    <w:rsid w:val="00452CC6"/>
    <w:rsid w:val="00453619"/>
    <w:rsid w:val="00453F65"/>
    <w:rsid w:val="004558A4"/>
    <w:rsid w:val="004558E1"/>
    <w:rsid w:val="00455FA4"/>
    <w:rsid w:val="004561EB"/>
    <w:rsid w:val="0045657B"/>
    <w:rsid w:val="004569ED"/>
    <w:rsid w:val="00456FC0"/>
    <w:rsid w:val="0045728C"/>
    <w:rsid w:val="0045781C"/>
    <w:rsid w:val="004602CC"/>
    <w:rsid w:val="00460A07"/>
    <w:rsid w:val="00460B4E"/>
    <w:rsid w:val="00461BB0"/>
    <w:rsid w:val="00461DCD"/>
    <w:rsid w:val="00462282"/>
    <w:rsid w:val="004622F0"/>
    <w:rsid w:val="00462527"/>
    <w:rsid w:val="00462652"/>
    <w:rsid w:val="0046391E"/>
    <w:rsid w:val="0046403F"/>
    <w:rsid w:val="0046450F"/>
    <w:rsid w:val="004651CA"/>
    <w:rsid w:val="004670DF"/>
    <w:rsid w:val="00467863"/>
    <w:rsid w:val="00467DAA"/>
    <w:rsid w:val="00467F10"/>
    <w:rsid w:val="004708C2"/>
    <w:rsid w:val="00470E37"/>
    <w:rsid w:val="00470EED"/>
    <w:rsid w:val="0047114C"/>
    <w:rsid w:val="00471A53"/>
    <w:rsid w:val="00472EC1"/>
    <w:rsid w:val="0047344A"/>
    <w:rsid w:val="00473553"/>
    <w:rsid w:val="0047365C"/>
    <w:rsid w:val="0047376B"/>
    <w:rsid w:val="00473803"/>
    <w:rsid w:val="00473B96"/>
    <w:rsid w:val="00474B7F"/>
    <w:rsid w:val="00474FEC"/>
    <w:rsid w:val="00475474"/>
    <w:rsid w:val="00475C73"/>
    <w:rsid w:val="00475F38"/>
    <w:rsid w:val="00476248"/>
    <w:rsid w:val="00477928"/>
    <w:rsid w:val="0048059B"/>
    <w:rsid w:val="00480D33"/>
    <w:rsid w:val="00481A35"/>
    <w:rsid w:val="004822E9"/>
    <w:rsid w:val="00483421"/>
    <w:rsid w:val="004845C3"/>
    <w:rsid w:val="00485901"/>
    <w:rsid w:val="00486B35"/>
    <w:rsid w:val="00486C2C"/>
    <w:rsid w:val="004871BF"/>
    <w:rsid w:val="004875E0"/>
    <w:rsid w:val="0049135A"/>
    <w:rsid w:val="0049165D"/>
    <w:rsid w:val="00491C2E"/>
    <w:rsid w:val="0049247C"/>
    <w:rsid w:val="004927EF"/>
    <w:rsid w:val="00492A27"/>
    <w:rsid w:val="00493CE9"/>
    <w:rsid w:val="00493F58"/>
    <w:rsid w:val="004950CD"/>
    <w:rsid w:val="00495447"/>
    <w:rsid w:val="004956F4"/>
    <w:rsid w:val="00495989"/>
    <w:rsid w:val="00495A29"/>
    <w:rsid w:val="004960A5"/>
    <w:rsid w:val="00496435"/>
    <w:rsid w:val="004969A5"/>
    <w:rsid w:val="00497008"/>
    <w:rsid w:val="00497270"/>
    <w:rsid w:val="004A11B2"/>
    <w:rsid w:val="004A223B"/>
    <w:rsid w:val="004A2BEA"/>
    <w:rsid w:val="004A35A6"/>
    <w:rsid w:val="004A38DD"/>
    <w:rsid w:val="004A3A98"/>
    <w:rsid w:val="004A3B8D"/>
    <w:rsid w:val="004A437E"/>
    <w:rsid w:val="004A49C8"/>
    <w:rsid w:val="004A4C58"/>
    <w:rsid w:val="004A760E"/>
    <w:rsid w:val="004B0273"/>
    <w:rsid w:val="004B168F"/>
    <w:rsid w:val="004B1CC7"/>
    <w:rsid w:val="004B2DCE"/>
    <w:rsid w:val="004B32F0"/>
    <w:rsid w:val="004B3562"/>
    <w:rsid w:val="004B36D7"/>
    <w:rsid w:val="004B648B"/>
    <w:rsid w:val="004B67A9"/>
    <w:rsid w:val="004B6EBC"/>
    <w:rsid w:val="004B737C"/>
    <w:rsid w:val="004B74F0"/>
    <w:rsid w:val="004B7C98"/>
    <w:rsid w:val="004C00B9"/>
    <w:rsid w:val="004C06AB"/>
    <w:rsid w:val="004C0955"/>
    <w:rsid w:val="004C0EA0"/>
    <w:rsid w:val="004C115C"/>
    <w:rsid w:val="004C1604"/>
    <w:rsid w:val="004C1609"/>
    <w:rsid w:val="004C1FAB"/>
    <w:rsid w:val="004C2B9D"/>
    <w:rsid w:val="004C2E5D"/>
    <w:rsid w:val="004C341A"/>
    <w:rsid w:val="004C3B05"/>
    <w:rsid w:val="004C3F30"/>
    <w:rsid w:val="004C3F75"/>
    <w:rsid w:val="004C3FCB"/>
    <w:rsid w:val="004C4640"/>
    <w:rsid w:val="004C4DD1"/>
    <w:rsid w:val="004C5793"/>
    <w:rsid w:val="004C585C"/>
    <w:rsid w:val="004C65B7"/>
    <w:rsid w:val="004C65D5"/>
    <w:rsid w:val="004C7147"/>
    <w:rsid w:val="004C7698"/>
    <w:rsid w:val="004C7D1B"/>
    <w:rsid w:val="004D0BF6"/>
    <w:rsid w:val="004D0CD4"/>
    <w:rsid w:val="004D1AEA"/>
    <w:rsid w:val="004D2057"/>
    <w:rsid w:val="004D27EA"/>
    <w:rsid w:val="004D3985"/>
    <w:rsid w:val="004D3B98"/>
    <w:rsid w:val="004D4179"/>
    <w:rsid w:val="004D41AE"/>
    <w:rsid w:val="004D4BE8"/>
    <w:rsid w:val="004D4D4A"/>
    <w:rsid w:val="004D4ECE"/>
    <w:rsid w:val="004D58E4"/>
    <w:rsid w:val="004D6001"/>
    <w:rsid w:val="004D6036"/>
    <w:rsid w:val="004D7E91"/>
    <w:rsid w:val="004E0009"/>
    <w:rsid w:val="004E040B"/>
    <w:rsid w:val="004E105E"/>
    <w:rsid w:val="004E185D"/>
    <w:rsid w:val="004E1BF9"/>
    <w:rsid w:val="004E22BB"/>
    <w:rsid w:val="004E4C73"/>
    <w:rsid w:val="004E542B"/>
    <w:rsid w:val="004E5CD8"/>
    <w:rsid w:val="004E5DC5"/>
    <w:rsid w:val="004E5FCF"/>
    <w:rsid w:val="004E6685"/>
    <w:rsid w:val="004E7645"/>
    <w:rsid w:val="004E7C2B"/>
    <w:rsid w:val="004F01BA"/>
    <w:rsid w:val="004F0B4D"/>
    <w:rsid w:val="004F0D76"/>
    <w:rsid w:val="004F1520"/>
    <w:rsid w:val="004F21B7"/>
    <w:rsid w:val="004F3539"/>
    <w:rsid w:val="004F4566"/>
    <w:rsid w:val="004F45CA"/>
    <w:rsid w:val="004F49B0"/>
    <w:rsid w:val="004F4B2E"/>
    <w:rsid w:val="004F4E2A"/>
    <w:rsid w:val="004F5289"/>
    <w:rsid w:val="004F55C8"/>
    <w:rsid w:val="004F5F5C"/>
    <w:rsid w:val="004F60F3"/>
    <w:rsid w:val="004F71E7"/>
    <w:rsid w:val="004F7236"/>
    <w:rsid w:val="004F72D0"/>
    <w:rsid w:val="004F7721"/>
    <w:rsid w:val="004F77B0"/>
    <w:rsid w:val="0050065A"/>
    <w:rsid w:val="005008C8"/>
    <w:rsid w:val="005009DC"/>
    <w:rsid w:val="00501788"/>
    <w:rsid w:val="005029D0"/>
    <w:rsid w:val="0050360C"/>
    <w:rsid w:val="005038E9"/>
    <w:rsid w:val="005040DC"/>
    <w:rsid w:val="00504D66"/>
    <w:rsid w:val="005058C8"/>
    <w:rsid w:val="00505F2F"/>
    <w:rsid w:val="00506103"/>
    <w:rsid w:val="0050647B"/>
    <w:rsid w:val="00506DC3"/>
    <w:rsid w:val="00510EDD"/>
    <w:rsid w:val="0051181B"/>
    <w:rsid w:val="005118E7"/>
    <w:rsid w:val="00511A84"/>
    <w:rsid w:val="00512456"/>
    <w:rsid w:val="0051290A"/>
    <w:rsid w:val="00512926"/>
    <w:rsid w:val="005137F3"/>
    <w:rsid w:val="00513D76"/>
    <w:rsid w:val="00514681"/>
    <w:rsid w:val="00515098"/>
    <w:rsid w:val="00515918"/>
    <w:rsid w:val="00516C82"/>
    <w:rsid w:val="00517E7E"/>
    <w:rsid w:val="00520296"/>
    <w:rsid w:val="005204DC"/>
    <w:rsid w:val="00522549"/>
    <w:rsid w:val="005229C4"/>
    <w:rsid w:val="005229CC"/>
    <w:rsid w:val="00522FF7"/>
    <w:rsid w:val="00523046"/>
    <w:rsid w:val="00523592"/>
    <w:rsid w:val="00523C2F"/>
    <w:rsid w:val="00524B09"/>
    <w:rsid w:val="005253FE"/>
    <w:rsid w:val="00525BAC"/>
    <w:rsid w:val="00526641"/>
    <w:rsid w:val="005267C2"/>
    <w:rsid w:val="00526AAF"/>
    <w:rsid w:val="00526C95"/>
    <w:rsid w:val="005270AC"/>
    <w:rsid w:val="005273A8"/>
    <w:rsid w:val="005275A5"/>
    <w:rsid w:val="00527976"/>
    <w:rsid w:val="00527E07"/>
    <w:rsid w:val="00531431"/>
    <w:rsid w:val="005318BE"/>
    <w:rsid w:val="00532948"/>
    <w:rsid w:val="00532AA1"/>
    <w:rsid w:val="00533F73"/>
    <w:rsid w:val="005341A5"/>
    <w:rsid w:val="0053522A"/>
    <w:rsid w:val="00535993"/>
    <w:rsid w:val="005361C8"/>
    <w:rsid w:val="005367F7"/>
    <w:rsid w:val="005371A4"/>
    <w:rsid w:val="00537E27"/>
    <w:rsid w:val="00540ACF"/>
    <w:rsid w:val="00541605"/>
    <w:rsid w:val="0054169E"/>
    <w:rsid w:val="0054182A"/>
    <w:rsid w:val="00541ADD"/>
    <w:rsid w:val="00541C1A"/>
    <w:rsid w:val="00542183"/>
    <w:rsid w:val="00542903"/>
    <w:rsid w:val="00542AC6"/>
    <w:rsid w:val="00542DAE"/>
    <w:rsid w:val="00542EB8"/>
    <w:rsid w:val="0054373D"/>
    <w:rsid w:val="00544427"/>
    <w:rsid w:val="0054457D"/>
    <w:rsid w:val="00545198"/>
    <w:rsid w:val="00545324"/>
    <w:rsid w:val="00545747"/>
    <w:rsid w:val="0054693D"/>
    <w:rsid w:val="005469B1"/>
    <w:rsid w:val="00546AB6"/>
    <w:rsid w:val="00546AC2"/>
    <w:rsid w:val="005517B5"/>
    <w:rsid w:val="005523A4"/>
    <w:rsid w:val="00552755"/>
    <w:rsid w:val="00552FE3"/>
    <w:rsid w:val="005532D0"/>
    <w:rsid w:val="00553B3C"/>
    <w:rsid w:val="005545FC"/>
    <w:rsid w:val="00555C65"/>
    <w:rsid w:val="005563BE"/>
    <w:rsid w:val="0055735D"/>
    <w:rsid w:val="00557764"/>
    <w:rsid w:val="0055787E"/>
    <w:rsid w:val="00557BD6"/>
    <w:rsid w:val="00557D9A"/>
    <w:rsid w:val="005609C9"/>
    <w:rsid w:val="00560D26"/>
    <w:rsid w:val="005611AD"/>
    <w:rsid w:val="005612FB"/>
    <w:rsid w:val="005620D4"/>
    <w:rsid w:val="005625C0"/>
    <w:rsid w:val="005635BE"/>
    <w:rsid w:val="00563873"/>
    <w:rsid w:val="0056437A"/>
    <w:rsid w:val="00564CAA"/>
    <w:rsid w:val="00564E79"/>
    <w:rsid w:val="005663A5"/>
    <w:rsid w:val="00566539"/>
    <w:rsid w:val="005665A6"/>
    <w:rsid w:val="0056661A"/>
    <w:rsid w:val="005672EA"/>
    <w:rsid w:val="00567D70"/>
    <w:rsid w:val="00570289"/>
    <w:rsid w:val="00570CAB"/>
    <w:rsid w:val="005715CB"/>
    <w:rsid w:val="0057176B"/>
    <w:rsid w:val="005718C2"/>
    <w:rsid w:val="00571FB7"/>
    <w:rsid w:val="005722EC"/>
    <w:rsid w:val="00572B6C"/>
    <w:rsid w:val="00572F14"/>
    <w:rsid w:val="005732A9"/>
    <w:rsid w:val="005734BE"/>
    <w:rsid w:val="00573DFB"/>
    <w:rsid w:val="005746B3"/>
    <w:rsid w:val="005756ED"/>
    <w:rsid w:val="0057570F"/>
    <w:rsid w:val="005758A7"/>
    <w:rsid w:val="005760BC"/>
    <w:rsid w:val="00577A58"/>
    <w:rsid w:val="00580751"/>
    <w:rsid w:val="00580E96"/>
    <w:rsid w:val="00580EF1"/>
    <w:rsid w:val="005815B8"/>
    <w:rsid w:val="00582082"/>
    <w:rsid w:val="00582236"/>
    <w:rsid w:val="005838F6"/>
    <w:rsid w:val="00583E4F"/>
    <w:rsid w:val="00584713"/>
    <w:rsid w:val="00584955"/>
    <w:rsid w:val="00584E65"/>
    <w:rsid w:val="00584F90"/>
    <w:rsid w:val="00585C21"/>
    <w:rsid w:val="00585D86"/>
    <w:rsid w:val="0058666B"/>
    <w:rsid w:val="00586CB9"/>
    <w:rsid w:val="0058737C"/>
    <w:rsid w:val="005902C9"/>
    <w:rsid w:val="00590426"/>
    <w:rsid w:val="0059086B"/>
    <w:rsid w:val="00592C70"/>
    <w:rsid w:val="00592DD9"/>
    <w:rsid w:val="005930D7"/>
    <w:rsid w:val="00593D51"/>
    <w:rsid w:val="0059515B"/>
    <w:rsid w:val="005958CD"/>
    <w:rsid w:val="0059622E"/>
    <w:rsid w:val="005963E4"/>
    <w:rsid w:val="00596810"/>
    <w:rsid w:val="00596C58"/>
    <w:rsid w:val="00597048"/>
    <w:rsid w:val="005976A2"/>
    <w:rsid w:val="005A03BB"/>
    <w:rsid w:val="005A043F"/>
    <w:rsid w:val="005A0B75"/>
    <w:rsid w:val="005A0EA5"/>
    <w:rsid w:val="005A1284"/>
    <w:rsid w:val="005A1F37"/>
    <w:rsid w:val="005A2093"/>
    <w:rsid w:val="005A2413"/>
    <w:rsid w:val="005A2529"/>
    <w:rsid w:val="005A27E2"/>
    <w:rsid w:val="005A2F06"/>
    <w:rsid w:val="005A350D"/>
    <w:rsid w:val="005A36EE"/>
    <w:rsid w:val="005A3E7C"/>
    <w:rsid w:val="005A4630"/>
    <w:rsid w:val="005A46E6"/>
    <w:rsid w:val="005A4D9E"/>
    <w:rsid w:val="005A5279"/>
    <w:rsid w:val="005A54B6"/>
    <w:rsid w:val="005A5663"/>
    <w:rsid w:val="005A618C"/>
    <w:rsid w:val="005A6BBA"/>
    <w:rsid w:val="005A6EAE"/>
    <w:rsid w:val="005A73D3"/>
    <w:rsid w:val="005A7550"/>
    <w:rsid w:val="005A7858"/>
    <w:rsid w:val="005A79F3"/>
    <w:rsid w:val="005B0FE7"/>
    <w:rsid w:val="005B1356"/>
    <w:rsid w:val="005B194E"/>
    <w:rsid w:val="005B19AB"/>
    <w:rsid w:val="005B1A5C"/>
    <w:rsid w:val="005B1BCB"/>
    <w:rsid w:val="005B1EE8"/>
    <w:rsid w:val="005B2000"/>
    <w:rsid w:val="005B2987"/>
    <w:rsid w:val="005B2E3E"/>
    <w:rsid w:val="005B2E81"/>
    <w:rsid w:val="005B32DB"/>
    <w:rsid w:val="005B3C41"/>
    <w:rsid w:val="005B47B9"/>
    <w:rsid w:val="005B4D14"/>
    <w:rsid w:val="005B4E50"/>
    <w:rsid w:val="005B5100"/>
    <w:rsid w:val="005B5A1D"/>
    <w:rsid w:val="005B5D42"/>
    <w:rsid w:val="005B6AD5"/>
    <w:rsid w:val="005C1A04"/>
    <w:rsid w:val="005C2340"/>
    <w:rsid w:val="005C270A"/>
    <w:rsid w:val="005C2A48"/>
    <w:rsid w:val="005C3DE7"/>
    <w:rsid w:val="005C436C"/>
    <w:rsid w:val="005C48A5"/>
    <w:rsid w:val="005C5164"/>
    <w:rsid w:val="005C5254"/>
    <w:rsid w:val="005C57EB"/>
    <w:rsid w:val="005C5E8C"/>
    <w:rsid w:val="005C5E8D"/>
    <w:rsid w:val="005C633B"/>
    <w:rsid w:val="005C684E"/>
    <w:rsid w:val="005C7B45"/>
    <w:rsid w:val="005D0AF1"/>
    <w:rsid w:val="005D1ABB"/>
    <w:rsid w:val="005D2B9B"/>
    <w:rsid w:val="005D2D4D"/>
    <w:rsid w:val="005D332D"/>
    <w:rsid w:val="005D3432"/>
    <w:rsid w:val="005D36F5"/>
    <w:rsid w:val="005D387C"/>
    <w:rsid w:val="005D4009"/>
    <w:rsid w:val="005D47BA"/>
    <w:rsid w:val="005D51B9"/>
    <w:rsid w:val="005D6422"/>
    <w:rsid w:val="005D719F"/>
    <w:rsid w:val="005D7B05"/>
    <w:rsid w:val="005E0195"/>
    <w:rsid w:val="005E038F"/>
    <w:rsid w:val="005E0F7F"/>
    <w:rsid w:val="005E0FBD"/>
    <w:rsid w:val="005E1236"/>
    <w:rsid w:val="005E151C"/>
    <w:rsid w:val="005E202E"/>
    <w:rsid w:val="005E23D6"/>
    <w:rsid w:val="005E3334"/>
    <w:rsid w:val="005E42D4"/>
    <w:rsid w:val="005E4E14"/>
    <w:rsid w:val="005E4EE6"/>
    <w:rsid w:val="005E5303"/>
    <w:rsid w:val="005E532B"/>
    <w:rsid w:val="005E65C8"/>
    <w:rsid w:val="005E6655"/>
    <w:rsid w:val="005E66EF"/>
    <w:rsid w:val="005F082B"/>
    <w:rsid w:val="005F112F"/>
    <w:rsid w:val="005F1362"/>
    <w:rsid w:val="005F2085"/>
    <w:rsid w:val="005F26F6"/>
    <w:rsid w:val="005F2B81"/>
    <w:rsid w:val="005F2BB3"/>
    <w:rsid w:val="005F2BE9"/>
    <w:rsid w:val="005F2D44"/>
    <w:rsid w:val="005F328F"/>
    <w:rsid w:val="005F372E"/>
    <w:rsid w:val="005F3EBC"/>
    <w:rsid w:val="005F4062"/>
    <w:rsid w:val="005F41D1"/>
    <w:rsid w:val="005F52C3"/>
    <w:rsid w:val="005F5702"/>
    <w:rsid w:val="005F6264"/>
    <w:rsid w:val="005F6342"/>
    <w:rsid w:val="005F6429"/>
    <w:rsid w:val="005F64C4"/>
    <w:rsid w:val="005F69BE"/>
    <w:rsid w:val="005F6A62"/>
    <w:rsid w:val="005F71CB"/>
    <w:rsid w:val="00600087"/>
    <w:rsid w:val="00601097"/>
    <w:rsid w:val="00601303"/>
    <w:rsid w:val="00602039"/>
    <w:rsid w:val="00603336"/>
    <w:rsid w:val="0060348C"/>
    <w:rsid w:val="00603F84"/>
    <w:rsid w:val="006043A5"/>
    <w:rsid w:val="00604C83"/>
    <w:rsid w:val="00604F4C"/>
    <w:rsid w:val="00604FCE"/>
    <w:rsid w:val="0060517E"/>
    <w:rsid w:val="0060687E"/>
    <w:rsid w:val="0060722D"/>
    <w:rsid w:val="00607CD0"/>
    <w:rsid w:val="00610085"/>
    <w:rsid w:val="00610D44"/>
    <w:rsid w:val="00611319"/>
    <w:rsid w:val="006115D9"/>
    <w:rsid w:val="0061160B"/>
    <w:rsid w:val="00611A98"/>
    <w:rsid w:val="00612793"/>
    <w:rsid w:val="00612F34"/>
    <w:rsid w:val="00613BE2"/>
    <w:rsid w:val="00613BF8"/>
    <w:rsid w:val="006143CB"/>
    <w:rsid w:val="006146FB"/>
    <w:rsid w:val="006147D9"/>
    <w:rsid w:val="00614DB1"/>
    <w:rsid w:val="00615017"/>
    <w:rsid w:val="006152B0"/>
    <w:rsid w:val="0061547A"/>
    <w:rsid w:val="0061579E"/>
    <w:rsid w:val="00615B3B"/>
    <w:rsid w:val="00617CA8"/>
    <w:rsid w:val="00620EEE"/>
    <w:rsid w:val="0062123B"/>
    <w:rsid w:val="00621D57"/>
    <w:rsid w:val="0062378E"/>
    <w:rsid w:val="00623D40"/>
    <w:rsid w:val="00624064"/>
    <w:rsid w:val="00624678"/>
    <w:rsid w:val="00625310"/>
    <w:rsid w:val="006254AD"/>
    <w:rsid w:val="00626C12"/>
    <w:rsid w:val="00627488"/>
    <w:rsid w:val="00630698"/>
    <w:rsid w:val="006313A9"/>
    <w:rsid w:val="00631AF1"/>
    <w:rsid w:val="00632240"/>
    <w:rsid w:val="00632B34"/>
    <w:rsid w:val="00632EC1"/>
    <w:rsid w:val="0063300D"/>
    <w:rsid w:val="006336C4"/>
    <w:rsid w:val="006336CB"/>
    <w:rsid w:val="006345BB"/>
    <w:rsid w:val="00635142"/>
    <w:rsid w:val="00636201"/>
    <w:rsid w:val="00636625"/>
    <w:rsid w:val="0063684A"/>
    <w:rsid w:val="00637821"/>
    <w:rsid w:val="00640CAD"/>
    <w:rsid w:val="00640F08"/>
    <w:rsid w:val="0064113E"/>
    <w:rsid w:val="006417A5"/>
    <w:rsid w:val="00641A53"/>
    <w:rsid w:val="00641D87"/>
    <w:rsid w:val="00641DAC"/>
    <w:rsid w:val="006421D7"/>
    <w:rsid w:val="00642C51"/>
    <w:rsid w:val="00643431"/>
    <w:rsid w:val="006435BD"/>
    <w:rsid w:val="00644163"/>
    <w:rsid w:val="00644720"/>
    <w:rsid w:val="00644D48"/>
    <w:rsid w:val="006453D1"/>
    <w:rsid w:val="00645837"/>
    <w:rsid w:val="00645C78"/>
    <w:rsid w:val="00645EB2"/>
    <w:rsid w:val="006473C1"/>
    <w:rsid w:val="006477E9"/>
    <w:rsid w:val="00647936"/>
    <w:rsid w:val="00647A32"/>
    <w:rsid w:val="00647B42"/>
    <w:rsid w:val="006505EA"/>
    <w:rsid w:val="006507A4"/>
    <w:rsid w:val="00650EDB"/>
    <w:rsid w:val="0065111C"/>
    <w:rsid w:val="00651391"/>
    <w:rsid w:val="00651C52"/>
    <w:rsid w:val="006521D7"/>
    <w:rsid w:val="00652B0A"/>
    <w:rsid w:val="0065317A"/>
    <w:rsid w:val="006536A8"/>
    <w:rsid w:val="00653FD5"/>
    <w:rsid w:val="0065410E"/>
    <w:rsid w:val="0065455B"/>
    <w:rsid w:val="00654DC0"/>
    <w:rsid w:val="00655EA3"/>
    <w:rsid w:val="00655FC9"/>
    <w:rsid w:val="00656081"/>
    <w:rsid w:val="006563D5"/>
    <w:rsid w:val="006569CB"/>
    <w:rsid w:val="006606DB"/>
    <w:rsid w:val="00660A76"/>
    <w:rsid w:val="00661349"/>
    <w:rsid w:val="00661373"/>
    <w:rsid w:val="00661449"/>
    <w:rsid w:val="00661A07"/>
    <w:rsid w:val="006620A3"/>
    <w:rsid w:val="00662209"/>
    <w:rsid w:val="0066230C"/>
    <w:rsid w:val="00662804"/>
    <w:rsid w:val="006642B1"/>
    <w:rsid w:val="00664C51"/>
    <w:rsid w:val="00664CE7"/>
    <w:rsid w:val="00664EAD"/>
    <w:rsid w:val="00664F0F"/>
    <w:rsid w:val="006651C6"/>
    <w:rsid w:val="00665B84"/>
    <w:rsid w:val="00665EBE"/>
    <w:rsid w:val="006677E7"/>
    <w:rsid w:val="0066791F"/>
    <w:rsid w:val="00667967"/>
    <w:rsid w:val="00667E9C"/>
    <w:rsid w:val="00667F04"/>
    <w:rsid w:val="00670A4B"/>
    <w:rsid w:val="00672455"/>
    <w:rsid w:val="006728A6"/>
    <w:rsid w:val="006729A1"/>
    <w:rsid w:val="00673475"/>
    <w:rsid w:val="0067384F"/>
    <w:rsid w:val="00673CA4"/>
    <w:rsid w:val="00674519"/>
    <w:rsid w:val="00674808"/>
    <w:rsid w:val="006752C6"/>
    <w:rsid w:val="006754C3"/>
    <w:rsid w:val="006756C9"/>
    <w:rsid w:val="006756E7"/>
    <w:rsid w:val="00676330"/>
    <w:rsid w:val="00676C35"/>
    <w:rsid w:val="00680561"/>
    <w:rsid w:val="006807FB"/>
    <w:rsid w:val="00680AAE"/>
    <w:rsid w:val="006813A5"/>
    <w:rsid w:val="006813C9"/>
    <w:rsid w:val="0068181C"/>
    <w:rsid w:val="006820F1"/>
    <w:rsid w:val="00682960"/>
    <w:rsid w:val="00682EA4"/>
    <w:rsid w:val="0068344F"/>
    <w:rsid w:val="00684F0E"/>
    <w:rsid w:val="00685B01"/>
    <w:rsid w:val="00686712"/>
    <w:rsid w:val="00686AFA"/>
    <w:rsid w:val="00686C2A"/>
    <w:rsid w:val="00687370"/>
    <w:rsid w:val="00687D45"/>
    <w:rsid w:val="00690112"/>
    <w:rsid w:val="00690183"/>
    <w:rsid w:val="00691699"/>
    <w:rsid w:val="006929AA"/>
    <w:rsid w:val="00692C44"/>
    <w:rsid w:val="00693846"/>
    <w:rsid w:val="00693E33"/>
    <w:rsid w:val="00693FBF"/>
    <w:rsid w:val="00694219"/>
    <w:rsid w:val="00694D9E"/>
    <w:rsid w:val="00694ED7"/>
    <w:rsid w:val="006964DC"/>
    <w:rsid w:val="00696A0E"/>
    <w:rsid w:val="00696B72"/>
    <w:rsid w:val="00696BD0"/>
    <w:rsid w:val="00696D1C"/>
    <w:rsid w:val="006977BD"/>
    <w:rsid w:val="006A0296"/>
    <w:rsid w:val="006A06E2"/>
    <w:rsid w:val="006A13CA"/>
    <w:rsid w:val="006A1608"/>
    <w:rsid w:val="006A2C35"/>
    <w:rsid w:val="006A3AB8"/>
    <w:rsid w:val="006A412F"/>
    <w:rsid w:val="006A433A"/>
    <w:rsid w:val="006A44FD"/>
    <w:rsid w:val="006A46C2"/>
    <w:rsid w:val="006A4729"/>
    <w:rsid w:val="006A4CF2"/>
    <w:rsid w:val="006A4F62"/>
    <w:rsid w:val="006A50F2"/>
    <w:rsid w:val="006A54F7"/>
    <w:rsid w:val="006A62A2"/>
    <w:rsid w:val="006A6556"/>
    <w:rsid w:val="006A693A"/>
    <w:rsid w:val="006A7363"/>
    <w:rsid w:val="006A7727"/>
    <w:rsid w:val="006A7F6A"/>
    <w:rsid w:val="006B0382"/>
    <w:rsid w:val="006B048F"/>
    <w:rsid w:val="006B095B"/>
    <w:rsid w:val="006B0BF1"/>
    <w:rsid w:val="006B0CF5"/>
    <w:rsid w:val="006B1F94"/>
    <w:rsid w:val="006B20C3"/>
    <w:rsid w:val="006B216B"/>
    <w:rsid w:val="006B222D"/>
    <w:rsid w:val="006B2546"/>
    <w:rsid w:val="006B2827"/>
    <w:rsid w:val="006B2EFD"/>
    <w:rsid w:val="006B341C"/>
    <w:rsid w:val="006B3729"/>
    <w:rsid w:val="006B4795"/>
    <w:rsid w:val="006B53DD"/>
    <w:rsid w:val="006B54DA"/>
    <w:rsid w:val="006B6669"/>
    <w:rsid w:val="006B6922"/>
    <w:rsid w:val="006B752D"/>
    <w:rsid w:val="006B754F"/>
    <w:rsid w:val="006B775D"/>
    <w:rsid w:val="006B779E"/>
    <w:rsid w:val="006C0557"/>
    <w:rsid w:val="006C08F3"/>
    <w:rsid w:val="006C0B63"/>
    <w:rsid w:val="006C1324"/>
    <w:rsid w:val="006C133F"/>
    <w:rsid w:val="006C304D"/>
    <w:rsid w:val="006C3434"/>
    <w:rsid w:val="006C375C"/>
    <w:rsid w:val="006C3791"/>
    <w:rsid w:val="006C44DD"/>
    <w:rsid w:val="006C5292"/>
    <w:rsid w:val="006C6228"/>
    <w:rsid w:val="006C7094"/>
    <w:rsid w:val="006C732A"/>
    <w:rsid w:val="006C759D"/>
    <w:rsid w:val="006D091C"/>
    <w:rsid w:val="006D09D1"/>
    <w:rsid w:val="006D0B9C"/>
    <w:rsid w:val="006D0D69"/>
    <w:rsid w:val="006D182A"/>
    <w:rsid w:val="006D1C01"/>
    <w:rsid w:val="006D1FA9"/>
    <w:rsid w:val="006D1FF5"/>
    <w:rsid w:val="006D2ABE"/>
    <w:rsid w:val="006D2D0A"/>
    <w:rsid w:val="006D2DEF"/>
    <w:rsid w:val="006D328B"/>
    <w:rsid w:val="006D34B4"/>
    <w:rsid w:val="006D3E2D"/>
    <w:rsid w:val="006D4157"/>
    <w:rsid w:val="006D5A0E"/>
    <w:rsid w:val="006D5C1B"/>
    <w:rsid w:val="006D6312"/>
    <w:rsid w:val="006D7211"/>
    <w:rsid w:val="006D7F5E"/>
    <w:rsid w:val="006E0700"/>
    <w:rsid w:val="006E0C8F"/>
    <w:rsid w:val="006E266A"/>
    <w:rsid w:val="006E2CE7"/>
    <w:rsid w:val="006E33FB"/>
    <w:rsid w:val="006E34F7"/>
    <w:rsid w:val="006E3A17"/>
    <w:rsid w:val="006E5300"/>
    <w:rsid w:val="006E56DC"/>
    <w:rsid w:val="006E5E36"/>
    <w:rsid w:val="006E6003"/>
    <w:rsid w:val="006E6034"/>
    <w:rsid w:val="006E6506"/>
    <w:rsid w:val="006E69FD"/>
    <w:rsid w:val="006E7013"/>
    <w:rsid w:val="006F028E"/>
    <w:rsid w:val="006F02C1"/>
    <w:rsid w:val="006F0619"/>
    <w:rsid w:val="006F1B1C"/>
    <w:rsid w:val="006F1D6E"/>
    <w:rsid w:val="006F1F85"/>
    <w:rsid w:val="006F23DC"/>
    <w:rsid w:val="006F288F"/>
    <w:rsid w:val="006F2C23"/>
    <w:rsid w:val="006F43BE"/>
    <w:rsid w:val="006F4C09"/>
    <w:rsid w:val="006F567B"/>
    <w:rsid w:val="006F57AE"/>
    <w:rsid w:val="006F5A25"/>
    <w:rsid w:val="006F6275"/>
    <w:rsid w:val="006F671F"/>
    <w:rsid w:val="006F698C"/>
    <w:rsid w:val="00700538"/>
    <w:rsid w:val="007020B0"/>
    <w:rsid w:val="007021AE"/>
    <w:rsid w:val="00702834"/>
    <w:rsid w:val="0070298A"/>
    <w:rsid w:val="00702CCB"/>
    <w:rsid w:val="00703EB5"/>
    <w:rsid w:val="00704006"/>
    <w:rsid w:val="007066E6"/>
    <w:rsid w:val="00706984"/>
    <w:rsid w:val="00706BCB"/>
    <w:rsid w:val="00707B73"/>
    <w:rsid w:val="00710762"/>
    <w:rsid w:val="007112F1"/>
    <w:rsid w:val="00711DFE"/>
    <w:rsid w:val="007123F4"/>
    <w:rsid w:val="00712523"/>
    <w:rsid w:val="00712AC8"/>
    <w:rsid w:val="0071429B"/>
    <w:rsid w:val="0071441B"/>
    <w:rsid w:val="00714A70"/>
    <w:rsid w:val="00714ADD"/>
    <w:rsid w:val="007158D5"/>
    <w:rsid w:val="00715E3A"/>
    <w:rsid w:val="00715F24"/>
    <w:rsid w:val="00717637"/>
    <w:rsid w:val="00717A43"/>
    <w:rsid w:val="00717FE3"/>
    <w:rsid w:val="0072065D"/>
    <w:rsid w:val="0072200A"/>
    <w:rsid w:val="00722580"/>
    <w:rsid w:val="0072369C"/>
    <w:rsid w:val="007242C8"/>
    <w:rsid w:val="00724583"/>
    <w:rsid w:val="00725345"/>
    <w:rsid w:val="00725706"/>
    <w:rsid w:val="00725F05"/>
    <w:rsid w:val="00726017"/>
    <w:rsid w:val="007260A1"/>
    <w:rsid w:val="00726AE1"/>
    <w:rsid w:val="00727371"/>
    <w:rsid w:val="00727474"/>
    <w:rsid w:val="00727839"/>
    <w:rsid w:val="00727B25"/>
    <w:rsid w:val="0073070D"/>
    <w:rsid w:val="0073082B"/>
    <w:rsid w:val="00731494"/>
    <w:rsid w:val="00731516"/>
    <w:rsid w:val="00731530"/>
    <w:rsid w:val="00731E7D"/>
    <w:rsid w:val="007322F5"/>
    <w:rsid w:val="0073272A"/>
    <w:rsid w:val="0073288C"/>
    <w:rsid w:val="00732BC5"/>
    <w:rsid w:val="0073355F"/>
    <w:rsid w:val="007351C2"/>
    <w:rsid w:val="007352A7"/>
    <w:rsid w:val="00736D65"/>
    <w:rsid w:val="00740190"/>
    <w:rsid w:val="00740384"/>
    <w:rsid w:val="00740FEF"/>
    <w:rsid w:val="0074166B"/>
    <w:rsid w:val="00741FCF"/>
    <w:rsid w:val="00742810"/>
    <w:rsid w:val="00742995"/>
    <w:rsid w:val="00742ED1"/>
    <w:rsid w:val="00743145"/>
    <w:rsid w:val="00743630"/>
    <w:rsid w:val="00744228"/>
    <w:rsid w:val="0074429D"/>
    <w:rsid w:val="00745296"/>
    <w:rsid w:val="007452C1"/>
    <w:rsid w:val="00745E01"/>
    <w:rsid w:val="007475AD"/>
    <w:rsid w:val="007477FE"/>
    <w:rsid w:val="00747E90"/>
    <w:rsid w:val="007503CC"/>
    <w:rsid w:val="00750594"/>
    <w:rsid w:val="00751433"/>
    <w:rsid w:val="0075321E"/>
    <w:rsid w:val="00753790"/>
    <w:rsid w:val="00754D10"/>
    <w:rsid w:val="00755100"/>
    <w:rsid w:val="0075578E"/>
    <w:rsid w:val="00755C87"/>
    <w:rsid w:val="007579B4"/>
    <w:rsid w:val="007601E7"/>
    <w:rsid w:val="00760A79"/>
    <w:rsid w:val="007617AF"/>
    <w:rsid w:val="00761B89"/>
    <w:rsid w:val="00761DC2"/>
    <w:rsid w:val="0076266E"/>
    <w:rsid w:val="0076271B"/>
    <w:rsid w:val="00763935"/>
    <w:rsid w:val="007648AE"/>
    <w:rsid w:val="00764A40"/>
    <w:rsid w:val="007663FF"/>
    <w:rsid w:val="00766666"/>
    <w:rsid w:val="007672BF"/>
    <w:rsid w:val="0076746F"/>
    <w:rsid w:val="007675D8"/>
    <w:rsid w:val="00771513"/>
    <w:rsid w:val="00771BB8"/>
    <w:rsid w:val="0077276B"/>
    <w:rsid w:val="00773BB3"/>
    <w:rsid w:val="00776C11"/>
    <w:rsid w:val="00777FCA"/>
    <w:rsid w:val="007817C6"/>
    <w:rsid w:val="007819EB"/>
    <w:rsid w:val="007823C4"/>
    <w:rsid w:val="00783564"/>
    <w:rsid w:val="0078392C"/>
    <w:rsid w:val="00784F1E"/>
    <w:rsid w:val="00786690"/>
    <w:rsid w:val="0078683D"/>
    <w:rsid w:val="00786A28"/>
    <w:rsid w:val="00786DA4"/>
    <w:rsid w:val="00787A7C"/>
    <w:rsid w:val="00787C70"/>
    <w:rsid w:val="00787E31"/>
    <w:rsid w:val="00787F87"/>
    <w:rsid w:val="00790456"/>
    <w:rsid w:val="00790AC0"/>
    <w:rsid w:val="0079143D"/>
    <w:rsid w:val="00791F3A"/>
    <w:rsid w:val="00791FC1"/>
    <w:rsid w:val="00792787"/>
    <w:rsid w:val="00792A4D"/>
    <w:rsid w:val="00792C90"/>
    <w:rsid w:val="00794295"/>
    <w:rsid w:val="00794C2A"/>
    <w:rsid w:val="00796DB0"/>
    <w:rsid w:val="0079708B"/>
    <w:rsid w:val="00797916"/>
    <w:rsid w:val="0079793E"/>
    <w:rsid w:val="007A0177"/>
    <w:rsid w:val="007A0391"/>
    <w:rsid w:val="007A0429"/>
    <w:rsid w:val="007A17BE"/>
    <w:rsid w:val="007A1AC6"/>
    <w:rsid w:val="007A24C7"/>
    <w:rsid w:val="007A2E20"/>
    <w:rsid w:val="007A309E"/>
    <w:rsid w:val="007A387E"/>
    <w:rsid w:val="007A3AAF"/>
    <w:rsid w:val="007A3EBD"/>
    <w:rsid w:val="007A4AB6"/>
    <w:rsid w:val="007A4E3C"/>
    <w:rsid w:val="007A4EC8"/>
    <w:rsid w:val="007A551A"/>
    <w:rsid w:val="007A6BAB"/>
    <w:rsid w:val="007B028D"/>
    <w:rsid w:val="007B0581"/>
    <w:rsid w:val="007B1824"/>
    <w:rsid w:val="007B1C1D"/>
    <w:rsid w:val="007B2130"/>
    <w:rsid w:val="007B291C"/>
    <w:rsid w:val="007B2C27"/>
    <w:rsid w:val="007B2E97"/>
    <w:rsid w:val="007B363F"/>
    <w:rsid w:val="007B3894"/>
    <w:rsid w:val="007B39AB"/>
    <w:rsid w:val="007B41A7"/>
    <w:rsid w:val="007B6B94"/>
    <w:rsid w:val="007B6ECB"/>
    <w:rsid w:val="007B7090"/>
    <w:rsid w:val="007C0206"/>
    <w:rsid w:val="007C044D"/>
    <w:rsid w:val="007C0D40"/>
    <w:rsid w:val="007C1B61"/>
    <w:rsid w:val="007C2011"/>
    <w:rsid w:val="007C2517"/>
    <w:rsid w:val="007C2C0B"/>
    <w:rsid w:val="007C4334"/>
    <w:rsid w:val="007C4900"/>
    <w:rsid w:val="007C4F40"/>
    <w:rsid w:val="007C5C9F"/>
    <w:rsid w:val="007C5FDB"/>
    <w:rsid w:val="007C75AE"/>
    <w:rsid w:val="007C7C96"/>
    <w:rsid w:val="007D1764"/>
    <w:rsid w:val="007D1E0F"/>
    <w:rsid w:val="007D235B"/>
    <w:rsid w:val="007D295E"/>
    <w:rsid w:val="007D3761"/>
    <w:rsid w:val="007D39A9"/>
    <w:rsid w:val="007D4034"/>
    <w:rsid w:val="007D46B0"/>
    <w:rsid w:val="007D4B59"/>
    <w:rsid w:val="007D5061"/>
    <w:rsid w:val="007D5A27"/>
    <w:rsid w:val="007D5F5C"/>
    <w:rsid w:val="007D663B"/>
    <w:rsid w:val="007D6D44"/>
    <w:rsid w:val="007D6DA0"/>
    <w:rsid w:val="007D70E7"/>
    <w:rsid w:val="007E087B"/>
    <w:rsid w:val="007E0F09"/>
    <w:rsid w:val="007E0FEF"/>
    <w:rsid w:val="007E11B8"/>
    <w:rsid w:val="007E1428"/>
    <w:rsid w:val="007E2419"/>
    <w:rsid w:val="007E245A"/>
    <w:rsid w:val="007E4504"/>
    <w:rsid w:val="007E46D0"/>
    <w:rsid w:val="007E4CAD"/>
    <w:rsid w:val="007E4E78"/>
    <w:rsid w:val="007E4F1F"/>
    <w:rsid w:val="007E50D3"/>
    <w:rsid w:val="007E5CD3"/>
    <w:rsid w:val="007E5E84"/>
    <w:rsid w:val="007E7581"/>
    <w:rsid w:val="007E763D"/>
    <w:rsid w:val="007E7D2B"/>
    <w:rsid w:val="007F0134"/>
    <w:rsid w:val="007F0A70"/>
    <w:rsid w:val="007F155B"/>
    <w:rsid w:val="007F198C"/>
    <w:rsid w:val="007F1D41"/>
    <w:rsid w:val="007F32B7"/>
    <w:rsid w:val="007F3FDE"/>
    <w:rsid w:val="007F462F"/>
    <w:rsid w:val="007F4C70"/>
    <w:rsid w:val="007F79EF"/>
    <w:rsid w:val="007F7AB2"/>
    <w:rsid w:val="0080008D"/>
    <w:rsid w:val="00800BE4"/>
    <w:rsid w:val="0080107B"/>
    <w:rsid w:val="008010D8"/>
    <w:rsid w:val="00801161"/>
    <w:rsid w:val="0080160E"/>
    <w:rsid w:val="00801719"/>
    <w:rsid w:val="00801F96"/>
    <w:rsid w:val="00802B8D"/>
    <w:rsid w:val="00802E70"/>
    <w:rsid w:val="008031FF"/>
    <w:rsid w:val="00804A2A"/>
    <w:rsid w:val="00804B8D"/>
    <w:rsid w:val="00804DB0"/>
    <w:rsid w:val="0080532C"/>
    <w:rsid w:val="008056B7"/>
    <w:rsid w:val="008059FB"/>
    <w:rsid w:val="00805B1E"/>
    <w:rsid w:val="00805BC0"/>
    <w:rsid w:val="00805FAB"/>
    <w:rsid w:val="00807100"/>
    <w:rsid w:val="008071FE"/>
    <w:rsid w:val="00807E90"/>
    <w:rsid w:val="008103C9"/>
    <w:rsid w:val="0081040C"/>
    <w:rsid w:val="008105BF"/>
    <w:rsid w:val="00810A4C"/>
    <w:rsid w:val="0081101C"/>
    <w:rsid w:val="00811080"/>
    <w:rsid w:val="008118C4"/>
    <w:rsid w:val="00811C09"/>
    <w:rsid w:val="00812902"/>
    <w:rsid w:val="008133B2"/>
    <w:rsid w:val="008135E6"/>
    <w:rsid w:val="008135EC"/>
    <w:rsid w:val="0081403E"/>
    <w:rsid w:val="00815970"/>
    <w:rsid w:val="00815FDC"/>
    <w:rsid w:val="00816119"/>
    <w:rsid w:val="0081724D"/>
    <w:rsid w:val="0081785E"/>
    <w:rsid w:val="00817910"/>
    <w:rsid w:val="00817F49"/>
    <w:rsid w:val="0082036E"/>
    <w:rsid w:val="008203AA"/>
    <w:rsid w:val="00820FB4"/>
    <w:rsid w:val="00822D4E"/>
    <w:rsid w:val="00822E9B"/>
    <w:rsid w:val="00823CCF"/>
    <w:rsid w:val="0082401B"/>
    <w:rsid w:val="00824319"/>
    <w:rsid w:val="008261BA"/>
    <w:rsid w:val="008268CA"/>
    <w:rsid w:val="008270B3"/>
    <w:rsid w:val="008305DC"/>
    <w:rsid w:val="00830961"/>
    <w:rsid w:val="0083097B"/>
    <w:rsid w:val="008310CF"/>
    <w:rsid w:val="008315CB"/>
    <w:rsid w:val="00831682"/>
    <w:rsid w:val="00832B8F"/>
    <w:rsid w:val="008331C0"/>
    <w:rsid w:val="00833546"/>
    <w:rsid w:val="008342AB"/>
    <w:rsid w:val="008343B2"/>
    <w:rsid w:val="00834762"/>
    <w:rsid w:val="008349A1"/>
    <w:rsid w:val="00834FB3"/>
    <w:rsid w:val="008351DE"/>
    <w:rsid w:val="00835EB5"/>
    <w:rsid w:val="008364FC"/>
    <w:rsid w:val="008365F0"/>
    <w:rsid w:val="00837062"/>
    <w:rsid w:val="0083755A"/>
    <w:rsid w:val="00840349"/>
    <w:rsid w:val="0084042D"/>
    <w:rsid w:val="00840FA6"/>
    <w:rsid w:val="008419C1"/>
    <w:rsid w:val="008419C7"/>
    <w:rsid w:val="00842255"/>
    <w:rsid w:val="0084226B"/>
    <w:rsid w:val="0084238B"/>
    <w:rsid w:val="00843CDE"/>
    <w:rsid w:val="00844998"/>
    <w:rsid w:val="00844BE3"/>
    <w:rsid w:val="00846176"/>
    <w:rsid w:val="0084700B"/>
    <w:rsid w:val="00847312"/>
    <w:rsid w:val="008476B0"/>
    <w:rsid w:val="00850311"/>
    <w:rsid w:val="008507DA"/>
    <w:rsid w:val="00850948"/>
    <w:rsid w:val="00850AD0"/>
    <w:rsid w:val="00850ED3"/>
    <w:rsid w:val="00852196"/>
    <w:rsid w:val="008524DF"/>
    <w:rsid w:val="00853163"/>
    <w:rsid w:val="00853533"/>
    <w:rsid w:val="00853C1B"/>
    <w:rsid w:val="00853C22"/>
    <w:rsid w:val="00853E66"/>
    <w:rsid w:val="0085465B"/>
    <w:rsid w:val="00854DE5"/>
    <w:rsid w:val="00856A8C"/>
    <w:rsid w:val="00856C77"/>
    <w:rsid w:val="00857988"/>
    <w:rsid w:val="00857A46"/>
    <w:rsid w:val="00857E78"/>
    <w:rsid w:val="00860A0C"/>
    <w:rsid w:val="0086138E"/>
    <w:rsid w:val="00861D9D"/>
    <w:rsid w:val="00862B61"/>
    <w:rsid w:val="008634FB"/>
    <w:rsid w:val="0086350C"/>
    <w:rsid w:val="00864541"/>
    <w:rsid w:val="00864F39"/>
    <w:rsid w:val="00866CAD"/>
    <w:rsid w:val="00870BA6"/>
    <w:rsid w:val="008715EE"/>
    <w:rsid w:val="008724AD"/>
    <w:rsid w:val="008729DE"/>
    <w:rsid w:val="00872A4C"/>
    <w:rsid w:val="00872C85"/>
    <w:rsid w:val="00873704"/>
    <w:rsid w:val="00874220"/>
    <w:rsid w:val="00874EE6"/>
    <w:rsid w:val="00875E11"/>
    <w:rsid w:val="00875E97"/>
    <w:rsid w:val="00876673"/>
    <w:rsid w:val="00876688"/>
    <w:rsid w:val="00876A9F"/>
    <w:rsid w:val="00876B54"/>
    <w:rsid w:val="00876E34"/>
    <w:rsid w:val="00877185"/>
    <w:rsid w:val="00877BCC"/>
    <w:rsid w:val="00877E0A"/>
    <w:rsid w:val="00880F41"/>
    <w:rsid w:val="00881BCE"/>
    <w:rsid w:val="00881C30"/>
    <w:rsid w:val="008821B9"/>
    <w:rsid w:val="00882DB4"/>
    <w:rsid w:val="0088386A"/>
    <w:rsid w:val="0088403A"/>
    <w:rsid w:val="00884464"/>
    <w:rsid w:val="00884534"/>
    <w:rsid w:val="00884A83"/>
    <w:rsid w:val="00884B2A"/>
    <w:rsid w:val="00884B2C"/>
    <w:rsid w:val="0088513F"/>
    <w:rsid w:val="00885D81"/>
    <w:rsid w:val="00885EFF"/>
    <w:rsid w:val="00886123"/>
    <w:rsid w:val="00887CB2"/>
    <w:rsid w:val="00887F1C"/>
    <w:rsid w:val="00890919"/>
    <w:rsid w:val="008910D1"/>
    <w:rsid w:val="00891259"/>
    <w:rsid w:val="00891454"/>
    <w:rsid w:val="008914C9"/>
    <w:rsid w:val="00891523"/>
    <w:rsid w:val="008917A5"/>
    <w:rsid w:val="00892D66"/>
    <w:rsid w:val="00893290"/>
    <w:rsid w:val="0089333E"/>
    <w:rsid w:val="00893BF0"/>
    <w:rsid w:val="008942EE"/>
    <w:rsid w:val="008947FD"/>
    <w:rsid w:val="008949CD"/>
    <w:rsid w:val="008966EB"/>
    <w:rsid w:val="00896D30"/>
    <w:rsid w:val="00897ABB"/>
    <w:rsid w:val="00897AC9"/>
    <w:rsid w:val="008A0000"/>
    <w:rsid w:val="008A001B"/>
    <w:rsid w:val="008A03E8"/>
    <w:rsid w:val="008A04D2"/>
    <w:rsid w:val="008A150C"/>
    <w:rsid w:val="008A1B1D"/>
    <w:rsid w:val="008A2B15"/>
    <w:rsid w:val="008A3117"/>
    <w:rsid w:val="008A3567"/>
    <w:rsid w:val="008A4764"/>
    <w:rsid w:val="008A5320"/>
    <w:rsid w:val="008A5A74"/>
    <w:rsid w:val="008A60D0"/>
    <w:rsid w:val="008A6259"/>
    <w:rsid w:val="008A6A99"/>
    <w:rsid w:val="008A7344"/>
    <w:rsid w:val="008A7B43"/>
    <w:rsid w:val="008A7BC3"/>
    <w:rsid w:val="008A7EE1"/>
    <w:rsid w:val="008B0782"/>
    <w:rsid w:val="008B1A19"/>
    <w:rsid w:val="008B240C"/>
    <w:rsid w:val="008B3247"/>
    <w:rsid w:val="008B3DCC"/>
    <w:rsid w:val="008B3EC7"/>
    <w:rsid w:val="008B4BAD"/>
    <w:rsid w:val="008B5262"/>
    <w:rsid w:val="008B5B82"/>
    <w:rsid w:val="008B5E97"/>
    <w:rsid w:val="008B6C29"/>
    <w:rsid w:val="008B6E1F"/>
    <w:rsid w:val="008B784B"/>
    <w:rsid w:val="008B7DAD"/>
    <w:rsid w:val="008C098E"/>
    <w:rsid w:val="008C0CF0"/>
    <w:rsid w:val="008C0FAB"/>
    <w:rsid w:val="008C1366"/>
    <w:rsid w:val="008C1F7B"/>
    <w:rsid w:val="008C2116"/>
    <w:rsid w:val="008C3C5C"/>
    <w:rsid w:val="008C48C7"/>
    <w:rsid w:val="008C5D94"/>
    <w:rsid w:val="008C6A11"/>
    <w:rsid w:val="008C717F"/>
    <w:rsid w:val="008C73F2"/>
    <w:rsid w:val="008C7CCF"/>
    <w:rsid w:val="008D019F"/>
    <w:rsid w:val="008D023A"/>
    <w:rsid w:val="008D083D"/>
    <w:rsid w:val="008D0E80"/>
    <w:rsid w:val="008D10B3"/>
    <w:rsid w:val="008D1505"/>
    <w:rsid w:val="008D165C"/>
    <w:rsid w:val="008D1AFD"/>
    <w:rsid w:val="008D1E05"/>
    <w:rsid w:val="008D28ED"/>
    <w:rsid w:val="008D34B2"/>
    <w:rsid w:val="008D3E56"/>
    <w:rsid w:val="008D4027"/>
    <w:rsid w:val="008D42AD"/>
    <w:rsid w:val="008D4FEE"/>
    <w:rsid w:val="008D58D6"/>
    <w:rsid w:val="008D61B3"/>
    <w:rsid w:val="008D70D8"/>
    <w:rsid w:val="008D733A"/>
    <w:rsid w:val="008E0C52"/>
    <w:rsid w:val="008E0E47"/>
    <w:rsid w:val="008E138A"/>
    <w:rsid w:val="008E1501"/>
    <w:rsid w:val="008E1510"/>
    <w:rsid w:val="008E1A53"/>
    <w:rsid w:val="008E1A67"/>
    <w:rsid w:val="008E2357"/>
    <w:rsid w:val="008E33D8"/>
    <w:rsid w:val="008E3C03"/>
    <w:rsid w:val="008E4AF9"/>
    <w:rsid w:val="008E5623"/>
    <w:rsid w:val="008E5B79"/>
    <w:rsid w:val="008E6509"/>
    <w:rsid w:val="008E7132"/>
    <w:rsid w:val="008E7212"/>
    <w:rsid w:val="008E7649"/>
    <w:rsid w:val="008F01AB"/>
    <w:rsid w:val="008F0A33"/>
    <w:rsid w:val="008F0CD0"/>
    <w:rsid w:val="008F0E83"/>
    <w:rsid w:val="008F3520"/>
    <w:rsid w:val="008F3630"/>
    <w:rsid w:val="008F3BFE"/>
    <w:rsid w:val="008F3DF7"/>
    <w:rsid w:val="008F4283"/>
    <w:rsid w:val="008F5D90"/>
    <w:rsid w:val="008F671D"/>
    <w:rsid w:val="008F7955"/>
    <w:rsid w:val="009002E2"/>
    <w:rsid w:val="009004E6"/>
    <w:rsid w:val="009034F2"/>
    <w:rsid w:val="009037C8"/>
    <w:rsid w:val="00903E44"/>
    <w:rsid w:val="00904D48"/>
    <w:rsid w:val="00904FD2"/>
    <w:rsid w:val="0090714B"/>
    <w:rsid w:val="00907382"/>
    <w:rsid w:val="00907E3A"/>
    <w:rsid w:val="00910B9C"/>
    <w:rsid w:val="009111BB"/>
    <w:rsid w:val="00911442"/>
    <w:rsid w:val="00911B98"/>
    <w:rsid w:val="00911C14"/>
    <w:rsid w:val="00912001"/>
    <w:rsid w:val="0091264B"/>
    <w:rsid w:val="00912CB6"/>
    <w:rsid w:val="00912CDD"/>
    <w:rsid w:val="00913409"/>
    <w:rsid w:val="00913E47"/>
    <w:rsid w:val="009143DE"/>
    <w:rsid w:val="00914440"/>
    <w:rsid w:val="00915028"/>
    <w:rsid w:val="0091514D"/>
    <w:rsid w:val="0091535F"/>
    <w:rsid w:val="00915605"/>
    <w:rsid w:val="00915D1B"/>
    <w:rsid w:val="00916DA8"/>
    <w:rsid w:val="00916E37"/>
    <w:rsid w:val="0091759B"/>
    <w:rsid w:val="009179A3"/>
    <w:rsid w:val="00917D05"/>
    <w:rsid w:val="00920639"/>
    <w:rsid w:val="0092085C"/>
    <w:rsid w:val="00920CCB"/>
    <w:rsid w:val="00920F0C"/>
    <w:rsid w:val="009214FB"/>
    <w:rsid w:val="00922494"/>
    <w:rsid w:val="0092287C"/>
    <w:rsid w:val="00922BE1"/>
    <w:rsid w:val="00922E18"/>
    <w:rsid w:val="00923798"/>
    <w:rsid w:val="00924B74"/>
    <w:rsid w:val="00925FFE"/>
    <w:rsid w:val="00926D5F"/>
    <w:rsid w:val="00926FB5"/>
    <w:rsid w:val="009273B4"/>
    <w:rsid w:val="0092767A"/>
    <w:rsid w:val="00927D94"/>
    <w:rsid w:val="00927E50"/>
    <w:rsid w:val="0093046B"/>
    <w:rsid w:val="009307B4"/>
    <w:rsid w:val="0093084D"/>
    <w:rsid w:val="00930AEC"/>
    <w:rsid w:val="009316F9"/>
    <w:rsid w:val="0093188B"/>
    <w:rsid w:val="00931A1C"/>
    <w:rsid w:val="00931A3E"/>
    <w:rsid w:val="00931DBE"/>
    <w:rsid w:val="0093223B"/>
    <w:rsid w:val="00932327"/>
    <w:rsid w:val="00932D53"/>
    <w:rsid w:val="00933408"/>
    <w:rsid w:val="009335FE"/>
    <w:rsid w:val="00933A58"/>
    <w:rsid w:val="00934100"/>
    <w:rsid w:val="00934D13"/>
    <w:rsid w:val="00935920"/>
    <w:rsid w:val="00935ED1"/>
    <w:rsid w:val="009360F9"/>
    <w:rsid w:val="00937BAF"/>
    <w:rsid w:val="00937E2C"/>
    <w:rsid w:val="009406A9"/>
    <w:rsid w:val="00940BFD"/>
    <w:rsid w:val="00941708"/>
    <w:rsid w:val="00942FBE"/>
    <w:rsid w:val="009432BA"/>
    <w:rsid w:val="009432BF"/>
    <w:rsid w:val="00943550"/>
    <w:rsid w:val="0094442A"/>
    <w:rsid w:val="00944747"/>
    <w:rsid w:val="009449ED"/>
    <w:rsid w:val="0094539C"/>
    <w:rsid w:val="0094579A"/>
    <w:rsid w:val="00946BA4"/>
    <w:rsid w:val="009501E4"/>
    <w:rsid w:val="00950305"/>
    <w:rsid w:val="0095082A"/>
    <w:rsid w:val="009514AB"/>
    <w:rsid w:val="009516C2"/>
    <w:rsid w:val="0095177E"/>
    <w:rsid w:val="00951EE4"/>
    <w:rsid w:val="00952378"/>
    <w:rsid w:val="0095256F"/>
    <w:rsid w:val="009527D2"/>
    <w:rsid w:val="0095309D"/>
    <w:rsid w:val="009536E6"/>
    <w:rsid w:val="009547F1"/>
    <w:rsid w:val="00954A59"/>
    <w:rsid w:val="00955674"/>
    <w:rsid w:val="00955873"/>
    <w:rsid w:val="0095598F"/>
    <w:rsid w:val="0095652E"/>
    <w:rsid w:val="0095655C"/>
    <w:rsid w:val="00956AB4"/>
    <w:rsid w:val="009572D9"/>
    <w:rsid w:val="00957FE4"/>
    <w:rsid w:val="0096060E"/>
    <w:rsid w:val="00960B76"/>
    <w:rsid w:val="00961321"/>
    <w:rsid w:val="0096132D"/>
    <w:rsid w:val="00961510"/>
    <w:rsid w:val="0096203A"/>
    <w:rsid w:val="0096268F"/>
    <w:rsid w:val="00962A35"/>
    <w:rsid w:val="00963421"/>
    <w:rsid w:val="00964DE4"/>
    <w:rsid w:val="0096531F"/>
    <w:rsid w:val="00965933"/>
    <w:rsid w:val="00966630"/>
    <w:rsid w:val="0096668E"/>
    <w:rsid w:val="00966BE6"/>
    <w:rsid w:val="00966BF3"/>
    <w:rsid w:val="00966ED6"/>
    <w:rsid w:val="0096726D"/>
    <w:rsid w:val="0096779B"/>
    <w:rsid w:val="00970B75"/>
    <w:rsid w:val="00970C3E"/>
    <w:rsid w:val="00970D06"/>
    <w:rsid w:val="00970E2E"/>
    <w:rsid w:val="009713CC"/>
    <w:rsid w:val="0097178F"/>
    <w:rsid w:val="00971A78"/>
    <w:rsid w:val="00972E1D"/>
    <w:rsid w:val="0097322C"/>
    <w:rsid w:val="00973683"/>
    <w:rsid w:val="00974221"/>
    <w:rsid w:val="00974529"/>
    <w:rsid w:val="00974851"/>
    <w:rsid w:val="009748CB"/>
    <w:rsid w:val="00974AE3"/>
    <w:rsid w:val="00975305"/>
    <w:rsid w:val="009769D4"/>
    <w:rsid w:val="00976F25"/>
    <w:rsid w:val="00977BE1"/>
    <w:rsid w:val="00980500"/>
    <w:rsid w:val="00981600"/>
    <w:rsid w:val="0098197C"/>
    <w:rsid w:val="00981E8B"/>
    <w:rsid w:val="00983683"/>
    <w:rsid w:val="00984439"/>
    <w:rsid w:val="00984457"/>
    <w:rsid w:val="009852D9"/>
    <w:rsid w:val="00985381"/>
    <w:rsid w:val="00985638"/>
    <w:rsid w:val="009856C4"/>
    <w:rsid w:val="0098583C"/>
    <w:rsid w:val="009859DF"/>
    <w:rsid w:val="009859F0"/>
    <w:rsid w:val="00985CDE"/>
    <w:rsid w:val="009860A9"/>
    <w:rsid w:val="00986439"/>
    <w:rsid w:val="009871D3"/>
    <w:rsid w:val="0098747C"/>
    <w:rsid w:val="00990716"/>
    <w:rsid w:val="00990A0B"/>
    <w:rsid w:val="0099232E"/>
    <w:rsid w:val="00992500"/>
    <w:rsid w:val="0099314C"/>
    <w:rsid w:val="009933B7"/>
    <w:rsid w:val="00993E32"/>
    <w:rsid w:val="00993FD0"/>
    <w:rsid w:val="009947DE"/>
    <w:rsid w:val="009954C2"/>
    <w:rsid w:val="00995D3B"/>
    <w:rsid w:val="00995D90"/>
    <w:rsid w:val="00996F77"/>
    <w:rsid w:val="00996FFB"/>
    <w:rsid w:val="00997195"/>
    <w:rsid w:val="009977A7"/>
    <w:rsid w:val="00997A89"/>
    <w:rsid w:val="009A0258"/>
    <w:rsid w:val="009A073F"/>
    <w:rsid w:val="009A0CC5"/>
    <w:rsid w:val="009A18DE"/>
    <w:rsid w:val="009A1937"/>
    <w:rsid w:val="009A1A1A"/>
    <w:rsid w:val="009A267B"/>
    <w:rsid w:val="009A2857"/>
    <w:rsid w:val="009A2DA4"/>
    <w:rsid w:val="009A326B"/>
    <w:rsid w:val="009A35B6"/>
    <w:rsid w:val="009A37A3"/>
    <w:rsid w:val="009A5641"/>
    <w:rsid w:val="009A585A"/>
    <w:rsid w:val="009A59AA"/>
    <w:rsid w:val="009A6AFD"/>
    <w:rsid w:val="009A6BD2"/>
    <w:rsid w:val="009A7A76"/>
    <w:rsid w:val="009A7BAC"/>
    <w:rsid w:val="009B0486"/>
    <w:rsid w:val="009B1AC4"/>
    <w:rsid w:val="009B28A9"/>
    <w:rsid w:val="009B2D04"/>
    <w:rsid w:val="009B39D7"/>
    <w:rsid w:val="009B3C83"/>
    <w:rsid w:val="009B524C"/>
    <w:rsid w:val="009B55FC"/>
    <w:rsid w:val="009B6086"/>
    <w:rsid w:val="009B6498"/>
    <w:rsid w:val="009B6934"/>
    <w:rsid w:val="009B6BCC"/>
    <w:rsid w:val="009B71CB"/>
    <w:rsid w:val="009B7372"/>
    <w:rsid w:val="009B74CB"/>
    <w:rsid w:val="009B7513"/>
    <w:rsid w:val="009B79D2"/>
    <w:rsid w:val="009B79DC"/>
    <w:rsid w:val="009B7FAA"/>
    <w:rsid w:val="009C0D65"/>
    <w:rsid w:val="009C23BC"/>
    <w:rsid w:val="009C26FF"/>
    <w:rsid w:val="009C281F"/>
    <w:rsid w:val="009C2A45"/>
    <w:rsid w:val="009C3CEC"/>
    <w:rsid w:val="009C51B4"/>
    <w:rsid w:val="009C571D"/>
    <w:rsid w:val="009C59BD"/>
    <w:rsid w:val="009C5CA1"/>
    <w:rsid w:val="009C7406"/>
    <w:rsid w:val="009C779D"/>
    <w:rsid w:val="009C7C30"/>
    <w:rsid w:val="009C7DF2"/>
    <w:rsid w:val="009D0707"/>
    <w:rsid w:val="009D0DF5"/>
    <w:rsid w:val="009D2041"/>
    <w:rsid w:val="009D3EB8"/>
    <w:rsid w:val="009D4516"/>
    <w:rsid w:val="009D48C2"/>
    <w:rsid w:val="009D4CB2"/>
    <w:rsid w:val="009D5726"/>
    <w:rsid w:val="009D5EA6"/>
    <w:rsid w:val="009D63C8"/>
    <w:rsid w:val="009D64DF"/>
    <w:rsid w:val="009D6739"/>
    <w:rsid w:val="009D6ACB"/>
    <w:rsid w:val="009D6B68"/>
    <w:rsid w:val="009D6E30"/>
    <w:rsid w:val="009D7474"/>
    <w:rsid w:val="009D762E"/>
    <w:rsid w:val="009E07D6"/>
    <w:rsid w:val="009E0A80"/>
    <w:rsid w:val="009E104B"/>
    <w:rsid w:val="009E2126"/>
    <w:rsid w:val="009E22C9"/>
    <w:rsid w:val="009E26F3"/>
    <w:rsid w:val="009E2A4D"/>
    <w:rsid w:val="009E4148"/>
    <w:rsid w:val="009E4441"/>
    <w:rsid w:val="009E44B4"/>
    <w:rsid w:val="009E459D"/>
    <w:rsid w:val="009E47D2"/>
    <w:rsid w:val="009E4BDE"/>
    <w:rsid w:val="009E510B"/>
    <w:rsid w:val="009E601E"/>
    <w:rsid w:val="009E6B29"/>
    <w:rsid w:val="009E6DD9"/>
    <w:rsid w:val="009E7325"/>
    <w:rsid w:val="009E73F4"/>
    <w:rsid w:val="009F0BAF"/>
    <w:rsid w:val="009F1425"/>
    <w:rsid w:val="009F1FF3"/>
    <w:rsid w:val="009F2841"/>
    <w:rsid w:val="009F32FF"/>
    <w:rsid w:val="009F3F78"/>
    <w:rsid w:val="009F43EB"/>
    <w:rsid w:val="009F4528"/>
    <w:rsid w:val="009F4BB0"/>
    <w:rsid w:val="009F4CCC"/>
    <w:rsid w:val="009F53AA"/>
    <w:rsid w:val="009F7499"/>
    <w:rsid w:val="009F7CA5"/>
    <w:rsid w:val="00A004E2"/>
    <w:rsid w:val="00A00A5E"/>
    <w:rsid w:val="00A00ED3"/>
    <w:rsid w:val="00A01253"/>
    <w:rsid w:val="00A0165E"/>
    <w:rsid w:val="00A02606"/>
    <w:rsid w:val="00A0282C"/>
    <w:rsid w:val="00A02B96"/>
    <w:rsid w:val="00A02DCD"/>
    <w:rsid w:val="00A030D4"/>
    <w:rsid w:val="00A0313A"/>
    <w:rsid w:val="00A03246"/>
    <w:rsid w:val="00A039E8"/>
    <w:rsid w:val="00A0457B"/>
    <w:rsid w:val="00A0549D"/>
    <w:rsid w:val="00A05877"/>
    <w:rsid w:val="00A06164"/>
    <w:rsid w:val="00A06E50"/>
    <w:rsid w:val="00A078C6"/>
    <w:rsid w:val="00A07BF9"/>
    <w:rsid w:val="00A10BD4"/>
    <w:rsid w:val="00A10DE7"/>
    <w:rsid w:val="00A110BB"/>
    <w:rsid w:val="00A11BCF"/>
    <w:rsid w:val="00A11DC0"/>
    <w:rsid w:val="00A1272A"/>
    <w:rsid w:val="00A12BA7"/>
    <w:rsid w:val="00A13044"/>
    <w:rsid w:val="00A131C9"/>
    <w:rsid w:val="00A1367D"/>
    <w:rsid w:val="00A13709"/>
    <w:rsid w:val="00A13C92"/>
    <w:rsid w:val="00A13F02"/>
    <w:rsid w:val="00A1603D"/>
    <w:rsid w:val="00A1618D"/>
    <w:rsid w:val="00A16FB4"/>
    <w:rsid w:val="00A20CD8"/>
    <w:rsid w:val="00A22840"/>
    <w:rsid w:val="00A23654"/>
    <w:rsid w:val="00A23957"/>
    <w:rsid w:val="00A23D6E"/>
    <w:rsid w:val="00A244A4"/>
    <w:rsid w:val="00A260AC"/>
    <w:rsid w:val="00A264A8"/>
    <w:rsid w:val="00A27D4B"/>
    <w:rsid w:val="00A32458"/>
    <w:rsid w:val="00A32C85"/>
    <w:rsid w:val="00A32F05"/>
    <w:rsid w:val="00A330DD"/>
    <w:rsid w:val="00A33299"/>
    <w:rsid w:val="00A3334E"/>
    <w:rsid w:val="00A33CAA"/>
    <w:rsid w:val="00A340BE"/>
    <w:rsid w:val="00A34209"/>
    <w:rsid w:val="00A354EB"/>
    <w:rsid w:val="00A35507"/>
    <w:rsid w:val="00A35A49"/>
    <w:rsid w:val="00A377FF"/>
    <w:rsid w:val="00A37D8D"/>
    <w:rsid w:val="00A4039B"/>
    <w:rsid w:val="00A406B5"/>
    <w:rsid w:val="00A4108D"/>
    <w:rsid w:val="00A4123B"/>
    <w:rsid w:val="00A41824"/>
    <w:rsid w:val="00A41D81"/>
    <w:rsid w:val="00A4201D"/>
    <w:rsid w:val="00A429A3"/>
    <w:rsid w:val="00A42C2E"/>
    <w:rsid w:val="00A42E34"/>
    <w:rsid w:val="00A4364C"/>
    <w:rsid w:val="00A437C1"/>
    <w:rsid w:val="00A43BBD"/>
    <w:rsid w:val="00A43F98"/>
    <w:rsid w:val="00A46025"/>
    <w:rsid w:val="00A46269"/>
    <w:rsid w:val="00A4729E"/>
    <w:rsid w:val="00A474A4"/>
    <w:rsid w:val="00A51390"/>
    <w:rsid w:val="00A51F7E"/>
    <w:rsid w:val="00A54444"/>
    <w:rsid w:val="00A545A6"/>
    <w:rsid w:val="00A560D8"/>
    <w:rsid w:val="00A5644F"/>
    <w:rsid w:val="00A57228"/>
    <w:rsid w:val="00A603B2"/>
    <w:rsid w:val="00A60918"/>
    <w:rsid w:val="00A62081"/>
    <w:rsid w:val="00A62474"/>
    <w:rsid w:val="00A62975"/>
    <w:rsid w:val="00A62C1D"/>
    <w:rsid w:val="00A63A4E"/>
    <w:rsid w:val="00A64163"/>
    <w:rsid w:val="00A64185"/>
    <w:rsid w:val="00A65492"/>
    <w:rsid w:val="00A65934"/>
    <w:rsid w:val="00A65B9F"/>
    <w:rsid w:val="00A65BA6"/>
    <w:rsid w:val="00A660C0"/>
    <w:rsid w:val="00A666F4"/>
    <w:rsid w:val="00A66A6D"/>
    <w:rsid w:val="00A66E3B"/>
    <w:rsid w:val="00A700F0"/>
    <w:rsid w:val="00A7059D"/>
    <w:rsid w:val="00A7076D"/>
    <w:rsid w:val="00A70902"/>
    <w:rsid w:val="00A71871"/>
    <w:rsid w:val="00A71BC7"/>
    <w:rsid w:val="00A733CE"/>
    <w:rsid w:val="00A739AD"/>
    <w:rsid w:val="00A748CD"/>
    <w:rsid w:val="00A7493E"/>
    <w:rsid w:val="00A75B08"/>
    <w:rsid w:val="00A75EAD"/>
    <w:rsid w:val="00A76262"/>
    <w:rsid w:val="00A76654"/>
    <w:rsid w:val="00A7691F"/>
    <w:rsid w:val="00A771D3"/>
    <w:rsid w:val="00A77A55"/>
    <w:rsid w:val="00A803DE"/>
    <w:rsid w:val="00A80B62"/>
    <w:rsid w:val="00A814C8"/>
    <w:rsid w:val="00A814F7"/>
    <w:rsid w:val="00A8155A"/>
    <w:rsid w:val="00A81BA3"/>
    <w:rsid w:val="00A81C67"/>
    <w:rsid w:val="00A82882"/>
    <w:rsid w:val="00A82C42"/>
    <w:rsid w:val="00A82DD0"/>
    <w:rsid w:val="00A83108"/>
    <w:rsid w:val="00A832CB"/>
    <w:rsid w:val="00A8540D"/>
    <w:rsid w:val="00A855B1"/>
    <w:rsid w:val="00A85E7C"/>
    <w:rsid w:val="00A865E7"/>
    <w:rsid w:val="00A8674C"/>
    <w:rsid w:val="00A870CC"/>
    <w:rsid w:val="00A87106"/>
    <w:rsid w:val="00A87924"/>
    <w:rsid w:val="00A87E13"/>
    <w:rsid w:val="00A90011"/>
    <w:rsid w:val="00A901E2"/>
    <w:rsid w:val="00A90375"/>
    <w:rsid w:val="00A90B53"/>
    <w:rsid w:val="00A91073"/>
    <w:rsid w:val="00A923F1"/>
    <w:rsid w:val="00A93530"/>
    <w:rsid w:val="00A93AA6"/>
    <w:rsid w:val="00A94523"/>
    <w:rsid w:val="00A9491F"/>
    <w:rsid w:val="00A94EE9"/>
    <w:rsid w:val="00A953B4"/>
    <w:rsid w:val="00A95BC8"/>
    <w:rsid w:val="00A95CC9"/>
    <w:rsid w:val="00A962D2"/>
    <w:rsid w:val="00A964A1"/>
    <w:rsid w:val="00A9761E"/>
    <w:rsid w:val="00A9793A"/>
    <w:rsid w:val="00AA0A51"/>
    <w:rsid w:val="00AA1EE2"/>
    <w:rsid w:val="00AA23E3"/>
    <w:rsid w:val="00AA32B8"/>
    <w:rsid w:val="00AA33EE"/>
    <w:rsid w:val="00AA3669"/>
    <w:rsid w:val="00AA377B"/>
    <w:rsid w:val="00AA495C"/>
    <w:rsid w:val="00AA4A4E"/>
    <w:rsid w:val="00AA5F4D"/>
    <w:rsid w:val="00AA618A"/>
    <w:rsid w:val="00AA71D0"/>
    <w:rsid w:val="00AA7312"/>
    <w:rsid w:val="00AA74A7"/>
    <w:rsid w:val="00AB0491"/>
    <w:rsid w:val="00AB07B6"/>
    <w:rsid w:val="00AB14B0"/>
    <w:rsid w:val="00AB168C"/>
    <w:rsid w:val="00AB283B"/>
    <w:rsid w:val="00AB2FA4"/>
    <w:rsid w:val="00AB3424"/>
    <w:rsid w:val="00AB490B"/>
    <w:rsid w:val="00AB4FF1"/>
    <w:rsid w:val="00AB5283"/>
    <w:rsid w:val="00AB6E62"/>
    <w:rsid w:val="00AB745E"/>
    <w:rsid w:val="00AB764A"/>
    <w:rsid w:val="00AC0289"/>
    <w:rsid w:val="00AC0540"/>
    <w:rsid w:val="00AC1205"/>
    <w:rsid w:val="00AC189C"/>
    <w:rsid w:val="00AC2638"/>
    <w:rsid w:val="00AC2976"/>
    <w:rsid w:val="00AC3817"/>
    <w:rsid w:val="00AC3C3A"/>
    <w:rsid w:val="00AC3F85"/>
    <w:rsid w:val="00AC5AC5"/>
    <w:rsid w:val="00AC6A13"/>
    <w:rsid w:val="00AC6CE5"/>
    <w:rsid w:val="00AC7384"/>
    <w:rsid w:val="00AC75DB"/>
    <w:rsid w:val="00AC7647"/>
    <w:rsid w:val="00AC78EE"/>
    <w:rsid w:val="00AD0013"/>
    <w:rsid w:val="00AD07D1"/>
    <w:rsid w:val="00AD148D"/>
    <w:rsid w:val="00AD17EF"/>
    <w:rsid w:val="00AD1ADC"/>
    <w:rsid w:val="00AD266E"/>
    <w:rsid w:val="00AD276B"/>
    <w:rsid w:val="00AD30EB"/>
    <w:rsid w:val="00AD3D71"/>
    <w:rsid w:val="00AD3DBC"/>
    <w:rsid w:val="00AD5E7B"/>
    <w:rsid w:val="00AD6EC3"/>
    <w:rsid w:val="00AD7058"/>
    <w:rsid w:val="00AD7482"/>
    <w:rsid w:val="00AE036C"/>
    <w:rsid w:val="00AE0E32"/>
    <w:rsid w:val="00AE11C8"/>
    <w:rsid w:val="00AE14B0"/>
    <w:rsid w:val="00AE15D1"/>
    <w:rsid w:val="00AE1B70"/>
    <w:rsid w:val="00AE377E"/>
    <w:rsid w:val="00AE3EA3"/>
    <w:rsid w:val="00AE3FF1"/>
    <w:rsid w:val="00AE43C7"/>
    <w:rsid w:val="00AE4A6E"/>
    <w:rsid w:val="00AE4A97"/>
    <w:rsid w:val="00AE4E89"/>
    <w:rsid w:val="00AE5E2B"/>
    <w:rsid w:val="00AE67A5"/>
    <w:rsid w:val="00AE71F6"/>
    <w:rsid w:val="00AE7462"/>
    <w:rsid w:val="00AE7654"/>
    <w:rsid w:val="00AE7809"/>
    <w:rsid w:val="00AE7D3F"/>
    <w:rsid w:val="00AF0230"/>
    <w:rsid w:val="00AF06C2"/>
    <w:rsid w:val="00AF0943"/>
    <w:rsid w:val="00AF2329"/>
    <w:rsid w:val="00AF2B7D"/>
    <w:rsid w:val="00AF2FAD"/>
    <w:rsid w:val="00AF4488"/>
    <w:rsid w:val="00AF5107"/>
    <w:rsid w:val="00AF531D"/>
    <w:rsid w:val="00AF60C8"/>
    <w:rsid w:val="00AF65EB"/>
    <w:rsid w:val="00AF7E5A"/>
    <w:rsid w:val="00B000BF"/>
    <w:rsid w:val="00B012A3"/>
    <w:rsid w:val="00B01E74"/>
    <w:rsid w:val="00B0284B"/>
    <w:rsid w:val="00B035FB"/>
    <w:rsid w:val="00B03949"/>
    <w:rsid w:val="00B04A7F"/>
    <w:rsid w:val="00B04B37"/>
    <w:rsid w:val="00B05505"/>
    <w:rsid w:val="00B0577E"/>
    <w:rsid w:val="00B05CAE"/>
    <w:rsid w:val="00B060CF"/>
    <w:rsid w:val="00B06BDA"/>
    <w:rsid w:val="00B076EC"/>
    <w:rsid w:val="00B07866"/>
    <w:rsid w:val="00B07F83"/>
    <w:rsid w:val="00B07FF8"/>
    <w:rsid w:val="00B10C32"/>
    <w:rsid w:val="00B11313"/>
    <w:rsid w:val="00B122E6"/>
    <w:rsid w:val="00B1334E"/>
    <w:rsid w:val="00B136B2"/>
    <w:rsid w:val="00B13EEC"/>
    <w:rsid w:val="00B15105"/>
    <w:rsid w:val="00B156B0"/>
    <w:rsid w:val="00B168B9"/>
    <w:rsid w:val="00B16D37"/>
    <w:rsid w:val="00B171AE"/>
    <w:rsid w:val="00B17878"/>
    <w:rsid w:val="00B178BF"/>
    <w:rsid w:val="00B17D68"/>
    <w:rsid w:val="00B17FCD"/>
    <w:rsid w:val="00B20008"/>
    <w:rsid w:val="00B2035C"/>
    <w:rsid w:val="00B2154F"/>
    <w:rsid w:val="00B220AD"/>
    <w:rsid w:val="00B22170"/>
    <w:rsid w:val="00B224CC"/>
    <w:rsid w:val="00B22C4B"/>
    <w:rsid w:val="00B23703"/>
    <w:rsid w:val="00B2443A"/>
    <w:rsid w:val="00B2459E"/>
    <w:rsid w:val="00B246AE"/>
    <w:rsid w:val="00B247F2"/>
    <w:rsid w:val="00B25233"/>
    <w:rsid w:val="00B25596"/>
    <w:rsid w:val="00B25D0E"/>
    <w:rsid w:val="00B25EDB"/>
    <w:rsid w:val="00B260EA"/>
    <w:rsid w:val="00B26B80"/>
    <w:rsid w:val="00B2755F"/>
    <w:rsid w:val="00B30795"/>
    <w:rsid w:val="00B30E84"/>
    <w:rsid w:val="00B31135"/>
    <w:rsid w:val="00B31C09"/>
    <w:rsid w:val="00B31C7C"/>
    <w:rsid w:val="00B334E7"/>
    <w:rsid w:val="00B341D9"/>
    <w:rsid w:val="00B34224"/>
    <w:rsid w:val="00B34593"/>
    <w:rsid w:val="00B34F32"/>
    <w:rsid w:val="00B352D8"/>
    <w:rsid w:val="00B358E8"/>
    <w:rsid w:val="00B36CBB"/>
    <w:rsid w:val="00B37857"/>
    <w:rsid w:val="00B401C6"/>
    <w:rsid w:val="00B40784"/>
    <w:rsid w:val="00B417E3"/>
    <w:rsid w:val="00B42CA7"/>
    <w:rsid w:val="00B4314E"/>
    <w:rsid w:val="00B43558"/>
    <w:rsid w:val="00B43A27"/>
    <w:rsid w:val="00B43E10"/>
    <w:rsid w:val="00B43E36"/>
    <w:rsid w:val="00B43F15"/>
    <w:rsid w:val="00B43FEC"/>
    <w:rsid w:val="00B44106"/>
    <w:rsid w:val="00B4489D"/>
    <w:rsid w:val="00B456FC"/>
    <w:rsid w:val="00B45B09"/>
    <w:rsid w:val="00B4617C"/>
    <w:rsid w:val="00B4625B"/>
    <w:rsid w:val="00B47A72"/>
    <w:rsid w:val="00B47ECE"/>
    <w:rsid w:val="00B50C78"/>
    <w:rsid w:val="00B51154"/>
    <w:rsid w:val="00B5168A"/>
    <w:rsid w:val="00B51977"/>
    <w:rsid w:val="00B51A06"/>
    <w:rsid w:val="00B51FB8"/>
    <w:rsid w:val="00B52135"/>
    <w:rsid w:val="00B523C3"/>
    <w:rsid w:val="00B532D1"/>
    <w:rsid w:val="00B532E3"/>
    <w:rsid w:val="00B538DF"/>
    <w:rsid w:val="00B53AA5"/>
    <w:rsid w:val="00B53B5A"/>
    <w:rsid w:val="00B53DA9"/>
    <w:rsid w:val="00B55A61"/>
    <w:rsid w:val="00B55E1F"/>
    <w:rsid w:val="00B55F93"/>
    <w:rsid w:val="00B565CB"/>
    <w:rsid w:val="00B56C68"/>
    <w:rsid w:val="00B56F34"/>
    <w:rsid w:val="00B5778C"/>
    <w:rsid w:val="00B57CDC"/>
    <w:rsid w:val="00B600B7"/>
    <w:rsid w:val="00B6143D"/>
    <w:rsid w:val="00B61A53"/>
    <w:rsid w:val="00B61BB2"/>
    <w:rsid w:val="00B61EBA"/>
    <w:rsid w:val="00B621E9"/>
    <w:rsid w:val="00B622FB"/>
    <w:rsid w:val="00B643D0"/>
    <w:rsid w:val="00B64750"/>
    <w:rsid w:val="00B64754"/>
    <w:rsid w:val="00B6492D"/>
    <w:rsid w:val="00B64AC2"/>
    <w:rsid w:val="00B64E6B"/>
    <w:rsid w:val="00B6544E"/>
    <w:rsid w:val="00B6592B"/>
    <w:rsid w:val="00B65C5E"/>
    <w:rsid w:val="00B66E8A"/>
    <w:rsid w:val="00B708CA"/>
    <w:rsid w:val="00B70A5F"/>
    <w:rsid w:val="00B70CA6"/>
    <w:rsid w:val="00B710D0"/>
    <w:rsid w:val="00B712FD"/>
    <w:rsid w:val="00B72C3A"/>
    <w:rsid w:val="00B7344F"/>
    <w:rsid w:val="00B736F3"/>
    <w:rsid w:val="00B73839"/>
    <w:rsid w:val="00B751ED"/>
    <w:rsid w:val="00B761E1"/>
    <w:rsid w:val="00B76CF8"/>
    <w:rsid w:val="00B7774D"/>
    <w:rsid w:val="00B778E2"/>
    <w:rsid w:val="00B77B63"/>
    <w:rsid w:val="00B80467"/>
    <w:rsid w:val="00B81706"/>
    <w:rsid w:val="00B81863"/>
    <w:rsid w:val="00B81C55"/>
    <w:rsid w:val="00B824DE"/>
    <w:rsid w:val="00B836FE"/>
    <w:rsid w:val="00B84F9F"/>
    <w:rsid w:val="00B85665"/>
    <w:rsid w:val="00B85B18"/>
    <w:rsid w:val="00B86516"/>
    <w:rsid w:val="00B87BBA"/>
    <w:rsid w:val="00B902E0"/>
    <w:rsid w:val="00B91760"/>
    <w:rsid w:val="00B92606"/>
    <w:rsid w:val="00B929F1"/>
    <w:rsid w:val="00B92F55"/>
    <w:rsid w:val="00B92FE4"/>
    <w:rsid w:val="00B93A40"/>
    <w:rsid w:val="00B93F6E"/>
    <w:rsid w:val="00B945E9"/>
    <w:rsid w:val="00B9483E"/>
    <w:rsid w:val="00B9517D"/>
    <w:rsid w:val="00B95505"/>
    <w:rsid w:val="00B95605"/>
    <w:rsid w:val="00B95721"/>
    <w:rsid w:val="00B958F6"/>
    <w:rsid w:val="00B9600C"/>
    <w:rsid w:val="00B96150"/>
    <w:rsid w:val="00B967E0"/>
    <w:rsid w:val="00B9689A"/>
    <w:rsid w:val="00B96969"/>
    <w:rsid w:val="00B973D4"/>
    <w:rsid w:val="00BA0D52"/>
    <w:rsid w:val="00BA1113"/>
    <w:rsid w:val="00BA112F"/>
    <w:rsid w:val="00BA1DB2"/>
    <w:rsid w:val="00BA28BE"/>
    <w:rsid w:val="00BA3B59"/>
    <w:rsid w:val="00BA3B71"/>
    <w:rsid w:val="00BA54B5"/>
    <w:rsid w:val="00BA5D8E"/>
    <w:rsid w:val="00BA6397"/>
    <w:rsid w:val="00BA6750"/>
    <w:rsid w:val="00BA7AD3"/>
    <w:rsid w:val="00BA7F7F"/>
    <w:rsid w:val="00BB0AAE"/>
    <w:rsid w:val="00BB0D6F"/>
    <w:rsid w:val="00BB15BE"/>
    <w:rsid w:val="00BB18D4"/>
    <w:rsid w:val="00BB1AC1"/>
    <w:rsid w:val="00BB2ECE"/>
    <w:rsid w:val="00BB331C"/>
    <w:rsid w:val="00BB3AEC"/>
    <w:rsid w:val="00BB442B"/>
    <w:rsid w:val="00BB446B"/>
    <w:rsid w:val="00BB496C"/>
    <w:rsid w:val="00BB4B3B"/>
    <w:rsid w:val="00BB4FFA"/>
    <w:rsid w:val="00BB5A72"/>
    <w:rsid w:val="00BB5B5E"/>
    <w:rsid w:val="00BB5CE0"/>
    <w:rsid w:val="00BB66FD"/>
    <w:rsid w:val="00BB709B"/>
    <w:rsid w:val="00BC1AB2"/>
    <w:rsid w:val="00BC33F8"/>
    <w:rsid w:val="00BC3A86"/>
    <w:rsid w:val="00BC4262"/>
    <w:rsid w:val="00BC427C"/>
    <w:rsid w:val="00BC428A"/>
    <w:rsid w:val="00BC45B0"/>
    <w:rsid w:val="00BC468F"/>
    <w:rsid w:val="00BC49A1"/>
    <w:rsid w:val="00BC4A43"/>
    <w:rsid w:val="00BC4B8B"/>
    <w:rsid w:val="00BC5754"/>
    <w:rsid w:val="00BC7597"/>
    <w:rsid w:val="00BC77D0"/>
    <w:rsid w:val="00BC7A33"/>
    <w:rsid w:val="00BD0078"/>
    <w:rsid w:val="00BD0628"/>
    <w:rsid w:val="00BD0659"/>
    <w:rsid w:val="00BD0A91"/>
    <w:rsid w:val="00BD0CC2"/>
    <w:rsid w:val="00BD1961"/>
    <w:rsid w:val="00BD1A0F"/>
    <w:rsid w:val="00BD1E90"/>
    <w:rsid w:val="00BD1F01"/>
    <w:rsid w:val="00BD2320"/>
    <w:rsid w:val="00BD2E40"/>
    <w:rsid w:val="00BD2EC8"/>
    <w:rsid w:val="00BD3165"/>
    <w:rsid w:val="00BD32A5"/>
    <w:rsid w:val="00BD34DB"/>
    <w:rsid w:val="00BD3B97"/>
    <w:rsid w:val="00BD3D1D"/>
    <w:rsid w:val="00BD3EB4"/>
    <w:rsid w:val="00BD433F"/>
    <w:rsid w:val="00BD4607"/>
    <w:rsid w:val="00BD605B"/>
    <w:rsid w:val="00BD632B"/>
    <w:rsid w:val="00BD6337"/>
    <w:rsid w:val="00BD6845"/>
    <w:rsid w:val="00BD6E59"/>
    <w:rsid w:val="00BD6F58"/>
    <w:rsid w:val="00BD73FB"/>
    <w:rsid w:val="00BD76B2"/>
    <w:rsid w:val="00BD7DF6"/>
    <w:rsid w:val="00BD7E93"/>
    <w:rsid w:val="00BE06CD"/>
    <w:rsid w:val="00BE1B0D"/>
    <w:rsid w:val="00BE2DE5"/>
    <w:rsid w:val="00BE2E00"/>
    <w:rsid w:val="00BE2FD3"/>
    <w:rsid w:val="00BE41C9"/>
    <w:rsid w:val="00BE5990"/>
    <w:rsid w:val="00BE5FBE"/>
    <w:rsid w:val="00BE61CB"/>
    <w:rsid w:val="00BE6D86"/>
    <w:rsid w:val="00BE73D6"/>
    <w:rsid w:val="00BE73E8"/>
    <w:rsid w:val="00BF0FC6"/>
    <w:rsid w:val="00BF198A"/>
    <w:rsid w:val="00BF2192"/>
    <w:rsid w:val="00BF2236"/>
    <w:rsid w:val="00BF2CEB"/>
    <w:rsid w:val="00BF3879"/>
    <w:rsid w:val="00BF3A88"/>
    <w:rsid w:val="00BF4158"/>
    <w:rsid w:val="00BF4570"/>
    <w:rsid w:val="00BF4CFD"/>
    <w:rsid w:val="00BF6245"/>
    <w:rsid w:val="00BF68FD"/>
    <w:rsid w:val="00BF6B03"/>
    <w:rsid w:val="00BF750D"/>
    <w:rsid w:val="00BF7561"/>
    <w:rsid w:val="00BF75AC"/>
    <w:rsid w:val="00BF7E19"/>
    <w:rsid w:val="00BF7FBC"/>
    <w:rsid w:val="00C00522"/>
    <w:rsid w:val="00C005E0"/>
    <w:rsid w:val="00C00689"/>
    <w:rsid w:val="00C00BCB"/>
    <w:rsid w:val="00C00D5D"/>
    <w:rsid w:val="00C01258"/>
    <w:rsid w:val="00C017D8"/>
    <w:rsid w:val="00C01A09"/>
    <w:rsid w:val="00C01AC2"/>
    <w:rsid w:val="00C01B8F"/>
    <w:rsid w:val="00C02DBC"/>
    <w:rsid w:val="00C02DFE"/>
    <w:rsid w:val="00C02ED1"/>
    <w:rsid w:val="00C03A16"/>
    <w:rsid w:val="00C04550"/>
    <w:rsid w:val="00C04641"/>
    <w:rsid w:val="00C05A02"/>
    <w:rsid w:val="00C05EDB"/>
    <w:rsid w:val="00C05F82"/>
    <w:rsid w:val="00C061C5"/>
    <w:rsid w:val="00C07582"/>
    <w:rsid w:val="00C101CC"/>
    <w:rsid w:val="00C108C9"/>
    <w:rsid w:val="00C10D63"/>
    <w:rsid w:val="00C11274"/>
    <w:rsid w:val="00C115DB"/>
    <w:rsid w:val="00C12181"/>
    <w:rsid w:val="00C122FF"/>
    <w:rsid w:val="00C123B5"/>
    <w:rsid w:val="00C124FD"/>
    <w:rsid w:val="00C12560"/>
    <w:rsid w:val="00C13156"/>
    <w:rsid w:val="00C139E2"/>
    <w:rsid w:val="00C141B2"/>
    <w:rsid w:val="00C163D2"/>
    <w:rsid w:val="00C1685D"/>
    <w:rsid w:val="00C16AE3"/>
    <w:rsid w:val="00C16C9A"/>
    <w:rsid w:val="00C16E55"/>
    <w:rsid w:val="00C173EE"/>
    <w:rsid w:val="00C17545"/>
    <w:rsid w:val="00C205EB"/>
    <w:rsid w:val="00C2095B"/>
    <w:rsid w:val="00C20969"/>
    <w:rsid w:val="00C21082"/>
    <w:rsid w:val="00C210E4"/>
    <w:rsid w:val="00C21457"/>
    <w:rsid w:val="00C22416"/>
    <w:rsid w:val="00C22A29"/>
    <w:rsid w:val="00C232A1"/>
    <w:rsid w:val="00C23606"/>
    <w:rsid w:val="00C23859"/>
    <w:rsid w:val="00C23981"/>
    <w:rsid w:val="00C24204"/>
    <w:rsid w:val="00C24516"/>
    <w:rsid w:val="00C24BB5"/>
    <w:rsid w:val="00C25A8F"/>
    <w:rsid w:val="00C26486"/>
    <w:rsid w:val="00C2659D"/>
    <w:rsid w:val="00C2732C"/>
    <w:rsid w:val="00C27598"/>
    <w:rsid w:val="00C27B79"/>
    <w:rsid w:val="00C30148"/>
    <w:rsid w:val="00C308C6"/>
    <w:rsid w:val="00C3092B"/>
    <w:rsid w:val="00C30FDC"/>
    <w:rsid w:val="00C31ECC"/>
    <w:rsid w:val="00C331A7"/>
    <w:rsid w:val="00C33D1E"/>
    <w:rsid w:val="00C340EC"/>
    <w:rsid w:val="00C341A7"/>
    <w:rsid w:val="00C3443F"/>
    <w:rsid w:val="00C34651"/>
    <w:rsid w:val="00C34954"/>
    <w:rsid w:val="00C35046"/>
    <w:rsid w:val="00C35330"/>
    <w:rsid w:val="00C3554D"/>
    <w:rsid w:val="00C3599E"/>
    <w:rsid w:val="00C35C2C"/>
    <w:rsid w:val="00C3667E"/>
    <w:rsid w:val="00C36EF6"/>
    <w:rsid w:val="00C370DA"/>
    <w:rsid w:val="00C40F8B"/>
    <w:rsid w:val="00C41505"/>
    <w:rsid w:val="00C41D0E"/>
    <w:rsid w:val="00C42810"/>
    <w:rsid w:val="00C42863"/>
    <w:rsid w:val="00C430E9"/>
    <w:rsid w:val="00C438DE"/>
    <w:rsid w:val="00C43B04"/>
    <w:rsid w:val="00C43BD9"/>
    <w:rsid w:val="00C43F47"/>
    <w:rsid w:val="00C43FB9"/>
    <w:rsid w:val="00C440F9"/>
    <w:rsid w:val="00C447B6"/>
    <w:rsid w:val="00C44AF3"/>
    <w:rsid w:val="00C44D89"/>
    <w:rsid w:val="00C4528B"/>
    <w:rsid w:val="00C4646B"/>
    <w:rsid w:val="00C4651A"/>
    <w:rsid w:val="00C466AD"/>
    <w:rsid w:val="00C46C7B"/>
    <w:rsid w:val="00C47E3D"/>
    <w:rsid w:val="00C506C1"/>
    <w:rsid w:val="00C50B94"/>
    <w:rsid w:val="00C5146B"/>
    <w:rsid w:val="00C5278F"/>
    <w:rsid w:val="00C52943"/>
    <w:rsid w:val="00C52E3E"/>
    <w:rsid w:val="00C54498"/>
    <w:rsid w:val="00C56BF6"/>
    <w:rsid w:val="00C56C94"/>
    <w:rsid w:val="00C5790F"/>
    <w:rsid w:val="00C57A30"/>
    <w:rsid w:val="00C60649"/>
    <w:rsid w:val="00C60D9F"/>
    <w:rsid w:val="00C61598"/>
    <w:rsid w:val="00C61912"/>
    <w:rsid w:val="00C61C84"/>
    <w:rsid w:val="00C61CD0"/>
    <w:rsid w:val="00C61FD8"/>
    <w:rsid w:val="00C63595"/>
    <w:rsid w:val="00C63FBF"/>
    <w:rsid w:val="00C648EE"/>
    <w:rsid w:val="00C64C11"/>
    <w:rsid w:val="00C64CDC"/>
    <w:rsid w:val="00C64E18"/>
    <w:rsid w:val="00C64FBC"/>
    <w:rsid w:val="00C6505F"/>
    <w:rsid w:val="00C6607B"/>
    <w:rsid w:val="00C662AA"/>
    <w:rsid w:val="00C6645B"/>
    <w:rsid w:val="00C67B36"/>
    <w:rsid w:val="00C70CDA"/>
    <w:rsid w:val="00C70D01"/>
    <w:rsid w:val="00C71AEB"/>
    <w:rsid w:val="00C720B8"/>
    <w:rsid w:val="00C720CA"/>
    <w:rsid w:val="00C7263B"/>
    <w:rsid w:val="00C72867"/>
    <w:rsid w:val="00C734EB"/>
    <w:rsid w:val="00C7352E"/>
    <w:rsid w:val="00C73BB8"/>
    <w:rsid w:val="00C73E24"/>
    <w:rsid w:val="00C741F9"/>
    <w:rsid w:val="00C74258"/>
    <w:rsid w:val="00C747BB"/>
    <w:rsid w:val="00C74E2C"/>
    <w:rsid w:val="00C76501"/>
    <w:rsid w:val="00C7688E"/>
    <w:rsid w:val="00C76A6A"/>
    <w:rsid w:val="00C771F6"/>
    <w:rsid w:val="00C7782F"/>
    <w:rsid w:val="00C77C1F"/>
    <w:rsid w:val="00C81704"/>
    <w:rsid w:val="00C82661"/>
    <w:rsid w:val="00C829C4"/>
    <w:rsid w:val="00C82F53"/>
    <w:rsid w:val="00C836CF"/>
    <w:rsid w:val="00C83B0D"/>
    <w:rsid w:val="00C8470A"/>
    <w:rsid w:val="00C8588D"/>
    <w:rsid w:val="00C87040"/>
    <w:rsid w:val="00C8743B"/>
    <w:rsid w:val="00C87D85"/>
    <w:rsid w:val="00C90234"/>
    <w:rsid w:val="00C905C5"/>
    <w:rsid w:val="00C90623"/>
    <w:rsid w:val="00C910DA"/>
    <w:rsid w:val="00C9155A"/>
    <w:rsid w:val="00C917C1"/>
    <w:rsid w:val="00C91B82"/>
    <w:rsid w:val="00C91EB0"/>
    <w:rsid w:val="00C92010"/>
    <w:rsid w:val="00C93CB6"/>
    <w:rsid w:val="00C94E2C"/>
    <w:rsid w:val="00C95548"/>
    <w:rsid w:val="00C95652"/>
    <w:rsid w:val="00C96436"/>
    <w:rsid w:val="00C96737"/>
    <w:rsid w:val="00C976D0"/>
    <w:rsid w:val="00CA0636"/>
    <w:rsid w:val="00CA07E5"/>
    <w:rsid w:val="00CA1919"/>
    <w:rsid w:val="00CA2EE7"/>
    <w:rsid w:val="00CA44D7"/>
    <w:rsid w:val="00CA47B1"/>
    <w:rsid w:val="00CA4A01"/>
    <w:rsid w:val="00CA7E85"/>
    <w:rsid w:val="00CB1A21"/>
    <w:rsid w:val="00CB1FD3"/>
    <w:rsid w:val="00CB22A6"/>
    <w:rsid w:val="00CB30D1"/>
    <w:rsid w:val="00CB3978"/>
    <w:rsid w:val="00CB3D5B"/>
    <w:rsid w:val="00CB40C6"/>
    <w:rsid w:val="00CB4118"/>
    <w:rsid w:val="00CB4B30"/>
    <w:rsid w:val="00CB50DA"/>
    <w:rsid w:val="00CB56B1"/>
    <w:rsid w:val="00CB5DB0"/>
    <w:rsid w:val="00CB6675"/>
    <w:rsid w:val="00CB6955"/>
    <w:rsid w:val="00CB7313"/>
    <w:rsid w:val="00CB7A26"/>
    <w:rsid w:val="00CB7DCA"/>
    <w:rsid w:val="00CC07B6"/>
    <w:rsid w:val="00CC20DB"/>
    <w:rsid w:val="00CC2CB8"/>
    <w:rsid w:val="00CC3B97"/>
    <w:rsid w:val="00CC3C7A"/>
    <w:rsid w:val="00CC3D34"/>
    <w:rsid w:val="00CC3E77"/>
    <w:rsid w:val="00CC3EBF"/>
    <w:rsid w:val="00CC544D"/>
    <w:rsid w:val="00CC5BAE"/>
    <w:rsid w:val="00CC6AC4"/>
    <w:rsid w:val="00CC7DDA"/>
    <w:rsid w:val="00CC7F77"/>
    <w:rsid w:val="00CD052B"/>
    <w:rsid w:val="00CD091E"/>
    <w:rsid w:val="00CD1283"/>
    <w:rsid w:val="00CD12C1"/>
    <w:rsid w:val="00CD17BF"/>
    <w:rsid w:val="00CD17FD"/>
    <w:rsid w:val="00CD2215"/>
    <w:rsid w:val="00CD27B2"/>
    <w:rsid w:val="00CD2A67"/>
    <w:rsid w:val="00CD3D2F"/>
    <w:rsid w:val="00CD4283"/>
    <w:rsid w:val="00CD5563"/>
    <w:rsid w:val="00CD56B4"/>
    <w:rsid w:val="00CD6532"/>
    <w:rsid w:val="00CD6A0B"/>
    <w:rsid w:val="00CD70E3"/>
    <w:rsid w:val="00CD7BA8"/>
    <w:rsid w:val="00CE0CC6"/>
    <w:rsid w:val="00CE0E38"/>
    <w:rsid w:val="00CE0EE5"/>
    <w:rsid w:val="00CE1752"/>
    <w:rsid w:val="00CE2012"/>
    <w:rsid w:val="00CE229D"/>
    <w:rsid w:val="00CE2453"/>
    <w:rsid w:val="00CE27B4"/>
    <w:rsid w:val="00CE27F9"/>
    <w:rsid w:val="00CE355F"/>
    <w:rsid w:val="00CE390C"/>
    <w:rsid w:val="00CE3B42"/>
    <w:rsid w:val="00CE40D8"/>
    <w:rsid w:val="00CE4A46"/>
    <w:rsid w:val="00CE4B29"/>
    <w:rsid w:val="00CE4BAD"/>
    <w:rsid w:val="00CE4E2A"/>
    <w:rsid w:val="00CE5A48"/>
    <w:rsid w:val="00CE62DF"/>
    <w:rsid w:val="00CE76A9"/>
    <w:rsid w:val="00CE7E73"/>
    <w:rsid w:val="00CE7F14"/>
    <w:rsid w:val="00CF04CF"/>
    <w:rsid w:val="00CF0920"/>
    <w:rsid w:val="00CF1905"/>
    <w:rsid w:val="00CF36C7"/>
    <w:rsid w:val="00CF378E"/>
    <w:rsid w:val="00CF3C47"/>
    <w:rsid w:val="00CF3E4C"/>
    <w:rsid w:val="00CF4122"/>
    <w:rsid w:val="00CF5184"/>
    <w:rsid w:val="00CF6565"/>
    <w:rsid w:val="00CF77AE"/>
    <w:rsid w:val="00CF7B43"/>
    <w:rsid w:val="00CF7BD4"/>
    <w:rsid w:val="00D00031"/>
    <w:rsid w:val="00D00764"/>
    <w:rsid w:val="00D00A84"/>
    <w:rsid w:val="00D00F29"/>
    <w:rsid w:val="00D016BA"/>
    <w:rsid w:val="00D01AAC"/>
    <w:rsid w:val="00D01B92"/>
    <w:rsid w:val="00D021C3"/>
    <w:rsid w:val="00D02263"/>
    <w:rsid w:val="00D023B4"/>
    <w:rsid w:val="00D028C9"/>
    <w:rsid w:val="00D02A30"/>
    <w:rsid w:val="00D02B1C"/>
    <w:rsid w:val="00D02D14"/>
    <w:rsid w:val="00D03C0D"/>
    <w:rsid w:val="00D04D9D"/>
    <w:rsid w:val="00D051A5"/>
    <w:rsid w:val="00D058F3"/>
    <w:rsid w:val="00D06DAC"/>
    <w:rsid w:val="00D06E7A"/>
    <w:rsid w:val="00D07CAB"/>
    <w:rsid w:val="00D07D2A"/>
    <w:rsid w:val="00D07DD9"/>
    <w:rsid w:val="00D10635"/>
    <w:rsid w:val="00D10C29"/>
    <w:rsid w:val="00D10D8D"/>
    <w:rsid w:val="00D1225A"/>
    <w:rsid w:val="00D12E4E"/>
    <w:rsid w:val="00D133C7"/>
    <w:rsid w:val="00D13C6E"/>
    <w:rsid w:val="00D1561D"/>
    <w:rsid w:val="00D15B60"/>
    <w:rsid w:val="00D15BD1"/>
    <w:rsid w:val="00D15C3A"/>
    <w:rsid w:val="00D16031"/>
    <w:rsid w:val="00D17164"/>
    <w:rsid w:val="00D21214"/>
    <w:rsid w:val="00D21438"/>
    <w:rsid w:val="00D228BE"/>
    <w:rsid w:val="00D22A99"/>
    <w:rsid w:val="00D23D4D"/>
    <w:rsid w:val="00D24D78"/>
    <w:rsid w:val="00D25667"/>
    <w:rsid w:val="00D257CD"/>
    <w:rsid w:val="00D2591D"/>
    <w:rsid w:val="00D2597C"/>
    <w:rsid w:val="00D25DA3"/>
    <w:rsid w:val="00D273F8"/>
    <w:rsid w:val="00D278B6"/>
    <w:rsid w:val="00D27955"/>
    <w:rsid w:val="00D27B2F"/>
    <w:rsid w:val="00D30047"/>
    <w:rsid w:val="00D30192"/>
    <w:rsid w:val="00D301BE"/>
    <w:rsid w:val="00D30E49"/>
    <w:rsid w:val="00D30F6A"/>
    <w:rsid w:val="00D3103D"/>
    <w:rsid w:val="00D318FC"/>
    <w:rsid w:val="00D31985"/>
    <w:rsid w:val="00D33505"/>
    <w:rsid w:val="00D33C86"/>
    <w:rsid w:val="00D3428D"/>
    <w:rsid w:val="00D34495"/>
    <w:rsid w:val="00D34B86"/>
    <w:rsid w:val="00D3522E"/>
    <w:rsid w:val="00D35354"/>
    <w:rsid w:val="00D361E7"/>
    <w:rsid w:val="00D377AC"/>
    <w:rsid w:val="00D37AD0"/>
    <w:rsid w:val="00D37B1E"/>
    <w:rsid w:val="00D37F27"/>
    <w:rsid w:val="00D4001A"/>
    <w:rsid w:val="00D40CA1"/>
    <w:rsid w:val="00D419AC"/>
    <w:rsid w:val="00D42420"/>
    <w:rsid w:val="00D42EB0"/>
    <w:rsid w:val="00D43679"/>
    <w:rsid w:val="00D43AA1"/>
    <w:rsid w:val="00D45DDE"/>
    <w:rsid w:val="00D45FB5"/>
    <w:rsid w:val="00D45FFD"/>
    <w:rsid w:val="00D4607B"/>
    <w:rsid w:val="00D460E4"/>
    <w:rsid w:val="00D46726"/>
    <w:rsid w:val="00D46A9A"/>
    <w:rsid w:val="00D46AE3"/>
    <w:rsid w:val="00D46DEF"/>
    <w:rsid w:val="00D47019"/>
    <w:rsid w:val="00D47041"/>
    <w:rsid w:val="00D474B0"/>
    <w:rsid w:val="00D47B01"/>
    <w:rsid w:val="00D47C75"/>
    <w:rsid w:val="00D47D46"/>
    <w:rsid w:val="00D5028C"/>
    <w:rsid w:val="00D50B82"/>
    <w:rsid w:val="00D5117F"/>
    <w:rsid w:val="00D511C9"/>
    <w:rsid w:val="00D51B74"/>
    <w:rsid w:val="00D52B9A"/>
    <w:rsid w:val="00D530E0"/>
    <w:rsid w:val="00D540FE"/>
    <w:rsid w:val="00D54D78"/>
    <w:rsid w:val="00D54F58"/>
    <w:rsid w:val="00D55030"/>
    <w:rsid w:val="00D55148"/>
    <w:rsid w:val="00D55AA4"/>
    <w:rsid w:val="00D55E3A"/>
    <w:rsid w:val="00D56041"/>
    <w:rsid w:val="00D562CC"/>
    <w:rsid w:val="00D56380"/>
    <w:rsid w:val="00D56DB4"/>
    <w:rsid w:val="00D56E1B"/>
    <w:rsid w:val="00D570CE"/>
    <w:rsid w:val="00D57615"/>
    <w:rsid w:val="00D57FDD"/>
    <w:rsid w:val="00D608B9"/>
    <w:rsid w:val="00D60B43"/>
    <w:rsid w:val="00D60D6A"/>
    <w:rsid w:val="00D60D96"/>
    <w:rsid w:val="00D61692"/>
    <w:rsid w:val="00D61B1F"/>
    <w:rsid w:val="00D61BBF"/>
    <w:rsid w:val="00D61DDB"/>
    <w:rsid w:val="00D62DBA"/>
    <w:rsid w:val="00D633BD"/>
    <w:rsid w:val="00D645C0"/>
    <w:rsid w:val="00D649E4"/>
    <w:rsid w:val="00D64DE8"/>
    <w:rsid w:val="00D65114"/>
    <w:rsid w:val="00D6537C"/>
    <w:rsid w:val="00D65508"/>
    <w:rsid w:val="00D659F4"/>
    <w:rsid w:val="00D65D7D"/>
    <w:rsid w:val="00D65EE0"/>
    <w:rsid w:val="00D65F58"/>
    <w:rsid w:val="00D667EE"/>
    <w:rsid w:val="00D66B55"/>
    <w:rsid w:val="00D66DE8"/>
    <w:rsid w:val="00D66F8F"/>
    <w:rsid w:val="00D67044"/>
    <w:rsid w:val="00D672B9"/>
    <w:rsid w:val="00D6751D"/>
    <w:rsid w:val="00D6767E"/>
    <w:rsid w:val="00D700BC"/>
    <w:rsid w:val="00D70B2E"/>
    <w:rsid w:val="00D711B8"/>
    <w:rsid w:val="00D71352"/>
    <w:rsid w:val="00D7141B"/>
    <w:rsid w:val="00D718E2"/>
    <w:rsid w:val="00D72D7E"/>
    <w:rsid w:val="00D73663"/>
    <w:rsid w:val="00D737BE"/>
    <w:rsid w:val="00D73A9C"/>
    <w:rsid w:val="00D74C36"/>
    <w:rsid w:val="00D74D1D"/>
    <w:rsid w:val="00D750DA"/>
    <w:rsid w:val="00D75D7D"/>
    <w:rsid w:val="00D75E00"/>
    <w:rsid w:val="00D75FBF"/>
    <w:rsid w:val="00D76473"/>
    <w:rsid w:val="00D76837"/>
    <w:rsid w:val="00D779ED"/>
    <w:rsid w:val="00D8069A"/>
    <w:rsid w:val="00D80E11"/>
    <w:rsid w:val="00D814BB"/>
    <w:rsid w:val="00D8243D"/>
    <w:rsid w:val="00D8269C"/>
    <w:rsid w:val="00D82B02"/>
    <w:rsid w:val="00D83118"/>
    <w:rsid w:val="00D83925"/>
    <w:rsid w:val="00D83A64"/>
    <w:rsid w:val="00D83B42"/>
    <w:rsid w:val="00D843C9"/>
    <w:rsid w:val="00D850F8"/>
    <w:rsid w:val="00D85132"/>
    <w:rsid w:val="00D86D58"/>
    <w:rsid w:val="00D873A3"/>
    <w:rsid w:val="00D90117"/>
    <w:rsid w:val="00D903DB"/>
    <w:rsid w:val="00D9078B"/>
    <w:rsid w:val="00D909A4"/>
    <w:rsid w:val="00D90CBD"/>
    <w:rsid w:val="00D91B66"/>
    <w:rsid w:val="00D924BB"/>
    <w:rsid w:val="00D92E3B"/>
    <w:rsid w:val="00D935BE"/>
    <w:rsid w:val="00D938CF"/>
    <w:rsid w:val="00D93B77"/>
    <w:rsid w:val="00D940D8"/>
    <w:rsid w:val="00D941F6"/>
    <w:rsid w:val="00D9421C"/>
    <w:rsid w:val="00D942E0"/>
    <w:rsid w:val="00D95EF4"/>
    <w:rsid w:val="00D9705B"/>
    <w:rsid w:val="00D97770"/>
    <w:rsid w:val="00DA1DF2"/>
    <w:rsid w:val="00DA26BF"/>
    <w:rsid w:val="00DA3E50"/>
    <w:rsid w:val="00DA3E5E"/>
    <w:rsid w:val="00DA483A"/>
    <w:rsid w:val="00DA542E"/>
    <w:rsid w:val="00DA682D"/>
    <w:rsid w:val="00DA6B61"/>
    <w:rsid w:val="00DA6D25"/>
    <w:rsid w:val="00DA6DFD"/>
    <w:rsid w:val="00DA7265"/>
    <w:rsid w:val="00DB0363"/>
    <w:rsid w:val="00DB040B"/>
    <w:rsid w:val="00DB04E2"/>
    <w:rsid w:val="00DB0B9F"/>
    <w:rsid w:val="00DB12EA"/>
    <w:rsid w:val="00DB1617"/>
    <w:rsid w:val="00DB195F"/>
    <w:rsid w:val="00DB1BC1"/>
    <w:rsid w:val="00DB3A07"/>
    <w:rsid w:val="00DB3A63"/>
    <w:rsid w:val="00DB3AFA"/>
    <w:rsid w:val="00DB4517"/>
    <w:rsid w:val="00DB4A5D"/>
    <w:rsid w:val="00DB681D"/>
    <w:rsid w:val="00DB748C"/>
    <w:rsid w:val="00DB784F"/>
    <w:rsid w:val="00DB7AB7"/>
    <w:rsid w:val="00DC0EC3"/>
    <w:rsid w:val="00DC1BC0"/>
    <w:rsid w:val="00DC1C8C"/>
    <w:rsid w:val="00DC1F20"/>
    <w:rsid w:val="00DC22A7"/>
    <w:rsid w:val="00DC3166"/>
    <w:rsid w:val="00DC3835"/>
    <w:rsid w:val="00DC3847"/>
    <w:rsid w:val="00DC396A"/>
    <w:rsid w:val="00DC4384"/>
    <w:rsid w:val="00DC45E7"/>
    <w:rsid w:val="00DC5828"/>
    <w:rsid w:val="00DC5D5A"/>
    <w:rsid w:val="00DC60ED"/>
    <w:rsid w:val="00DC7FCA"/>
    <w:rsid w:val="00DD09F1"/>
    <w:rsid w:val="00DD13A8"/>
    <w:rsid w:val="00DD1745"/>
    <w:rsid w:val="00DD190A"/>
    <w:rsid w:val="00DD1B62"/>
    <w:rsid w:val="00DD20AF"/>
    <w:rsid w:val="00DD229B"/>
    <w:rsid w:val="00DD2DEB"/>
    <w:rsid w:val="00DD334B"/>
    <w:rsid w:val="00DD39F9"/>
    <w:rsid w:val="00DD3A64"/>
    <w:rsid w:val="00DD4611"/>
    <w:rsid w:val="00DD5247"/>
    <w:rsid w:val="00DD53F2"/>
    <w:rsid w:val="00DD61EB"/>
    <w:rsid w:val="00DD65B9"/>
    <w:rsid w:val="00DD72A1"/>
    <w:rsid w:val="00DE0604"/>
    <w:rsid w:val="00DE06E9"/>
    <w:rsid w:val="00DE090F"/>
    <w:rsid w:val="00DE0E2E"/>
    <w:rsid w:val="00DE0F44"/>
    <w:rsid w:val="00DE1BB3"/>
    <w:rsid w:val="00DE1F68"/>
    <w:rsid w:val="00DE23AF"/>
    <w:rsid w:val="00DE3210"/>
    <w:rsid w:val="00DE3559"/>
    <w:rsid w:val="00DE3C89"/>
    <w:rsid w:val="00DE4109"/>
    <w:rsid w:val="00DE4A17"/>
    <w:rsid w:val="00DE4D45"/>
    <w:rsid w:val="00DE50D1"/>
    <w:rsid w:val="00DE5B93"/>
    <w:rsid w:val="00DE5BC4"/>
    <w:rsid w:val="00DE6A8E"/>
    <w:rsid w:val="00DE6AD7"/>
    <w:rsid w:val="00DE74DB"/>
    <w:rsid w:val="00DF0145"/>
    <w:rsid w:val="00DF029A"/>
    <w:rsid w:val="00DF057B"/>
    <w:rsid w:val="00DF092F"/>
    <w:rsid w:val="00DF0A29"/>
    <w:rsid w:val="00DF0E61"/>
    <w:rsid w:val="00DF1AC4"/>
    <w:rsid w:val="00DF1E4C"/>
    <w:rsid w:val="00DF214A"/>
    <w:rsid w:val="00DF21A2"/>
    <w:rsid w:val="00DF3A84"/>
    <w:rsid w:val="00DF42FB"/>
    <w:rsid w:val="00DF4629"/>
    <w:rsid w:val="00DF534D"/>
    <w:rsid w:val="00DF5518"/>
    <w:rsid w:val="00DF57FE"/>
    <w:rsid w:val="00DF58F6"/>
    <w:rsid w:val="00DF5E5E"/>
    <w:rsid w:val="00DF6253"/>
    <w:rsid w:val="00DF6FB2"/>
    <w:rsid w:val="00DF71CE"/>
    <w:rsid w:val="00E0010B"/>
    <w:rsid w:val="00E002C7"/>
    <w:rsid w:val="00E00487"/>
    <w:rsid w:val="00E0063D"/>
    <w:rsid w:val="00E00A23"/>
    <w:rsid w:val="00E00A69"/>
    <w:rsid w:val="00E00DB2"/>
    <w:rsid w:val="00E01EE2"/>
    <w:rsid w:val="00E0220D"/>
    <w:rsid w:val="00E028B7"/>
    <w:rsid w:val="00E029C9"/>
    <w:rsid w:val="00E02B6D"/>
    <w:rsid w:val="00E036E2"/>
    <w:rsid w:val="00E0479A"/>
    <w:rsid w:val="00E04A60"/>
    <w:rsid w:val="00E06FDF"/>
    <w:rsid w:val="00E10053"/>
    <w:rsid w:val="00E100CE"/>
    <w:rsid w:val="00E11AC2"/>
    <w:rsid w:val="00E11D50"/>
    <w:rsid w:val="00E12005"/>
    <w:rsid w:val="00E126D8"/>
    <w:rsid w:val="00E13622"/>
    <w:rsid w:val="00E13CBA"/>
    <w:rsid w:val="00E1411F"/>
    <w:rsid w:val="00E14E22"/>
    <w:rsid w:val="00E15317"/>
    <w:rsid w:val="00E16888"/>
    <w:rsid w:val="00E16C1E"/>
    <w:rsid w:val="00E173A7"/>
    <w:rsid w:val="00E17791"/>
    <w:rsid w:val="00E17A06"/>
    <w:rsid w:val="00E20090"/>
    <w:rsid w:val="00E20638"/>
    <w:rsid w:val="00E21627"/>
    <w:rsid w:val="00E21659"/>
    <w:rsid w:val="00E21BB5"/>
    <w:rsid w:val="00E21C8B"/>
    <w:rsid w:val="00E21F23"/>
    <w:rsid w:val="00E227D4"/>
    <w:rsid w:val="00E23167"/>
    <w:rsid w:val="00E239F7"/>
    <w:rsid w:val="00E23D4C"/>
    <w:rsid w:val="00E241BC"/>
    <w:rsid w:val="00E24E21"/>
    <w:rsid w:val="00E25815"/>
    <w:rsid w:val="00E25F23"/>
    <w:rsid w:val="00E26154"/>
    <w:rsid w:val="00E26BF4"/>
    <w:rsid w:val="00E276AE"/>
    <w:rsid w:val="00E276BF"/>
    <w:rsid w:val="00E308DA"/>
    <w:rsid w:val="00E30BF1"/>
    <w:rsid w:val="00E32F3B"/>
    <w:rsid w:val="00E33421"/>
    <w:rsid w:val="00E33C14"/>
    <w:rsid w:val="00E344E3"/>
    <w:rsid w:val="00E351AD"/>
    <w:rsid w:val="00E35597"/>
    <w:rsid w:val="00E355BF"/>
    <w:rsid w:val="00E359A2"/>
    <w:rsid w:val="00E35E2A"/>
    <w:rsid w:val="00E370B5"/>
    <w:rsid w:val="00E37987"/>
    <w:rsid w:val="00E37B87"/>
    <w:rsid w:val="00E37C04"/>
    <w:rsid w:val="00E37F7A"/>
    <w:rsid w:val="00E40076"/>
    <w:rsid w:val="00E40981"/>
    <w:rsid w:val="00E4384D"/>
    <w:rsid w:val="00E43E36"/>
    <w:rsid w:val="00E45212"/>
    <w:rsid w:val="00E472F9"/>
    <w:rsid w:val="00E47E6F"/>
    <w:rsid w:val="00E5197C"/>
    <w:rsid w:val="00E525EE"/>
    <w:rsid w:val="00E52A35"/>
    <w:rsid w:val="00E5316A"/>
    <w:rsid w:val="00E54239"/>
    <w:rsid w:val="00E54EF3"/>
    <w:rsid w:val="00E558A3"/>
    <w:rsid w:val="00E55AE9"/>
    <w:rsid w:val="00E56033"/>
    <w:rsid w:val="00E5627A"/>
    <w:rsid w:val="00E562F8"/>
    <w:rsid w:val="00E60147"/>
    <w:rsid w:val="00E603D7"/>
    <w:rsid w:val="00E604AA"/>
    <w:rsid w:val="00E60C69"/>
    <w:rsid w:val="00E60E24"/>
    <w:rsid w:val="00E615A3"/>
    <w:rsid w:val="00E6173A"/>
    <w:rsid w:val="00E61CE3"/>
    <w:rsid w:val="00E61E02"/>
    <w:rsid w:val="00E6270C"/>
    <w:rsid w:val="00E62F71"/>
    <w:rsid w:val="00E639C4"/>
    <w:rsid w:val="00E640D5"/>
    <w:rsid w:val="00E64A08"/>
    <w:rsid w:val="00E65131"/>
    <w:rsid w:val="00E655E1"/>
    <w:rsid w:val="00E674FA"/>
    <w:rsid w:val="00E67B7A"/>
    <w:rsid w:val="00E67EC7"/>
    <w:rsid w:val="00E702E5"/>
    <w:rsid w:val="00E70D0C"/>
    <w:rsid w:val="00E72183"/>
    <w:rsid w:val="00E72809"/>
    <w:rsid w:val="00E72812"/>
    <w:rsid w:val="00E737DB"/>
    <w:rsid w:val="00E75492"/>
    <w:rsid w:val="00E757AB"/>
    <w:rsid w:val="00E7592A"/>
    <w:rsid w:val="00E75A5A"/>
    <w:rsid w:val="00E75A8F"/>
    <w:rsid w:val="00E75ADD"/>
    <w:rsid w:val="00E75E0B"/>
    <w:rsid w:val="00E76374"/>
    <w:rsid w:val="00E776AD"/>
    <w:rsid w:val="00E77709"/>
    <w:rsid w:val="00E77917"/>
    <w:rsid w:val="00E8017E"/>
    <w:rsid w:val="00E801A2"/>
    <w:rsid w:val="00E80222"/>
    <w:rsid w:val="00E80544"/>
    <w:rsid w:val="00E80D62"/>
    <w:rsid w:val="00E80E4B"/>
    <w:rsid w:val="00E81220"/>
    <w:rsid w:val="00E812E9"/>
    <w:rsid w:val="00E81857"/>
    <w:rsid w:val="00E8222C"/>
    <w:rsid w:val="00E8293C"/>
    <w:rsid w:val="00E8306C"/>
    <w:rsid w:val="00E8317D"/>
    <w:rsid w:val="00E831FA"/>
    <w:rsid w:val="00E83377"/>
    <w:rsid w:val="00E83D46"/>
    <w:rsid w:val="00E847B7"/>
    <w:rsid w:val="00E847CF"/>
    <w:rsid w:val="00E8497C"/>
    <w:rsid w:val="00E85021"/>
    <w:rsid w:val="00E85469"/>
    <w:rsid w:val="00E85F22"/>
    <w:rsid w:val="00E861BE"/>
    <w:rsid w:val="00E87149"/>
    <w:rsid w:val="00E87391"/>
    <w:rsid w:val="00E874CC"/>
    <w:rsid w:val="00E87AEF"/>
    <w:rsid w:val="00E87B0F"/>
    <w:rsid w:val="00E907B1"/>
    <w:rsid w:val="00E909A6"/>
    <w:rsid w:val="00E90B61"/>
    <w:rsid w:val="00E91148"/>
    <w:rsid w:val="00E91B7E"/>
    <w:rsid w:val="00E92572"/>
    <w:rsid w:val="00E9364A"/>
    <w:rsid w:val="00E93CCB"/>
    <w:rsid w:val="00E95341"/>
    <w:rsid w:val="00E9560D"/>
    <w:rsid w:val="00E95696"/>
    <w:rsid w:val="00E96014"/>
    <w:rsid w:val="00E96255"/>
    <w:rsid w:val="00E970E8"/>
    <w:rsid w:val="00E973C4"/>
    <w:rsid w:val="00EA129C"/>
    <w:rsid w:val="00EA2435"/>
    <w:rsid w:val="00EA372A"/>
    <w:rsid w:val="00EA39CB"/>
    <w:rsid w:val="00EA3D95"/>
    <w:rsid w:val="00EA442D"/>
    <w:rsid w:val="00EA444C"/>
    <w:rsid w:val="00EA45B0"/>
    <w:rsid w:val="00EA54C2"/>
    <w:rsid w:val="00EA649E"/>
    <w:rsid w:val="00EA66FD"/>
    <w:rsid w:val="00EA7448"/>
    <w:rsid w:val="00EA74DE"/>
    <w:rsid w:val="00EA77EC"/>
    <w:rsid w:val="00EB03DE"/>
    <w:rsid w:val="00EB05C0"/>
    <w:rsid w:val="00EB0C03"/>
    <w:rsid w:val="00EB0D60"/>
    <w:rsid w:val="00EB1C0D"/>
    <w:rsid w:val="00EB1EEA"/>
    <w:rsid w:val="00EB3D2F"/>
    <w:rsid w:val="00EB42FB"/>
    <w:rsid w:val="00EB5011"/>
    <w:rsid w:val="00EB55B1"/>
    <w:rsid w:val="00EB65FF"/>
    <w:rsid w:val="00EB6616"/>
    <w:rsid w:val="00EB6C54"/>
    <w:rsid w:val="00EB7227"/>
    <w:rsid w:val="00EB7DEF"/>
    <w:rsid w:val="00EC0529"/>
    <w:rsid w:val="00EC06F5"/>
    <w:rsid w:val="00EC116A"/>
    <w:rsid w:val="00EC1AC7"/>
    <w:rsid w:val="00EC1BC9"/>
    <w:rsid w:val="00EC22DB"/>
    <w:rsid w:val="00EC281F"/>
    <w:rsid w:val="00EC28AC"/>
    <w:rsid w:val="00EC28E1"/>
    <w:rsid w:val="00EC2EB2"/>
    <w:rsid w:val="00EC31AC"/>
    <w:rsid w:val="00EC39D8"/>
    <w:rsid w:val="00EC3AFC"/>
    <w:rsid w:val="00EC3FEA"/>
    <w:rsid w:val="00EC47A7"/>
    <w:rsid w:val="00EC4C24"/>
    <w:rsid w:val="00EC4CAA"/>
    <w:rsid w:val="00EC6756"/>
    <w:rsid w:val="00ED055A"/>
    <w:rsid w:val="00ED0872"/>
    <w:rsid w:val="00ED0A65"/>
    <w:rsid w:val="00ED0EDD"/>
    <w:rsid w:val="00ED1098"/>
    <w:rsid w:val="00ED1942"/>
    <w:rsid w:val="00ED1E30"/>
    <w:rsid w:val="00ED20F8"/>
    <w:rsid w:val="00ED3CD8"/>
    <w:rsid w:val="00ED501B"/>
    <w:rsid w:val="00ED53F4"/>
    <w:rsid w:val="00ED620A"/>
    <w:rsid w:val="00ED641E"/>
    <w:rsid w:val="00ED7026"/>
    <w:rsid w:val="00ED7BD9"/>
    <w:rsid w:val="00ED7CC3"/>
    <w:rsid w:val="00EE0D2B"/>
    <w:rsid w:val="00EE154D"/>
    <w:rsid w:val="00EE2806"/>
    <w:rsid w:val="00EE36C9"/>
    <w:rsid w:val="00EE3707"/>
    <w:rsid w:val="00EE5A4A"/>
    <w:rsid w:val="00EE6E2B"/>
    <w:rsid w:val="00EE7280"/>
    <w:rsid w:val="00EF069D"/>
    <w:rsid w:val="00EF0AF1"/>
    <w:rsid w:val="00EF1A79"/>
    <w:rsid w:val="00EF1AB6"/>
    <w:rsid w:val="00EF20C4"/>
    <w:rsid w:val="00EF2B92"/>
    <w:rsid w:val="00EF3777"/>
    <w:rsid w:val="00EF3C79"/>
    <w:rsid w:val="00EF3D9A"/>
    <w:rsid w:val="00EF406B"/>
    <w:rsid w:val="00EF43BF"/>
    <w:rsid w:val="00EF4C08"/>
    <w:rsid w:val="00EF5114"/>
    <w:rsid w:val="00EF5550"/>
    <w:rsid w:val="00EF56F0"/>
    <w:rsid w:val="00EF5D1B"/>
    <w:rsid w:val="00EF62B1"/>
    <w:rsid w:val="00EF661B"/>
    <w:rsid w:val="00EF677C"/>
    <w:rsid w:val="00EF6872"/>
    <w:rsid w:val="00EF6BCE"/>
    <w:rsid w:val="00EF71F7"/>
    <w:rsid w:val="00EF7425"/>
    <w:rsid w:val="00EF78C5"/>
    <w:rsid w:val="00F0012F"/>
    <w:rsid w:val="00F00865"/>
    <w:rsid w:val="00F00AA8"/>
    <w:rsid w:val="00F0132D"/>
    <w:rsid w:val="00F01820"/>
    <w:rsid w:val="00F01A9F"/>
    <w:rsid w:val="00F0261C"/>
    <w:rsid w:val="00F027F2"/>
    <w:rsid w:val="00F02E81"/>
    <w:rsid w:val="00F03127"/>
    <w:rsid w:val="00F03357"/>
    <w:rsid w:val="00F033CE"/>
    <w:rsid w:val="00F040EB"/>
    <w:rsid w:val="00F044F4"/>
    <w:rsid w:val="00F0506A"/>
    <w:rsid w:val="00F0528D"/>
    <w:rsid w:val="00F056A1"/>
    <w:rsid w:val="00F056AF"/>
    <w:rsid w:val="00F057D8"/>
    <w:rsid w:val="00F06D23"/>
    <w:rsid w:val="00F07115"/>
    <w:rsid w:val="00F078F8"/>
    <w:rsid w:val="00F07F66"/>
    <w:rsid w:val="00F103B9"/>
    <w:rsid w:val="00F11183"/>
    <w:rsid w:val="00F116C9"/>
    <w:rsid w:val="00F16414"/>
    <w:rsid w:val="00F165CD"/>
    <w:rsid w:val="00F16659"/>
    <w:rsid w:val="00F16D01"/>
    <w:rsid w:val="00F17EF5"/>
    <w:rsid w:val="00F2025F"/>
    <w:rsid w:val="00F215B0"/>
    <w:rsid w:val="00F21CBD"/>
    <w:rsid w:val="00F22A63"/>
    <w:rsid w:val="00F237CB"/>
    <w:rsid w:val="00F23ACE"/>
    <w:rsid w:val="00F2452F"/>
    <w:rsid w:val="00F24994"/>
    <w:rsid w:val="00F25A9D"/>
    <w:rsid w:val="00F27972"/>
    <w:rsid w:val="00F279A9"/>
    <w:rsid w:val="00F27FB1"/>
    <w:rsid w:val="00F306F1"/>
    <w:rsid w:val="00F306FE"/>
    <w:rsid w:val="00F30756"/>
    <w:rsid w:val="00F30A16"/>
    <w:rsid w:val="00F3131F"/>
    <w:rsid w:val="00F31804"/>
    <w:rsid w:val="00F31A52"/>
    <w:rsid w:val="00F32A47"/>
    <w:rsid w:val="00F332AB"/>
    <w:rsid w:val="00F33672"/>
    <w:rsid w:val="00F34F42"/>
    <w:rsid w:val="00F354A0"/>
    <w:rsid w:val="00F35A4A"/>
    <w:rsid w:val="00F35B25"/>
    <w:rsid w:val="00F35D44"/>
    <w:rsid w:val="00F3612E"/>
    <w:rsid w:val="00F36207"/>
    <w:rsid w:val="00F36C04"/>
    <w:rsid w:val="00F36C25"/>
    <w:rsid w:val="00F36F67"/>
    <w:rsid w:val="00F374E7"/>
    <w:rsid w:val="00F37BA7"/>
    <w:rsid w:val="00F37C95"/>
    <w:rsid w:val="00F402E5"/>
    <w:rsid w:val="00F40969"/>
    <w:rsid w:val="00F411E5"/>
    <w:rsid w:val="00F41B85"/>
    <w:rsid w:val="00F431FE"/>
    <w:rsid w:val="00F4359B"/>
    <w:rsid w:val="00F43A8A"/>
    <w:rsid w:val="00F43F8B"/>
    <w:rsid w:val="00F4518C"/>
    <w:rsid w:val="00F451C7"/>
    <w:rsid w:val="00F45978"/>
    <w:rsid w:val="00F46C28"/>
    <w:rsid w:val="00F46F9F"/>
    <w:rsid w:val="00F475D8"/>
    <w:rsid w:val="00F476D7"/>
    <w:rsid w:val="00F508A3"/>
    <w:rsid w:val="00F51C30"/>
    <w:rsid w:val="00F52036"/>
    <w:rsid w:val="00F52725"/>
    <w:rsid w:val="00F52898"/>
    <w:rsid w:val="00F53822"/>
    <w:rsid w:val="00F53EB4"/>
    <w:rsid w:val="00F540C8"/>
    <w:rsid w:val="00F540D9"/>
    <w:rsid w:val="00F5416A"/>
    <w:rsid w:val="00F5430C"/>
    <w:rsid w:val="00F54AC4"/>
    <w:rsid w:val="00F55141"/>
    <w:rsid w:val="00F55C0E"/>
    <w:rsid w:val="00F565EF"/>
    <w:rsid w:val="00F56B49"/>
    <w:rsid w:val="00F56CF1"/>
    <w:rsid w:val="00F579C9"/>
    <w:rsid w:val="00F62174"/>
    <w:rsid w:val="00F63F26"/>
    <w:rsid w:val="00F64129"/>
    <w:rsid w:val="00F64ACC"/>
    <w:rsid w:val="00F6547E"/>
    <w:rsid w:val="00F6552D"/>
    <w:rsid w:val="00F656C3"/>
    <w:rsid w:val="00F65A9E"/>
    <w:rsid w:val="00F65F1B"/>
    <w:rsid w:val="00F661F7"/>
    <w:rsid w:val="00F66328"/>
    <w:rsid w:val="00F6647E"/>
    <w:rsid w:val="00F66B9A"/>
    <w:rsid w:val="00F66DE3"/>
    <w:rsid w:val="00F67BC7"/>
    <w:rsid w:val="00F67D13"/>
    <w:rsid w:val="00F70585"/>
    <w:rsid w:val="00F70C9B"/>
    <w:rsid w:val="00F71128"/>
    <w:rsid w:val="00F71CB4"/>
    <w:rsid w:val="00F72984"/>
    <w:rsid w:val="00F73796"/>
    <w:rsid w:val="00F73CBF"/>
    <w:rsid w:val="00F73D5C"/>
    <w:rsid w:val="00F74E82"/>
    <w:rsid w:val="00F75312"/>
    <w:rsid w:val="00F753A0"/>
    <w:rsid w:val="00F75DD7"/>
    <w:rsid w:val="00F76234"/>
    <w:rsid w:val="00F768E4"/>
    <w:rsid w:val="00F76F62"/>
    <w:rsid w:val="00F77044"/>
    <w:rsid w:val="00F7740A"/>
    <w:rsid w:val="00F80E17"/>
    <w:rsid w:val="00F8138A"/>
    <w:rsid w:val="00F8182B"/>
    <w:rsid w:val="00F81BD8"/>
    <w:rsid w:val="00F82DC9"/>
    <w:rsid w:val="00F83BDE"/>
    <w:rsid w:val="00F83C72"/>
    <w:rsid w:val="00F84364"/>
    <w:rsid w:val="00F84A03"/>
    <w:rsid w:val="00F84A5A"/>
    <w:rsid w:val="00F85B97"/>
    <w:rsid w:val="00F85E0D"/>
    <w:rsid w:val="00F86AD5"/>
    <w:rsid w:val="00F86FB6"/>
    <w:rsid w:val="00F87BA5"/>
    <w:rsid w:val="00F9023A"/>
    <w:rsid w:val="00F9090E"/>
    <w:rsid w:val="00F9173B"/>
    <w:rsid w:val="00F9190B"/>
    <w:rsid w:val="00F91969"/>
    <w:rsid w:val="00F92AEF"/>
    <w:rsid w:val="00F92E0B"/>
    <w:rsid w:val="00F95447"/>
    <w:rsid w:val="00F958E6"/>
    <w:rsid w:val="00F96A94"/>
    <w:rsid w:val="00F96C39"/>
    <w:rsid w:val="00FA0A95"/>
    <w:rsid w:val="00FA0C56"/>
    <w:rsid w:val="00FA125D"/>
    <w:rsid w:val="00FA200F"/>
    <w:rsid w:val="00FA2369"/>
    <w:rsid w:val="00FA2542"/>
    <w:rsid w:val="00FA29B0"/>
    <w:rsid w:val="00FA2D12"/>
    <w:rsid w:val="00FA2E33"/>
    <w:rsid w:val="00FA3AD5"/>
    <w:rsid w:val="00FA3FB4"/>
    <w:rsid w:val="00FA4204"/>
    <w:rsid w:val="00FA4C6D"/>
    <w:rsid w:val="00FA50A1"/>
    <w:rsid w:val="00FA5826"/>
    <w:rsid w:val="00FA6304"/>
    <w:rsid w:val="00FA73DA"/>
    <w:rsid w:val="00FA79B0"/>
    <w:rsid w:val="00FB007D"/>
    <w:rsid w:val="00FB01E7"/>
    <w:rsid w:val="00FB07C5"/>
    <w:rsid w:val="00FB0C09"/>
    <w:rsid w:val="00FB142B"/>
    <w:rsid w:val="00FB2395"/>
    <w:rsid w:val="00FB2553"/>
    <w:rsid w:val="00FB2B06"/>
    <w:rsid w:val="00FB3661"/>
    <w:rsid w:val="00FB3B0A"/>
    <w:rsid w:val="00FB4CCA"/>
    <w:rsid w:val="00FB5209"/>
    <w:rsid w:val="00FB54F8"/>
    <w:rsid w:val="00FB5677"/>
    <w:rsid w:val="00FB567C"/>
    <w:rsid w:val="00FB5F93"/>
    <w:rsid w:val="00FB5FC6"/>
    <w:rsid w:val="00FB6051"/>
    <w:rsid w:val="00FB66BD"/>
    <w:rsid w:val="00FB6FF6"/>
    <w:rsid w:val="00FB7879"/>
    <w:rsid w:val="00FB7B6D"/>
    <w:rsid w:val="00FC05E1"/>
    <w:rsid w:val="00FC1565"/>
    <w:rsid w:val="00FC1710"/>
    <w:rsid w:val="00FC1B4E"/>
    <w:rsid w:val="00FC1DE7"/>
    <w:rsid w:val="00FC26BA"/>
    <w:rsid w:val="00FC27BF"/>
    <w:rsid w:val="00FC3347"/>
    <w:rsid w:val="00FC3989"/>
    <w:rsid w:val="00FC3A5C"/>
    <w:rsid w:val="00FC3FA1"/>
    <w:rsid w:val="00FC41D3"/>
    <w:rsid w:val="00FC48F3"/>
    <w:rsid w:val="00FC5C24"/>
    <w:rsid w:val="00FC5C84"/>
    <w:rsid w:val="00FC74D3"/>
    <w:rsid w:val="00FC794B"/>
    <w:rsid w:val="00FC7E8B"/>
    <w:rsid w:val="00FD0006"/>
    <w:rsid w:val="00FD1688"/>
    <w:rsid w:val="00FD1727"/>
    <w:rsid w:val="00FD1A45"/>
    <w:rsid w:val="00FD260A"/>
    <w:rsid w:val="00FD2EA7"/>
    <w:rsid w:val="00FD34AF"/>
    <w:rsid w:val="00FD350A"/>
    <w:rsid w:val="00FD510C"/>
    <w:rsid w:val="00FD5AFE"/>
    <w:rsid w:val="00FD5C98"/>
    <w:rsid w:val="00FD5D5F"/>
    <w:rsid w:val="00FD6218"/>
    <w:rsid w:val="00FD6559"/>
    <w:rsid w:val="00FD7360"/>
    <w:rsid w:val="00FD7627"/>
    <w:rsid w:val="00FE0572"/>
    <w:rsid w:val="00FE060F"/>
    <w:rsid w:val="00FE0C2F"/>
    <w:rsid w:val="00FE0CC3"/>
    <w:rsid w:val="00FE1EB4"/>
    <w:rsid w:val="00FE201D"/>
    <w:rsid w:val="00FE2551"/>
    <w:rsid w:val="00FE2F0F"/>
    <w:rsid w:val="00FE3044"/>
    <w:rsid w:val="00FE30A0"/>
    <w:rsid w:val="00FE387A"/>
    <w:rsid w:val="00FE4092"/>
    <w:rsid w:val="00FE56C1"/>
    <w:rsid w:val="00FE5AB1"/>
    <w:rsid w:val="00FE5C35"/>
    <w:rsid w:val="00FE5CCC"/>
    <w:rsid w:val="00FE5F32"/>
    <w:rsid w:val="00FE62FA"/>
    <w:rsid w:val="00FE63CD"/>
    <w:rsid w:val="00FE75D1"/>
    <w:rsid w:val="00FE7B5B"/>
    <w:rsid w:val="00FF071B"/>
    <w:rsid w:val="00FF099C"/>
    <w:rsid w:val="00FF0A59"/>
    <w:rsid w:val="00FF0A71"/>
    <w:rsid w:val="00FF1618"/>
    <w:rsid w:val="00FF1772"/>
    <w:rsid w:val="00FF1A3B"/>
    <w:rsid w:val="00FF218A"/>
    <w:rsid w:val="00FF21A8"/>
    <w:rsid w:val="00FF2967"/>
    <w:rsid w:val="00FF3B75"/>
    <w:rsid w:val="00FF3D24"/>
    <w:rsid w:val="00FF44FE"/>
    <w:rsid w:val="00FF56CD"/>
    <w:rsid w:val="00FF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5FEC"/>
    <w:pPr>
      <w:keepNext/>
      <w:keepLines/>
      <w:numPr>
        <w:numId w:val="8"/>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FEC"/>
    <w:pPr>
      <w:keepLines/>
      <w:numPr>
        <w:ilvl w:val="1"/>
        <w:numId w:val="8"/>
      </w:numPr>
      <w:spacing w:before="28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60E4"/>
    <w:pPr>
      <w:keepNext/>
      <w:keepLines/>
      <w:numPr>
        <w:ilvl w:val="2"/>
        <w:numId w:val="8"/>
      </w:numPr>
      <w:spacing w:before="20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410E"/>
    <w:pPr>
      <w:keepNext/>
      <w:keepLines/>
      <w:numPr>
        <w:ilvl w:val="3"/>
        <w:numId w:val="8"/>
      </w:numPr>
      <w:spacing w:before="200" w:after="12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337D19"/>
    <w:pPr>
      <w:keepLines/>
      <w:numPr>
        <w:ilvl w:val="2"/>
        <w:numId w:val="7"/>
      </w:numPr>
      <w:spacing w:after="0"/>
      <w:outlineLvl w:val="4"/>
    </w:pPr>
    <w:rPr>
      <w:rFonts w:eastAsiaTheme="majorEastAsia" w:cstheme="majorBidi"/>
      <w:color w:val="000000" w:themeColor="text1"/>
      <w:sz w:val="20"/>
      <w:szCs w:val="20"/>
    </w:rPr>
  </w:style>
  <w:style w:type="paragraph" w:styleId="Heading6">
    <w:name w:val="heading 6"/>
    <w:basedOn w:val="Normal"/>
    <w:next w:val="Normal"/>
    <w:link w:val="Heading6Char"/>
    <w:uiPriority w:val="9"/>
    <w:unhideWhenUsed/>
    <w:qFormat/>
    <w:rsid w:val="00337D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37D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37D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19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F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5F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60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410E"/>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337D19"/>
    <w:rPr>
      <w:rFonts w:eastAsiaTheme="majorEastAsia" w:cstheme="majorBidi"/>
      <w:color w:val="000000" w:themeColor="text1"/>
      <w:sz w:val="20"/>
      <w:szCs w:val="20"/>
    </w:rPr>
  </w:style>
  <w:style w:type="character" w:customStyle="1" w:styleId="Heading6Char">
    <w:name w:val="Heading 6 Char"/>
    <w:basedOn w:val="DefaultParagraphFont"/>
    <w:link w:val="Heading6"/>
    <w:uiPriority w:val="9"/>
    <w:rsid w:val="00337D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37D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37D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194F"/>
    <w:rPr>
      <w:rFonts w:asciiTheme="majorHAnsi" w:eastAsiaTheme="majorEastAsia" w:hAnsiTheme="majorHAnsi" w:cstheme="majorBidi"/>
      <w:i/>
      <w:iCs/>
      <w:color w:val="404040" w:themeColor="text1" w:themeTint="BF"/>
      <w:sz w:val="20"/>
      <w:szCs w:val="20"/>
    </w:rPr>
  </w:style>
  <w:style w:type="paragraph" w:customStyle="1" w:styleId="p2">
    <w:name w:val="p2"/>
    <w:basedOn w:val="Normal"/>
    <w:uiPriority w:val="99"/>
    <w:rsid w:val="002E194F"/>
    <w:pPr>
      <w:tabs>
        <w:tab w:val="left" w:pos="720"/>
      </w:tabs>
      <w:spacing w:line="280" w:lineRule="atLeast"/>
    </w:pPr>
  </w:style>
  <w:style w:type="paragraph" w:styleId="BodyText2">
    <w:name w:val="Body Text 2"/>
    <w:basedOn w:val="Normal"/>
    <w:link w:val="BodyText2Char"/>
    <w:rsid w:val="002E194F"/>
  </w:style>
  <w:style w:type="character" w:customStyle="1" w:styleId="BodyText2Char">
    <w:name w:val="Body Text 2 Char"/>
    <w:basedOn w:val="DefaultParagraphFont"/>
    <w:link w:val="BodyText2"/>
    <w:rsid w:val="002E194F"/>
    <w:rPr>
      <w:rFonts w:ascii="Times New Roman" w:eastAsia="Times New Roman" w:hAnsi="Times New Roman" w:cs="Times New Roman"/>
      <w:sz w:val="24"/>
      <w:szCs w:val="20"/>
    </w:rPr>
  </w:style>
  <w:style w:type="paragraph" w:customStyle="1" w:styleId="DepartmentalNormal">
    <w:name w:val="Departmental Normal"/>
    <w:basedOn w:val="Normal"/>
    <w:rsid w:val="002E194F"/>
  </w:style>
  <w:style w:type="paragraph" w:styleId="Header">
    <w:name w:val="header"/>
    <w:basedOn w:val="Normal"/>
    <w:link w:val="HeaderChar"/>
    <w:rsid w:val="002E194F"/>
    <w:pPr>
      <w:tabs>
        <w:tab w:val="center" w:pos="4153"/>
        <w:tab w:val="right" w:pos="8306"/>
      </w:tabs>
    </w:pPr>
  </w:style>
  <w:style w:type="character" w:customStyle="1" w:styleId="HeaderChar">
    <w:name w:val="Header Char"/>
    <w:basedOn w:val="DefaultParagraphFont"/>
    <w:link w:val="Header"/>
    <w:rsid w:val="002E194F"/>
    <w:rPr>
      <w:rFonts w:ascii="Times New Roman" w:eastAsia="Times New Roman" w:hAnsi="Times New Roman" w:cs="Times New Roman"/>
      <w:sz w:val="24"/>
      <w:szCs w:val="20"/>
    </w:rPr>
  </w:style>
  <w:style w:type="paragraph" w:styleId="BodyTextIndent">
    <w:name w:val="Body Text Indent"/>
    <w:basedOn w:val="Normal"/>
    <w:link w:val="BodyTextIndentChar"/>
    <w:rsid w:val="002E194F"/>
    <w:pPr>
      <w:ind w:left="360"/>
    </w:pPr>
  </w:style>
  <w:style w:type="character" w:customStyle="1" w:styleId="BodyTextIndentChar">
    <w:name w:val="Body Text Indent Char"/>
    <w:basedOn w:val="DefaultParagraphFont"/>
    <w:link w:val="BodyTextIndent"/>
    <w:rsid w:val="002E194F"/>
    <w:rPr>
      <w:rFonts w:ascii="Times New Roman" w:eastAsia="Times New Roman" w:hAnsi="Times New Roman" w:cs="Times New Roman"/>
      <w:sz w:val="24"/>
      <w:szCs w:val="20"/>
    </w:rPr>
  </w:style>
  <w:style w:type="paragraph" w:customStyle="1" w:styleId="Style1">
    <w:name w:val="Style1"/>
    <w:basedOn w:val="Normal"/>
    <w:autoRedefine/>
    <w:rsid w:val="002E194F"/>
    <w:pPr>
      <w:ind w:left="567" w:right="379" w:hanging="567"/>
    </w:pPr>
  </w:style>
  <w:style w:type="paragraph" w:customStyle="1" w:styleId="Style3">
    <w:name w:val="Style3"/>
    <w:basedOn w:val="Normal"/>
    <w:rsid w:val="002E194F"/>
    <w:pPr>
      <w:tabs>
        <w:tab w:val="num" w:pos="360"/>
      </w:tabs>
      <w:ind w:left="360" w:hanging="360"/>
    </w:pPr>
  </w:style>
  <w:style w:type="character" w:styleId="PageNumber">
    <w:name w:val="page number"/>
    <w:basedOn w:val="DefaultParagraphFont"/>
    <w:rsid w:val="002E194F"/>
  </w:style>
  <w:style w:type="paragraph" w:styleId="Footer">
    <w:name w:val="footer"/>
    <w:basedOn w:val="Normal"/>
    <w:link w:val="FooterChar"/>
    <w:rsid w:val="002E194F"/>
    <w:pPr>
      <w:tabs>
        <w:tab w:val="center" w:pos="4153"/>
        <w:tab w:val="right" w:pos="8306"/>
      </w:tabs>
    </w:pPr>
  </w:style>
  <w:style w:type="character" w:customStyle="1" w:styleId="FooterChar">
    <w:name w:val="Footer Char"/>
    <w:basedOn w:val="DefaultParagraphFont"/>
    <w:link w:val="Footer"/>
    <w:rsid w:val="002E194F"/>
    <w:rPr>
      <w:rFonts w:ascii="Times New Roman" w:eastAsia="Times New Roman" w:hAnsi="Times New Roman" w:cs="Times New Roman"/>
      <w:sz w:val="24"/>
      <w:szCs w:val="20"/>
    </w:rPr>
  </w:style>
  <w:style w:type="paragraph" w:styleId="BodyTextIndent2">
    <w:name w:val="Body Text Indent 2"/>
    <w:basedOn w:val="Normal"/>
    <w:link w:val="BodyTextIndent2Char"/>
    <w:rsid w:val="002E194F"/>
    <w:pPr>
      <w:ind w:left="1701" w:hanging="1275"/>
    </w:pPr>
    <w:rPr>
      <w:i/>
    </w:rPr>
  </w:style>
  <w:style w:type="character" w:customStyle="1" w:styleId="BodyTextIndent2Char">
    <w:name w:val="Body Text Indent 2 Char"/>
    <w:basedOn w:val="DefaultParagraphFont"/>
    <w:link w:val="BodyTextIndent2"/>
    <w:rsid w:val="002E194F"/>
    <w:rPr>
      <w:rFonts w:ascii="Times New Roman" w:eastAsia="Times New Roman" w:hAnsi="Times New Roman" w:cs="Times New Roman"/>
      <w:i/>
      <w:sz w:val="24"/>
      <w:szCs w:val="20"/>
    </w:rPr>
  </w:style>
  <w:style w:type="paragraph" w:styleId="BodyText">
    <w:name w:val="Body Text"/>
    <w:basedOn w:val="Normal"/>
    <w:link w:val="BodyTextChar"/>
    <w:rsid w:val="002E194F"/>
    <w:rPr>
      <w:color w:val="000000"/>
    </w:rPr>
  </w:style>
  <w:style w:type="character" w:customStyle="1" w:styleId="BodyTextChar">
    <w:name w:val="Body Text Char"/>
    <w:basedOn w:val="DefaultParagraphFont"/>
    <w:link w:val="BodyText"/>
    <w:rsid w:val="002E194F"/>
    <w:rPr>
      <w:rFonts w:ascii="Times New Roman" w:eastAsia="Times New Roman" w:hAnsi="Times New Roman" w:cs="Times New Roman"/>
      <w:color w:val="000000"/>
      <w:sz w:val="24"/>
      <w:szCs w:val="20"/>
    </w:rPr>
  </w:style>
  <w:style w:type="paragraph" w:styleId="TOC1">
    <w:name w:val="toc 1"/>
    <w:basedOn w:val="Normal"/>
    <w:next w:val="Normal"/>
    <w:autoRedefine/>
    <w:uiPriority w:val="39"/>
    <w:rsid w:val="00181448"/>
    <w:pPr>
      <w:tabs>
        <w:tab w:val="left" w:pos="567"/>
        <w:tab w:val="right" w:leader="dot" w:pos="9016"/>
      </w:tabs>
      <w:spacing w:before="240" w:after="0"/>
      <w:ind w:left="567" w:hanging="567"/>
    </w:pPr>
    <w:rPr>
      <w:b/>
      <w:bCs/>
      <w:caps/>
      <w:noProof/>
      <w:color w:val="0070C0"/>
      <w:szCs w:val="28"/>
    </w:rPr>
  </w:style>
  <w:style w:type="paragraph" w:styleId="TOC2">
    <w:name w:val="toc 2"/>
    <w:basedOn w:val="Normal"/>
    <w:next w:val="Normal"/>
    <w:autoRedefine/>
    <w:uiPriority w:val="39"/>
    <w:rsid w:val="00842255"/>
    <w:pPr>
      <w:tabs>
        <w:tab w:val="left" w:pos="1134"/>
        <w:tab w:val="right" w:leader="dot" w:pos="9016"/>
      </w:tabs>
      <w:spacing w:before="120" w:after="60" w:line="240" w:lineRule="auto"/>
      <w:ind w:left="567"/>
    </w:pPr>
    <w:rPr>
      <w:bCs/>
      <w:noProof/>
      <w:szCs w:val="24"/>
    </w:rPr>
  </w:style>
  <w:style w:type="paragraph" w:styleId="TOC3">
    <w:name w:val="toc 3"/>
    <w:basedOn w:val="Normal"/>
    <w:next w:val="Normal"/>
    <w:autoRedefine/>
    <w:uiPriority w:val="39"/>
    <w:rsid w:val="00181448"/>
    <w:pPr>
      <w:tabs>
        <w:tab w:val="left" w:pos="1834"/>
        <w:tab w:val="right" w:leader="dot" w:pos="9016"/>
      </w:tabs>
      <w:spacing w:before="60" w:after="40" w:line="240" w:lineRule="auto"/>
      <w:ind w:left="1701" w:hanging="567"/>
    </w:pPr>
    <w:rPr>
      <w:szCs w:val="24"/>
    </w:rPr>
  </w:style>
  <w:style w:type="paragraph" w:styleId="TOC4">
    <w:name w:val="toc 4"/>
    <w:basedOn w:val="Normal"/>
    <w:next w:val="Normal"/>
    <w:autoRedefine/>
    <w:uiPriority w:val="39"/>
    <w:rsid w:val="00842255"/>
    <w:pPr>
      <w:tabs>
        <w:tab w:val="left" w:pos="2641"/>
        <w:tab w:val="right" w:leader="dot" w:pos="9016"/>
      </w:tabs>
      <w:spacing w:after="0" w:line="240" w:lineRule="auto"/>
      <w:ind w:left="2693" w:hanging="992"/>
    </w:pPr>
    <w:rPr>
      <w:szCs w:val="24"/>
    </w:rPr>
  </w:style>
  <w:style w:type="paragraph" w:styleId="TOC5">
    <w:name w:val="toc 5"/>
    <w:basedOn w:val="Normal"/>
    <w:next w:val="Normal"/>
    <w:autoRedefine/>
    <w:uiPriority w:val="39"/>
    <w:rsid w:val="002E194F"/>
    <w:pPr>
      <w:ind w:left="720"/>
    </w:pPr>
    <w:rPr>
      <w:szCs w:val="24"/>
    </w:rPr>
  </w:style>
  <w:style w:type="paragraph" w:styleId="TOC6">
    <w:name w:val="toc 6"/>
    <w:basedOn w:val="Normal"/>
    <w:next w:val="Normal"/>
    <w:autoRedefine/>
    <w:uiPriority w:val="39"/>
    <w:rsid w:val="002E194F"/>
    <w:pPr>
      <w:ind w:left="960"/>
    </w:pPr>
    <w:rPr>
      <w:szCs w:val="24"/>
    </w:rPr>
  </w:style>
  <w:style w:type="paragraph" w:styleId="TOC7">
    <w:name w:val="toc 7"/>
    <w:basedOn w:val="Normal"/>
    <w:next w:val="Normal"/>
    <w:autoRedefine/>
    <w:uiPriority w:val="39"/>
    <w:rsid w:val="002E194F"/>
    <w:pPr>
      <w:ind w:left="1200"/>
    </w:pPr>
    <w:rPr>
      <w:szCs w:val="24"/>
    </w:rPr>
  </w:style>
  <w:style w:type="paragraph" w:styleId="TOC8">
    <w:name w:val="toc 8"/>
    <w:basedOn w:val="Normal"/>
    <w:next w:val="Normal"/>
    <w:autoRedefine/>
    <w:uiPriority w:val="39"/>
    <w:rsid w:val="002E194F"/>
    <w:pPr>
      <w:ind w:left="1440"/>
    </w:pPr>
    <w:rPr>
      <w:szCs w:val="24"/>
    </w:rPr>
  </w:style>
  <w:style w:type="paragraph" w:styleId="TOC9">
    <w:name w:val="toc 9"/>
    <w:basedOn w:val="Normal"/>
    <w:next w:val="Normal"/>
    <w:autoRedefine/>
    <w:uiPriority w:val="39"/>
    <w:rsid w:val="002E194F"/>
    <w:pPr>
      <w:ind w:left="1680"/>
    </w:pPr>
    <w:rPr>
      <w:szCs w:val="24"/>
    </w:rPr>
  </w:style>
  <w:style w:type="character" w:styleId="Hyperlink">
    <w:name w:val="Hyperlink"/>
    <w:basedOn w:val="DefaultParagraphFont"/>
    <w:uiPriority w:val="99"/>
    <w:rsid w:val="002E194F"/>
    <w:rPr>
      <w:color w:val="0000FF"/>
      <w:u w:val="single"/>
    </w:rPr>
  </w:style>
  <w:style w:type="paragraph" w:styleId="BodyText3">
    <w:name w:val="Body Text 3"/>
    <w:basedOn w:val="Normal"/>
    <w:link w:val="BodyText3Char"/>
    <w:rsid w:val="002E194F"/>
    <w:rPr>
      <w:color w:val="FF0000"/>
    </w:rPr>
  </w:style>
  <w:style w:type="character" w:customStyle="1" w:styleId="BodyText3Char">
    <w:name w:val="Body Text 3 Char"/>
    <w:basedOn w:val="DefaultParagraphFont"/>
    <w:link w:val="BodyText3"/>
    <w:rsid w:val="002E194F"/>
    <w:rPr>
      <w:rFonts w:ascii="Times New Roman" w:eastAsia="Times New Roman" w:hAnsi="Times New Roman" w:cs="Times New Roman"/>
      <w:color w:val="FF0000"/>
      <w:sz w:val="24"/>
      <w:szCs w:val="20"/>
    </w:rPr>
  </w:style>
  <w:style w:type="paragraph" w:styleId="BalloonText">
    <w:name w:val="Balloon Text"/>
    <w:basedOn w:val="Normal"/>
    <w:link w:val="BalloonTextChar"/>
    <w:semiHidden/>
    <w:rsid w:val="002E194F"/>
    <w:rPr>
      <w:rFonts w:ascii="Tahoma" w:hAnsi="Tahoma" w:cs="Tahoma"/>
      <w:sz w:val="16"/>
      <w:szCs w:val="16"/>
    </w:rPr>
  </w:style>
  <w:style w:type="character" w:customStyle="1" w:styleId="BalloonTextChar">
    <w:name w:val="Balloon Text Char"/>
    <w:basedOn w:val="DefaultParagraphFont"/>
    <w:link w:val="BalloonText"/>
    <w:semiHidden/>
    <w:rsid w:val="002E194F"/>
    <w:rPr>
      <w:rFonts w:ascii="Tahoma" w:eastAsia="Times New Roman" w:hAnsi="Tahoma" w:cs="Tahoma"/>
      <w:sz w:val="16"/>
      <w:szCs w:val="16"/>
    </w:rPr>
  </w:style>
  <w:style w:type="character" w:styleId="CommentReference">
    <w:name w:val="annotation reference"/>
    <w:basedOn w:val="DefaultParagraphFont"/>
    <w:uiPriority w:val="99"/>
    <w:semiHidden/>
    <w:rsid w:val="002E194F"/>
    <w:rPr>
      <w:sz w:val="16"/>
      <w:szCs w:val="16"/>
    </w:rPr>
  </w:style>
  <w:style w:type="paragraph" w:styleId="CommentText">
    <w:name w:val="annotation text"/>
    <w:basedOn w:val="Normal"/>
    <w:link w:val="CommentTextChar"/>
    <w:uiPriority w:val="99"/>
    <w:rsid w:val="002E194F"/>
    <w:rPr>
      <w:sz w:val="20"/>
    </w:rPr>
  </w:style>
  <w:style w:type="character" w:customStyle="1" w:styleId="CommentTextChar">
    <w:name w:val="Comment Text Char"/>
    <w:basedOn w:val="DefaultParagraphFont"/>
    <w:link w:val="CommentText"/>
    <w:uiPriority w:val="99"/>
    <w:rsid w:val="002E19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E194F"/>
    <w:rPr>
      <w:b/>
      <w:bCs/>
    </w:rPr>
  </w:style>
  <w:style w:type="character" w:customStyle="1" w:styleId="CommentSubjectChar">
    <w:name w:val="Comment Subject Char"/>
    <w:basedOn w:val="CommentTextChar"/>
    <w:link w:val="CommentSubject"/>
    <w:semiHidden/>
    <w:rsid w:val="002E194F"/>
    <w:rPr>
      <w:rFonts w:ascii="Times New Roman" w:eastAsia="Times New Roman" w:hAnsi="Times New Roman" w:cs="Times New Roman"/>
      <w:b/>
      <w:bCs/>
      <w:sz w:val="20"/>
      <w:szCs w:val="20"/>
    </w:rPr>
  </w:style>
  <w:style w:type="paragraph" w:styleId="TOCHeading">
    <w:name w:val="TOC Heading"/>
    <w:basedOn w:val="Heading1"/>
    <w:next w:val="Normal"/>
    <w:uiPriority w:val="39"/>
    <w:semiHidden/>
    <w:unhideWhenUsed/>
    <w:qFormat/>
    <w:rsid w:val="00337D19"/>
    <w:pPr>
      <w:outlineLvl w:val="9"/>
    </w:pPr>
    <w:rPr>
      <w:lang w:val="en-US"/>
    </w:rPr>
  </w:style>
  <w:style w:type="character" w:styleId="EndnoteReference">
    <w:name w:val="endnote reference"/>
    <w:basedOn w:val="DefaultParagraphFont"/>
    <w:uiPriority w:val="99"/>
    <w:unhideWhenUsed/>
    <w:rsid w:val="00DF0A29"/>
    <w:rPr>
      <w:vertAlign w:val="superscript"/>
    </w:rPr>
  </w:style>
  <w:style w:type="paragraph" w:styleId="ListParagraph">
    <w:name w:val="List Paragraph"/>
    <w:basedOn w:val="Normal"/>
    <w:uiPriority w:val="34"/>
    <w:qFormat/>
    <w:rsid w:val="00337D19"/>
    <w:pPr>
      <w:ind w:left="720"/>
      <w:contextualSpacing/>
    </w:pPr>
  </w:style>
  <w:style w:type="paragraph" w:customStyle="1" w:styleId="Default">
    <w:name w:val="Default"/>
    <w:rsid w:val="0018681C"/>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164F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E02B6D"/>
    <w:pPr>
      <w:spacing w:line="240" w:lineRule="auto"/>
    </w:pPr>
    <w:rPr>
      <w:b/>
      <w:bCs/>
      <w:color w:val="4F81BD" w:themeColor="accent1"/>
      <w:sz w:val="18"/>
      <w:szCs w:val="18"/>
    </w:rPr>
  </w:style>
  <w:style w:type="character" w:styleId="PlaceholderText">
    <w:name w:val="Placeholder Text"/>
    <w:basedOn w:val="DefaultParagraphFont"/>
    <w:uiPriority w:val="99"/>
    <w:semiHidden/>
    <w:rsid w:val="00B23703"/>
    <w:rPr>
      <w:color w:val="808080"/>
    </w:rPr>
  </w:style>
  <w:style w:type="character" w:styleId="Strong">
    <w:name w:val="Strong"/>
    <w:basedOn w:val="DefaultParagraphFont"/>
    <w:uiPriority w:val="22"/>
    <w:qFormat/>
    <w:rsid w:val="00E6270C"/>
    <w:rPr>
      <w:b/>
      <w:bCs/>
    </w:rPr>
  </w:style>
  <w:style w:type="paragraph" w:styleId="FootnoteText">
    <w:name w:val="footnote text"/>
    <w:basedOn w:val="Normal"/>
    <w:link w:val="FootnoteTextChar"/>
    <w:uiPriority w:val="99"/>
    <w:semiHidden/>
    <w:unhideWhenUsed/>
    <w:rsid w:val="00564CAA"/>
    <w:rPr>
      <w:sz w:val="20"/>
    </w:rPr>
  </w:style>
  <w:style w:type="character" w:customStyle="1" w:styleId="FootnoteTextChar">
    <w:name w:val="Footnote Text Char"/>
    <w:basedOn w:val="DefaultParagraphFont"/>
    <w:link w:val="FootnoteText"/>
    <w:uiPriority w:val="99"/>
    <w:semiHidden/>
    <w:rsid w:val="00564CA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564CAA"/>
    <w:rPr>
      <w:vertAlign w:val="superscript"/>
    </w:rPr>
  </w:style>
  <w:style w:type="table" w:styleId="LightShading-Accent1">
    <w:name w:val="Light Shading Accent 1"/>
    <w:basedOn w:val="TableNormal"/>
    <w:uiPriority w:val="60"/>
    <w:rsid w:val="00EB1C0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C6505F"/>
    <w:rPr>
      <w:i/>
      <w:iCs/>
    </w:rPr>
  </w:style>
  <w:style w:type="paragraph" w:styleId="EndnoteText">
    <w:name w:val="endnote text"/>
    <w:basedOn w:val="Normal"/>
    <w:link w:val="EndnoteTextChar"/>
    <w:uiPriority w:val="99"/>
    <w:semiHidden/>
    <w:unhideWhenUsed/>
    <w:rsid w:val="00B80467"/>
    <w:rPr>
      <w:sz w:val="20"/>
    </w:rPr>
  </w:style>
  <w:style w:type="character" w:customStyle="1" w:styleId="EndnoteTextChar">
    <w:name w:val="Endnote Text Char"/>
    <w:basedOn w:val="DefaultParagraphFont"/>
    <w:link w:val="EndnoteText"/>
    <w:uiPriority w:val="99"/>
    <w:semiHidden/>
    <w:rsid w:val="00B80467"/>
    <w:rPr>
      <w:rFonts w:ascii="Times New Roman" w:eastAsia="Times New Roman" w:hAnsi="Times New Roman" w:cs="Times New Roman"/>
      <w:sz w:val="20"/>
      <w:szCs w:val="20"/>
      <w:lang w:val="en-GB"/>
    </w:rPr>
  </w:style>
  <w:style w:type="paragraph" w:styleId="Revision">
    <w:name w:val="Revision"/>
    <w:hidden/>
    <w:uiPriority w:val="99"/>
    <w:semiHidden/>
    <w:rsid w:val="00EF78C5"/>
    <w:rPr>
      <w:rFonts w:ascii="Times New Roman" w:eastAsia="Times New Roman" w:hAnsi="Times New Roman" w:cs="Times New Roman"/>
      <w:sz w:val="24"/>
      <w:szCs w:val="20"/>
      <w:lang w:val="en-GB"/>
    </w:rPr>
  </w:style>
  <w:style w:type="character" w:styleId="IntenseEmphasis">
    <w:name w:val="Intense Emphasis"/>
    <w:basedOn w:val="DefaultParagraphFont"/>
    <w:uiPriority w:val="21"/>
    <w:qFormat/>
    <w:rsid w:val="00BD7E93"/>
    <w:rPr>
      <w:b/>
      <w:bCs/>
      <w:i/>
      <w:iCs/>
      <w:color w:val="4F81BD" w:themeColor="accent1"/>
    </w:rPr>
  </w:style>
  <w:style w:type="paragraph" w:customStyle="1" w:styleId="TITLE2">
    <w:name w:val="TITLE2"/>
    <w:basedOn w:val="Title"/>
    <w:qFormat/>
    <w:rsid w:val="00337D19"/>
    <w:pPr>
      <w:numPr>
        <w:numId w:val="0"/>
      </w:numPr>
    </w:pPr>
  </w:style>
  <w:style w:type="paragraph" w:styleId="Title">
    <w:name w:val="Title"/>
    <w:basedOn w:val="Normal"/>
    <w:next w:val="Normal"/>
    <w:link w:val="TitleChar"/>
    <w:uiPriority w:val="10"/>
    <w:qFormat/>
    <w:rsid w:val="00337D19"/>
    <w:pPr>
      <w:numPr>
        <w:numId w:val="7"/>
      </w:num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7D19"/>
    <w:rPr>
      <w:rFonts w:asciiTheme="majorHAnsi" w:eastAsiaTheme="majorEastAsia" w:hAnsiTheme="majorHAnsi" w:cstheme="majorBidi"/>
      <w:color w:val="17365D" w:themeColor="text2" w:themeShade="BF"/>
      <w:spacing w:val="5"/>
      <w:kern w:val="28"/>
      <w:sz w:val="52"/>
      <w:szCs w:val="52"/>
    </w:rPr>
  </w:style>
  <w:style w:type="paragraph" w:customStyle="1" w:styleId="Heading3list">
    <w:name w:val="Heading3list"/>
    <w:basedOn w:val="Normal"/>
    <w:qFormat/>
    <w:rsid w:val="00337D19"/>
    <w:rPr>
      <w:rFonts w:asciiTheme="majorHAnsi" w:hAnsiTheme="majorHAnsi"/>
      <w:b/>
      <w:color w:val="548DD4" w:themeColor="text2" w:themeTint="99"/>
      <w:sz w:val="24"/>
      <w:szCs w:val="24"/>
    </w:rPr>
  </w:style>
  <w:style w:type="paragraph" w:customStyle="1" w:styleId="H11">
    <w:name w:val="H1(1)"/>
    <w:basedOn w:val="Normal"/>
    <w:qFormat/>
    <w:rsid w:val="00337D19"/>
    <w:rPr>
      <w:rFonts w:asciiTheme="majorHAnsi" w:hAnsiTheme="majorHAnsi"/>
      <w:b/>
      <w:color w:val="365F91" w:themeColor="accent1" w:themeShade="BF"/>
      <w:sz w:val="28"/>
      <w:szCs w:val="28"/>
    </w:rPr>
  </w:style>
  <w:style w:type="paragraph" w:customStyle="1" w:styleId="attributes">
    <w:name w:val="attributes"/>
    <w:basedOn w:val="H11"/>
    <w:qFormat/>
    <w:rsid w:val="00337D19"/>
    <w:pPr>
      <w:spacing w:before="240" w:after="0"/>
    </w:pPr>
  </w:style>
  <w:style w:type="paragraph" w:customStyle="1" w:styleId="definitionacronyms">
    <w:name w:val="definition+acronyms"/>
    <w:basedOn w:val="Heading1"/>
    <w:qFormat/>
    <w:rsid w:val="00337D19"/>
    <w:pPr>
      <w:spacing w:after="600"/>
      <w:jc w:val="center"/>
    </w:pPr>
  </w:style>
  <w:style w:type="paragraph" w:styleId="NoSpacing">
    <w:name w:val="No Spacing"/>
    <w:link w:val="NoSpacingChar"/>
    <w:uiPriority w:val="1"/>
    <w:qFormat/>
    <w:rsid w:val="00337D19"/>
    <w:pPr>
      <w:spacing w:after="0" w:line="240" w:lineRule="auto"/>
    </w:pPr>
    <w:rPr>
      <w:lang w:val="en-US"/>
    </w:rPr>
  </w:style>
  <w:style w:type="character" w:customStyle="1" w:styleId="NoSpacingChar">
    <w:name w:val="No Spacing Char"/>
    <w:basedOn w:val="DefaultParagraphFont"/>
    <w:link w:val="NoSpacing"/>
    <w:uiPriority w:val="1"/>
    <w:rsid w:val="00337D19"/>
    <w:rPr>
      <w:rFonts w:eastAsiaTheme="minorEastAsia"/>
      <w:lang w:val="en-US"/>
    </w:rPr>
  </w:style>
  <w:style w:type="paragraph" w:customStyle="1" w:styleId="SubHeading">
    <w:name w:val="SubHeading"/>
    <w:basedOn w:val="Normal"/>
    <w:qFormat/>
    <w:rsid w:val="00BD7E93"/>
    <w:pPr>
      <w:jc w:val="both"/>
    </w:pPr>
    <w:rPr>
      <w:b/>
      <w:i/>
      <w:color w:val="4F81BD" w:themeColor="accent1"/>
    </w:rPr>
  </w:style>
  <w:style w:type="paragraph" w:customStyle="1" w:styleId="Conclusion">
    <w:name w:val="Conclusion"/>
    <w:basedOn w:val="H11"/>
    <w:qFormat/>
    <w:rsid w:val="00E702E5"/>
    <w:rPr>
      <w:color w:val="4F81BD" w:themeColor="accent1"/>
      <w:sz w:val="24"/>
      <w:szCs w:val="22"/>
    </w:rPr>
  </w:style>
  <w:style w:type="paragraph" w:customStyle="1" w:styleId="Appendix">
    <w:name w:val="Appendix"/>
    <w:basedOn w:val="H11"/>
    <w:qFormat/>
    <w:rsid w:val="005E038F"/>
    <w:pPr>
      <w:jc w:val="center"/>
    </w:pPr>
  </w:style>
  <w:style w:type="paragraph" w:customStyle="1" w:styleId="BodyText0">
    <w:name w:val="BodyText"/>
    <w:qFormat/>
    <w:rsid w:val="007F0134"/>
    <w:pPr>
      <w:keepLines/>
      <w:spacing w:after="120" w:line="240" w:lineRule="auto"/>
      <w:ind w:left="567"/>
      <w:jc w:val="both"/>
    </w:pPr>
    <w:rPr>
      <w:rFonts w:ascii="Arial" w:eastAsia="Times New Roman" w:hAnsi="Arial" w:cs="Times New Roman"/>
      <w:sz w:val="20"/>
      <w:szCs w:val="20"/>
      <w:lang w:eastAsia="en-US"/>
    </w:rPr>
  </w:style>
  <w:style w:type="paragraph" w:customStyle="1" w:styleId="Paranumbered1">
    <w:name w:val="Para numbered 1"/>
    <w:basedOn w:val="Normal"/>
    <w:rsid w:val="00694219"/>
    <w:pPr>
      <w:numPr>
        <w:numId w:val="25"/>
      </w:numPr>
      <w:spacing w:after="120" w:line="240" w:lineRule="auto"/>
    </w:pPr>
    <w:rPr>
      <w:rFonts w:ascii="Arial" w:eastAsia="Times New Roman" w:hAnsi="Arial" w:cs="Times New Roman"/>
      <w:szCs w:val="20"/>
      <w:lang w:val="en-GB" w:eastAsia="en-US"/>
    </w:rPr>
  </w:style>
  <w:style w:type="paragraph" w:customStyle="1" w:styleId="Paranumberedi">
    <w:name w:val="Para numbered i"/>
    <w:rsid w:val="00694219"/>
    <w:pPr>
      <w:numPr>
        <w:ilvl w:val="2"/>
        <w:numId w:val="25"/>
      </w:numPr>
      <w:tabs>
        <w:tab w:val="left" w:pos="1701"/>
      </w:tabs>
      <w:spacing w:after="120" w:line="240" w:lineRule="auto"/>
    </w:pPr>
    <w:rPr>
      <w:rFonts w:ascii="Arial" w:eastAsia="Times New Roman" w:hAnsi="Arial" w:cs="Times New Roman"/>
      <w:szCs w:val="20"/>
      <w:lang w:eastAsia="en-US"/>
    </w:rPr>
  </w:style>
  <w:style w:type="paragraph" w:customStyle="1" w:styleId="aLicenceCondition">
    <w:name w:val="a Licence Condition"/>
    <w:basedOn w:val="Normal"/>
    <w:autoRedefine/>
    <w:rsid w:val="00777FCA"/>
    <w:pPr>
      <w:numPr>
        <w:numId w:val="36"/>
      </w:numPr>
      <w:spacing w:after="0" w:line="240" w:lineRule="auto"/>
      <w:jc w:val="both"/>
    </w:pPr>
    <w:rPr>
      <w:rFonts w:eastAsia="Times New Roman" w:cs="Times New Roman"/>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5FEC"/>
    <w:pPr>
      <w:keepNext/>
      <w:keepLines/>
      <w:numPr>
        <w:numId w:val="8"/>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FEC"/>
    <w:pPr>
      <w:keepLines/>
      <w:numPr>
        <w:ilvl w:val="1"/>
        <w:numId w:val="8"/>
      </w:numPr>
      <w:spacing w:before="28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60E4"/>
    <w:pPr>
      <w:keepNext/>
      <w:keepLines/>
      <w:numPr>
        <w:ilvl w:val="2"/>
        <w:numId w:val="8"/>
      </w:numPr>
      <w:spacing w:before="20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410E"/>
    <w:pPr>
      <w:keepNext/>
      <w:keepLines/>
      <w:numPr>
        <w:ilvl w:val="3"/>
        <w:numId w:val="8"/>
      </w:numPr>
      <w:spacing w:before="200" w:after="12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337D19"/>
    <w:pPr>
      <w:keepLines/>
      <w:numPr>
        <w:ilvl w:val="2"/>
        <w:numId w:val="7"/>
      </w:numPr>
      <w:spacing w:after="0"/>
      <w:outlineLvl w:val="4"/>
    </w:pPr>
    <w:rPr>
      <w:rFonts w:eastAsiaTheme="majorEastAsia" w:cstheme="majorBidi"/>
      <w:color w:val="000000" w:themeColor="text1"/>
      <w:sz w:val="20"/>
      <w:szCs w:val="20"/>
    </w:rPr>
  </w:style>
  <w:style w:type="paragraph" w:styleId="Heading6">
    <w:name w:val="heading 6"/>
    <w:basedOn w:val="Normal"/>
    <w:next w:val="Normal"/>
    <w:link w:val="Heading6Char"/>
    <w:uiPriority w:val="9"/>
    <w:unhideWhenUsed/>
    <w:qFormat/>
    <w:rsid w:val="00337D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37D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37D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194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F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5F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60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410E"/>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337D19"/>
    <w:rPr>
      <w:rFonts w:eastAsiaTheme="majorEastAsia" w:cstheme="majorBidi"/>
      <w:color w:val="000000" w:themeColor="text1"/>
      <w:sz w:val="20"/>
      <w:szCs w:val="20"/>
    </w:rPr>
  </w:style>
  <w:style w:type="character" w:customStyle="1" w:styleId="Heading6Char">
    <w:name w:val="Heading 6 Char"/>
    <w:basedOn w:val="DefaultParagraphFont"/>
    <w:link w:val="Heading6"/>
    <w:uiPriority w:val="9"/>
    <w:rsid w:val="00337D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37D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37D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194F"/>
    <w:rPr>
      <w:rFonts w:asciiTheme="majorHAnsi" w:eastAsiaTheme="majorEastAsia" w:hAnsiTheme="majorHAnsi" w:cstheme="majorBidi"/>
      <w:i/>
      <w:iCs/>
      <w:color w:val="404040" w:themeColor="text1" w:themeTint="BF"/>
      <w:sz w:val="20"/>
      <w:szCs w:val="20"/>
    </w:rPr>
  </w:style>
  <w:style w:type="paragraph" w:customStyle="1" w:styleId="p2">
    <w:name w:val="p2"/>
    <w:basedOn w:val="Normal"/>
    <w:uiPriority w:val="99"/>
    <w:rsid w:val="002E194F"/>
    <w:pPr>
      <w:tabs>
        <w:tab w:val="left" w:pos="720"/>
      </w:tabs>
      <w:spacing w:line="280" w:lineRule="atLeast"/>
    </w:pPr>
  </w:style>
  <w:style w:type="paragraph" w:styleId="BodyText2">
    <w:name w:val="Body Text 2"/>
    <w:basedOn w:val="Normal"/>
    <w:link w:val="BodyText2Char"/>
    <w:rsid w:val="002E194F"/>
  </w:style>
  <w:style w:type="character" w:customStyle="1" w:styleId="BodyText2Char">
    <w:name w:val="Body Text 2 Char"/>
    <w:basedOn w:val="DefaultParagraphFont"/>
    <w:link w:val="BodyText2"/>
    <w:rsid w:val="002E194F"/>
    <w:rPr>
      <w:rFonts w:ascii="Times New Roman" w:eastAsia="Times New Roman" w:hAnsi="Times New Roman" w:cs="Times New Roman"/>
      <w:sz w:val="24"/>
      <w:szCs w:val="20"/>
    </w:rPr>
  </w:style>
  <w:style w:type="paragraph" w:customStyle="1" w:styleId="DepartmentalNormal">
    <w:name w:val="Departmental Normal"/>
    <w:basedOn w:val="Normal"/>
    <w:rsid w:val="002E194F"/>
  </w:style>
  <w:style w:type="paragraph" w:styleId="Header">
    <w:name w:val="header"/>
    <w:basedOn w:val="Normal"/>
    <w:link w:val="HeaderChar"/>
    <w:rsid w:val="002E194F"/>
    <w:pPr>
      <w:tabs>
        <w:tab w:val="center" w:pos="4153"/>
        <w:tab w:val="right" w:pos="8306"/>
      </w:tabs>
    </w:pPr>
  </w:style>
  <w:style w:type="character" w:customStyle="1" w:styleId="HeaderChar">
    <w:name w:val="Header Char"/>
    <w:basedOn w:val="DefaultParagraphFont"/>
    <w:link w:val="Header"/>
    <w:rsid w:val="002E194F"/>
    <w:rPr>
      <w:rFonts w:ascii="Times New Roman" w:eastAsia="Times New Roman" w:hAnsi="Times New Roman" w:cs="Times New Roman"/>
      <w:sz w:val="24"/>
      <w:szCs w:val="20"/>
    </w:rPr>
  </w:style>
  <w:style w:type="paragraph" w:styleId="BodyTextIndent">
    <w:name w:val="Body Text Indent"/>
    <w:basedOn w:val="Normal"/>
    <w:link w:val="BodyTextIndentChar"/>
    <w:rsid w:val="002E194F"/>
    <w:pPr>
      <w:ind w:left="360"/>
    </w:pPr>
  </w:style>
  <w:style w:type="character" w:customStyle="1" w:styleId="BodyTextIndentChar">
    <w:name w:val="Body Text Indent Char"/>
    <w:basedOn w:val="DefaultParagraphFont"/>
    <w:link w:val="BodyTextIndent"/>
    <w:rsid w:val="002E194F"/>
    <w:rPr>
      <w:rFonts w:ascii="Times New Roman" w:eastAsia="Times New Roman" w:hAnsi="Times New Roman" w:cs="Times New Roman"/>
      <w:sz w:val="24"/>
      <w:szCs w:val="20"/>
    </w:rPr>
  </w:style>
  <w:style w:type="paragraph" w:customStyle="1" w:styleId="Style1">
    <w:name w:val="Style1"/>
    <w:basedOn w:val="Normal"/>
    <w:autoRedefine/>
    <w:rsid w:val="002E194F"/>
    <w:pPr>
      <w:ind w:left="567" w:right="379" w:hanging="567"/>
    </w:pPr>
  </w:style>
  <w:style w:type="paragraph" w:customStyle="1" w:styleId="Style3">
    <w:name w:val="Style3"/>
    <w:basedOn w:val="Normal"/>
    <w:rsid w:val="002E194F"/>
    <w:pPr>
      <w:tabs>
        <w:tab w:val="num" w:pos="360"/>
      </w:tabs>
      <w:ind w:left="360" w:hanging="360"/>
    </w:pPr>
  </w:style>
  <w:style w:type="character" w:styleId="PageNumber">
    <w:name w:val="page number"/>
    <w:basedOn w:val="DefaultParagraphFont"/>
    <w:rsid w:val="002E194F"/>
  </w:style>
  <w:style w:type="paragraph" w:styleId="Footer">
    <w:name w:val="footer"/>
    <w:basedOn w:val="Normal"/>
    <w:link w:val="FooterChar"/>
    <w:rsid w:val="002E194F"/>
    <w:pPr>
      <w:tabs>
        <w:tab w:val="center" w:pos="4153"/>
        <w:tab w:val="right" w:pos="8306"/>
      </w:tabs>
    </w:pPr>
  </w:style>
  <w:style w:type="character" w:customStyle="1" w:styleId="FooterChar">
    <w:name w:val="Footer Char"/>
    <w:basedOn w:val="DefaultParagraphFont"/>
    <w:link w:val="Footer"/>
    <w:rsid w:val="002E194F"/>
    <w:rPr>
      <w:rFonts w:ascii="Times New Roman" w:eastAsia="Times New Roman" w:hAnsi="Times New Roman" w:cs="Times New Roman"/>
      <w:sz w:val="24"/>
      <w:szCs w:val="20"/>
    </w:rPr>
  </w:style>
  <w:style w:type="paragraph" w:styleId="BodyTextIndent2">
    <w:name w:val="Body Text Indent 2"/>
    <w:basedOn w:val="Normal"/>
    <w:link w:val="BodyTextIndent2Char"/>
    <w:rsid w:val="002E194F"/>
    <w:pPr>
      <w:ind w:left="1701" w:hanging="1275"/>
    </w:pPr>
    <w:rPr>
      <w:i/>
    </w:rPr>
  </w:style>
  <w:style w:type="character" w:customStyle="1" w:styleId="BodyTextIndent2Char">
    <w:name w:val="Body Text Indent 2 Char"/>
    <w:basedOn w:val="DefaultParagraphFont"/>
    <w:link w:val="BodyTextIndent2"/>
    <w:rsid w:val="002E194F"/>
    <w:rPr>
      <w:rFonts w:ascii="Times New Roman" w:eastAsia="Times New Roman" w:hAnsi="Times New Roman" w:cs="Times New Roman"/>
      <w:i/>
      <w:sz w:val="24"/>
      <w:szCs w:val="20"/>
    </w:rPr>
  </w:style>
  <w:style w:type="paragraph" w:styleId="BodyText">
    <w:name w:val="Body Text"/>
    <w:basedOn w:val="Normal"/>
    <w:link w:val="BodyTextChar"/>
    <w:rsid w:val="002E194F"/>
    <w:rPr>
      <w:color w:val="000000"/>
    </w:rPr>
  </w:style>
  <w:style w:type="character" w:customStyle="1" w:styleId="BodyTextChar">
    <w:name w:val="Body Text Char"/>
    <w:basedOn w:val="DefaultParagraphFont"/>
    <w:link w:val="BodyText"/>
    <w:rsid w:val="002E194F"/>
    <w:rPr>
      <w:rFonts w:ascii="Times New Roman" w:eastAsia="Times New Roman" w:hAnsi="Times New Roman" w:cs="Times New Roman"/>
      <w:color w:val="000000"/>
      <w:sz w:val="24"/>
      <w:szCs w:val="20"/>
    </w:rPr>
  </w:style>
  <w:style w:type="paragraph" w:styleId="TOC1">
    <w:name w:val="toc 1"/>
    <w:basedOn w:val="Normal"/>
    <w:next w:val="Normal"/>
    <w:autoRedefine/>
    <w:uiPriority w:val="39"/>
    <w:rsid w:val="00181448"/>
    <w:pPr>
      <w:tabs>
        <w:tab w:val="left" w:pos="567"/>
        <w:tab w:val="right" w:leader="dot" w:pos="9016"/>
      </w:tabs>
      <w:spacing w:before="240" w:after="0"/>
      <w:ind w:left="567" w:hanging="567"/>
    </w:pPr>
    <w:rPr>
      <w:b/>
      <w:bCs/>
      <w:caps/>
      <w:noProof/>
      <w:color w:val="0070C0"/>
      <w:szCs w:val="28"/>
    </w:rPr>
  </w:style>
  <w:style w:type="paragraph" w:styleId="TOC2">
    <w:name w:val="toc 2"/>
    <w:basedOn w:val="Normal"/>
    <w:next w:val="Normal"/>
    <w:autoRedefine/>
    <w:uiPriority w:val="39"/>
    <w:rsid w:val="00842255"/>
    <w:pPr>
      <w:tabs>
        <w:tab w:val="left" w:pos="1134"/>
        <w:tab w:val="right" w:leader="dot" w:pos="9016"/>
      </w:tabs>
      <w:spacing w:before="120" w:after="60" w:line="240" w:lineRule="auto"/>
      <w:ind w:left="567"/>
    </w:pPr>
    <w:rPr>
      <w:bCs/>
      <w:noProof/>
      <w:szCs w:val="24"/>
    </w:rPr>
  </w:style>
  <w:style w:type="paragraph" w:styleId="TOC3">
    <w:name w:val="toc 3"/>
    <w:basedOn w:val="Normal"/>
    <w:next w:val="Normal"/>
    <w:autoRedefine/>
    <w:uiPriority w:val="39"/>
    <w:rsid w:val="00181448"/>
    <w:pPr>
      <w:tabs>
        <w:tab w:val="left" w:pos="1834"/>
        <w:tab w:val="right" w:leader="dot" w:pos="9016"/>
      </w:tabs>
      <w:spacing w:before="60" w:after="40" w:line="240" w:lineRule="auto"/>
      <w:ind w:left="1701" w:hanging="567"/>
    </w:pPr>
    <w:rPr>
      <w:szCs w:val="24"/>
    </w:rPr>
  </w:style>
  <w:style w:type="paragraph" w:styleId="TOC4">
    <w:name w:val="toc 4"/>
    <w:basedOn w:val="Normal"/>
    <w:next w:val="Normal"/>
    <w:autoRedefine/>
    <w:uiPriority w:val="39"/>
    <w:rsid w:val="00842255"/>
    <w:pPr>
      <w:tabs>
        <w:tab w:val="left" w:pos="2641"/>
        <w:tab w:val="right" w:leader="dot" w:pos="9016"/>
      </w:tabs>
      <w:spacing w:after="0" w:line="240" w:lineRule="auto"/>
      <w:ind w:left="2693" w:hanging="992"/>
    </w:pPr>
    <w:rPr>
      <w:szCs w:val="24"/>
    </w:rPr>
  </w:style>
  <w:style w:type="paragraph" w:styleId="TOC5">
    <w:name w:val="toc 5"/>
    <w:basedOn w:val="Normal"/>
    <w:next w:val="Normal"/>
    <w:autoRedefine/>
    <w:uiPriority w:val="39"/>
    <w:rsid w:val="002E194F"/>
    <w:pPr>
      <w:ind w:left="720"/>
    </w:pPr>
    <w:rPr>
      <w:szCs w:val="24"/>
    </w:rPr>
  </w:style>
  <w:style w:type="paragraph" w:styleId="TOC6">
    <w:name w:val="toc 6"/>
    <w:basedOn w:val="Normal"/>
    <w:next w:val="Normal"/>
    <w:autoRedefine/>
    <w:uiPriority w:val="39"/>
    <w:rsid w:val="002E194F"/>
    <w:pPr>
      <w:ind w:left="960"/>
    </w:pPr>
    <w:rPr>
      <w:szCs w:val="24"/>
    </w:rPr>
  </w:style>
  <w:style w:type="paragraph" w:styleId="TOC7">
    <w:name w:val="toc 7"/>
    <w:basedOn w:val="Normal"/>
    <w:next w:val="Normal"/>
    <w:autoRedefine/>
    <w:uiPriority w:val="39"/>
    <w:rsid w:val="002E194F"/>
    <w:pPr>
      <w:ind w:left="1200"/>
    </w:pPr>
    <w:rPr>
      <w:szCs w:val="24"/>
    </w:rPr>
  </w:style>
  <w:style w:type="paragraph" w:styleId="TOC8">
    <w:name w:val="toc 8"/>
    <w:basedOn w:val="Normal"/>
    <w:next w:val="Normal"/>
    <w:autoRedefine/>
    <w:uiPriority w:val="39"/>
    <w:rsid w:val="002E194F"/>
    <w:pPr>
      <w:ind w:left="1440"/>
    </w:pPr>
    <w:rPr>
      <w:szCs w:val="24"/>
    </w:rPr>
  </w:style>
  <w:style w:type="paragraph" w:styleId="TOC9">
    <w:name w:val="toc 9"/>
    <w:basedOn w:val="Normal"/>
    <w:next w:val="Normal"/>
    <w:autoRedefine/>
    <w:uiPriority w:val="39"/>
    <w:rsid w:val="002E194F"/>
    <w:pPr>
      <w:ind w:left="1680"/>
    </w:pPr>
    <w:rPr>
      <w:szCs w:val="24"/>
    </w:rPr>
  </w:style>
  <w:style w:type="character" w:styleId="Hyperlink">
    <w:name w:val="Hyperlink"/>
    <w:basedOn w:val="DefaultParagraphFont"/>
    <w:uiPriority w:val="99"/>
    <w:rsid w:val="002E194F"/>
    <w:rPr>
      <w:color w:val="0000FF"/>
      <w:u w:val="single"/>
    </w:rPr>
  </w:style>
  <w:style w:type="paragraph" w:styleId="BodyText3">
    <w:name w:val="Body Text 3"/>
    <w:basedOn w:val="Normal"/>
    <w:link w:val="BodyText3Char"/>
    <w:rsid w:val="002E194F"/>
    <w:rPr>
      <w:color w:val="FF0000"/>
    </w:rPr>
  </w:style>
  <w:style w:type="character" w:customStyle="1" w:styleId="BodyText3Char">
    <w:name w:val="Body Text 3 Char"/>
    <w:basedOn w:val="DefaultParagraphFont"/>
    <w:link w:val="BodyText3"/>
    <w:rsid w:val="002E194F"/>
    <w:rPr>
      <w:rFonts w:ascii="Times New Roman" w:eastAsia="Times New Roman" w:hAnsi="Times New Roman" w:cs="Times New Roman"/>
      <w:color w:val="FF0000"/>
      <w:sz w:val="24"/>
      <w:szCs w:val="20"/>
    </w:rPr>
  </w:style>
  <w:style w:type="paragraph" w:styleId="BalloonText">
    <w:name w:val="Balloon Text"/>
    <w:basedOn w:val="Normal"/>
    <w:link w:val="BalloonTextChar"/>
    <w:semiHidden/>
    <w:rsid w:val="002E194F"/>
    <w:rPr>
      <w:rFonts w:ascii="Tahoma" w:hAnsi="Tahoma" w:cs="Tahoma"/>
      <w:sz w:val="16"/>
      <w:szCs w:val="16"/>
    </w:rPr>
  </w:style>
  <w:style w:type="character" w:customStyle="1" w:styleId="BalloonTextChar">
    <w:name w:val="Balloon Text Char"/>
    <w:basedOn w:val="DefaultParagraphFont"/>
    <w:link w:val="BalloonText"/>
    <w:semiHidden/>
    <w:rsid w:val="002E194F"/>
    <w:rPr>
      <w:rFonts w:ascii="Tahoma" w:eastAsia="Times New Roman" w:hAnsi="Tahoma" w:cs="Tahoma"/>
      <w:sz w:val="16"/>
      <w:szCs w:val="16"/>
    </w:rPr>
  </w:style>
  <w:style w:type="character" w:styleId="CommentReference">
    <w:name w:val="annotation reference"/>
    <w:basedOn w:val="DefaultParagraphFont"/>
    <w:uiPriority w:val="99"/>
    <w:semiHidden/>
    <w:rsid w:val="002E194F"/>
    <w:rPr>
      <w:sz w:val="16"/>
      <w:szCs w:val="16"/>
    </w:rPr>
  </w:style>
  <w:style w:type="paragraph" w:styleId="CommentText">
    <w:name w:val="annotation text"/>
    <w:basedOn w:val="Normal"/>
    <w:link w:val="CommentTextChar"/>
    <w:uiPriority w:val="99"/>
    <w:rsid w:val="002E194F"/>
    <w:rPr>
      <w:sz w:val="20"/>
    </w:rPr>
  </w:style>
  <w:style w:type="character" w:customStyle="1" w:styleId="CommentTextChar">
    <w:name w:val="Comment Text Char"/>
    <w:basedOn w:val="DefaultParagraphFont"/>
    <w:link w:val="CommentText"/>
    <w:uiPriority w:val="99"/>
    <w:rsid w:val="002E19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E194F"/>
    <w:rPr>
      <w:b/>
      <w:bCs/>
    </w:rPr>
  </w:style>
  <w:style w:type="character" w:customStyle="1" w:styleId="CommentSubjectChar">
    <w:name w:val="Comment Subject Char"/>
    <w:basedOn w:val="CommentTextChar"/>
    <w:link w:val="CommentSubject"/>
    <w:semiHidden/>
    <w:rsid w:val="002E194F"/>
    <w:rPr>
      <w:rFonts w:ascii="Times New Roman" w:eastAsia="Times New Roman" w:hAnsi="Times New Roman" w:cs="Times New Roman"/>
      <w:b/>
      <w:bCs/>
      <w:sz w:val="20"/>
      <w:szCs w:val="20"/>
    </w:rPr>
  </w:style>
  <w:style w:type="paragraph" w:styleId="TOCHeading">
    <w:name w:val="TOC Heading"/>
    <w:basedOn w:val="Heading1"/>
    <w:next w:val="Normal"/>
    <w:uiPriority w:val="39"/>
    <w:semiHidden/>
    <w:unhideWhenUsed/>
    <w:qFormat/>
    <w:rsid w:val="00337D19"/>
    <w:pPr>
      <w:outlineLvl w:val="9"/>
    </w:pPr>
    <w:rPr>
      <w:lang w:val="en-US"/>
    </w:rPr>
  </w:style>
  <w:style w:type="character" w:styleId="EndnoteReference">
    <w:name w:val="endnote reference"/>
    <w:basedOn w:val="DefaultParagraphFont"/>
    <w:uiPriority w:val="99"/>
    <w:unhideWhenUsed/>
    <w:rsid w:val="00DF0A29"/>
    <w:rPr>
      <w:vertAlign w:val="superscript"/>
    </w:rPr>
  </w:style>
  <w:style w:type="paragraph" w:styleId="ListParagraph">
    <w:name w:val="List Paragraph"/>
    <w:basedOn w:val="Normal"/>
    <w:uiPriority w:val="34"/>
    <w:qFormat/>
    <w:rsid w:val="00337D19"/>
    <w:pPr>
      <w:ind w:left="720"/>
      <w:contextualSpacing/>
    </w:pPr>
  </w:style>
  <w:style w:type="paragraph" w:customStyle="1" w:styleId="Default">
    <w:name w:val="Default"/>
    <w:rsid w:val="0018681C"/>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164F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E02B6D"/>
    <w:pPr>
      <w:spacing w:line="240" w:lineRule="auto"/>
    </w:pPr>
    <w:rPr>
      <w:b/>
      <w:bCs/>
      <w:color w:val="4F81BD" w:themeColor="accent1"/>
      <w:sz w:val="18"/>
      <w:szCs w:val="18"/>
    </w:rPr>
  </w:style>
  <w:style w:type="character" w:styleId="PlaceholderText">
    <w:name w:val="Placeholder Text"/>
    <w:basedOn w:val="DefaultParagraphFont"/>
    <w:uiPriority w:val="99"/>
    <w:semiHidden/>
    <w:rsid w:val="00B23703"/>
    <w:rPr>
      <w:color w:val="808080"/>
    </w:rPr>
  </w:style>
  <w:style w:type="character" w:styleId="Strong">
    <w:name w:val="Strong"/>
    <w:basedOn w:val="DefaultParagraphFont"/>
    <w:uiPriority w:val="22"/>
    <w:qFormat/>
    <w:rsid w:val="00E6270C"/>
    <w:rPr>
      <w:b/>
      <w:bCs/>
    </w:rPr>
  </w:style>
  <w:style w:type="paragraph" w:styleId="FootnoteText">
    <w:name w:val="footnote text"/>
    <w:basedOn w:val="Normal"/>
    <w:link w:val="FootnoteTextChar"/>
    <w:uiPriority w:val="99"/>
    <w:semiHidden/>
    <w:unhideWhenUsed/>
    <w:rsid w:val="00564CAA"/>
    <w:rPr>
      <w:sz w:val="20"/>
    </w:rPr>
  </w:style>
  <w:style w:type="character" w:customStyle="1" w:styleId="FootnoteTextChar">
    <w:name w:val="Footnote Text Char"/>
    <w:basedOn w:val="DefaultParagraphFont"/>
    <w:link w:val="FootnoteText"/>
    <w:uiPriority w:val="99"/>
    <w:semiHidden/>
    <w:rsid w:val="00564CA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rsid w:val="00564CAA"/>
    <w:rPr>
      <w:vertAlign w:val="superscript"/>
    </w:rPr>
  </w:style>
  <w:style w:type="table" w:styleId="LightShading-Accent1">
    <w:name w:val="Light Shading Accent 1"/>
    <w:basedOn w:val="TableNormal"/>
    <w:uiPriority w:val="60"/>
    <w:rsid w:val="00EB1C0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C6505F"/>
    <w:rPr>
      <w:i/>
      <w:iCs/>
    </w:rPr>
  </w:style>
  <w:style w:type="paragraph" w:styleId="EndnoteText">
    <w:name w:val="endnote text"/>
    <w:basedOn w:val="Normal"/>
    <w:link w:val="EndnoteTextChar"/>
    <w:uiPriority w:val="99"/>
    <w:semiHidden/>
    <w:unhideWhenUsed/>
    <w:rsid w:val="00B80467"/>
    <w:rPr>
      <w:sz w:val="20"/>
    </w:rPr>
  </w:style>
  <w:style w:type="character" w:customStyle="1" w:styleId="EndnoteTextChar">
    <w:name w:val="Endnote Text Char"/>
    <w:basedOn w:val="DefaultParagraphFont"/>
    <w:link w:val="EndnoteText"/>
    <w:uiPriority w:val="99"/>
    <w:semiHidden/>
    <w:rsid w:val="00B80467"/>
    <w:rPr>
      <w:rFonts w:ascii="Times New Roman" w:eastAsia="Times New Roman" w:hAnsi="Times New Roman" w:cs="Times New Roman"/>
      <w:sz w:val="20"/>
      <w:szCs w:val="20"/>
      <w:lang w:val="en-GB"/>
    </w:rPr>
  </w:style>
  <w:style w:type="paragraph" w:styleId="Revision">
    <w:name w:val="Revision"/>
    <w:hidden/>
    <w:uiPriority w:val="99"/>
    <w:semiHidden/>
    <w:rsid w:val="00EF78C5"/>
    <w:rPr>
      <w:rFonts w:ascii="Times New Roman" w:eastAsia="Times New Roman" w:hAnsi="Times New Roman" w:cs="Times New Roman"/>
      <w:sz w:val="24"/>
      <w:szCs w:val="20"/>
      <w:lang w:val="en-GB"/>
    </w:rPr>
  </w:style>
  <w:style w:type="character" w:styleId="IntenseEmphasis">
    <w:name w:val="Intense Emphasis"/>
    <w:basedOn w:val="DefaultParagraphFont"/>
    <w:uiPriority w:val="21"/>
    <w:qFormat/>
    <w:rsid w:val="00BD7E93"/>
    <w:rPr>
      <w:b/>
      <w:bCs/>
      <w:i/>
      <w:iCs/>
      <w:color w:val="4F81BD" w:themeColor="accent1"/>
    </w:rPr>
  </w:style>
  <w:style w:type="paragraph" w:customStyle="1" w:styleId="TITLE2">
    <w:name w:val="TITLE2"/>
    <w:basedOn w:val="Title"/>
    <w:qFormat/>
    <w:rsid w:val="00337D19"/>
    <w:pPr>
      <w:numPr>
        <w:numId w:val="0"/>
      </w:numPr>
    </w:pPr>
  </w:style>
  <w:style w:type="paragraph" w:styleId="Title">
    <w:name w:val="Title"/>
    <w:basedOn w:val="Normal"/>
    <w:next w:val="Normal"/>
    <w:link w:val="TitleChar"/>
    <w:uiPriority w:val="10"/>
    <w:qFormat/>
    <w:rsid w:val="00337D19"/>
    <w:pPr>
      <w:numPr>
        <w:numId w:val="7"/>
      </w:num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7D19"/>
    <w:rPr>
      <w:rFonts w:asciiTheme="majorHAnsi" w:eastAsiaTheme="majorEastAsia" w:hAnsiTheme="majorHAnsi" w:cstheme="majorBidi"/>
      <w:color w:val="17365D" w:themeColor="text2" w:themeShade="BF"/>
      <w:spacing w:val="5"/>
      <w:kern w:val="28"/>
      <w:sz w:val="52"/>
      <w:szCs w:val="52"/>
    </w:rPr>
  </w:style>
  <w:style w:type="paragraph" w:customStyle="1" w:styleId="Heading3list">
    <w:name w:val="Heading3list"/>
    <w:basedOn w:val="Normal"/>
    <w:qFormat/>
    <w:rsid w:val="00337D19"/>
    <w:rPr>
      <w:rFonts w:asciiTheme="majorHAnsi" w:hAnsiTheme="majorHAnsi"/>
      <w:b/>
      <w:color w:val="548DD4" w:themeColor="text2" w:themeTint="99"/>
      <w:sz w:val="24"/>
      <w:szCs w:val="24"/>
    </w:rPr>
  </w:style>
  <w:style w:type="paragraph" w:customStyle="1" w:styleId="H11">
    <w:name w:val="H1(1)"/>
    <w:basedOn w:val="Normal"/>
    <w:qFormat/>
    <w:rsid w:val="00337D19"/>
    <w:rPr>
      <w:rFonts w:asciiTheme="majorHAnsi" w:hAnsiTheme="majorHAnsi"/>
      <w:b/>
      <w:color w:val="365F91" w:themeColor="accent1" w:themeShade="BF"/>
      <w:sz w:val="28"/>
      <w:szCs w:val="28"/>
    </w:rPr>
  </w:style>
  <w:style w:type="paragraph" w:customStyle="1" w:styleId="attributes">
    <w:name w:val="attributes"/>
    <w:basedOn w:val="H11"/>
    <w:qFormat/>
    <w:rsid w:val="00337D19"/>
    <w:pPr>
      <w:spacing w:before="240" w:after="0"/>
    </w:pPr>
  </w:style>
  <w:style w:type="paragraph" w:customStyle="1" w:styleId="definitionacronyms">
    <w:name w:val="definition+acronyms"/>
    <w:basedOn w:val="Heading1"/>
    <w:qFormat/>
    <w:rsid w:val="00337D19"/>
    <w:pPr>
      <w:spacing w:after="600"/>
      <w:jc w:val="center"/>
    </w:pPr>
  </w:style>
  <w:style w:type="paragraph" w:styleId="NoSpacing">
    <w:name w:val="No Spacing"/>
    <w:link w:val="NoSpacingChar"/>
    <w:uiPriority w:val="1"/>
    <w:qFormat/>
    <w:rsid w:val="00337D19"/>
    <w:pPr>
      <w:spacing w:after="0" w:line="240" w:lineRule="auto"/>
    </w:pPr>
    <w:rPr>
      <w:lang w:val="en-US"/>
    </w:rPr>
  </w:style>
  <w:style w:type="character" w:customStyle="1" w:styleId="NoSpacingChar">
    <w:name w:val="No Spacing Char"/>
    <w:basedOn w:val="DefaultParagraphFont"/>
    <w:link w:val="NoSpacing"/>
    <w:uiPriority w:val="1"/>
    <w:rsid w:val="00337D19"/>
    <w:rPr>
      <w:rFonts w:eastAsiaTheme="minorEastAsia"/>
      <w:lang w:val="en-US"/>
    </w:rPr>
  </w:style>
  <w:style w:type="paragraph" w:customStyle="1" w:styleId="SubHeading">
    <w:name w:val="SubHeading"/>
    <w:basedOn w:val="Normal"/>
    <w:qFormat/>
    <w:rsid w:val="00BD7E93"/>
    <w:pPr>
      <w:jc w:val="both"/>
    </w:pPr>
    <w:rPr>
      <w:b/>
      <w:i/>
      <w:color w:val="4F81BD" w:themeColor="accent1"/>
    </w:rPr>
  </w:style>
  <w:style w:type="paragraph" w:customStyle="1" w:styleId="Conclusion">
    <w:name w:val="Conclusion"/>
    <w:basedOn w:val="H11"/>
    <w:qFormat/>
    <w:rsid w:val="00E702E5"/>
    <w:rPr>
      <w:color w:val="4F81BD" w:themeColor="accent1"/>
      <w:sz w:val="24"/>
      <w:szCs w:val="22"/>
    </w:rPr>
  </w:style>
  <w:style w:type="paragraph" w:customStyle="1" w:styleId="Appendix">
    <w:name w:val="Appendix"/>
    <w:basedOn w:val="H11"/>
    <w:qFormat/>
    <w:rsid w:val="005E038F"/>
    <w:pPr>
      <w:jc w:val="center"/>
    </w:pPr>
  </w:style>
  <w:style w:type="paragraph" w:customStyle="1" w:styleId="BodyText0">
    <w:name w:val="BodyText"/>
    <w:qFormat/>
    <w:rsid w:val="007F0134"/>
    <w:pPr>
      <w:keepLines/>
      <w:spacing w:after="120" w:line="240" w:lineRule="auto"/>
      <w:ind w:left="567"/>
      <w:jc w:val="both"/>
    </w:pPr>
    <w:rPr>
      <w:rFonts w:ascii="Arial" w:eastAsia="Times New Roman" w:hAnsi="Arial" w:cs="Times New Roman"/>
      <w:sz w:val="20"/>
      <w:szCs w:val="20"/>
      <w:lang w:eastAsia="en-US"/>
    </w:rPr>
  </w:style>
  <w:style w:type="paragraph" w:customStyle="1" w:styleId="Paranumbered1">
    <w:name w:val="Para numbered 1"/>
    <w:basedOn w:val="Normal"/>
    <w:rsid w:val="00694219"/>
    <w:pPr>
      <w:numPr>
        <w:numId w:val="25"/>
      </w:numPr>
      <w:spacing w:after="120" w:line="240" w:lineRule="auto"/>
    </w:pPr>
    <w:rPr>
      <w:rFonts w:ascii="Arial" w:eastAsia="Times New Roman" w:hAnsi="Arial" w:cs="Times New Roman"/>
      <w:szCs w:val="20"/>
      <w:lang w:val="en-GB" w:eastAsia="en-US"/>
    </w:rPr>
  </w:style>
  <w:style w:type="paragraph" w:customStyle="1" w:styleId="Paranumberedi">
    <w:name w:val="Para numbered i"/>
    <w:rsid w:val="00694219"/>
    <w:pPr>
      <w:numPr>
        <w:ilvl w:val="2"/>
        <w:numId w:val="25"/>
      </w:numPr>
      <w:tabs>
        <w:tab w:val="left" w:pos="1701"/>
      </w:tabs>
      <w:spacing w:after="120" w:line="240" w:lineRule="auto"/>
    </w:pPr>
    <w:rPr>
      <w:rFonts w:ascii="Arial" w:eastAsia="Times New Roman" w:hAnsi="Arial" w:cs="Times New Roman"/>
      <w:szCs w:val="20"/>
      <w:lang w:eastAsia="en-US"/>
    </w:rPr>
  </w:style>
  <w:style w:type="paragraph" w:customStyle="1" w:styleId="aLicenceCondition">
    <w:name w:val="a Licence Condition"/>
    <w:basedOn w:val="Normal"/>
    <w:autoRedefine/>
    <w:rsid w:val="00777FCA"/>
    <w:pPr>
      <w:numPr>
        <w:numId w:val="36"/>
      </w:numPr>
      <w:spacing w:after="0" w:line="240" w:lineRule="auto"/>
      <w:jc w:val="both"/>
    </w:pPr>
    <w:rPr>
      <w:rFonts w:eastAsia="Times New Roman" w:cs="Times New Roman"/>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501">
      <w:bodyDiv w:val="1"/>
      <w:marLeft w:val="0"/>
      <w:marRight w:val="0"/>
      <w:marTop w:val="0"/>
      <w:marBottom w:val="0"/>
      <w:divBdr>
        <w:top w:val="none" w:sz="0" w:space="0" w:color="auto"/>
        <w:left w:val="none" w:sz="0" w:space="0" w:color="auto"/>
        <w:bottom w:val="none" w:sz="0" w:space="0" w:color="auto"/>
        <w:right w:val="none" w:sz="0" w:space="0" w:color="auto"/>
      </w:divBdr>
    </w:div>
    <w:div w:id="393312320">
      <w:bodyDiv w:val="1"/>
      <w:marLeft w:val="0"/>
      <w:marRight w:val="0"/>
      <w:marTop w:val="0"/>
      <w:marBottom w:val="0"/>
      <w:divBdr>
        <w:top w:val="none" w:sz="0" w:space="0" w:color="auto"/>
        <w:left w:val="none" w:sz="0" w:space="0" w:color="auto"/>
        <w:bottom w:val="none" w:sz="0" w:space="0" w:color="auto"/>
        <w:right w:val="none" w:sz="0" w:space="0" w:color="auto"/>
      </w:divBdr>
    </w:div>
    <w:div w:id="453793177">
      <w:bodyDiv w:val="1"/>
      <w:marLeft w:val="0"/>
      <w:marRight w:val="0"/>
      <w:marTop w:val="0"/>
      <w:marBottom w:val="0"/>
      <w:divBdr>
        <w:top w:val="none" w:sz="0" w:space="0" w:color="auto"/>
        <w:left w:val="none" w:sz="0" w:space="0" w:color="auto"/>
        <w:bottom w:val="none" w:sz="0" w:space="0" w:color="auto"/>
        <w:right w:val="none" w:sz="0" w:space="0" w:color="auto"/>
      </w:divBdr>
    </w:div>
    <w:div w:id="505099066">
      <w:bodyDiv w:val="1"/>
      <w:marLeft w:val="0"/>
      <w:marRight w:val="0"/>
      <w:marTop w:val="0"/>
      <w:marBottom w:val="0"/>
      <w:divBdr>
        <w:top w:val="none" w:sz="0" w:space="0" w:color="auto"/>
        <w:left w:val="none" w:sz="0" w:space="0" w:color="auto"/>
        <w:bottom w:val="none" w:sz="0" w:space="0" w:color="auto"/>
        <w:right w:val="none" w:sz="0" w:space="0" w:color="auto"/>
      </w:divBdr>
    </w:div>
    <w:div w:id="685601209">
      <w:bodyDiv w:val="1"/>
      <w:marLeft w:val="0"/>
      <w:marRight w:val="0"/>
      <w:marTop w:val="0"/>
      <w:marBottom w:val="0"/>
      <w:divBdr>
        <w:top w:val="none" w:sz="0" w:space="0" w:color="auto"/>
        <w:left w:val="none" w:sz="0" w:space="0" w:color="auto"/>
        <w:bottom w:val="none" w:sz="0" w:space="0" w:color="auto"/>
        <w:right w:val="none" w:sz="0" w:space="0" w:color="auto"/>
      </w:divBdr>
    </w:div>
    <w:div w:id="12177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ff/corporate-information/committees/index.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aff/corporate-information/committees/index.htm" TargetMode="External"/><Relationship Id="rId17"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sanhonour.gov.au/coat-arms/index.cfm" TargetMode="External"/><Relationship Id="rId5" Type="http://schemas.openxmlformats.org/officeDocument/2006/relationships/settings" Target="settings.xml"/><Relationship Id="rId15" Type="http://schemas.openxmlformats.org/officeDocument/2006/relationships/image" Target="media/image20.emf"/><Relationship Id="rId10" Type="http://schemas.openxmlformats.org/officeDocument/2006/relationships/hyperlink" Target="http://creativecommons.org/licenses/by/3.0/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Com98</b:Tag>
    <b:SourceType>Report</b:SourceType>
    <b:Guid>{9FCB5D72-CEA7-4E2B-9335-5455876E9EF0}</b:Guid>
    <b:Author>
      <b:Author>
        <b:Corporate>Commonwealth of Australia</b:Corporate>
      </b:Author>
    </b:Author>
    <b:Title>Australian Radiation Protection and Nuclear Safety Act</b:Title>
    <b:Year>1998</b:Year>
    <b:RefOrder>1</b:RefOrder>
  </b:Source>
</b:Sources>
</file>

<file path=customXml/itemProps1.xml><?xml version="1.0" encoding="utf-8"?>
<ds:datastoreItem xmlns:ds="http://schemas.openxmlformats.org/officeDocument/2006/customXml" ds:itemID="{28334584-A0F5-4DD0-AD86-A7DF637F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61D9BD39.dotm</Template>
  <TotalTime>302</TotalTime>
  <Pages>48</Pages>
  <Words>18377</Words>
  <Characters>97954</Characters>
  <Application>Microsoft Office Word</Application>
  <DocSecurity>0</DocSecurity>
  <Lines>1554</Lines>
  <Paragraphs>625</Paragraphs>
  <ScaleCrop>false</ScaleCrop>
  <HeadingPairs>
    <vt:vector size="2" baseType="variant">
      <vt:variant>
        <vt:lpstr>Title</vt:lpstr>
      </vt:variant>
      <vt:variant>
        <vt:i4>1</vt:i4>
      </vt:variant>
    </vt:vector>
  </HeadingPairs>
  <TitlesOfParts>
    <vt:vector size="1" baseType="lpstr">
      <vt:lpstr>Regulatory Assessment Report - Operating Licence Application Interim Waste Store (IWS)</vt:lpstr>
    </vt:vector>
  </TitlesOfParts>
  <Company>ARPANSA</Company>
  <LinksUpToDate>false</LinksUpToDate>
  <CharactersWithSpaces>115706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Assessment Report - Operating Licence Application Interim Waste Store (IWS)</dc:title>
  <dc:creator>ARPANSA</dc:creator>
  <cp:lastModifiedBy>sforcl</cp:lastModifiedBy>
  <cp:revision>27</cp:revision>
  <cp:lastPrinted>2015-05-07T06:05:00Z</cp:lastPrinted>
  <dcterms:created xsi:type="dcterms:W3CDTF">2015-05-01T06:05:00Z</dcterms:created>
  <dcterms:modified xsi:type="dcterms:W3CDTF">2015-05-08T00:59:00Z</dcterms:modified>
</cp:coreProperties>
</file>