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D01" w:rsidRDefault="003A256E">
      <w:pPr>
        <w:spacing w:before="0" w:line="240" w:lineRule="auto"/>
      </w:pPr>
      <w:bookmarkStart w:id="0" w:name="_Toc308711763"/>
      <w:bookmarkStart w:id="1" w:name="_Toc308712055"/>
      <w:r>
        <w:rPr>
          <w:noProof/>
          <w:lang w:eastAsia="en-AU"/>
        </w:rPr>
        <w:drawing>
          <wp:anchor distT="0" distB="0" distL="114300" distR="114300" simplePos="0" relativeHeight="251686912" behindDoc="0" locked="0" layoutInCell="1" allowOverlap="1">
            <wp:simplePos x="0" y="0"/>
            <wp:positionH relativeFrom="column">
              <wp:posOffset>-782794</wp:posOffset>
            </wp:positionH>
            <wp:positionV relativeFrom="paragraph">
              <wp:posOffset>-888365</wp:posOffset>
            </wp:positionV>
            <wp:extent cx="7333132" cy="10372299"/>
            <wp:effectExtent l="0" t="0" r="127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176 - cover.jpg"/>
                    <pic:cNvPicPr/>
                  </pic:nvPicPr>
                  <pic:blipFill>
                    <a:blip r:embed="rId10">
                      <a:extLst>
                        <a:ext uri="{28A0092B-C50C-407E-A947-70E740481C1C}">
                          <a14:useLocalDpi xmlns:a14="http://schemas.microsoft.com/office/drawing/2010/main" val="0"/>
                        </a:ext>
                      </a:extLst>
                    </a:blip>
                    <a:stretch>
                      <a:fillRect/>
                    </a:stretch>
                  </pic:blipFill>
                  <pic:spPr>
                    <a:xfrm>
                      <a:off x="0" y="0"/>
                      <a:ext cx="7333132" cy="10372299"/>
                    </a:xfrm>
                    <a:prstGeom prst="rect">
                      <a:avLst/>
                    </a:prstGeom>
                  </pic:spPr>
                </pic:pic>
              </a:graphicData>
            </a:graphic>
            <wp14:sizeRelH relativeFrom="page">
              <wp14:pctWidth>0</wp14:pctWidth>
            </wp14:sizeRelH>
            <wp14:sizeRelV relativeFrom="page">
              <wp14:pctHeight>0</wp14:pctHeight>
            </wp14:sizeRelV>
          </wp:anchor>
        </w:drawing>
      </w:r>
    </w:p>
    <w:p w:rsidR="00203D01" w:rsidRDefault="00203D01">
      <w:pPr>
        <w:spacing w:before="0" w:line="240" w:lineRule="auto"/>
      </w:pPr>
      <w:r>
        <w:br w:type="page"/>
      </w:r>
    </w:p>
    <w:p w:rsidR="00203D01" w:rsidRDefault="00203D01">
      <w:pPr>
        <w:spacing w:before="0" w:line="240" w:lineRule="auto"/>
      </w:pPr>
    </w:p>
    <w:p w:rsidR="00203D01" w:rsidRDefault="00203D01">
      <w:pPr>
        <w:spacing w:before="0" w:line="240" w:lineRule="auto"/>
      </w:pPr>
    </w:p>
    <w:p w:rsidR="00203D01" w:rsidRDefault="00203D01">
      <w:pPr>
        <w:spacing w:before="0" w:line="240" w:lineRule="auto"/>
      </w:pPr>
    </w:p>
    <w:p w:rsidR="00203D01" w:rsidRDefault="00203D01">
      <w:pPr>
        <w:spacing w:before="0" w:line="240" w:lineRule="auto"/>
        <w:sectPr w:rsidR="00203D01" w:rsidSect="00F54566">
          <w:headerReference w:type="default" r:id="rId11"/>
          <w:footerReference w:type="default" r:id="rId12"/>
          <w:pgSz w:w="11906" w:h="16838" w:code="9"/>
          <w:pgMar w:top="1418" w:right="1418" w:bottom="1418" w:left="1418" w:header="709" w:footer="567" w:gutter="0"/>
          <w:pgNumType w:fmt="lowerRoman"/>
          <w:cols w:space="708"/>
          <w:docGrid w:linePitch="360"/>
        </w:sectPr>
      </w:pPr>
    </w:p>
    <w:p w:rsidR="00203D01" w:rsidRDefault="00203D01">
      <w:pPr>
        <w:spacing w:before="0" w:line="240" w:lineRule="auto"/>
      </w:pPr>
    </w:p>
    <w:p w:rsidR="00CE25C0" w:rsidRDefault="00CE25C0" w:rsidP="00203D01">
      <w:pPr>
        <w:tabs>
          <w:tab w:val="left" w:pos="3986"/>
        </w:tabs>
      </w:pPr>
    </w:p>
    <w:p w:rsidR="00CE25C0" w:rsidRDefault="00CE25C0" w:rsidP="008C7E1A"/>
    <w:p w:rsidR="00C2145A" w:rsidRDefault="00C2145A" w:rsidP="008C7E1A">
      <w:pPr>
        <w:pStyle w:val="Title"/>
      </w:pPr>
    </w:p>
    <w:p w:rsidR="00887FFD" w:rsidRDefault="00887FFD" w:rsidP="00887FFD"/>
    <w:p w:rsidR="00887FFD" w:rsidRDefault="00887FFD" w:rsidP="00887FFD"/>
    <w:p w:rsidR="00887FFD" w:rsidRPr="00887FFD" w:rsidRDefault="00887FFD" w:rsidP="00887FFD"/>
    <w:bookmarkEnd w:id="0"/>
    <w:bookmarkEnd w:id="1"/>
    <w:p w:rsidR="003A7F5F" w:rsidRPr="00887FFD" w:rsidRDefault="00887FFD" w:rsidP="003A7F5F">
      <w:pPr>
        <w:pStyle w:val="Title"/>
        <w:rPr>
          <w:color w:val="4E1A74"/>
          <w:sz w:val="40"/>
        </w:rPr>
      </w:pPr>
      <w:r w:rsidRPr="00887FFD">
        <w:rPr>
          <w:color w:val="4E1A74"/>
          <w:sz w:val="40"/>
        </w:rPr>
        <w:t>R</w:t>
      </w:r>
      <w:r w:rsidR="00387879" w:rsidRPr="00887FFD">
        <w:rPr>
          <w:color w:val="4E1A74"/>
          <w:sz w:val="40"/>
        </w:rPr>
        <w:t>adon at Australian</w:t>
      </w:r>
      <w:r w:rsidR="003A7F5F" w:rsidRPr="00887FFD">
        <w:rPr>
          <w:color w:val="4E1A74"/>
          <w:sz w:val="40"/>
        </w:rPr>
        <w:t xml:space="preserve"> Antarctic Stations</w:t>
      </w:r>
    </w:p>
    <w:p w:rsidR="00887FFD" w:rsidRPr="00887FFD" w:rsidRDefault="00887FFD" w:rsidP="00887FFD"/>
    <w:p w:rsidR="00B77280" w:rsidRPr="00887FFD" w:rsidRDefault="003A7F5F" w:rsidP="008C7E1A">
      <w:pPr>
        <w:pStyle w:val="Title"/>
        <w:rPr>
          <w:color w:val="4E1A74"/>
          <w:sz w:val="32"/>
        </w:rPr>
      </w:pPr>
      <w:r w:rsidRPr="00887FFD">
        <w:rPr>
          <w:color w:val="4E1A74"/>
          <w:sz w:val="32"/>
        </w:rPr>
        <w:t>Brendan Tate</w:t>
      </w:r>
    </w:p>
    <w:p w:rsidR="00887FFD" w:rsidRDefault="00887FFD" w:rsidP="00887FFD"/>
    <w:p w:rsidR="00887FFD" w:rsidRDefault="00887FFD" w:rsidP="00887FFD"/>
    <w:p w:rsidR="00887FFD" w:rsidRDefault="00887FFD" w:rsidP="00887FFD"/>
    <w:p w:rsidR="00887FFD" w:rsidRPr="00211C54" w:rsidRDefault="00887FFD" w:rsidP="00887FFD">
      <w:pPr>
        <w:jc w:val="center"/>
        <w:rPr>
          <w:sz w:val="24"/>
          <w:szCs w:val="24"/>
        </w:rPr>
      </w:pPr>
      <w:r w:rsidRPr="00211C54">
        <w:rPr>
          <w:sz w:val="24"/>
          <w:szCs w:val="24"/>
        </w:rPr>
        <w:t>Technical Report 1</w:t>
      </w:r>
      <w:r>
        <w:rPr>
          <w:sz w:val="24"/>
          <w:szCs w:val="24"/>
        </w:rPr>
        <w:t>76</w:t>
      </w:r>
    </w:p>
    <w:p w:rsidR="00887FFD" w:rsidRPr="00211C54" w:rsidRDefault="00887FFD" w:rsidP="00887FFD">
      <w:pPr>
        <w:jc w:val="center"/>
        <w:rPr>
          <w:sz w:val="24"/>
          <w:szCs w:val="24"/>
        </w:rPr>
      </w:pPr>
      <w:r>
        <w:rPr>
          <w:sz w:val="24"/>
          <w:szCs w:val="24"/>
        </w:rPr>
        <w:t>February</w:t>
      </w:r>
      <w:r w:rsidRPr="00211C54">
        <w:rPr>
          <w:sz w:val="24"/>
          <w:szCs w:val="24"/>
        </w:rPr>
        <w:t xml:space="preserve"> 2017</w:t>
      </w:r>
    </w:p>
    <w:p w:rsidR="00887FFD" w:rsidRPr="00887FFD" w:rsidRDefault="00887FFD" w:rsidP="00887FFD"/>
    <w:p w:rsidR="00EE5AE9" w:rsidRDefault="00EE5AE9" w:rsidP="00EE5AE9"/>
    <w:p w:rsidR="00EE5AE9" w:rsidRPr="00EE5AE9" w:rsidRDefault="00EE5AE9" w:rsidP="00EE5AE9"/>
    <w:p w:rsidR="00EE5AE9" w:rsidRDefault="00EE5AE9" w:rsidP="00030E8D">
      <w:pPr>
        <w:ind w:left="567" w:hanging="567"/>
        <w:rPr>
          <w:highlight w:val="yellow"/>
        </w:rPr>
        <w:sectPr w:rsidR="00EE5AE9" w:rsidSect="00F54566">
          <w:headerReference w:type="default" r:id="rId13"/>
          <w:footerReference w:type="default" r:id="rId14"/>
          <w:pgSz w:w="11906" w:h="16838" w:code="9"/>
          <w:pgMar w:top="1418" w:right="1418" w:bottom="1418" w:left="1418" w:header="709" w:footer="567" w:gutter="0"/>
          <w:pgNumType w:fmt="lowerRoman"/>
          <w:cols w:space="708"/>
          <w:docGrid w:linePitch="360"/>
        </w:sectPr>
      </w:pPr>
    </w:p>
    <w:p w:rsidR="003B3373" w:rsidRDefault="003F41D1" w:rsidP="00030E8D">
      <w:pPr>
        <w:ind w:left="567" w:hanging="567"/>
        <w:rPr>
          <w:color w:val="000000"/>
        </w:rPr>
      </w:pPr>
      <w:r>
        <w:rPr>
          <w:noProof/>
          <w:color w:val="000000"/>
          <w:lang w:eastAsia="en-AU"/>
        </w:rPr>
        <w:lastRenderedPageBreak/>
        <mc:AlternateContent>
          <mc:Choice Requires="wps">
            <w:drawing>
              <wp:anchor distT="0" distB="0" distL="114300" distR="114300" simplePos="0" relativeHeight="251657216" behindDoc="0" locked="0" layoutInCell="1" allowOverlap="1" wp14:anchorId="078103FB" wp14:editId="7B826BB4">
                <wp:simplePos x="0" y="0"/>
                <wp:positionH relativeFrom="column">
                  <wp:posOffset>-22860</wp:posOffset>
                </wp:positionH>
                <wp:positionV relativeFrom="paragraph">
                  <wp:posOffset>0</wp:posOffset>
                </wp:positionV>
                <wp:extent cx="6085840" cy="7825105"/>
                <wp:effectExtent l="5715" t="9525" r="13970" b="6985"/>
                <wp:wrapSquare wrapText="bothSides"/>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840" cy="7825105"/>
                        </a:xfrm>
                        <a:prstGeom prst="rect">
                          <a:avLst/>
                        </a:prstGeom>
                        <a:solidFill>
                          <a:srgbClr val="FFFFFF"/>
                        </a:solidFill>
                        <a:ln w="9525">
                          <a:solidFill>
                            <a:srgbClr val="000000"/>
                          </a:solidFill>
                          <a:miter lim="800000"/>
                          <a:headEnd/>
                          <a:tailEnd/>
                        </a:ln>
                      </wps:spPr>
                      <wps:txbx>
                        <w:txbxContent>
                          <w:p w:rsidR="00917D2A" w:rsidRPr="008C7E1A" w:rsidRDefault="00917D2A" w:rsidP="00D442A7">
                            <w:pPr>
                              <w:autoSpaceDE w:val="0"/>
                              <w:autoSpaceDN w:val="0"/>
                              <w:adjustRightInd w:val="0"/>
                              <w:spacing w:before="0"/>
                              <w:rPr>
                                <w:rFonts w:cs="Georgia"/>
                                <w:color w:val="000000"/>
                                <w:sz w:val="20"/>
                                <w:szCs w:val="20"/>
                              </w:rPr>
                            </w:pPr>
                          </w:p>
                          <w:p w:rsidR="00917D2A" w:rsidRDefault="00917D2A" w:rsidP="00D442A7">
                            <w:pPr>
                              <w:pStyle w:val="Text"/>
                              <w:spacing w:after="0" w:line="240" w:lineRule="auto"/>
                              <w:rPr>
                                <w:rFonts w:asciiTheme="minorHAnsi" w:hAnsiTheme="minorHAnsi"/>
                                <w:b/>
                                <w:szCs w:val="20"/>
                              </w:rPr>
                            </w:pPr>
                            <w:r w:rsidRPr="00A97E11">
                              <w:rPr>
                                <w:b/>
                                <w:sz w:val="20"/>
                                <w:szCs w:val="20"/>
                                <w:lang w:val="en-AU"/>
                              </w:rPr>
                              <w:t>© Commonwealth of Australia 20</w:t>
                            </w:r>
                            <w:r>
                              <w:rPr>
                                <w:b/>
                                <w:sz w:val="20"/>
                                <w:szCs w:val="20"/>
                                <w:lang w:val="en-AU"/>
                              </w:rPr>
                              <w:t>17</w:t>
                            </w:r>
                          </w:p>
                          <w:p w:rsidR="00917D2A" w:rsidRPr="00BD185B" w:rsidRDefault="00917D2A" w:rsidP="00D442A7">
                            <w:pPr>
                              <w:pStyle w:val="Text"/>
                              <w:spacing w:after="0" w:line="240" w:lineRule="auto"/>
                              <w:rPr>
                                <w:rFonts w:asciiTheme="minorHAnsi" w:hAnsiTheme="minorHAnsi"/>
                                <w:b/>
                                <w:color w:val="444448"/>
                                <w:sz w:val="20"/>
                                <w:szCs w:val="20"/>
                              </w:rPr>
                            </w:pPr>
                          </w:p>
                          <w:p w:rsidR="00917D2A" w:rsidRPr="00BD185B" w:rsidRDefault="00917D2A" w:rsidP="00D442A7">
                            <w:pPr>
                              <w:pStyle w:val="Text"/>
                              <w:spacing w:after="0" w:line="240" w:lineRule="auto"/>
                              <w:rPr>
                                <w:rFonts w:asciiTheme="minorHAnsi" w:hAnsiTheme="minorHAnsi"/>
                                <w:b/>
                                <w:color w:val="444448"/>
                                <w:szCs w:val="20"/>
                              </w:rPr>
                            </w:pPr>
                            <w:r w:rsidRPr="00BD185B">
                              <w:rPr>
                                <w:color w:val="444448"/>
                                <w:sz w:val="18"/>
                                <w:szCs w:val="18"/>
                              </w:rPr>
                              <w:t>This publication is protected by copyright. Copyright (and any other intellectual property rights, if any) in this publication is owned by the Commonwealth of Australia as represented by the Australian Radiation Protection and Nuclear Safety Agency (ARPANSA).</w:t>
                            </w:r>
                          </w:p>
                          <w:p w:rsidR="00917D2A" w:rsidRDefault="00917D2A" w:rsidP="00D442A7">
                            <w:pPr>
                              <w:pStyle w:val="Text"/>
                              <w:spacing w:after="0" w:line="240" w:lineRule="auto"/>
                              <w:rPr>
                                <w:rFonts w:asciiTheme="minorHAnsi" w:hAnsiTheme="minorHAnsi"/>
                                <w:b/>
                                <w:szCs w:val="20"/>
                              </w:rPr>
                            </w:pPr>
                          </w:p>
                          <w:p w:rsidR="00917D2A" w:rsidRPr="008C7E1A" w:rsidRDefault="00917D2A" w:rsidP="008C7E1A">
                            <w:pPr>
                              <w:suppressAutoHyphens/>
                              <w:autoSpaceDE w:val="0"/>
                              <w:autoSpaceDN w:val="0"/>
                              <w:adjustRightInd w:val="0"/>
                              <w:spacing w:before="0"/>
                              <w:textAlignment w:val="center"/>
                              <w:rPr>
                                <w:b/>
                                <w:szCs w:val="20"/>
                              </w:rPr>
                            </w:pPr>
                            <w:r w:rsidRPr="008C7E1A">
                              <w:rPr>
                                <w:rFonts w:ascii="Calibri" w:hAnsi="Calibri" w:cs="Calibri"/>
                                <w:b/>
                                <w:color w:val="000000"/>
                                <w:szCs w:val="20"/>
                                <w:lang w:val="en-US"/>
                              </w:rPr>
                              <w:t>ISSN:  0157-1400</w:t>
                            </w:r>
                            <w:r w:rsidRPr="008C7E1A">
                              <w:rPr>
                                <w:rFonts w:ascii="Georgia" w:hAnsi="Georgia" w:cs="Calibri"/>
                                <w:b/>
                                <w:color w:val="000000"/>
                                <w:szCs w:val="20"/>
                                <w:lang w:val="en-US"/>
                              </w:rPr>
                              <w:br/>
                            </w:r>
                          </w:p>
                          <w:p w:rsidR="00917D2A" w:rsidRPr="008C7E1A" w:rsidRDefault="00917D2A" w:rsidP="00D442A7">
                            <w:pPr>
                              <w:pStyle w:val="Text"/>
                              <w:rPr>
                                <w:rFonts w:asciiTheme="minorHAnsi" w:hAnsiTheme="minorHAnsi"/>
                                <w:sz w:val="20"/>
                                <w:szCs w:val="20"/>
                              </w:rPr>
                            </w:pPr>
                            <w:r>
                              <w:rPr>
                                <w:noProof/>
                                <w:sz w:val="20"/>
                                <w:szCs w:val="20"/>
                                <w:lang w:val="en-AU" w:eastAsia="en-AU"/>
                              </w:rPr>
                              <w:drawing>
                                <wp:inline distT="0" distB="0" distL="0" distR="0" wp14:anchorId="501AD7ED" wp14:editId="30DA7B09">
                                  <wp:extent cx="668020" cy="246380"/>
                                  <wp:effectExtent l="0" t="0" r="0" b="1270"/>
                                  <wp:docPr id="38" name="Picture 17"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020" cy="246380"/>
                                          </a:xfrm>
                                          <a:prstGeom prst="rect">
                                            <a:avLst/>
                                          </a:prstGeom>
                                          <a:noFill/>
                                          <a:ln>
                                            <a:noFill/>
                                          </a:ln>
                                        </pic:spPr>
                                      </pic:pic>
                                    </a:graphicData>
                                  </a:graphic>
                                </wp:inline>
                              </w:drawing>
                            </w:r>
                          </w:p>
                          <w:p w:rsidR="00917D2A" w:rsidRPr="008C7E1A" w:rsidRDefault="00917D2A" w:rsidP="00D442A7">
                            <w:pPr>
                              <w:pStyle w:val="Text"/>
                              <w:spacing w:after="0" w:line="240" w:lineRule="auto"/>
                              <w:rPr>
                                <w:rFonts w:asciiTheme="minorHAnsi" w:hAnsiTheme="minorHAnsi"/>
                                <w:b/>
                                <w:bCs/>
                                <w:szCs w:val="20"/>
                              </w:rPr>
                            </w:pPr>
                            <w:r w:rsidRPr="008C7E1A">
                              <w:rPr>
                                <w:rFonts w:asciiTheme="minorHAnsi" w:hAnsiTheme="minorHAnsi"/>
                                <w:b/>
                                <w:bCs/>
                                <w:szCs w:val="20"/>
                              </w:rPr>
                              <w:t>Creative Commons</w:t>
                            </w:r>
                          </w:p>
                          <w:p w:rsidR="00917D2A" w:rsidRPr="00BD185B" w:rsidRDefault="00917D2A" w:rsidP="00D442A7">
                            <w:pPr>
                              <w:pStyle w:val="Text"/>
                              <w:spacing w:after="0" w:line="240" w:lineRule="auto"/>
                              <w:rPr>
                                <w:rFonts w:asciiTheme="minorHAnsi" w:hAnsiTheme="minorHAnsi"/>
                                <w:b/>
                                <w:bCs/>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sidRPr="00BD185B">
                              <w:rPr>
                                <w:rFonts w:ascii="Calibri" w:hAnsi="Calibri"/>
                                <w:sz w:val="18"/>
                                <w:szCs w:val="18"/>
                              </w:rPr>
                              <w:t xml:space="preserve">With the exception of the Commonwealth Coat of Arms, any ARPANSA logos and any content that is marked as being third party material, this publication, </w:t>
                            </w:r>
                            <w:r w:rsidRPr="00BD185B">
                              <w:rPr>
                                <w:rFonts w:ascii="Calibri" w:hAnsi="Calibri"/>
                                <w:i/>
                                <w:sz w:val="18"/>
                                <w:szCs w:val="18"/>
                              </w:rPr>
                              <w:t>Radon at Australian Antarctic Stations</w:t>
                            </w:r>
                            <w:r w:rsidRPr="00BD185B">
                              <w:rPr>
                                <w:rFonts w:ascii="Calibri" w:hAnsi="Calibri"/>
                                <w:sz w:val="18"/>
                                <w:szCs w:val="18"/>
                              </w:rPr>
                              <w:t xml:space="preserve"> by the Australian Radiation Protection and Nuclear Safety Agency is licensed under a Creative Commons Attribution 3.0 Australia licence</w:t>
                            </w:r>
                            <w:r w:rsidRPr="00BD185B">
                              <w:rPr>
                                <w:rFonts w:ascii="Calibri" w:hAnsi="Calibri" w:cs="Calibri"/>
                                <w:sz w:val="18"/>
                                <w:szCs w:val="18"/>
                                <w:lang w:val="en-US"/>
                              </w:rPr>
                              <w:t xml:space="preserve"> (</w:t>
                            </w:r>
                            <w:hyperlink r:id="rId16" w:history="1">
                              <w:r w:rsidRPr="00BD185B">
                                <w:rPr>
                                  <w:rStyle w:val="Hyperlink"/>
                                  <w:rFonts w:ascii="Calibri" w:hAnsi="Calibri" w:cs="Calibri"/>
                                  <w:color w:val="444448"/>
                                  <w:sz w:val="18"/>
                                  <w:szCs w:val="18"/>
                                  <w:lang w:val="en-US"/>
                                </w:rPr>
                                <w:t>http://creativecommons.org/licenses/by/3.0/au/</w:t>
                              </w:r>
                            </w:hyperlink>
                            <w:r w:rsidRPr="00BD185B">
                              <w:rPr>
                                <w:rFonts w:ascii="Calibri" w:hAnsi="Calibri" w:cs="Calibri"/>
                                <w:sz w:val="18"/>
                                <w:szCs w:val="18"/>
                                <w:lang w:val="en-US"/>
                              </w:rPr>
                              <w:t xml:space="preserve">). </w:t>
                            </w:r>
                            <w:r w:rsidRPr="00BD185B">
                              <w:rPr>
                                <w:rFonts w:ascii="Calibri" w:hAnsi="Calibri"/>
                                <w:sz w:val="18"/>
                                <w:szCs w:val="18"/>
                              </w:rPr>
                              <w:t>It is a further condition of the licence that any numerical data referred to in this publication may not be changed. To the extent that copyright subsists in a third party, permission will be required from the third party to reuse the material.</w:t>
                            </w: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sidRPr="00BD185B">
                              <w:rPr>
                                <w:rFonts w:ascii="Calibri" w:hAnsi="Calibri"/>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Pr>
                                <w:rFonts w:ascii="Calibri" w:hAnsi="Calibri"/>
                                <w:sz w:val="18"/>
                                <w:szCs w:val="18"/>
                              </w:rPr>
                              <w:t>‘</w:t>
                            </w:r>
                            <w:r w:rsidRPr="00BD185B">
                              <w:rPr>
                                <w:rFonts w:ascii="Calibri" w:hAnsi="Calibri"/>
                                <w:sz w:val="18"/>
                                <w:szCs w:val="18"/>
                              </w:rPr>
                              <w:t>© Commonwealth of Australia 201</w:t>
                            </w:r>
                            <w:r>
                              <w:rPr>
                                <w:rFonts w:ascii="Calibri" w:hAnsi="Calibri"/>
                                <w:sz w:val="18"/>
                                <w:szCs w:val="18"/>
                              </w:rPr>
                              <w:t>7</w:t>
                            </w:r>
                            <w:r w:rsidRPr="00BD185B">
                              <w:rPr>
                                <w:rFonts w:ascii="Calibri" w:hAnsi="Calibri"/>
                                <w:sz w:val="18"/>
                                <w:szCs w:val="18"/>
                              </w:rPr>
                              <w:t xml:space="preserve">, as represented by the Australian Radiation Protection and </w:t>
                            </w:r>
                            <w:r>
                              <w:rPr>
                                <w:rFonts w:ascii="Calibri" w:hAnsi="Calibri"/>
                                <w:sz w:val="18"/>
                                <w:szCs w:val="18"/>
                              </w:rPr>
                              <w:t>Nuclear Safety Agency (ARPANSA)’</w:t>
                            </w:r>
                          </w:p>
                          <w:p w:rsidR="00917D2A" w:rsidRPr="00772C08" w:rsidRDefault="00917D2A" w:rsidP="00772C08">
                            <w:pPr>
                              <w:suppressAutoHyphens/>
                              <w:autoSpaceDE w:val="0"/>
                              <w:autoSpaceDN w:val="0"/>
                              <w:adjustRightInd w:val="0"/>
                              <w:spacing w:before="0"/>
                              <w:textAlignment w:val="center"/>
                              <w:rPr>
                                <w:rFonts w:ascii="Calibri" w:hAnsi="Calibri"/>
                                <w:sz w:val="20"/>
                                <w:szCs w:val="20"/>
                              </w:rPr>
                            </w:pPr>
                          </w:p>
                          <w:p w:rsidR="00917D2A" w:rsidRDefault="00917D2A" w:rsidP="00772C08">
                            <w:pPr>
                              <w:pStyle w:val="Text"/>
                              <w:spacing w:after="0" w:line="240" w:lineRule="auto"/>
                              <w:rPr>
                                <w:rFonts w:asciiTheme="minorHAnsi" w:hAnsiTheme="minorHAnsi"/>
                                <w:b/>
                                <w:bCs/>
                                <w:szCs w:val="20"/>
                              </w:rPr>
                            </w:pPr>
                            <w:r w:rsidRPr="00772C08">
                              <w:rPr>
                                <w:rFonts w:asciiTheme="minorHAnsi" w:hAnsiTheme="minorHAnsi"/>
                                <w:b/>
                                <w:bCs/>
                                <w:szCs w:val="20"/>
                              </w:rPr>
                              <w:t>Use of the Coat of Arms</w:t>
                            </w:r>
                          </w:p>
                          <w:p w:rsidR="00917D2A" w:rsidRPr="00BD185B" w:rsidRDefault="00917D2A" w:rsidP="00772C08">
                            <w:pPr>
                              <w:pStyle w:val="Text"/>
                              <w:spacing w:after="0" w:line="240" w:lineRule="auto"/>
                              <w:rPr>
                                <w:rFonts w:asciiTheme="minorHAnsi" w:hAnsiTheme="minorHAnsi"/>
                                <w:b/>
                                <w:bCs/>
                                <w:color w:val="444448"/>
                                <w:szCs w:val="20"/>
                              </w:rPr>
                            </w:pPr>
                          </w:p>
                          <w:p w:rsidR="00917D2A" w:rsidRPr="00BD185B" w:rsidRDefault="00917D2A" w:rsidP="00887FFD">
                            <w:pPr>
                              <w:pStyle w:val="TechRep"/>
                              <w:spacing w:after="0" w:line="240" w:lineRule="auto"/>
                              <w:rPr>
                                <w:sz w:val="18"/>
                                <w:szCs w:val="18"/>
                              </w:rPr>
                            </w:pPr>
                            <w:r w:rsidRPr="00BD185B">
                              <w:rPr>
                                <w:sz w:val="18"/>
                                <w:szCs w:val="18"/>
                              </w:rPr>
                              <w:t>The terms under which the Coat of Arms can be used are detailed on the Department of the Prime Minister and Cabinet website (</w:t>
                            </w:r>
                            <w:hyperlink r:id="rId17" w:history="1">
                              <w:r w:rsidRPr="00BD185B">
                                <w:rPr>
                                  <w:rStyle w:val="Hyperlink"/>
                                  <w:color w:val="444448"/>
                                  <w:sz w:val="18"/>
                                </w:rPr>
                                <w:t>www.dpmc.gov.au/government/commonwealth-coat-arms</w:t>
                              </w:r>
                            </w:hyperlink>
                            <w:r w:rsidRPr="00BD185B">
                              <w:rPr>
                                <w:sz w:val="18"/>
                                <w:szCs w:val="18"/>
                              </w:rPr>
                              <w:t>).</w:t>
                            </w:r>
                          </w:p>
                          <w:p w:rsidR="00917D2A" w:rsidRPr="00BD185B" w:rsidRDefault="00917D2A" w:rsidP="00D442A7">
                            <w:pPr>
                              <w:pStyle w:val="Text"/>
                              <w:spacing w:after="0" w:line="240" w:lineRule="auto"/>
                              <w:rPr>
                                <w:rFonts w:asciiTheme="minorHAnsi" w:hAnsiTheme="minorHAnsi"/>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 xml:space="preserve">Enquiries regarding the </w:t>
                            </w:r>
                            <w:proofErr w:type="spellStart"/>
                            <w:r w:rsidRPr="00BD185B">
                              <w:rPr>
                                <w:rFonts w:asciiTheme="minorHAnsi" w:hAnsiTheme="minorHAnsi"/>
                                <w:color w:val="444448"/>
                                <w:sz w:val="18"/>
                                <w:szCs w:val="18"/>
                              </w:rPr>
                              <w:t>licence</w:t>
                            </w:r>
                            <w:proofErr w:type="spellEnd"/>
                            <w:r w:rsidRPr="00BD185B">
                              <w:rPr>
                                <w:rFonts w:asciiTheme="minorHAnsi" w:hAnsiTheme="minorHAnsi"/>
                                <w:color w:val="444448"/>
                                <w:sz w:val="18"/>
                                <w:szCs w:val="18"/>
                              </w:rPr>
                              <w:t xml:space="preserve"> and any use of this report are welcome.</w:t>
                            </w:r>
                          </w:p>
                          <w:p w:rsidR="00917D2A" w:rsidRPr="00BD185B" w:rsidRDefault="00917D2A" w:rsidP="00D442A7">
                            <w:pPr>
                              <w:pStyle w:val="Text"/>
                              <w:spacing w:after="0" w:line="240" w:lineRule="auto"/>
                              <w:rPr>
                                <w:rFonts w:asciiTheme="minorHAnsi" w:hAnsiTheme="minorHAnsi"/>
                                <w:color w:val="444448"/>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ab/>
                              <w:t>ARPANSA</w:t>
                            </w:r>
                            <w:r w:rsidRPr="00BD185B">
                              <w:rPr>
                                <w:rFonts w:asciiTheme="minorHAnsi" w:hAnsiTheme="minorHAnsi"/>
                                <w:color w:val="444448"/>
                                <w:sz w:val="18"/>
                                <w:szCs w:val="18"/>
                              </w:rPr>
                              <w:br/>
                            </w:r>
                            <w:r w:rsidRPr="00BD185B">
                              <w:rPr>
                                <w:rFonts w:asciiTheme="minorHAnsi" w:hAnsiTheme="minorHAnsi"/>
                                <w:color w:val="444448"/>
                                <w:sz w:val="18"/>
                                <w:szCs w:val="18"/>
                              </w:rPr>
                              <w:tab/>
                              <w:t>619 Lower Plenty Road</w:t>
                            </w:r>
                            <w:r w:rsidRPr="00BD185B">
                              <w:rPr>
                                <w:rFonts w:asciiTheme="minorHAnsi" w:hAnsiTheme="minorHAnsi"/>
                                <w:color w:val="444448"/>
                                <w:sz w:val="18"/>
                                <w:szCs w:val="18"/>
                              </w:rPr>
                              <w:br/>
                            </w:r>
                            <w:r w:rsidRPr="00BD185B">
                              <w:rPr>
                                <w:rFonts w:asciiTheme="minorHAnsi" w:hAnsiTheme="minorHAnsi"/>
                                <w:color w:val="444448"/>
                                <w:sz w:val="18"/>
                                <w:szCs w:val="18"/>
                              </w:rPr>
                              <w:tab/>
                              <w:t>YALLAMBIE   VIC   3085</w:t>
                            </w:r>
                          </w:p>
                          <w:p w:rsidR="00917D2A" w:rsidRPr="00BD185B" w:rsidRDefault="00917D2A" w:rsidP="00D442A7">
                            <w:pPr>
                              <w:pStyle w:val="Text"/>
                              <w:spacing w:after="0" w:line="240" w:lineRule="auto"/>
                              <w:rPr>
                                <w:rFonts w:asciiTheme="minorHAnsi" w:hAnsiTheme="minorHAnsi"/>
                                <w:color w:val="444448"/>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ab/>
                              <w:t>Tel:   1800 022 333 (</w:t>
                            </w:r>
                            <w:proofErr w:type="spellStart"/>
                            <w:r w:rsidRPr="00BD185B">
                              <w:rPr>
                                <w:rFonts w:asciiTheme="minorHAnsi" w:hAnsiTheme="minorHAnsi"/>
                                <w:color w:val="444448"/>
                                <w:sz w:val="18"/>
                                <w:szCs w:val="18"/>
                              </w:rPr>
                              <w:t>Freecall</w:t>
                            </w:r>
                            <w:proofErr w:type="spellEnd"/>
                            <w:r w:rsidRPr="00BD185B">
                              <w:rPr>
                                <w:rFonts w:asciiTheme="minorHAnsi" w:hAnsiTheme="minorHAnsi"/>
                                <w:color w:val="444448"/>
                                <w:sz w:val="18"/>
                                <w:szCs w:val="18"/>
                              </w:rPr>
                              <w:t>) or +61 3 9433 2211</w:t>
                            </w:r>
                            <w:r w:rsidRPr="00BD185B">
                              <w:rPr>
                                <w:rFonts w:asciiTheme="minorHAnsi" w:hAnsiTheme="minorHAnsi"/>
                                <w:color w:val="444448"/>
                                <w:sz w:val="18"/>
                                <w:szCs w:val="18"/>
                              </w:rPr>
                              <w:br/>
                            </w:r>
                            <w:r w:rsidRPr="00BD185B">
                              <w:rPr>
                                <w:rFonts w:asciiTheme="minorHAnsi" w:hAnsiTheme="minorHAnsi"/>
                                <w:color w:val="444448"/>
                                <w:sz w:val="18"/>
                                <w:szCs w:val="18"/>
                              </w:rPr>
                              <w:tab/>
                              <w:t xml:space="preserve">Email:  </w:t>
                            </w:r>
                            <w:hyperlink r:id="rId18" w:history="1">
                              <w:r w:rsidRPr="00BD185B">
                                <w:rPr>
                                  <w:rStyle w:val="Hyperlink"/>
                                  <w:color w:val="444448"/>
                                  <w:sz w:val="18"/>
                                  <w:szCs w:val="18"/>
                                </w:rPr>
                                <w:t>info@arpansa.gov.au</w:t>
                              </w:r>
                            </w:hyperlink>
                            <w:r w:rsidRPr="00BD185B">
                              <w:rPr>
                                <w:rFonts w:asciiTheme="minorHAnsi" w:hAnsiTheme="minorHAnsi"/>
                                <w:color w:val="444448"/>
                                <w:sz w:val="18"/>
                                <w:szCs w:val="18"/>
                              </w:rPr>
                              <w:br/>
                            </w:r>
                            <w:r w:rsidRPr="00BD185B">
                              <w:rPr>
                                <w:rFonts w:asciiTheme="minorHAnsi" w:hAnsiTheme="minorHAnsi"/>
                                <w:color w:val="444448"/>
                                <w:sz w:val="18"/>
                                <w:szCs w:val="18"/>
                              </w:rPr>
                              <w:tab/>
                              <w:t xml:space="preserve">Website:  </w:t>
                            </w:r>
                            <w:hyperlink r:id="rId19" w:history="1">
                              <w:r w:rsidRPr="00BD185B">
                                <w:rPr>
                                  <w:rStyle w:val="Hyperlink"/>
                                  <w:color w:val="444448"/>
                                  <w:sz w:val="18"/>
                                  <w:szCs w:val="18"/>
                                </w:rPr>
                                <w:t>www.arpansa.gov.au</w:t>
                              </w:r>
                            </w:hyperlink>
                          </w:p>
                          <w:p w:rsidR="00917D2A" w:rsidRPr="00BD185B" w:rsidRDefault="00917D2A" w:rsidP="00D442A7">
                            <w:pPr>
                              <w:pStyle w:val="Text"/>
                              <w:spacing w:after="0" w:line="240" w:lineRule="auto"/>
                              <w:rPr>
                                <w:rFonts w:asciiTheme="minorHAnsi" w:hAnsiTheme="minorHAnsi"/>
                                <w:color w:val="444448"/>
                                <w:sz w:val="20"/>
                                <w:szCs w:val="20"/>
                              </w:rPr>
                            </w:pPr>
                          </w:p>
                          <w:p w:rsidR="00917D2A" w:rsidRPr="00BD185B" w:rsidRDefault="00917D2A" w:rsidP="00D442A7">
                            <w:pPr>
                              <w:pStyle w:val="Text"/>
                              <w:spacing w:after="0" w:line="240" w:lineRule="auto"/>
                              <w:rPr>
                                <w:rFonts w:asciiTheme="minorHAnsi" w:hAnsiTheme="minorHAnsi"/>
                                <w:b/>
                                <w:bCs/>
                                <w:color w:val="444448"/>
                                <w:sz w:val="20"/>
                                <w:szCs w:val="20"/>
                              </w:rPr>
                            </w:pPr>
                            <w:r w:rsidRPr="00BD185B">
                              <w:rPr>
                                <w:rFonts w:asciiTheme="minorHAnsi" w:hAnsiTheme="minorHAnsi"/>
                                <w:b/>
                                <w:bCs/>
                                <w:color w:val="444448"/>
                                <w:sz w:val="20"/>
                                <w:szCs w:val="20"/>
                              </w:rPr>
                              <w:t>Disclaimer</w:t>
                            </w:r>
                          </w:p>
                          <w:p w:rsidR="00917D2A" w:rsidRPr="00BD185B" w:rsidRDefault="00917D2A" w:rsidP="00D442A7">
                            <w:pPr>
                              <w:autoSpaceDE w:val="0"/>
                              <w:autoSpaceDN w:val="0"/>
                              <w:adjustRightInd w:val="0"/>
                              <w:spacing w:before="0"/>
                              <w:rPr>
                                <w:rFonts w:cs="Georgia"/>
                                <w:sz w:val="18"/>
                                <w:szCs w:val="20"/>
                              </w:rPr>
                            </w:pPr>
                            <w:r w:rsidRPr="00BD185B">
                              <w:rPr>
                                <w:rFonts w:cs="Georgia"/>
                                <w:sz w:val="18"/>
                                <w:szCs w:val="20"/>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8pt;margin-top:0;width:479.2pt;height:61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ivKgIAAFIEAAAOAAAAZHJzL2Uyb0RvYy54bWysVNtu2zAMfR+wfxD0vthOkzY14hRdugwD&#10;ugvQ7gNkWbaFyZJGKbGzrx8lO1l2exnmB0EUqcPDQ8rru6FT5CDASaMLms1SSoTmppK6Kejn592r&#10;FSXOM10xZbQo6FE4erd5+WLd21zMTWtUJYAgiHZ5bwvaem/zJHG8FR1zM2OFRmdtoGMeTWiSCliP&#10;6J1K5ml6nfQGKguGC+fw9GF00k3Er2vB/ce6dsITVVDk5uMKcS3DmmzWLG+A2VbyiQb7BxYdkxqT&#10;nqEemGdkD/I3qE5yMM7UfsZNl5i6llzEGrCaLP2lmqeWWRFrQXGcPcvk/h8s/3D4BERWBb2iRLMO&#10;W/QsBk9em4FkV0Ge3roco54sxvkBz7HNsVRnHw3/4og225bpRtwDmL4VrEJ6WbiZXFwdcVwAKfv3&#10;psI8bO9NBBpq6IJ2qAZBdGzT8dyawIXj4XW6Wq4W6OLou1nNl1m6jDlYfrpuwfm3wnQkbAoK2PsI&#10;zw6Pzgc6LD+FhGzOKFntpFLRgKbcKiAHhnOyi9+E/lOY0qQv6O1yvhwV+CtEGr8/QXTS48Ar2RV0&#10;dQ5iedDtja7iOHom1bhHykpPQgbtRhX9UA5TY0pTHVFSMONg40PETWvgGyU9DnVB3dc9A0GJeqex&#10;LbfZImjoo7FY3szRgEtPeelhmiNUQT0l43brx5eztyCbFjOdBuEeW7mTUeTQ85HVxBsHN2o/PbLw&#10;Mi7tGPXjV7D5DgAA//8DAFBLAwQUAAYACAAAACEA3E3CZN4AAAAIAQAADwAAAGRycy9kb3ducmV2&#10;LnhtbEyPwU7DMBBE70j8g7VI3FqHhFYQ4lSIqmdKQULcHHubRI3XIXbTlK9nOZXjakaz7xWryXVi&#10;xCG0nhTczRMQSMbblmoFH++b2QOIEDVZ3XlCBWcMsCqvrwqdW3+iNxx3sRY8QiHXCpoY+1zKYBp0&#10;Osx9j8TZ3g9ORz6HWtpBn3jcdTJNkqV0uiX+0OgeXxo0h93RKQjr7Xdv9tvq0Njzz+t6XJjPzZdS&#10;tzfT8xOIiFO8lOEPn9GhZKbKH8kG0SmYZUtuKmAhTh8X9yxScS3N0gxkWcj/AuUvAAAA//8DAFBL&#10;AQItABQABgAIAAAAIQC2gziS/gAAAOEBAAATAAAAAAAAAAAAAAAAAAAAAABbQ29udGVudF9UeXBl&#10;c10ueG1sUEsBAi0AFAAGAAgAAAAhADj9If/WAAAAlAEAAAsAAAAAAAAAAAAAAAAALwEAAF9yZWxz&#10;Ly5yZWxzUEsBAi0AFAAGAAgAAAAhAHEjGK8qAgAAUgQAAA4AAAAAAAAAAAAAAAAALgIAAGRycy9l&#10;Mm9Eb2MueG1sUEsBAi0AFAAGAAgAAAAhANxNwmTeAAAACAEAAA8AAAAAAAAAAAAAAAAAhAQAAGRy&#10;cy9kb3ducmV2LnhtbFBLBQYAAAAABAAEAPMAAACPBQAAAAA=&#10;">
                <v:textbox style="mso-fit-shape-to-text:t">
                  <w:txbxContent>
                    <w:p w:rsidR="00917D2A" w:rsidRPr="008C7E1A" w:rsidRDefault="00917D2A" w:rsidP="00D442A7">
                      <w:pPr>
                        <w:autoSpaceDE w:val="0"/>
                        <w:autoSpaceDN w:val="0"/>
                        <w:adjustRightInd w:val="0"/>
                        <w:spacing w:before="0"/>
                        <w:rPr>
                          <w:rFonts w:cs="Georgia"/>
                          <w:color w:val="000000"/>
                          <w:sz w:val="20"/>
                          <w:szCs w:val="20"/>
                        </w:rPr>
                      </w:pPr>
                    </w:p>
                    <w:p w:rsidR="00917D2A" w:rsidRDefault="00917D2A" w:rsidP="00D442A7">
                      <w:pPr>
                        <w:pStyle w:val="Text"/>
                        <w:spacing w:after="0" w:line="240" w:lineRule="auto"/>
                        <w:rPr>
                          <w:rFonts w:asciiTheme="minorHAnsi" w:hAnsiTheme="minorHAnsi"/>
                          <w:b/>
                          <w:szCs w:val="20"/>
                        </w:rPr>
                      </w:pPr>
                      <w:r w:rsidRPr="00A97E11">
                        <w:rPr>
                          <w:b/>
                          <w:sz w:val="20"/>
                          <w:szCs w:val="20"/>
                          <w:lang w:val="en-AU"/>
                        </w:rPr>
                        <w:t>© Commonwealth of Australia 20</w:t>
                      </w:r>
                      <w:r>
                        <w:rPr>
                          <w:b/>
                          <w:sz w:val="20"/>
                          <w:szCs w:val="20"/>
                          <w:lang w:val="en-AU"/>
                        </w:rPr>
                        <w:t>17</w:t>
                      </w:r>
                    </w:p>
                    <w:p w:rsidR="00917D2A" w:rsidRPr="00BD185B" w:rsidRDefault="00917D2A" w:rsidP="00D442A7">
                      <w:pPr>
                        <w:pStyle w:val="Text"/>
                        <w:spacing w:after="0" w:line="240" w:lineRule="auto"/>
                        <w:rPr>
                          <w:rFonts w:asciiTheme="minorHAnsi" w:hAnsiTheme="minorHAnsi"/>
                          <w:b/>
                          <w:color w:val="444448"/>
                          <w:sz w:val="20"/>
                          <w:szCs w:val="20"/>
                        </w:rPr>
                      </w:pPr>
                    </w:p>
                    <w:p w:rsidR="00917D2A" w:rsidRPr="00BD185B" w:rsidRDefault="00917D2A" w:rsidP="00D442A7">
                      <w:pPr>
                        <w:pStyle w:val="Text"/>
                        <w:spacing w:after="0" w:line="240" w:lineRule="auto"/>
                        <w:rPr>
                          <w:rFonts w:asciiTheme="minorHAnsi" w:hAnsiTheme="minorHAnsi"/>
                          <w:b/>
                          <w:color w:val="444448"/>
                          <w:szCs w:val="20"/>
                        </w:rPr>
                      </w:pPr>
                      <w:r w:rsidRPr="00BD185B">
                        <w:rPr>
                          <w:color w:val="444448"/>
                          <w:sz w:val="18"/>
                          <w:szCs w:val="18"/>
                        </w:rPr>
                        <w:t>This publication is protected by copyright. Copyright (and any other intellectual property rights, if any) in this publication is owned by the Commonwealth of Australia as represented by the Australian Radiation Protection and Nuclear Safety Agency (ARPANSA).</w:t>
                      </w:r>
                    </w:p>
                    <w:p w:rsidR="00917D2A" w:rsidRDefault="00917D2A" w:rsidP="00D442A7">
                      <w:pPr>
                        <w:pStyle w:val="Text"/>
                        <w:spacing w:after="0" w:line="240" w:lineRule="auto"/>
                        <w:rPr>
                          <w:rFonts w:asciiTheme="minorHAnsi" w:hAnsiTheme="minorHAnsi"/>
                          <w:b/>
                          <w:szCs w:val="20"/>
                        </w:rPr>
                      </w:pPr>
                    </w:p>
                    <w:p w:rsidR="00917D2A" w:rsidRPr="008C7E1A" w:rsidRDefault="00917D2A" w:rsidP="008C7E1A">
                      <w:pPr>
                        <w:suppressAutoHyphens/>
                        <w:autoSpaceDE w:val="0"/>
                        <w:autoSpaceDN w:val="0"/>
                        <w:adjustRightInd w:val="0"/>
                        <w:spacing w:before="0"/>
                        <w:textAlignment w:val="center"/>
                        <w:rPr>
                          <w:b/>
                          <w:szCs w:val="20"/>
                        </w:rPr>
                      </w:pPr>
                      <w:r w:rsidRPr="008C7E1A">
                        <w:rPr>
                          <w:rFonts w:ascii="Calibri" w:hAnsi="Calibri" w:cs="Calibri"/>
                          <w:b/>
                          <w:color w:val="000000"/>
                          <w:szCs w:val="20"/>
                          <w:lang w:val="en-US"/>
                        </w:rPr>
                        <w:t>ISSN:  0157-1400</w:t>
                      </w:r>
                      <w:r w:rsidRPr="008C7E1A">
                        <w:rPr>
                          <w:rFonts w:ascii="Georgia" w:hAnsi="Georgia" w:cs="Calibri"/>
                          <w:b/>
                          <w:color w:val="000000"/>
                          <w:szCs w:val="20"/>
                          <w:lang w:val="en-US"/>
                        </w:rPr>
                        <w:br/>
                      </w:r>
                    </w:p>
                    <w:p w:rsidR="00917D2A" w:rsidRPr="008C7E1A" w:rsidRDefault="00917D2A" w:rsidP="00D442A7">
                      <w:pPr>
                        <w:pStyle w:val="Text"/>
                        <w:rPr>
                          <w:rFonts w:asciiTheme="minorHAnsi" w:hAnsiTheme="minorHAnsi"/>
                          <w:sz w:val="20"/>
                          <w:szCs w:val="20"/>
                        </w:rPr>
                      </w:pPr>
                      <w:r>
                        <w:rPr>
                          <w:noProof/>
                          <w:sz w:val="20"/>
                          <w:szCs w:val="20"/>
                          <w:lang w:val="en-AU" w:eastAsia="en-AU"/>
                        </w:rPr>
                        <w:drawing>
                          <wp:inline distT="0" distB="0" distL="0" distR="0" wp14:anchorId="501AD7ED" wp14:editId="30DA7B09">
                            <wp:extent cx="668020" cy="246380"/>
                            <wp:effectExtent l="0" t="0" r="0" b="1270"/>
                            <wp:docPr id="38" name="Picture 17"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020" cy="246380"/>
                                    </a:xfrm>
                                    <a:prstGeom prst="rect">
                                      <a:avLst/>
                                    </a:prstGeom>
                                    <a:noFill/>
                                    <a:ln>
                                      <a:noFill/>
                                    </a:ln>
                                  </pic:spPr>
                                </pic:pic>
                              </a:graphicData>
                            </a:graphic>
                          </wp:inline>
                        </w:drawing>
                      </w:r>
                    </w:p>
                    <w:p w:rsidR="00917D2A" w:rsidRPr="008C7E1A" w:rsidRDefault="00917D2A" w:rsidP="00D442A7">
                      <w:pPr>
                        <w:pStyle w:val="Text"/>
                        <w:spacing w:after="0" w:line="240" w:lineRule="auto"/>
                        <w:rPr>
                          <w:rFonts w:asciiTheme="minorHAnsi" w:hAnsiTheme="minorHAnsi"/>
                          <w:b/>
                          <w:bCs/>
                          <w:szCs w:val="20"/>
                        </w:rPr>
                      </w:pPr>
                      <w:r w:rsidRPr="008C7E1A">
                        <w:rPr>
                          <w:rFonts w:asciiTheme="minorHAnsi" w:hAnsiTheme="minorHAnsi"/>
                          <w:b/>
                          <w:bCs/>
                          <w:szCs w:val="20"/>
                        </w:rPr>
                        <w:t>Creative Commons</w:t>
                      </w:r>
                    </w:p>
                    <w:p w:rsidR="00917D2A" w:rsidRPr="00BD185B" w:rsidRDefault="00917D2A" w:rsidP="00D442A7">
                      <w:pPr>
                        <w:pStyle w:val="Text"/>
                        <w:spacing w:after="0" w:line="240" w:lineRule="auto"/>
                        <w:rPr>
                          <w:rFonts w:asciiTheme="minorHAnsi" w:hAnsiTheme="minorHAnsi"/>
                          <w:b/>
                          <w:bCs/>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sidRPr="00BD185B">
                        <w:rPr>
                          <w:rFonts w:ascii="Calibri" w:hAnsi="Calibri"/>
                          <w:sz w:val="18"/>
                          <w:szCs w:val="18"/>
                        </w:rPr>
                        <w:t xml:space="preserve">With the exception of the Commonwealth Coat of Arms, any ARPANSA logos and any content that is marked as being third party material, this publication, </w:t>
                      </w:r>
                      <w:r w:rsidRPr="00BD185B">
                        <w:rPr>
                          <w:rFonts w:ascii="Calibri" w:hAnsi="Calibri"/>
                          <w:i/>
                          <w:sz w:val="18"/>
                          <w:szCs w:val="18"/>
                        </w:rPr>
                        <w:t>Radon at Australian Antarctic Stations</w:t>
                      </w:r>
                      <w:r w:rsidRPr="00BD185B">
                        <w:rPr>
                          <w:rFonts w:ascii="Calibri" w:hAnsi="Calibri"/>
                          <w:sz w:val="18"/>
                          <w:szCs w:val="18"/>
                        </w:rPr>
                        <w:t xml:space="preserve"> by the Australian Radiation Protection and Nuclear Safety Agency is licensed under a Creative Commons Attribution 3.0 Australia licence</w:t>
                      </w:r>
                      <w:r w:rsidRPr="00BD185B">
                        <w:rPr>
                          <w:rFonts w:ascii="Calibri" w:hAnsi="Calibri" w:cs="Calibri"/>
                          <w:sz w:val="18"/>
                          <w:szCs w:val="18"/>
                          <w:lang w:val="en-US"/>
                        </w:rPr>
                        <w:t xml:space="preserve"> (</w:t>
                      </w:r>
                      <w:hyperlink r:id="rId21" w:history="1">
                        <w:r w:rsidRPr="00BD185B">
                          <w:rPr>
                            <w:rStyle w:val="Hyperlink"/>
                            <w:rFonts w:ascii="Calibri" w:hAnsi="Calibri" w:cs="Calibri"/>
                            <w:color w:val="444448"/>
                            <w:sz w:val="18"/>
                            <w:szCs w:val="18"/>
                            <w:lang w:val="en-US"/>
                          </w:rPr>
                          <w:t>http://creativecommons.org/licenses/by/3.0/au/</w:t>
                        </w:r>
                      </w:hyperlink>
                      <w:r w:rsidRPr="00BD185B">
                        <w:rPr>
                          <w:rFonts w:ascii="Calibri" w:hAnsi="Calibri" w:cs="Calibri"/>
                          <w:sz w:val="18"/>
                          <w:szCs w:val="18"/>
                          <w:lang w:val="en-US"/>
                        </w:rPr>
                        <w:t xml:space="preserve">). </w:t>
                      </w:r>
                      <w:r w:rsidRPr="00BD185B">
                        <w:rPr>
                          <w:rFonts w:ascii="Calibri" w:hAnsi="Calibri"/>
                          <w:sz w:val="18"/>
                          <w:szCs w:val="18"/>
                        </w:rPr>
                        <w:t>It is a further condition of the licence that any numerical data referred to in this publication may not be changed. To the extent that copyright subsists in a third party, permission will be required from the third party to reuse the material.</w:t>
                      </w: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sidRPr="00BD185B">
                        <w:rPr>
                          <w:rFonts w:ascii="Calibri" w:hAnsi="Calibri"/>
                          <w:sz w:val="18"/>
                          <w:szCs w:val="18"/>
                        </w:rPr>
                        <w:t xml:space="preserve">In essence, you are free to copy, communicate and adapt the material as long as you attribute the work to ARPANSA and abide by the other licence terms. The works are to be attributed to the Commonwealth as follows:- </w:t>
                      </w: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p>
                    <w:p w:rsidR="00917D2A" w:rsidRPr="00BD185B" w:rsidRDefault="00917D2A" w:rsidP="00772C08">
                      <w:pPr>
                        <w:suppressAutoHyphens/>
                        <w:autoSpaceDE w:val="0"/>
                        <w:autoSpaceDN w:val="0"/>
                        <w:adjustRightInd w:val="0"/>
                        <w:spacing w:before="0"/>
                        <w:textAlignment w:val="center"/>
                        <w:rPr>
                          <w:rFonts w:ascii="Calibri" w:hAnsi="Calibri"/>
                          <w:sz w:val="18"/>
                          <w:szCs w:val="18"/>
                        </w:rPr>
                      </w:pPr>
                      <w:r>
                        <w:rPr>
                          <w:rFonts w:ascii="Calibri" w:hAnsi="Calibri"/>
                          <w:sz w:val="18"/>
                          <w:szCs w:val="18"/>
                        </w:rPr>
                        <w:t>‘</w:t>
                      </w:r>
                      <w:r w:rsidRPr="00BD185B">
                        <w:rPr>
                          <w:rFonts w:ascii="Calibri" w:hAnsi="Calibri"/>
                          <w:sz w:val="18"/>
                          <w:szCs w:val="18"/>
                        </w:rPr>
                        <w:t>© Commonwealth of Australia 201</w:t>
                      </w:r>
                      <w:r>
                        <w:rPr>
                          <w:rFonts w:ascii="Calibri" w:hAnsi="Calibri"/>
                          <w:sz w:val="18"/>
                          <w:szCs w:val="18"/>
                        </w:rPr>
                        <w:t>7</w:t>
                      </w:r>
                      <w:r w:rsidRPr="00BD185B">
                        <w:rPr>
                          <w:rFonts w:ascii="Calibri" w:hAnsi="Calibri"/>
                          <w:sz w:val="18"/>
                          <w:szCs w:val="18"/>
                        </w:rPr>
                        <w:t xml:space="preserve">, as represented by the Australian Radiation Protection and </w:t>
                      </w:r>
                      <w:r>
                        <w:rPr>
                          <w:rFonts w:ascii="Calibri" w:hAnsi="Calibri"/>
                          <w:sz w:val="18"/>
                          <w:szCs w:val="18"/>
                        </w:rPr>
                        <w:t>Nuclear Safety Agency (ARPANSA)’</w:t>
                      </w:r>
                    </w:p>
                    <w:p w:rsidR="00917D2A" w:rsidRPr="00772C08" w:rsidRDefault="00917D2A" w:rsidP="00772C08">
                      <w:pPr>
                        <w:suppressAutoHyphens/>
                        <w:autoSpaceDE w:val="0"/>
                        <w:autoSpaceDN w:val="0"/>
                        <w:adjustRightInd w:val="0"/>
                        <w:spacing w:before="0"/>
                        <w:textAlignment w:val="center"/>
                        <w:rPr>
                          <w:rFonts w:ascii="Calibri" w:hAnsi="Calibri"/>
                          <w:sz w:val="20"/>
                          <w:szCs w:val="20"/>
                        </w:rPr>
                      </w:pPr>
                    </w:p>
                    <w:p w:rsidR="00917D2A" w:rsidRDefault="00917D2A" w:rsidP="00772C08">
                      <w:pPr>
                        <w:pStyle w:val="Text"/>
                        <w:spacing w:after="0" w:line="240" w:lineRule="auto"/>
                        <w:rPr>
                          <w:rFonts w:asciiTheme="minorHAnsi" w:hAnsiTheme="minorHAnsi"/>
                          <w:b/>
                          <w:bCs/>
                          <w:szCs w:val="20"/>
                        </w:rPr>
                      </w:pPr>
                      <w:r w:rsidRPr="00772C08">
                        <w:rPr>
                          <w:rFonts w:asciiTheme="minorHAnsi" w:hAnsiTheme="minorHAnsi"/>
                          <w:b/>
                          <w:bCs/>
                          <w:szCs w:val="20"/>
                        </w:rPr>
                        <w:t>Use of the Coat of Arms</w:t>
                      </w:r>
                    </w:p>
                    <w:p w:rsidR="00917D2A" w:rsidRPr="00BD185B" w:rsidRDefault="00917D2A" w:rsidP="00772C08">
                      <w:pPr>
                        <w:pStyle w:val="Text"/>
                        <w:spacing w:after="0" w:line="240" w:lineRule="auto"/>
                        <w:rPr>
                          <w:rFonts w:asciiTheme="minorHAnsi" w:hAnsiTheme="minorHAnsi"/>
                          <w:b/>
                          <w:bCs/>
                          <w:color w:val="444448"/>
                          <w:szCs w:val="20"/>
                        </w:rPr>
                      </w:pPr>
                    </w:p>
                    <w:p w:rsidR="00917D2A" w:rsidRPr="00BD185B" w:rsidRDefault="00917D2A" w:rsidP="00887FFD">
                      <w:pPr>
                        <w:pStyle w:val="TechRep"/>
                        <w:spacing w:after="0" w:line="240" w:lineRule="auto"/>
                        <w:rPr>
                          <w:sz w:val="18"/>
                          <w:szCs w:val="18"/>
                        </w:rPr>
                      </w:pPr>
                      <w:r w:rsidRPr="00BD185B">
                        <w:rPr>
                          <w:sz w:val="18"/>
                          <w:szCs w:val="18"/>
                        </w:rPr>
                        <w:t>The terms under which the Coat of Arms can be used are detailed on the Department of the Prime Minister and Cabinet website (</w:t>
                      </w:r>
                      <w:hyperlink r:id="rId22" w:history="1">
                        <w:r w:rsidRPr="00BD185B">
                          <w:rPr>
                            <w:rStyle w:val="Hyperlink"/>
                            <w:color w:val="444448"/>
                            <w:sz w:val="18"/>
                          </w:rPr>
                          <w:t>www.dpmc.gov.au/government/commonwealth-coat-arms</w:t>
                        </w:r>
                      </w:hyperlink>
                      <w:r w:rsidRPr="00BD185B">
                        <w:rPr>
                          <w:sz w:val="18"/>
                          <w:szCs w:val="18"/>
                        </w:rPr>
                        <w:t>).</w:t>
                      </w:r>
                    </w:p>
                    <w:p w:rsidR="00917D2A" w:rsidRPr="00BD185B" w:rsidRDefault="00917D2A" w:rsidP="00D442A7">
                      <w:pPr>
                        <w:pStyle w:val="Text"/>
                        <w:spacing w:after="0" w:line="240" w:lineRule="auto"/>
                        <w:rPr>
                          <w:rFonts w:asciiTheme="minorHAnsi" w:hAnsiTheme="minorHAnsi"/>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 xml:space="preserve">Enquiries regarding the </w:t>
                      </w:r>
                      <w:proofErr w:type="spellStart"/>
                      <w:r w:rsidRPr="00BD185B">
                        <w:rPr>
                          <w:rFonts w:asciiTheme="minorHAnsi" w:hAnsiTheme="minorHAnsi"/>
                          <w:color w:val="444448"/>
                          <w:sz w:val="18"/>
                          <w:szCs w:val="18"/>
                        </w:rPr>
                        <w:t>licence</w:t>
                      </w:r>
                      <w:proofErr w:type="spellEnd"/>
                      <w:r w:rsidRPr="00BD185B">
                        <w:rPr>
                          <w:rFonts w:asciiTheme="minorHAnsi" w:hAnsiTheme="minorHAnsi"/>
                          <w:color w:val="444448"/>
                          <w:sz w:val="18"/>
                          <w:szCs w:val="18"/>
                        </w:rPr>
                        <w:t xml:space="preserve"> and any use of this report are welcome.</w:t>
                      </w:r>
                    </w:p>
                    <w:p w:rsidR="00917D2A" w:rsidRPr="00BD185B" w:rsidRDefault="00917D2A" w:rsidP="00D442A7">
                      <w:pPr>
                        <w:pStyle w:val="Text"/>
                        <w:spacing w:after="0" w:line="240" w:lineRule="auto"/>
                        <w:rPr>
                          <w:rFonts w:asciiTheme="minorHAnsi" w:hAnsiTheme="minorHAnsi"/>
                          <w:color w:val="444448"/>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ab/>
                        <w:t>ARPANSA</w:t>
                      </w:r>
                      <w:r w:rsidRPr="00BD185B">
                        <w:rPr>
                          <w:rFonts w:asciiTheme="minorHAnsi" w:hAnsiTheme="minorHAnsi"/>
                          <w:color w:val="444448"/>
                          <w:sz w:val="18"/>
                          <w:szCs w:val="18"/>
                        </w:rPr>
                        <w:br/>
                      </w:r>
                      <w:r w:rsidRPr="00BD185B">
                        <w:rPr>
                          <w:rFonts w:asciiTheme="minorHAnsi" w:hAnsiTheme="minorHAnsi"/>
                          <w:color w:val="444448"/>
                          <w:sz w:val="18"/>
                          <w:szCs w:val="18"/>
                        </w:rPr>
                        <w:tab/>
                        <w:t>619 Lower Plenty Road</w:t>
                      </w:r>
                      <w:r w:rsidRPr="00BD185B">
                        <w:rPr>
                          <w:rFonts w:asciiTheme="minorHAnsi" w:hAnsiTheme="minorHAnsi"/>
                          <w:color w:val="444448"/>
                          <w:sz w:val="18"/>
                          <w:szCs w:val="18"/>
                        </w:rPr>
                        <w:br/>
                      </w:r>
                      <w:r w:rsidRPr="00BD185B">
                        <w:rPr>
                          <w:rFonts w:asciiTheme="minorHAnsi" w:hAnsiTheme="minorHAnsi"/>
                          <w:color w:val="444448"/>
                          <w:sz w:val="18"/>
                          <w:szCs w:val="18"/>
                        </w:rPr>
                        <w:tab/>
                        <w:t>YALLAMBIE   VIC   3085</w:t>
                      </w:r>
                    </w:p>
                    <w:p w:rsidR="00917D2A" w:rsidRPr="00BD185B" w:rsidRDefault="00917D2A" w:rsidP="00D442A7">
                      <w:pPr>
                        <w:pStyle w:val="Text"/>
                        <w:spacing w:after="0" w:line="240" w:lineRule="auto"/>
                        <w:rPr>
                          <w:rFonts w:asciiTheme="minorHAnsi" w:hAnsiTheme="minorHAnsi"/>
                          <w:color w:val="444448"/>
                          <w:sz w:val="18"/>
                          <w:szCs w:val="18"/>
                        </w:rPr>
                      </w:pPr>
                    </w:p>
                    <w:p w:rsidR="00917D2A" w:rsidRPr="00BD185B" w:rsidRDefault="00917D2A" w:rsidP="00D442A7">
                      <w:pPr>
                        <w:pStyle w:val="Text"/>
                        <w:spacing w:after="0" w:line="240" w:lineRule="auto"/>
                        <w:rPr>
                          <w:rFonts w:asciiTheme="minorHAnsi" w:hAnsiTheme="minorHAnsi"/>
                          <w:color w:val="444448"/>
                          <w:sz w:val="18"/>
                          <w:szCs w:val="18"/>
                        </w:rPr>
                      </w:pPr>
                      <w:r w:rsidRPr="00BD185B">
                        <w:rPr>
                          <w:rFonts w:asciiTheme="minorHAnsi" w:hAnsiTheme="minorHAnsi"/>
                          <w:color w:val="444448"/>
                          <w:sz w:val="18"/>
                          <w:szCs w:val="18"/>
                        </w:rPr>
                        <w:tab/>
                        <w:t>Tel:   1800 022 333 (</w:t>
                      </w:r>
                      <w:proofErr w:type="spellStart"/>
                      <w:r w:rsidRPr="00BD185B">
                        <w:rPr>
                          <w:rFonts w:asciiTheme="minorHAnsi" w:hAnsiTheme="minorHAnsi"/>
                          <w:color w:val="444448"/>
                          <w:sz w:val="18"/>
                          <w:szCs w:val="18"/>
                        </w:rPr>
                        <w:t>Freecall</w:t>
                      </w:r>
                      <w:proofErr w:type="spellEnd"/>
                      <w:r w:rsidRPr="00BD185B">
                        <w:rPr>
                          <w:rFonts w:asciiTheme="minorHAnsi" w:hAnsiTheme="minorHAnsi"/>
                          <w:color w:val="444448"/>
                          <w:sz w:val="18"/>
                          <w:szCs w:val="18"/>
                        </w:rPr>
                        <w:t>) or +61 3 9433 2211</w:t>
                      </w:r>
                      <w:r w:rsidRPr="00BD185B">
                        <w:rPr>
                          <w:rFonts w:asciiTheme="minorHAnsi" w:hAnsiTheme="minorHAnsi"/>
                          <w:color w:val="444448"/>
                          <w:sz w:val="18"/>
                          <w:szCs w:val="18"/>
                        </w:rPr>
                        <w:br/>
                      </w:r>
                      <w:r w:rsidRPr="00BD185B">
                        <w:rPr>
                          <w:rFonts w:asciiTheme="minorHAnsi" w:hAnsiTheme="minorHAnsi"/>
                          <w:color w:val="444448"/>
                          <w:sz w:val="18"/>
                          <w:szCs w:val="18"/>
                        </w:rPr>
                        <w:tab/>
                        <w:t xml:space="preserve">Email:  </w:t>
                      </w:r>
                      <w:hyperlink r:id="rId23" w:history="1">
                        <w:r w:rsidRPr="00BD185B">
                          <w:rPr>
                            <w:rStyle w:val="Hyperlink"/>
                            <w:color w:val="444448"/>
                            <w:sz w:val="18"/>
                            <w:szCs w:val="18"/>
                          </w:rPr>
                          <w:t>info@arpansa.gov.au</w:t>
                        </w:r>
                      </w:hyperlink>
                      <w:r w:rsidRPr="00BD185B">
                        <w:rPr>
                          <w:rFonts w:asciiTheme="minorHAnsi" w:hAnsiTheme="minorHAnsi"/>
                          <w:color w:val="444448"/>
                          <w:sz w:val="18"/>
                          <w:szCs w:val="18"/>
                        </w:rPr>
                        <w:br/>
                      </w:r>
                      <w:r w:rsidRPr="00BD185B">
                        <w:rPr>
                          <w:rFonts w:asciiTheme="minorHAnsi" w:hAnsiTheme="minorHAnsi"/>
                          <w:color w:val="444448"/>
                          <w:sz w:val="18"/>
                          <w:szCs w:val="18"/>
                        </w:rPr>
                        <w:tab/>
                        <w:t xml:space="preserve">Website:  </w:t>
                      </w:r>
                      <w:hyperlink r:id="rId24" w:history="1">
                        <w:r w:rsidRPr="00BD185B">
                          <w:rPr>
                            <w:rStyle w:val="Hyperlink"/>
                            <w:color w:val="444448"/>
                            <w:sz w:val="18"/>
                            <w:szCs w:val="18"/>
                          </w:rPr>
                          <w:t>www.arpansa.gov.au</w:t>
                        </w:r>
                      </w:hyperlink>
                    </w:p>
                    <w:p w:rsidR="00917D2A" w:rsidRPr="00BD185B" w:rsidRDefault="00917D2A" w:rsidP="00D442A7">
                      <w:pPr>
                        <w:pStyle w:val="Text"/>
                        <w:spacing w:after="0" w:line="240" w:lineRule="auto"/>
                        <w:rPr>
                          <w:rFonts w:asciiTheme="minorHAnsi" w:hAnsiTheme="minorHAnsi"/>
                          <w:color w:val="444448"/>
                          <w:sz w:val="20"/>
                          <w:szCs w:val="20"/>
                        </w:rPr>
                      </w:pPr>
                    </w:p>
                    <w:p w:rsidR="00917D2A" w:rsidRPr="00BD185B" w:rsidRDefault="00917D2A" w:rsidP="00D442A7">
                      <w:pPr>
                        <w:pStyle w:val="Text"/>
                        <w:spacing w:after="0" w:line="240" w:lineRule="auto"/>
                        <w:rPr>
                          <w:rFonts w:asciiTheme="minorHAnsi" w:hAnsiTheme="minorHAnsi"/>
                          <w:b/>
                          <w:bCs/>
                          <w:color w:val="444448"/>
                          <w:sz w:val="20"/>
                          <w:szCs w:val="20"/>
                        </w:rPr>
                      </w:pPr>
                      <w:r w:rsidRPr="00BD185B">
                        <w:rPr>
                          <w:rFonts w:asciiTheme="minorHAnsi" w:hAnsiTheme="minorHAnsi"/>
                          <w:b/>
                          <w:bCs/>
                          <w:color w:val="444448"/>
                          <w:sz w:val="20"/>
                          <w:szCs w:val="20"/>
                        </w:rPr>
                        <w:t>Disclaimer</w:t>
                      </w:r>
                    </w:p>
                    <w:p w:rsidR="00917D2A" w:rsidRPr="00BD185B" w:rsidRDefault="00917D2A" w:rsidP="00D442A7">
                      <w:pPr>
                        <w:autoSpaceDE w:val="0"/>
                        <w:autoSpaceDN w:val="0"/>
                        <w:adjustRightInd w:val="0"/>
                        <w:spacing w:before="0"/>
                        <w:rPr>
                          <w:rFonts w:cs="Georgia"/>
                          <w:sz w:val="18"/>
                          <w:szCs w:val="20"/>
                        </w:rPr>
                      </w:pPr>
                      <w:r w:rsidRPr="00BD185B">
                        <w:rPr>
                          <w:rFonts w:cs="Georgia"/>
                          <w:sz w:val="18"/>
                          <w:szCs w:val="20"/>
                        </w:rPr>
                        <w:t>All care has been taken in the preparation of this work and its conclusions. However, where the data or results presented are utilised by third parties the Commonwealth of Australia shall not be liable for any special, indirect, consequential or other damages whatsoever resulting from such use. Nor will the Commonwealth of Australia be liable for any damages arising from or in connection with any errors or omissions that have inadvertently occurred in this work.</w:t>
                      </w:r>
                    </w:p>
                  </w:txbxContent>
                </v:textbox>
                <w10:wrap type="square"/>
              </v:shape>
            </w:pict>
          </mc:Fallback>
        </mc:AlternateContent>
      </w:r>
    </w:p>
    <w:p w:rsidR="00EE5AE9" w:rsidRDefault="00EE5AE9" w:rsidP="00030E8D">
      <w:pPr>
        <w:ind w:left="567" w:hanging="567"/>
        <w:rPr>
          <w:color w:val="000000"/>
        </w:rPr>
      </w:pPr>
    </w:p>
    <w:p w:rsidR="00EE5AE9" w:rsidRDefault="00EE5AE9" w:rsidP="00030E8D">
      <w:pPr>
        <w:jc w:val="center"/>
        <w:rPr>
          <w:color w:val="000000"/>
          <w:highlight w:val="green"/>
        </w:rPr>
        <w:sectPr w:rsidR="00EE5AE9" w:rsidSect="00F54566">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567" w:gutter="0"/>
          <w:pgNumType w:fmt="lowerRoman" w:start="1"/>
          <w:cols w:space="708"/>
          <w:docGrid w:linePitch="360"/>
        </w:sectPr>
      </w:pPr>
    </w:p>
    <w:p w:rsidR="00030E8D" w:rsidRPr="008C7E1A" w:rsidRDefault="00030E8D" w:rsidP="00B74D0D">
      <w:pPr>
        <w:pStyle w:val="Heading1"/>
        <w:numPr>
          <w:ilvl w:val="0"/>
          <w:numId w:val="0"/>
        </w:numPr>
      </w:pPr>
      <w:bookmarkStart w:id="2" w:name="_Toc474844659"/>
      <w:r w:rsidRPr="008C7E1A">
        <w:lastRenderedPageBreak/>
        <w:t>Acknowledgements</w:t>
      </w:r>
      <w:bookmarkEnd w:id="2"/>
    </w:p>
    <w:p w:rsidR="00030E8D" w:rsidRPr="00EE2E06" w:rsidRDefault="00030E8D" w:rsidP="005C6E2B"/>
    <w:p w:rsidR="00EB2D2D" w:rsidRDefault="00EB2D2D" w:rsidP="00B74D0D">
      <w:pPr>
        <w:rPr>
          <w:color w:val="000000"/>
        </w:rPr>
      </w:pPr>
      <w:r>
        <w:t>The author</w:t>
      </w:r>
      <w:r w:rsidR="00200C51">
        <w:t xml:space="preserve"> </w:t>
      </w:r>
      <w:r w:rsidR="00200C51">
        <w:rPr>
          <w:color w:val="000000"/>
        </w:rPr>
        <w:t>wish</w:t>
      </w:r>
      <w:r>
        <w:rPr>
          <w:color w:val="000000"/>
        </w:rPr>
        <w:t>es</w:t>
      </w:r>
      <w:r w:rsidR="00200C51">
        <w:rPr>
          <w:color w:val="000000"/>
        </w:rPr>
        <w:t xml:space="preserve"> to acknowledge</w:t>
      </w:r>
      <w:r>
        <w:rPr>
          <w:color w:val="000000"/>
        </w:rPr>
        <w:t xml:space="preserve"> Tracy Wright </w:t>
      </w:r>
      <w:r w:rsidR="00880433">
        <w:rPr>
          <w:color w:val="000000"/>
        </w:rPr>
        <w:t xml:space="preserve">and Paul Martin </w:t>
      </w:r>
      <w:r>
        <w:rPr>
          <w:color w:val="000000"/>
        </w:rPr>
        <w:t xml:space="preserve">(formerly of </w:t>
      </w:r>
      <w:r w:rsidR="00135FD9">
        <w:rPr>
          <w:color w:val="000000"/>
        </w:rPr>
        <w:t>the Health Physics Section of ARPANSA</w:t>
      </w:r>
      <w:r>
        <w:rPr>
          <w:color w:val="000000"/>
        </w:rPr>
        <w:t xml:space="preserve">) for initiating the project with the </w:t>
      </w:r>
      <w:r w:rsidR="00675113">
        <w:rPr>
          <w:color w:val="000000"/>
        </w:rPr>
        <w:t xml:space="preserve">Australian </w:t>
      </w:r>
      <w:r>
        <w:rPr>
          <w:color w:val="000000"/>
        </w:rPr>
        <w:t>Antarctic Division</w:t>
      </w:r>
      <w:r w:rsidR="00675113">
        <w:rPr>
          <w:color w:val="000000"/>
        </w:rPr>
        <w:t xml:space="preserve"> (AAD)</w:t>
      </w:r>
      <w:r>
        <w:rPr>
          <w:color w:val="000000"/>
        </w:rPr>
        <w:t xml:space="preserve">. Thanks to </w:t>
      </w:r>
      <w:r w:rsidR="00E33154">
        <w:rPr>
          <w:color w:val="000000"/>
        </w:rPr>
        <w:t xml:space="preserve">Jeff Ayton and Sue Hillam of the </w:t>
      </w:r>
      <w:r w:rsidR="00675113">
        <w:rPr>
          <w:color w:val="000000"/>
        </w:rPr>
        <w:t>AAD</w:t>
      </w:r>
      <w:r w:rsidR="00E33154">
        <w:rPr>
          <w:color w:val="000000"/>
        </w:rPr>
        <w:t xml:space="preserve"> for overa</w:t>
      </w:r>
      <w:r w:rsidR="00895483">
        <w:rPr>
          <w:color w:val="000000"/>
        </w:rPr>
        <w:t>ll assistance with the project.</w:t>
      </w:r>
      <w:r>
        <w:rPr>
          <w:color w:val="000000"/>
        </w:rPr>
        <w:t xml:space="preserve"> </w:t>
      </w:r>
      <w:r w:rsidR="00895483">
        <w:rPr>
          <w:color w:val="000000"/>
        </w:rPr>
        <w:t>Thanks also to all t</w:t>
      </w:r>
      <w:r w:rsidR="00E33154">
        <w:rPr>
          <w:color w:val="000000"/>
        </w:rPr>
        <w:t xml:space="preserve">he </w:t>
      </w:r>
      <w:r w:rsidR="00675113">
        <w:rPr>
          <w:color w:val="000000"/>
        </w:rPr>
        <w:t xml:space="preserve">AAD </w:t>
      </w:r>
      <w:r w:rsidR="00E33154">
        <w:rPr>
          <w:color w:val="000000"/>
        </w:rPr>
        <w:t>station doctors, Jan Wallace and Mal Ver</w:t>
      </w:r>
      <w:r w:rsidR="00895483">
        <w:rPr>
          <w:color w:val="000000"/>
        </w:rPr>
        <w:t xml:space="preserve">non at Davis, Melanie Van </w:t>
      </w:r>
      <w:proofErr w:type="spellStart"/>
      <w:r w:rsidR="00895483">
        <w:rPr>
          <w:color w:val="000000"/>
        </w:rPr>
        <w:t>Twest</w:t>
      </w:r>
      <w:proofErr w:type="spellEnd"/>
      <w:r w:rsidR="00895483">
        <w:rPr>
          <w:color w:val="000000"/>
        </w:rPr>
        <w:t xml:space="preserve"> and</w:t>
      </w:r>
      <w:r w:rsidR="00E33154">
        <w:rPr>
          <w:color w:val="000000"/>
        </w:rPr>
        <w:t xml:space="preserve"> John </w:t>
      </w:r>
      <w:proofErr w:type="spellStart"/>
      <w:r w:rsidR="00E33154">
        <w:rPr>
          <w:color w:val="000000"/>
        </w:rPr>
        <w:t>Cadden</w:t>
      </w:r>
      <w:proofErr w:type="spellEnd"/>
      <w:r w:rsidR="00E33154">
        <w:rPr>
          <w:color w:val="000000"/>
        </w:rPr>
        <w:t xml:space="preserve"> at Macquarie Island, Caroline Mooney, Sheri</w:t>
      </w:r>
      <w:r w:rsidR="00895483">
        <w:rPr>
          <w:color w:val="000000"/>
        </w:rPr>
        <w:t xml:space="preserve"> Newman and Nick </w:t>
      </w:r>
      <w:proofErr w:type="spellStart"/>
      <w:r w:rsidR="00895483">
        <w:rPr>
          <w:color w:val="000000"/>
        </w:rPr>
        <w:t>Lerch</w:t>
      </w:r>
      <w:proofErr w:type="spellEnd"/>
      <w:r w:rsidR="00895483">
        <w:rPr>
          <w:color w:val="000000"/>
        </w:rPr>
        <w:t xml:space="preserve"> at Casey and Malcolm Vernon at Mawson </w:t>
      </w:r>
      <w:r w:rsidR="00E33154">
        <w:rPr>
          <w:color w:val="000000"/>
        </w:rPr>
        <w:t>for logistics and deployment of monitors at e</w:t>
      </w:r>
      <w:r w:rsidR="00895483">
        <w:rPr>
          <w:color w:val="000000"/>
        </w:rPr>
        <w:t xml:space="preserve">ach site. And special thanks also to </w:t>
      </w:r>
      <w:r w:rsidR="00E33154">
        <w:rPr>
          <w:color w:val="000000"/>
        </w:rPr>
        <w:t>Malcolm Arnold at Mawson, for taking a particular interest in the project and mak</w:t>
      </w:r>
      <w:r w:rsidR="00895483">
        <w:rPr>
          <w:color w:val="000000"/>
        </w:rPr>
        <w:t>ing several helpful suggestions on monitor deployment locations and methods.</w:t>
      </w:r>
    </w:p>
    <w:p w:rsidR="0088719C" w:rsidRDefault="00895483" w:rsidP="00EB2D2D">
      <w:pPr>
        <w:jc w:val="both"/>
        <w:rPr>
          <w:color w:val="000000"/>
        </w:rPr>
      </w:pPr>
      <w:r>
        <w:rPr>
          <w:color w:val="000000"/>
        </w:rPr>
        <w:t>I would also like to thank Stephen M</w:t>
      </w:r>
      <w:r w:rsidRPr="0088719C">
        <w:rPr>
          <w:color w:val="000000"/>
        </w:rPr>
        <w:t xml:space="preserve">arks </w:t>
      </w:r>
      <w:r>
        <w:rPr>
          <w:color w:val="000000"/>
        </w:rPr>
        <w:t xml:space="preserve">of the Monitoring and Emergency Response Section of ARPANSA, </w:t>
      </w:r>
      <w:r w:rsidRPr="0088719C">
        <w:rPr>
          <w:color w:val="000000"/>
        </w:rPr>
        <w:t xml:space="preserve">for </w:t>
      </w:r>
      <w:r w:rsidR="00135FD9">
        <w:rPr>
          <w:color w:val="000000"/>
        </w:rPr>
        <w:t xml:space="preserve">site </w:t>
      </w:r>
      <w:r w:rsidR="00135FD9" w:rsidRPr="0088719C">
        <w:rPr>
          <w:color w:val="000000"/>
        </w:rPr>
        <w:t xml:space="preserve">photos </w:t>
      </w:r>
      <w:r w:rsidR="00135FD9">
        <w:rPr>
          <w:color w:val="000000"/>
        </w:rPr>
        <w:t xml:space="preserve">and </w:t>
      </w:r>
      <w:r w:rsidR="007C10AF" w:rsidRPr="0088719C">
        <w:rPr>
          <w:color w:val="000000"/>
        </w:rPr>
        <w:t>follow-up</w:t>
      </w:r>
      <w:r w:rsidRPr="0088719C">
        <w:rPr>
          <w:color w:val="000000"/>
        </w:rPr>
        <w:t xml:space="preserve"> </w:t>
      </w:r>
      <w:r>
        <w:rPr>
          <w:color w:val="000000"/>
        </w:rPr>
        <w:t xml:space="preserve">monitor location </w:t>
      </w:r>
      <w:r w:rsidR="00135FD9">
        <w:rPr>
          <w:color w:val="000000"/>
        </w:rPr>
        <w:t>descriptions</w:t>
      </w:r>
      <w:r w:rsidR="00314D73">
        <w:rPr>
          <w:color w:val="000000"/>
        </w:rPr>
        <w:t>, and t</w:t>
      </w:r>
      <w:r>
        <w:rPr>
          <w:color w:val="000000"/>
        </w:rPr>
        <w:t>h</w:t>
      </w:r>
      <w:r w:rsidR="00EB2D2D">
        <w:rPr>
          <w:color w:val="000000"/>
        </w:rPr>
        <w:t>e</w:t>
      </w:r>
      <w:r w:rsidR="00D12945">
        <w:rPr>
          <w:color w:val="000000"/>
        </w:rPr>
        <w:t xml:space="preserve"> personnel </w:t>
      </w:r>
      <w:r w:rsidR="00EB2D2D">
        <w:rPr>
          <w:color w:val="000000"/>
        </w:rPr>
        <w:t>from ARPANSA’s P</w:t>
      </w:r>
      <w:r w:rsidR="00314D73">
        <w:rPr>
          <w:color w:val="000000"/>
        </w:rPr>
        <w:t xml:space="preserve">ersonal </w:t>
      </w:r>
      <w:r w:rsidR="00EB2D2D">
        <w:rPr>
          <w:color w:val="000000"/>
        </w:rPr>
        <w:t>R</w:t>
      </w:r>
      <w:r w:rsidR="00314D73">
        <w:rPr>
          <w:color w:val="000000"/>
        </w:rPr>
        <w:t xml:space="preserve">adiation </w:t>
      </w:r>
      <w:r w:rsidR="00EB2D2D">
        <w:rPr>
          <w:color w:val="000000"/>
        </w:rPr>
        <w:t>M</w:t>
      </w:r>
      <w:r w:rsidR="00314D73">
        <w:rPr>
          <w:color w:val="000000"/>
        </w:rPr>
        <w:t xml:space="preserve">onitoring </w:t>
      </w:r>
      <w:r w:rsidR="00EB2D2D">
        <w:rPr>
          <w:color w:val="000000"/>
        </w:rPr>
        <w:t>S</w:t>
      </w:r>
      <w:r w:rsidR="00314D73">
        <w:rPr>
          <w:color w:val="000000"/>
        </w:rPr>
        <w:t xml:space="preserve">ervice </w:t>
      </w:r>
      <w:r w:rsidR="00EB2D2D">
        <w:rPr>
          <w:color w:val="000000"/>
        </w:rPr>
        <w:t>f</w:t>
      </w:r>
      <w:r w:rsidR="00D12945">
        <w:rPr>
          <w:color w:val="000000"/>
        </w:rPr>
        <w:t xml:space="preserve">or </w:t>
      </w:r>
      <w:r w:rsidR="00135FD9">
        <w:rPr>
          <w:color w:val="000000"/>
        </w:rPr>
        <w:t xml:space="preserve">the </w:t>
      </w:r>
      <w:r w:rsidR="00EB2D2D">
        <w:rPr>
          <w:color w:val="000000"/>
        </w:rPr>
        <w:t xml:space="preserve">handling and </w:t>
      </w:r>
      <w:r w:rsidR="00D12945">
        <w:rPr>
          <w:color w:val="000000"/>
        </w:rPr>
        <w:t>etching of</w:t>
      </w:r>
      <w:r w:rsidR="0088719C">
        <w:rPr>
          <w:color w:val="000000"/>
        </w:rPr>
        <w:t xml:space="preserve"> plaques</w:t>
      </w:r>
      <w:r w:rsidR="00EB2D2D">
        <w:rPr>
          <w:color w:val="000000"/>
        </w:rPr>
        <w:t xml:space="preserve"> on their return to Australia.</w:t>
      </w:r>
    </w:p>
    <w:p w:rsidR="00314D73" w:rsidRPr="0088719C" w:rsidRDefault="00314D73" w:rsidP="00EB2D2D">
      <w:pPr>
        <w:jc w:val="both"/>
        <w:rPr>
          <w:color w:val="000000"/>
        </w:rPr>
        <w:sectPr w:rsidR="00314D73" w:rsidRPr="0088719C" w:rsidSect="00F54566">
          <w:footerReference w:type="default" r:id="rId31"/>
          <w:pgSz w:w="11906" w:h="16838" w:code="9"/>
          <w:pgMar w:top="1418" w:right="1418" w:bottom="1418" w:left="1418" w:header="709" w:footer="567" w:gutter="0"/>
          <w:pgNumType w:fmt="lowerRoman"/>
          <w:cols w:space="708"/>
          <w:docGrid w:linePitch="360"/>
        </w:sectPr>
      </w:pPr>
    </w:p>
    <w:p w:rsidR="00AC7D50" w:rsidRPr="00161D97" w:rsidRDefault="00C43020" w:rsidP="00772C08">
      <w:pPr>
        <w:pStyle w:val="Heading1"/>
        <w:numPr>
          <w:ilvl w:val="0"/>
          <w:numId w:val="0"/>
        </w:numPr>
      </w:pPr>
      <w:bookmarkStart w:id="3" w:name="_Toc323304872"/>
      <w:bookmarkStart w:id="4" w:name="_Toc328572591"/>
      <w:bookmarkStart w:id="5" w:name="_Toc474844660"/>
      <w:r w:rsidRPr="00161D97">
        <w:lastRenderedPageBreak/>
        <w:t>Executive Summary</w:t>
      </w:r>
      <w:bookmarkEnd w:id="3"/>
      <w:bookmarkEnd w:id="4"/>
      <w:bookmarkEnd w:id="5"/>
    </w:p>
    <w:p w:rsidR="004A2A11" w:rsidRDefault="00442B9C" w:rsidP="00442B9C">
      <w:pPr>
        <w:jc w:val="both"/>
      </w:pPr>
      <w:r w:rsidRPr="006E6AE2">
        <w:t>The Australian Radiation Protection and Nuclear Safety Agency’s (ARPA</w:t>
      </w:r>
      <w:r w:rsidR="00FD300A">
        <w:t>NSA) principle objective is to “</w:t>
      </w:r>
      <w:r w:rsidRPr="006E6AE2">
        <w:t>protect people and the environment from t</w:t>
      </w:r>
      <w:r w:rsidR="00FD300A">
        <w:t>he harmful effects of radiation”</w:t>
      </w:r>
      <w:r w:rsidRPr="006E6AE2">
        <w:t>.</w:t>
      </w:r>
      <w:r w:rsidR="00393096">
        <w:t xml:space="preserve"> </w:t>
      </w:r>
      <w:r>
        <w:t>One of the tasks of the M</w:t>
      </w:r>
      <w:r w:rsidR="000746B4">
        <w:t>onitoring</w:t>
      </w:r>
      <w:r>
        <w:t xml:space="preserve"> and Emergency Response Section </w:t>
      </w:r>
      <w:r w:rsidRPr="006E6AE2">
        <w:t xml:space="preserve">of ARPANSA </w:t>
      </w:r>
      <w:r>
        <w:t>is to measure and assess</w:t>
      </w:r>
      <w:r w:rsidRPr="006E6AE2">
        <w:t xml:space="preserve"> occupational exposure to ionising radiation. One source of occupation</w:t>
      </w:r>
      <w:r>
        <w:t>al exposure to workers is radon,</w:t>
      </w:r>
      <w:r w:rsidRPr="006E6AE2">
        <w:t xml:space="preserve"> an inert radioactive gas that originates from uranium and radium and is present in very low levels in rocks and soils around the world.</w:t>
      </w:r>
    </w:p>
    <w:p w:rsidR="00442B9C" w:rsidRDefault="00442B9C" w:rsidP="00442B9C">
      <w:pPr>
        <w:jc w:val="both"/>
      </w:pPr>
      <w:r>
        <w:t xml:space="preserve">Australia’s Antarctic (and </w:t>
      </w:r>
      <w:r w:rsidR="00AA2F16">
        <w:t>S</w:t>
      </w:r>
      <w:r>
        <w:t>ub</w:t>
      </w:r>
      <w:r w:rsidR="00AA2F16">
        <w:t>a</w:t>
      </w:r>
      <w:r>
        <w:t xml:space="preserve">ntarctic) bases are all coastal stations built largely on rock. During the winter season the stations are blanketed with snow and ice, although during the summer months the weather can be warm enough that the ice and snow melts away. Under these conditions the underlying rock is mostly exposed. </w:t>
      </w:r>
      <w:r w:rsidRPr="008850CC">
        <w:t xml:space="preserve">There have been many measurements made </w:t>
      </w:r>
      <w:r>
        <w:t xml:space="preserve">of radon outdoors </w:t>
      </w:r>
      <w:r w:rsidRPr="008850CC">
        <w:t>in Antarctica</w:t>
      </w:r>
      <w:r>
        <w:t xml:space="preserve">, with the </w:t>
      </w:r>
      <w:r w:rsidRPr="008850CC">
        <w:t>aim</w:t>
      </w:r>
      <w:r>
        <w:t xml:space="preserve"> of</w:t>
      </w:r>
      <w:r w:rsidRPr="008850CC">
        <w:t xml:space="preserve"> using radon as a tracer for environmental or geological processes</w:t>
      </w:r>
      <w:r>
        <w:t>.</w:t>
      </w:r>
      <w:r w:rsidR="00393096">
        <w:t xml:space="preserve"> </w:t>
      </w:r>
      <w:r>
        <w:t>H</w:t>
      </w:r>
      <w:r w:rsidRPr="008850CC">
        <w:t>owever</w:t>
      </w:r>
      <w:r>
        <w:t>,</w:t>
      </w:r>
      <w:r w:rsidRPr="008850CC">
        <w:t xml:space="preserve"> </w:t>
      </w:r>
      <w:r>
        <w:t xml:space="preserve">there have been very few measurements of radon concentrations in actual living quarters and working facilities. </w:t>
      </w:r>
      <w:r w:rsidRPr="008850CC">
        <w:t xml:space="preserve">In general, </w:t>
      </w:r>
      <w:r>
        <w:t xml:space="preserve">past measurements have indicated that </w:t>
      </w:r>
      <w:r w:rsidRPr="008850CC">
        <w:t>the radon levels in Anta</w:t>
      </w:r>
      <w:r>
        <w:t>rctica are low, and it was expected that this study would</w:t>
      </w:r>
      <w:r w:rsidRPr="008850CC">
        <w:t xml:space="preserve"> </w:t>
      </w:r>
      <w:r>
        <w:t xml:space="preserve">also </w:t>
      </w:r>
      <w:r w:rsidRPr="008850CC">
        <w:t>find</w:t>
      </w:r>
      <w:r>
        <w:t xml:space="preserve"> </w:t>
      </w:r>
      <w:r w:rsidRPr="008850CC">
        <w:t>radon concentrations i</w:t>
      </w:r>
      <w:r>
        <w:t>nside the buildings to be low. However, due to the nature of the construction of Australia’s stations, there was a possibility that levels could be elevated during the summer season.</w:t>
      </w:r>
    </w:p>
    <w:p w:rsidR="00442B9C" w:rsidRDefault="00442B9C" w:rsidP="00442B9C">
      <w:pPr>
        <w:jc w:val="both"/>
      </w:pPr>
      <w:r>
        <w:t xml:space="preserve">Two sets of CR-39 track-etch based radon monitors were sent to Antarctica to measure radon in all four of Australia’s permanent Antarctic and </w:t>
      </w:r>
      <w:r w:rsidR="00AA2F16">
        <w:t>Subantarctic</w:t>
      </w:r>
      <w:r w:rsidR="00AA2F16">
        <w:t xml:space="preserve"> </w:t>
      </w:r>
      <w:r>
        <w:t>stations. One set was intended to measure the radon exposure during</w:t>
      </w:r>
      <w:r w:rsidR="004157F4">
        <w:t xml:space="preserve"> the winter season</w:t>
      </w:r>
      <w:r>
        <w:t xml:space="preserve">, and another to measure the levels during </w:t>
      </w:r>
      <w:r w:rsidR="004157F4">
        <w:t>the warmer months of the summer season</w:t>
      </w:r>
      <w:r>
        <w:t xml:space="preserve">. </w:t>
      </w:r>
      <w:r w:rsidR="004157F4">
        <w:t xml:space="preserve">The winter monitors returned </w:t>
      </w:r>
      <w:r w:rsidR="009D31A5">
        <w:t xml:space="preserve">overall </w:t>
      </w:r>
      <w:r w:rsidR="004157F4">
        <w:t>averages of less than 20 Bq.m</w:t>
      </w:r>
      <w:r w:rsidR="004157F4" w:rsidRPr="004157F4">
        <w:rPr>
          <w:vertAlign w:val="superscript"/>
        </w:rPr>
        <w:t>-3</w:t>
      </w:r>
      <w:r w:rsidR="004157F4">
        <w:t xml:space="preserve"> at all four stations, whilst the summer monitors recorded increases of 300-400% at the three mainland stations, and an increase of 165% at Macquarie Island. No values were recorded </w:t>
      </w:r>
      <w:r w:rsidR="00BE08B1">
        <w:t xml:space="preserve">in living areas </w:t>
      </w:r>
      <w:r w:rsidR="004157F4">
        <w:t>above the 200 Bq.m</w:t>
      </w:r>
      <w:r w:rsidR="004157F4" w:rsidRPr="00BE08B1">
        <w:rPr>
          <w:vertAlign w:val="superscript"/>
        </w:rPr>
        <w:t>-3</w:t>
      </w:r>
      <w:r w:rsidR="004157F4">
        <w:t xml:space="preserve"> limit specified for radon in dwellings as specified in </w:t>
      </w:r>
      <w:r w:rsidR="00AC5472">
        <w:t xml:space="preserve">Radiation Protection Series Publication No. 1 (RPS 1) </w:t>
      </w:r>
      <w:r w:rsidR="00AC5472" w:rsidRPr="00C90FEC">
        <w:rPr>
          <w:i/>
        </w:rPr>
        <w:t>Recommendations for Limiting Exposure to Ionizing Radiation (1995) and National Standard for Limiting Occupational Exposure to Ionizing Radiation</w:t>
      </w:r>
      <w:r w:rsidR="00AC5472">
        <w:t xml:space="preserve"> (ARPANSA, 2002).</w:t>
      </w:r>
    </w:p>
    <w:p w:rsidR="00442B9C" w:rsidRDefault="00BE08B1" w:rsidP="00442B9C">
      <w:pPr>
        <w:jc w:val="both"/>
      </w:pPr>
      <w:r>
        <w:t>Although the results were acceptable, the monitors used in the summer portion of the study returned higher than desirable uncertainties due to the short</w:t>
      </w:r>
      <w:r w:rsidR="0018453A">
        <w:t>er than recommended</w:t>
      </w:r>
      <w:r>
        <w:t xml:space="preserve"> duration of their placement.</w:t>
      </w:r>
    </w:p>
    <w:p w:rsidR="00442B9C" w:rsidRDefault="00442B9C" w:rsidP="004A2A11"/>
    <w:p w:rsidR="00AC7D50" w:rsidRDefault="00AC7D50" w:rsidP="00030E8D">
      <w:pPr>
        <w:rPr>
          <w:color w:val="000000"/>
          <w:highlight w:val="green"/>
        </w:rPr>
      </w:pPr>
    </w:p>
    <w:p w:rsidR="00030E8D" w:rsidRDefault="00030E8D" w:rsidP="00030E8D">
      <w:pPr>
        <w:rPr>
          <w:color w:val="000000"/>
          <w:highlight w:val="green"/>
        </w:rPr>
        <w:sectPr w:rsidR="00030E8D" w:rsidSect="00F54566">
          <w:pgSz w:w="11906" w:h="16838" w:code="9"/>
          <w:pgMar w:top="1418" w:right="1418" w:bottom="1418" w:left="1418" w:header="709" w:footer="567" w:gutter="0"/>
          <w:pgNumType w:fmt="lowerRoman"/>
          <w:cols w:space="708"/>
          <w:docGrid w:linePitch="360"/>
        </w:sectPr>
      </w:pPr>
    </w:p>
    <w:p w:rsidR="00786B6D" w:rsidRPr="00BD185B" w:rsidRDefault="00A17D98" w:rsidP="00B74D0D">
      <w:pPr>
        <w:rPr>
          <w:rFonts w:cs="Arial"/>
          <w:b/>
          <w:color w:val="4E1A74"/>
          <w:sz w:val="32"/>
          <w:szCs w:val="32"/>
        </w:rPr>
      </w:pPr>
      <w:r w:rsidRPr="00BD185B">
        <w:rPr>
          <w:rFonts w:cs="Arial"/>
          <w:b/>
          <w:color w:val="4E1A74"/>
          <w:sz w:val="32"/>
          <w:szCs w:val="32"/>
        </w:rPr>
        <w:lastRenderedPageBreak/>
        <w:t>Contents</w:t>
      </w:r>
    </w:p>
    <w:p w:rsidR="00986013" w:rsidRDefault="00842A1B" w:rsidP="00756400">
      <w:pPr>
        <w:pStyle w:val="TOC1"/>
        <w:rPr>
          <w:rFonts w:eastAsiaTheme="minorEastAsia" w:cstheme="minorBidi"/>
          <w:noProof/>
          <w:color w:val="auto"/>
          <w:lang w:eastAsia="en-AU"/>
        </w:rPr>
      </w:pPr>
      <w:r>
        <w:rPr>
          <w:caps/>
        </w:rPr>
        <w:fldChar w:fldCharType="begin"/>
      </w:r>
      <w:r w:rsidR="007039B1">
        <w:instrText xml:space="preserve"> TOC \t "Heading 1,1,Heading 2,2,Appendix Heading,3,Appendix heading 2,4" </w:instrText>
      </w:r>
      <w:r>
        <w:rPr>
          <w:caps/>
        </w:rPr>
        <w:fldChar w:fldCharType="separate"/>
      </w:r>
      <w:r w:rsidR="00986013">
        <w:rPr>
          <w:noProof/>
        </w:rPr>
        <w:t>Acknowledgements</w:t>
      </w:r>
      <w:r w:rsidR="00986013">
        <w:rPr>
          <w:noProof/>
        </w:rPr>
        <w:tab/>
      </w:r>
      <w:r w:rsidR="00986013">
        <w:rPr>
          <w:noProof/>
        </w:rPr>
        <w:fldChar w:fldCharType="begin"/>
      </w:r>
      <w:r w:rsidR="00986013">
        <w:rPr>
          <w:noProof/>
        </w:rPr>
        <w:instrText xml:space="preserve"> PAGEREF _Toc474844659 \h </w:instrText>
      </w:r>
      <w:r w:rsidR="00986013">
        <w:rPr>
          <w:noProof/>
        </w:rPr>
      </w:r>
      <w:r w:rsidR="00986013">
        <w:rPr>
          <w:noProof/>
        </w:rPr>
        <w:fldChar w:fldCharType="separate"/>
      </w:r>
      <w:r w:rsidR="005C3408">
        <w:rPr>
          <w:noProof/>
        </w:rPr>
        <w:t>ii</w:t>
      </w:r>
      <w:r w:rsidR="00986013">
        <w:rPr>
          <w:noProof/>
        </w:rPr>
        <w:fldChar w:fldCharType="end"/>
      </w:r>
    </w:p>
    <w:p w:rsidR="00986013" w:rsidRDefault="00986013" w:rsidP="00756400">
      <w:pPr>
        <w:pStyle w:val="TOC1"/>
        <w:rPr>
          <w:rFonts w:eastAsiaTheme="minorEastAsia" w:cstheme="minorBidi"/>
          <w:noProof/>
          <w:color w:val="auto"/>
          <w:lang w:eastAsia="en-AU"/>
        </w:rPr>
      </w:pPr>
      <w:r>
        <w:rPr>
          <w:noProof/>
        </w:rPr>
        <w:t>Executive Summary</w:t>
      </w:r>
      <w:r>
        <w:rPr>
          <w:noProof/>
        </w:rPr>
        <w:tab/>
      </w:r>
      <w:r>
        <w:rPr>
          <w:noProof/>
        </w:rPr>
        <w:fldChar w:fldCharType="begin"/>
      </w:r>
      <w:r>
        <w:rPr>
          <w:noProof/>
        </w:rPr>
        <w:instrText xml:space="preserve"> PAGEREF _Toc474844660 \h </w:instrText>
      </w:r>
      <w:r>
        <w:rPr>
          <w:noProof/>
        </w:rPr>
      </w:r>
      <w:r>
        <w:rPr>
          <w:noProof/>
        </w:rPr>
        <w:fldChar w:fldCharType="separate"/>
      </w:r>
      <w:r w:rsidR="005C3408">
        <w:rPr>
          <w:noProof/>
        </w:rPr>
        <w:t>iii</w:t>
      </w:r>
      <w:r>
        <w:rPr>
          <w:noProof/>
        </w:rPr>
        <w:fldChar w:fldCharType="end"/>
      </w:r>
    </w:p>
    <w:p w:rsidR="00986013" w:rsidRDefault="00986013" w:rsidP="00756400">
      <w:pPr>
        <w:pStyle w:val="TOC1"/>
        <w:rPr>
          <w:rFonts w:eastAsiaTheme="minorEastAsia" w:cstheme="minorBidi"/>
          <w:noProof/>
          <w:color w:val="auto"/>
          <w:lang w:eastAsia="en-AU"/>
        </w:rPr>
      </w:pPr>
      <w:r w:rsidRPr="00E50911">
        <w:rPr>
          <w:rFonts w:ascii="Calibri" w:hAnsi="Calibri"/>
          <w:noProof/>
        </w:rPr>
        <w:t>1.</w:t>
      </w:r>
      <w:r>
        <w:rPr>
          <w:rFonts w:eastAsiaTheme="minorEastAsia" w:cstheme="minorBidi"/>
          <w:noProof/>
          <w:color w:val="auto"/>
          <w:lang w:eastAsia="en-AU"/>
        </w:rPr>
        <w:tab/>
      </w:r>
      <w:r>
        <w:rPr>
          <w:noProof/>
        </w:rPr>
        <w:t>Radon in Antarctica</w:t>
      </w:r>
      <w:r>
        <w:rPr>
          <w:noProof/>
        </w:rPr>
        <w:tab/>
      </w:r>
      <w:r>
        <w:rPr>
          <w:noProof/>
        </w:rPr>
        <w:fldChar w:fldCharType="begin"/>
      </w:r>
      <w:r>
        <w:rPr>
          <w:noProof/>
        </w:rPr>
        <w:instrText xml:space="preserve"> PAGEREF _Toc474844661 \h </w:instrText>
      </w:r>
      <w:r>
        <w:rPr>
          <w:noProof/>
        </w:rPr>
      </w:r>
      <w:r>
        <w:rPr>
          <w:noProof/>
        </w:rPr>
        <w:fldChar w:fldCharType="separate"/>
      </w:r>
      <w:r w:rsidR="005C3408">
        <w:rPr>
          <w:noProof/>
        </w:rPr>
        <w:t>1</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1.1</w:t>
      </w:r>
      <w:r>
        <w:rPr>
          <w:rFonts w:eastAsiaTheme="minorEastAsia" w:cstheme="minorBidi"/>
          <w:noProof/>
          <w:color w:val="auto"/>
          <w:lang w:eastAsia="en-AU"/>
        </w:rPr>
        <w:tab/>
      </w:r>
      <w:r>
        <w:rPr>
          <w:noProof/>
        </w:rPr>
        <w:t>Why measure radon?</w:t>
      </w:r>
      <w:r>
        <w:rPr>
          <w:noProof/>
        </w:rPr>
        <w:tab/>
      </w:r>
      <w:r>
        <w:rPr>
          <w:noProof/>
        </w:rPr>
        <w:fldChar w:fldCharType="begin"/>
      </w:r>
      <w:r>
        <w:rPr>
          <w:noProof/>
        </w:rPr>
        <w:instrText xml:space="preserve"> PAGEREF _Toc474844662 \h </w:instrText>
      </w:r>
      <w:r>
        <w:rPr>
          <w:noProof/>
        </w:rPr>
      </w:r>
      <w:r>
        <w:rPr>
          <w:noProof/>
        </w:rPr>
        <w:fldChar w:fldCharType="separate"/>
      </w:r>
      <w:r w:rsidR="005C3408">
        <w:rPr>
          <w:noProof/>
        </w:rPr>
        <w:t>1</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1.2</w:t>
      </w:r>
      <w:r>
        <w:rPr>
          <w:rFonts w:eastAsiaTheme="minorEastAsia" w:cstheme="minorBidi"/>
          <w:noProof/>
          <w:color w:val="auto"/>
          <w:lang w:eastAsia="en-AU"/>
        </w:rPr>
        <w:tab/>
      </w:r>
      <w:r>
        <w:rPr>
          <w:noProof/>
        </w:rPr>
        <w:t>Australian Antarctic Division station details</w:t>
      </w:r>
      <w:r>
        <w:rPr>
          <w:noProof/>
        </w:rPr>
        <w:tab/>
      </w:r>
      <w:r>
        <w:rPr>
          <w:noProof/>
        </w:rPr>
        <w:fldChar w:fldCharType="begin"/>
      </w:r>
      <w:r>
        <w:rPr>
          <w:noProof/>
        </w:rPr>
        <w:instrText xml:space="preserve"> PAGEREF _Toc474844663 \h </w:instrText>
      </w:r>
      <w:r>
        <w:rPr>
          <w:noProof/>
        </w:rPr>
      </w:r>
      <w:r>
        <w:rPr>
          <w:noProof/>
        </w:rPr>
        <w:fldChar w:fldCharType="separate"/>
      </w:r>
      <w:r w:rsidR="005C3408">
        <w:rPr>
          <w:noProof/>
        </w:rPr>
        <w:t>1</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1.3</w:t>
      </w:r>
      <w:r>
        <w:rPr>
          <w:rFonts w:eastAsiaTheme="minorEastAsia" w:cstheme="minorBidi"/>
          <w:noProof/>
          <w:color w:val="auto"/>
          <w:lang w:eastAsia="en-AU"/>
        </w:rPr>
        <w:tab/>
      </w:r>
      <w:r>
        <w:rPr>
          <w:noProof/>
        </w:rPr>
        <w:t>Measurement program</w:t>
      </w:r>
      <w:r>
        <w:rPr>
          <w:noProof/>
        </w:rPr>
        <w:tab/>
      </w:r>
      <w:r>
        <w:rPr>
          <w:noProof/>
        </w:rPr>
        <w:fldChar w:fldCharType="begin"/>
      </w:r>
      <w:r>
        <w:rPr>
          <w:noProof/>
        </w:rPr>
        <w:instrText xml:space="preserve"> PAGEREF _Toc474844664 \h </w:instrText>
      </w:r>
      <w:r>
        <w:rPr>
          <w:noProof/>
        </w:rPr>
      </w:r>
      <w:r>
        <w:rPr>
          <w:noProof/>
        </w:rPr>
        <w:fldChar w:fldCharType="separate"/>
      </w:r>
      <w:r w:rsidR="005C3408">
        <w:rPr>
          <w:noProof/>
        </w:rPr>
        <w:t>3</w:t>
      </w:r>
      <w:r>
        <w:rPr>
          <w:noProof/>
        </w:rPr>
        <w:fldChar w:fldCharType="end"/>
      </w:r>
    </w:p>
    <w:p w:rsidR="00986013" w:rsidRDefault="00986013" w:rsidP="00756400">
      <w:pPr>
        <w:pStyle w:val="TOC1"/>
        <w:rPr>
          <w:rFonts w:eastAsiaTheme="minorEastAsia" w:cstheme="minorBidi"/>
          <w:noProof/>
          <w:color w:val="auto"/>
          <w:lang w:eastAsia="en-AU"/>
        </w:rPr>
      </w:pPr>
      <w:r w:rsidRPr="00E50911">
        <w:rPr>
          <w:rFonts w:ascii="Calibri" w:hAnsi="Calibri"/>
          <w:noProof/>
        </w:rPr>
        <w:t>2.</w:t>
      </w:r>
      <w:r>
        <w:rPr>
          <w:rFonts w:eastAsiaTheme="minorEastAsia" w:cstheme="minorBidi"/>
          <w:noProof/>
          <w:color w:val="auto"/>
          <w:lang w:eastAsia="en-AU"/>
        </w:rPr>
        <w:tab/>
      </w:r>
      <w:r>
        <w:rPr>
          <w:noProof/>
        </w:rPr>
        <w:t>Monitors</w:t>
      </w:r>
      <w:r>
        <w:rPr>
          <w:noProof/>
        </w:rPr>
        <w:tab/>
      </w:r>
      <w:r>
        <w:rPr>
          <w:noProof/>
        </w:rPr>
        <w:fldChar w:fldCharType="begin"/>
      </w:r>
      <w:r>
        <w:rPr>
          <w:noProof/>
        </w:rPr>
        <w:instrText xml:space="preserve"> PAGEREF _Toc474844665 \h </w:instrText>
      </w:r>
      <w:r>
        <w:rPr>
          <w:noProof/>
        </w:rPr>
      </w:r>
      <w:r>
        <w:rPr>
          <w:noProof/>
        </w:rPr>
        <w:fldChar w:fldCharType="separate"/>
      </w:r>
      <w:r w:rsidR="005C3408">
        <w:rPr>
          <w:noProof/>
        </w:rPr>
        <w:t>4</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2.1</w:t>
      </w:r>
      <w:r>
        <w:rPr>
          <w:rFonts w:eastAsiaTheme="minorEastAsia" w:cstheme="minorBidi"/>
          <w:noProof/>
          <w:color w:val="auto"/>
          <w:lang w:eastAsia="en-AU"/>
        </w:rPr>
        <w:tab/>
      </w:r>
      <w:r>
        <w:rPr>
          <w:noProof/>
        </w:rPr>
        <w:t>Passive measurement using CR-39</w:t>
      </w:r>
      <w:r>
        <w:rPr>
          <w:noProof/>
        </w:rPr>
        <w:tab/>
      </w:r>
      <w:r>
        <w:rPr>
          <w:noProof/>
        </w:rPr>
        <w:fldChar w:fldCharType="begin"/>
      </w:r>
      <w:r>
        <w:rPr>
          <w:noProof/>
        </w:rPr>
        <w:instrText xml:space="preserve"> PAGEREF _Toc474844666 \h </w:instrText>
      </w:r>
      <w:r>
        <w:rPr>
          <w:noProof/>
        </w:rPr>
      </w:r>
      <w:r>
        <w:rPr>
          <w:noProof/>
        </w:rPr>
        <w:fldChar w:fldCharType="separate"/>
      </w:r>
      <w:r w:rsidR="005C3408">
        <w:rPr>
          <w:noProof/>
        </w:rPr>
        <w:t>4</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2.2</w:t>
      </w:r>
      <w:r>
        <w:rPr>
          <w:rFonts w:eastAsiaTheme="minorEastAsia" w:cstheme="minorBidi"/>
          <w:noProof/>
          <w:color w:val="auto"/>
          <w:lang w:eastAsia="en-AU"/>
        </w:rPr>
        <w:tab/>
      </w:r>
      <w:r>
        <w:rPr>
          <w:noProof/>
        </w:rPr>
        <w:t>NRPB radon monitors</w:t>
      </w:r>
      <w:r>
        <w:rPr>
          <w:noProof/>
        </w:rPr>
        <w:tab/>
      </w:r>
      <w:r>
        <w:rPr>
          <w:noProof/>
        </w:rPr>
        <w:fldChar w:fldCharType="begin"/>
      </w:r>
      <w:r>
        <w:rPr>
          <w:noProof/>
        </w:rPr>
        <w:instrText xml:space="preserve"> PAGEREF _Toc474844667 \h </w:instrText>
      </w:r>
      <w:r>
        <w:rPr>
          <w:noProof/>
        </w:rPr>
      </w:r>
      <w:r>
        <w:rPr>
          <w:noProof/>
        </w:rPr>
        <w:fldChar w:fldCharType="separate"/>
      </w:r>
      <w:r w:rsidR="005C3408">
        <w:rPr>
          <w:noProof/>
        </w:rPr>
        <w:t>4</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2.3</w:t>
      </w:r>
      <w:r>
        <w:rPr>
          <w:rFonts w:eastAsiaTheme="minorEastAsia" w:cstheme="minorBidi"/>
          <w:noProof/>
          <w:color w:val="auto"/>
          <w:lang w:eastAsia="en-AU"/>
        </w:rPr>
        <w:tab/>
      </w:r>
      <w:r>
        <w:rPr>
          <w:noProof/>
        </w:rPr>
        <w:t>Monitor locations and descriptions</w:t>
      </w:r>
      <w:r>
        <w:rPr>
          <w:noProof/>
        </w:rPr>
        <w:tab/>
      </w:r>
      <w:r>
        <w:rPr>
          <w:noProof/>
        </w:rPr>
        <w:fldChar w:fldCharType="begin"/>
      </w:r>
      <w:r>
        <w:rPr>
          <w:noProof/>
        </w:rPr>
        <w:instrText xml:space="preserve"> PAGEREF _Toc474844668 \h </w:instrText>
      </w:r>
      <w:r>
        <w:rPr>
          <w:noProof/>
        </w:rPr>
      </w:r>
      <w:r>
        <w:rPr>
          <w:noProof/>
        </w:rPr>
        <w:fldChar w:fldCharType="separate"/>
      </w:r>
      <w:r w:rsidR="005C3408">
        <w:rPr>
          <w:noProof/>
        </w:rPr>
        <w:t>5</w:t>
      </w:r>
      <w:r>
        <w:rPr>
          <w:noProof/>
        </w:rPr>
        <w:fldChar w:fldCharType="end"/>
      </w:r>
    </w:p>
    <w:p w:rsidR="00986013" w:rsidRDefault="00986013" w:rsidP="00756400">
      <w:pPr>
        <w:pStyle w:val="TOC1"/>
        <w:rPr>
          <w:rFonts w:eastAsiaTheme="minorEastAsia" w:cstheme="minorBidi"/>
          <w:noProof/>
          <w:color w:val="auto"/>
          <w:lang w:eastAsia="en-AU"/>
        </w:rPr>
      </w:pPr>
      <w:r w:rsidRPr="00E50911">
        <w:rPr>
          <w:rFonts w:ascii="Calibri" w:hAnsi="Calibri"/>
          <w:noProof/>
        </w:rPr>
        <w:t>3.</w:t>
      </w:r>
      <w:r>
        <w:rPr>
          <w:rFonts w:eastAsiaTheme="minorEastAsia" w:cstheme="minorBidi"/>
          <w:noProof/>
          <w:color w:val="auto"/>
          <w:lang w:eastAsia="en-AU"/>
        </w:rPr>
        <w:tab/>
      </w:r>
      <w:r>
        <w:rPr>
          <w:noProof/>
        </w:rPr>
        <w:t>Monitor raw results</w:t>
      </w:r>
      <w:r>
        <w:rPr>
          <w:noProof/>
        </w:rPr>
        <w:tab/>
      </w:r>
      <w:r>
        <w:rPr>
          <w:noProof/>
        </w:rPr>
        <w:fldChar w:fldCharType="begin"/>
      </w:r>
      <w:r>
        <w:rPr>
          <w:noProof/>
        </w:rPr>
        <w:instrText xml:space="preserve"> PAGEREF _Toc474844669 \h </w:instrText>
      </w:r>
      <w:r>
        <w:rPr>
          <w:noProof/>
        </w:rPr>
      </w:r>
      <w:r>
        <w:rPr>
          <w:noProof/>
        </w:rPr>
        <w:fldChar w:fldCharType="separate"/>
      </w:r>
      <w:r w:rsidR="005C3408">
        <w:rPr>
          <w:noProof/>
        </w:rPr>
        <w:t>9</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3.1</w:t>
      </w:r>
      <w:r>
        <w:rPr>
          <w:rFonts w:eastAsiaTheme="minorEastAsia" w:cstheme="minorBidi"/>
          <w:noProof/>
          <w:color w:val="auto"/>
          <w:lang w:eastAsia="en-AU"/>
        </w:rPr>
        <w:tab/>
      </w:r>
      <w:r>
        <w:rPr>
          <w:noProof/>
        </w:rPr>
        <w:t>Winter</w:t>
      </w:r>
      <w:r>
        <w:rPr>
          <w:noProof/>
        </w:rPr>
        <w:tab/>
      </w:r>
      <w:r>
        <w:rPr>
          <w:noProof/>
        </w:rPr>
        <w:fldChar w:fldCharType="begin"/>
      </w:r>
      <w:r>
        <w:rPr>
          <w:noProof/>
        </w:rPr>
        <w:instrText xml:space="preserve"> PAGEREF _Toc474844670 \h </w:instrText>
      </w:r>
      <w:r>
        <w:rPr>
          <w:noProof/>
        </w:rPr>
      </w:r>
      <w:r>
        <w:rPr>
          <w:noProof/>
        </w:rPr>
        <w:fldChar w:fldCharType="separate"/>
      </w:r>
      <w:r w:rsidR="005C3408">
        <w:rPr>
          <w:noProof/>
        </w:rPr>
        <w:t>9</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3.2</w:t>
      </w:r>
      <w:r>
        <w:rPr>
          <w:rFonts w:eastAsiaTheme="minorEastAsia" w:cstheme="minorBidi"/>
          <w:noProof/>
          <w:color w:val="auto"/>
          <w:lang w:eastAsia="en-AU"/>
        </w:rPr>
        <w:tab/>
      </w:r>
      <w:r>
        <w:rPr>
          <w:noProof/>
        </w:rPr>
        <w:t>Summer</w:t>
      </w:r>
      <w:r>
        <w:rPr>
          <w:noProof/>
        </w:rPr>
        <w:tab/>
      </w:r>
      <w:r>
        <w:rPr>
          <w:noProof/>
        </w:rPr>
        <w:fldChar w:fldCharType="begin"/>
      </w:r>
      <w:r>
        <w:rPr>
          <w:noProof/>
        </w:rPr>
        <w:instrText xml:space="preserve"> PAGEREF _Toc474844671 \h </w:instrText>
      </w:r>
      <w:r>
        <w:rPr>
          <w:noProof/>
        </w:rPr>
      </w:r>
      <w:r>
        <w:rPr>
          <w:noProof/>
        </w:rPr>
        <w:fldChar w:fldCharType="separate"/>
      </w:r>
      <w:r w:rsidR="005C3408">
        <w:rPr>
          <w:noProof/>
        </w:rPr>
        <w:t>10</w:t>
      </w:r>
      <w:r>
        <w:rPr>
          <w:noProof/>
        </w:rPr>
        <w:fldChar w:fldCharType="end"/>
      </w:r>
    </w:p>
    <w:p w:rsidR="00986013" w:rsidRDefault="00986013" w:rsidP="00756400">
      <w:pPr>
        <w:pStyle w:val="TOC2"/>
        <w:rPr>
          <w:rFonts w:eastAsiaTheme="minorEastAsia" w:cstheme="minorBidi"/>
          <w:noProof/>
          <w:color w:val="auto"/>
          <w:lang w:eastAsia="en-AU"/>
        </w:rPr>
      </w:pPr>
      <w:r w:rsidRPr="00E50911">
        <w:rPr>
          <w:rFonts w:ascii="Calibri" w:hAnsi="Calibri"/>
          <w:noProof/>
        </w:rPr>
        <w:t>3.3</w:t>
      </w:r>
      <w:r>
        <w:rPr>
          <w:rFonts w:eastAsiaTheme="minorEastAsia" w:cstheme="minorBidi"/>
          <w:noProof/>
          <w:color w:val="auto"/>
          <w:lang w:eastAsia="en-AU"/>
        </w:rPr>
        <w:tab/>
      </w:r>
      <w:r>
        <w:rPr>
          <w:noProof/>
        </w:rPr>
        <w:t>Overall station averages</w:t>
      </w:r>
      <w:r>
        <w:rPr>
          <w:noProof/>
        </w:rPr>
        <w:tab/>
      </w:r>
      <w:r>
        <w:rPr>
          <w:noProof/>
        </w:rPr>
        <w:fldChar w:fldCharType="begin"/>
      </w:r>
      <w:r>
        <w:rPr>
          <w:noProof/>
        </w:rPr>
        <w:instrText xml:space="preserve"> PAGEREF _Toc474844672 \h </w:instrText>
      </w:r>
      <w:r>
        <w:rPr>
          <w:noProof/>
        </w:rPr>
      </w:r>
      <w:r>
        <w:rPr>
          <w:noProof/>
        </w:rPr>
        <w:fldChar w:fldCharType="separate"/>
      </w:r>
      <w:r w:rsidR="005C3408">
        <w:rPr>
          <w:noProof/>
        </w:rPr>
        <w:t>12</w:t>
      </w:r>
      <w:r>
        <w:rPr>
          <w:noProof/>
        </w:rPr>
        <w:fldChar w:fldCharType="end"/>
      </w:r>
    </w:p>
    <w:p w:rsidR="00986013" w:rsidRDefault="00986013" w:rsidP="00756400">
      <w:pPr>
        <w:pStyle w:val="TOC1"/>
        <w:rPr>
          <w:rFonts w:eastAsiaTheme="minorEastAsia" w:cstheme="minorBidi"/>
          <w:noProof/>
          <w:color w:val="auto"/>
          <w:lang w:eastAsia="en-AU"/>
        </w:rPr>
      </w:pPr>
      <w:r w:rsidRPr="00E50911">
        <w:rPr>
          <w:rFonts w:ascii="Calibri" w:hAnsi="Calibri"/>
          <w:noProof/>
        </w:rPr>
        <w:t>4.</w:t>
      </w:r>
      <w:r>
        <w:rPr>
          <w:rFonts w:eastAsiaTheme="minorEastAsia" w:cstheme="minorBidi"/>
          <w:noProof/>
          <w:color w:val="auto"/>
          <w:lang w:eastAsia="en-AU"/>
        </w:rPr>
        <w:tab/>
      </w:r>
      <w:r>
        <w:rPr>
          <w:noProof/>
        </w:rPr>
        <w:t>Time–based interpretation</w:t>
      </w:r>
      <w:r>
        <w:rPr>
          <w:noProof/>
        </w:rPr>
        <w:tab/>
      </w:r>
      <w:r>
        <w:rPr>
          <w:noProof/>
        </w:rPr>
        <w:fldChar w:fldCharType="begin"/>
      </w:r>
      <w:r>
        <w:rPr>
          <w:noProof/>
        </w:rPr>
        <w:instrText xml:space="preserve"> PAGEREF _Toc474844673 \h </w:instrText>
      </w:r>
      <w:r>
        <w:rPr>
          <w:noProof/>
        </w:rPr>
      </w:r>
      <w:r>
        <w:rPr>
          <w:noProof/>
        </w:rPr>
        <w:fldChar w:fldCharType="separate"/>
      </w:r>
      <w:r w:rsidR="005C3408">
        <w:rPr>
          <w:noProof/>
        </w:rPr>
        <w:t>13</w:t>
      </w:r>
      <w:r>
        <w:rPr>
          <w:noProof/>
        </w:rPr>
        <w:fldChar w:fldCharType="end"/>
      </w:r>
    </w:p>
    <w:p w:rsidR="00986013" w:rsidRDefault="00986013" w:rsidP="00756400">
      <w:pPr>
        <w:pStyle w:val="TOC1"/>
        <w:rPr>
          <w:rFonts w:eastAsiaTheme="minorEastAsia" w:cstheme="minorBidi"/>
          <w:noProof/>
          <w:color w:val="auto"/>
          <w:lang w:eastAsia="en-AU"/>
        </w:rPr>
      </w:pPr>
      <w:r w:rsidRPr="00E50911">
        <w:rPr>
          <w:rFonts w:ascii="Calibri" w:hAnsi="Calibri"/>
          <w:noProof/>
        </w:rPr>
        <w:t>5.</w:t>
      </w:r>
      <w:r>
        <w:rPr>
          <w:rFonts w:eastAsiaTheme="minorEastAsia" w:cstheme="minorBidi"/>
          <w:noProof/>
          <w:color w:val="auto"/>
          <w:lang w:eastAsia="en-AU"/>
        </w:rPr>
        <w:tab/>
      </w:r>
      <w:r>
        <w:rPr>
          <w:noProof/>
        </w:rPr>
        <w:t>Conclusions</w:t>
      </w:r>
      <w:r>
        <w:rPr>
          <w:noProof/>
        </w:rPr>
        <w:tab/>
      </w:r>
      <w:r>
        <w:rPr>
          <w:noProof/>
        </w:rPr>
        <w:fldChar w:fldCharType="begin"/>
      </w:r>
      <w:r>
        <w:rPr>
          <w:noProof/>
        </w:rPr>
        <w:instrText xml:space="preserve"> PAGEREF _Toc474844674 \h </w:instrText>
      </w:r>
      <w:r>
        <w:rPr>
          <w:noProof/>
        </w:rPr>
      </w:r>
      <w:r>
        <w:rPr>
          <w:noProof/>
        </w:rPr>
        <w:fldChar w:fldCharType="separate"/>
      </w:r>
      <w:r w:rsidR="005C3408">
        <w:rPr>
          <w:noProof/>
        </w:rPr>
        <w:t>16</w:t>
      </w:r>
      <w:r>
        <w:rPr>
          <w:noProof/>
        </w:rPr>
        <w:fldChar w:fldCharType="end"/>
      </w:r>
    </w:p>
    <w:p w:rsidR="00986013" w:rsidRDefault="00986013" w:rsidP="00756400">
      <w:pPr>
        <w:pStyle w:val="TOC3"/>
        <w:rPr>
          <w:color w:val="auto"/>
        </w:rPr>
      </w:pPr>
      <w:r>
        <w:t>Appendix 1</w:t>
      </w:r>
      <w:r>
        <w:rPr>
          <w:color w:val="auto"/>
        </w:rPr>
        <w:tab/>
      </w:r>
      <w:r>
        <w:t>Monitor details</w:t>
      </w:r>
      <w:r>
        <w:tab/>
      </w:r>
      <w:r>
        <w:fldChar w:fldCharType="begin"/>
      </w:r>
      <w:r>
        <w:instrText xml:space="preserve"> PAGEREF _Toc474844675 \h </w:instrText>
      </w:r>
      <w:r>
        <w:fldChar w:fldCharType="separate"/>
      </w:r>
      <w:r w:rsidR="005C3408">
        <w:t>17</w:t>
      </w:r>
      <w:r>
        <w:fldChar w:fldCharType="end"/>
      </w:r>
    </w:p>
    <w:p w:rsidR="00986013" w:rsidRDefault="00986013" w:rsidP="00756400">
      <w:pPr>
        <w:pStyle w:val="TOC4"/>
        <w:rPr>
          <w:rFonts w:eastAsiaTheme="minorEastAsia" w:cstheme="minorBidi"/>
          <w:color w:val="auto"/>
          <w:lang w:eastAsia="en-AU"/>
        </w:rPr>
      </w:pPr>
      <w:r>
        <w:t>A1.1</w:t>
      </w:r>
      <w:r>
        <w:rPr>
          <w:rFonts w:eastAsiaTheme="minorEastAsia" w:cstheme="minorBidi"/>
          <w:color w:val="auto"/>
          <w:lang w:eastAsia="en-AU"/>
        </w:rPr>
        <w:tab/>
      </w:r>
      <w:r>
        <w:t>Letter to Antarctic Staff on deployment of monitors</w:t>
      </w:r>
      <w:r>
        <w:tab/>
      </w:r>
      <w:r>
        <w:fldChar w:fldCharType="begin"/>
      </w:r>
      <w:r>
        <w:instrText xml:space="preserve"> PAGEREF _Toc474844676 \h </w:instrText>
      </w:r>
      <w:r>
        <w:fldChar w:fldCharType="separate"/>
      </w:r>
      <w:r w:rsidR="005C3408">
        <w:t>17</w:t>
      </w:r>
      <w:r>
        <w:fldChar w:fldCharType="end"/>
      </w:r>
    </w:p>
    <w:p w:rsidR="00986013" w:rsidRDefault="00986013" w:rsidP="00756400">
      <w:pPr>
        <w:pStyle w:val="TOC4"/>
        <w:rPr>
          <w:rFonts w:eastAsiaTheme="minorEastAsia" w:cstheme="minorBidi"/>
          <w:color w:val="auto"/>
          <w:lang w:eastAsia="en-AU"/>
        </w:rPr>
      </w:pPr>
      <w:r>
        <w:t>A1.2</w:t>
      </w:r>
      <w:r>
        <w:rPr>
          <w:rFonts w:eastAsiaTheme="minorEastAsia" w:cstheme="minorBidi"/>
          <w:color w:val="auto"/>
          <w:lang w:eastAsia="en-AU"/>
        </w:rPr>
        <w:tab/>
      </w:r>
      <w:r>
        <w:t>Monitor Results – Winter Placement</w:t>
      </w:r>
      <w:r>
        <w:tab/>
      </w:r>
      <w:r>
        <w:fldChar w:fldCharType="begin"/>
      </w:r>
      <w:r>
        <w:instrText xml:space="preserve"> PAGEREF _Toc474844677 \h </w:instrText>
      </w:r>
      <w:r>
        <w:fldChar w:fldCharType="separate"/>
      </w:r>
      <w:r w:rsidR="005C3408">
        <w:t>18</w:t>
      </w:r>
      <w:r>
        <w:fldChar w:fldCharType="end"/>
      </w:r>
    </w:p>
    <w:p w:rsidR="00986013" w:rsidRDefault="00986013" w:rsidP="00756400">
      <w:pPr>
        <w:pStyle w:val="TOC4"/>
        <w:rPr>
          <w:rFonts w:eastAsiaTheme="minorEastAsia" w:cstheme="minorBidi"/>
          <w:color w:val="auto"/>
          <w:lang w:eastAsia="en-AU"/>
        </w:rPr>
      </w:pPr>
      <w:r>
        <w:t>A1.3</w:t>
      </w:r>
      <w:r>
        <w:rPr>
          <w:rFonts w:eastAsiaTheme="minorEastAsia" w:cstheme="minorBidi"/>
          <w:color w:val="auto"/>
          <w:lang w:eastAsia="en-AU"/>
        </w:rPr>
        <w:tab/>
      </w:r>
      <w:r>
        <w:t>Monitor Results – Summer Placement</w:t>
      </w:r>
      <w:r>
        <w:tab/>
      </w:r>
      <w:r>
        <w:fldChar w:fldCharType="begin"/>
      </w:r>
      <w:r>
        <w:instrText xml:space="preserve"> PAGEREF _Toc474844678 \h </w:instrText>
      </w:r>
      <w:r>
        <w:fldChar w:fldCharType="separate"/>
      </w:r>
      <w:r w:rsidR="005C3408">
        <w:t>22</w:t>
      </w:r>
      <w:r>
        <w:fldChar w:fldCharType="end"/>
      </w:r>
    </w:p>
    <w:p w:rsidR="00986013" w:rsidRDefault="00986013" w:rsidP="00756400">
      <w:pPr>
        <w:pStyle w:val="TOC1"/>
        <w:rPr>
          <w:rFonts w:eastAsiaTheme="minorEastAsia" w:cstheme="minorBidi"/>
          <w:noProof/>
          <w:color w:val="auto"/>
          <w:lang w:eastAsia="en-AU"/>
        </w:rPr>
      </w:pPr>
      <w:r>
        <w:rPr>
          <w:noProof/>
        </w:rPr>
        <w:t>References</w:t>
      </w:r>
      <w:r>
        <w:rPr>
          <w:noProof/>
        </w:rPr>
        <w:tab/>
      </w:r>
      <w:r>
        <w:rPr>
          <w:noProof/>
        </w:rPr>
        <w:fldChar w:fldCharType="begin"/>
      </w:r>
      <w:r>
        <w:rPr>
          <w:noProof/>
        </w:rPr>
        <w:instrText xml:space="preserve"> PAGEREF _Toc474844679 \h </w:instrText>
      </w:r>
      <w:r>
        <w:rPr>
          <w:noProof/>
        </w:rPr>
      </w:r>
      <w:r>
        <w:rPr>
          <w:noProof/>
        </w:rPr>
        <w:fldChar w:fldCharType="separate"/>
      </w:r>
      <w:r w:rsidR="005C3408">
        <w:rPr>
          <w:noProof/>
        </w:rPr>
        <w:t>24</w:t>
      </w:r>
      <w:r>
        <w:rPr>
          <w:noProof/>
        </w:rPr>
        <w:fldChar w:fldCharType="end"/>
      </w:r>
    </w:p>
    <w:p w:rsidR="007039B1" w:rsidRDefault="00842A1B" w:rsidP="007039B1">
      <w:r>
        <w:fldChar w:fldCharType="end"/>
      </w:r>
    </w:p>
    <w:p w:rsidR="00A20E79" w:rsidRDefault="00A20E79">
      <w:pPr>
        <w:spacing w:before="0" w:line="240" w:lineRule="auto"/>
        <w:sectPr w:rsidR="00A20E79" w:rsidSect="00F54566">
          <w:footnotePr>
            <w:pos w:val="beneathText"/>
            <w:numFmt w:val="chicago"/>
            <w:numRestart w:val="eachSect"/>
          </w:footnotePr>
          <w:pgSz w:w="11906" w:h="16838" w:code="9"/>
          <w:pgMar w:top="1418" w:right="1418" w:bottom="1418" w:left="1418" w:header="709" w:footer="567" w:gutter="0"/>
          <w:pgNumType w:fmt="lowerRoman"/>
          <w:cols w:space="708"/>
          <w:docGrid w:linePitch="360"/>
        </w:sectPr>
      </w:pPr>
    </w:p>
    <w:p w:rsidR="00986013" w:rsidRDefault="00986013">
      <w:pPr>
        <w:spacing w:before="0" w:line="240" w:lineRule="auto"/>
      </w:pPr>
    </w:p>
    <w:p w:rsidR="00986013" w:rsidRDefault="00986013" w:rsidP="007039B1"/>
    <w:p w:rsidR="007039B1" w:rsidRDefault="007039B1" w:rsidP="007039B1"/>
    <w:p w:rsidR="007039B1" w:rsidRDefault="007039B1" w:rsidP="00786B6D">
      <w:pPr>
        <w:jc w:val="center"/>
        <w:rPr>
          <w:rFonts w:ascii="Arial" w:hAnsi="Arial" w:cs="Arial"/>
          <w:b/>
          <w:sz w:val="32"/>
          <w:szCs w:val="32"/>
        </w:rPr>
        <w:sectPr w:rsidR="007039B1" w:rsidSect="00F54566">
          <w:footerReference w:type="default" r:id="rId32"/>
          <w:footnotePr>
            <w:pos w:val="beneathText"/>
            <w:numFmt w:val="chicago"/>
            <w:numRestart w:val="eachSect"/>
          </w:footnotePr>
          <w:pgSz w:w="11906" w:h="16838" w:code="9"/>
          <w:pgMar w:top="1418" w:right="1418" w:bottom="1418" w:left="1418" w:header="709" w:footer="567" w:gutter="0"/>
          <w:pgNumType w:fmt="lowerRoman"/>
          <w:cols w:space="708"/>
          <w:docGrid w:linePitch="360"/>
        </w:sectPr>
      </w:pPr>
    </w:p>
    <w:p w:rsidR="00CF72CF" w:rsidRPr="00772C08" w:rsidRDefault="00AD41FF" w:rsidP="002265CE">
      <w:pPr>
        <w:pStyle w:val="Heading1"/>
      </w:pPr>
      <w:bookmarkStart w:id="6" w:name="_Toc474844661"/>
      <w:r>
        <w:lastRenderedPageBreak/>
        <w:t>Radon</w:t>
      </w:r>
      <w:r w:rsidR="00415434">
        <w:t xml:space="preserve"> in Antarctica</w:t>
      </w:r>
      <w:bookmarkEnd w:id="6"/>
    </w:p>
    <w:p w:rsidR="001514EA" w:rsidRPr="00772C08" w:rsidRDefault="00535934" w:rsidP="00772C08">
      <w:pPr>
        <w:pStyle w:val="Heading2"/>
      </w:pPr>
      <w:bookmarkStart w:id="7" w:name="_Toc474844662"/>
      <w:r>
        <w:t xml:space="preserve">Why </w:t>
      </w:r>
      <w:r w:rsidR="00393096">
        <w:t>m</w:t>
      </w:r>
      <w:r>
        <w:t>easure radon?</w:t>
      </w:r>
      <w:bookmarkEnd w:id="7"/>
    </w:p>
    <w:p w:rsidR="006E6AE2" w:rsidRDefault="006E6AE2" w:rsidP="001E7A4B">
      <w:r w:rsidRPr="006E6AE2">
        <w:t>The Australian Radiation Protection and Nuclear Safety Agency’s (ARPA</w:t>
      </w:r>
      <w:r w:rsidR="009B2F7C">
        <w:t>NSA) principle objective is to “</w:t>
      </w:r>
      <w:r w:rsidRPr="006E6AE2">
        <w:t>protect people and the environment from t</w:t>
      </w:r>
      <w:r w:rsidR="009B2F7C">
        <w:t>he harmful effects of radiation”</w:t>
      </w:r>
      <w:r w:rsidRPr="006E6AE2">
        <w:t>.</w:t>
      </w:r>
      <w:r w:rsidR="00393096">
        <w:t xml:space="preserve"> </w:t>
      </w:r>
      <w:r>
        <w:t>One of the tasks of the M</w:t>
      </w:r>
      <w:r w:rsidR="00351DAF">
        <w:t>onitoring</w:t>
      </w:r>
      <w:r>
        <w:t xml:space="preserve"> </w:t>
      </w:r>
      <w:r w:rsidR="00912BD1">
        <w:t xml:space="preserve">and Emergency Response Section </w:t>
      </w:r>
      <w:r w:rsidRPr="006E6AE2">
        <w:t xml:space="preserve">of ARPANSA </w:t>
      </w:r>
      <w:r>
        <w:t xml:space="preserve">is to measure and </w:t>
      </w:r>
      <w:r w:rsidR="00A430BB">
        <w:t>assess</w:t>
      </w:r>
      <w:r w:rsidRPr="006E6AE2">
        <w:t xml:space="preserve"> occupational exposure to ionising radiation.</w:t>
      </w:r>
      <w:r w:rsidR="00393096">
        <w:t xml:space="preserve"> </w:t>
      </w:r>
      <w:r w:rsidRPr="006E6AE2">
        <w:t>One source of occupation</w:t>
      </w:r>
      <w:r>
        <w:t>al exposure to workers is radon,</w:t>
      </w:r>
      <w:r w:rsidRPr="006E6AE2">
        <w:t xml:space="preserve"> an inert radioactive gas that originates from uranium and radium and is present in very low levels in rocks and soils around the world.</w:t>
      </w:r>
      <w:r w:rsidR="00393096">
        <w:t xml:space="preserve"> </w:t>
      </w:r>
      <w:r w:rsidRPr="006E6AE2">
        <w:t xml:space="preserve">Radon </w:t>
      </w:r>
      <w:r w:rsidR="002F277A">
        <w:t xml:space="preserve">that emanates from the ground can </w:t>
      </w:r>
      <w:r w:rsidRPr="006E6AE2">
        <w:t xml:space="preserve">diffuse easily into buildings and outdoor air and can </w:t>
      </w:r>
      <w:r w:rsidR="002F277A">
        <w:t xml:space="preserve">subsequently </w:t>
      </w:r>
      <w:r w:rsidRPr="006E6AE2">
        <w:t>accumulate in areas where there is limited ventilation.</w:t>
      </w:r>
      <w:r w:rsidR="00393096">
        <w:t xml:space="preserve"> </w:t>
      </w:r>
      <w:r w:rsidRPr="006E6AE2">
        <w:t>In high concentrations radon is known to be a risk factor for lung cancer.</w:t>
      </w:r>
      <w:r w:rsidR="00393096">
        <w:t xml:space="preserve"> </w:t>
      </w:r>
      <w:r w:rsidRPr="006E6AE2">
        <w:t xml:space="preserve">In Australian jurisdictions, Radiation Protection Series 1 </w:t>
      </w:r>
      <w:r w:rsidR="004669DF" w:rsidRPr="00B97728">
        <w:rPr>
          <w:i/>
        </w:rPr>
        <w:t>Recommendations for Limiting Exposure to Ionizing Radiation (1995) and National Standard for Limiting Occupational Exposure to Ionizing Radiation</w:t>
      </w:r>
      <w:r w:rsidR="004669DF">
        <w:t xml:space="preserve"> </w:t>
      </w:r>
      <w:r w:rsidR="00440D31">
        <w:t xml:space="preserve">(ARPANSA, 2002) </w:t>
      </w:r>
      <w:proofErr w:type="gramStart"/>
      <w:r w:rsidRPr="006E6AE2">
        <w:t>sets</w:t>
      </w:r>
      <w:proofErr w:type="gramEnd"/>
      <w:r w:rsidRPr="006E6AE2">
        <w:t xml:space="preserve"> Action Levels for naturally occurring radon in the workplace.</w:t>
      </w:r>
      <w:r w:rsidR="00393096">
        <w:t xml:space="preserve"> </w:t>
      </w:r>
      <w:r w:rsidRPr="006E6AE2">
        <w:t xml:space="preserve">This </w:t>
      </w:r>
      <w:r w:rsidR="00635DC5">
        <w:t xml:space="preserve">report </w:t>
      </w:r>
      <w:r w:rsidR="004669DF">
        <w:t xml:space="preserve">provides </w:t>
      </w:r>
      <w:r w:rsidR="00635DC5">
        <w:t>details</w:t>
      </w:r>
      <w:r w:rsidR="004669DF">
        <w:t xml:space="preserve"> of</w:t>
      </w:r>
      <w:r w:rsidR="00635DC5">
        <w:t xml:space="preserve"> the</w:t>
      </w:r>
      <w:r w:rsidRPr="006E6AE2">
        <w:t xml:space="preserve"> collaborati</w:t>
      </w:r>
      <w:r w:rsidR="004669DF">
        <w:t>ve</w:t>
      </w:r>
      <w:r w:rsidRPr="006E6AE2">
        <w:t xml:space="preserve"> </w:t>
      </w:r>
      <w:r w:rsidR="00635DC5">
        <w:t xml:space="preserve">project </w:t>
      </w:r>
      <w:r w:rsidR="004669DF">
        <w:t xml:space="preserve">undertaken </w:t>
      </w:r>
      <w:r w:rsidRPr="006E6AE2">
        <w:t xml:space="preserve">between ARPANSA and the Australian Antarctic Division (AAD) to measure radon in buildings at </w:t>
      </w:r>
      <w:r w:rsidR="00351DAF">
        <w:t xml:space="preserve">Australian operated </w:t>
      </w:r>
      <w:r w:rsidRPr="006E6AE2">
        <w:t>stations in Antarctica</w:t>
      </w:r>
      <w:r w:rsidR="004669DF">
        <w:t xml:space="preserve"> and the </w:t>
      </w:r>
      <w:r w:rsidR="00AA2F16">
        <w:t>Subantarctic</w:t>
      </w:r>
      <w:r w:rsidRPr="006E6AE2">
        <w:t>.</w:t>
      </w:r>
      <w:r w:rsidR="004669DF">
        <w:t xml:space="preserve"> </w:t>
      </w:r>
    </w:p>
    <w:p w:rsidR="0082448F" w:rsidRDefault="008850CC" w:rsidP="00B74D0D">
      <w:r w:rsidRPr="008850CC">
        <w:t xml:space="preserve">There have been many measurements made of radon in Antarctica, </w:t>
      </w:r>
      <w:r w:rsidR="00394318">
        <w:t xml:space="preserve">ranging from the mid-1950s </w:t>
      </w:r>
      <w:r w:rsidR="00EF3DB0">
        <w:t xml:space="preserve">(Lockhart et al. 1966) </w:t>
      </w:r>
      <w:r w:rsidR="00394318">
        <w:t xml:space="preserve">until the </w:t>
      </w:r>
      <w:r w:rsidR="00EF5AC1">
        <w:t xml:space="preserve">present day. </w:t>
      </w:r>
      <w:r w:rsidR="00394318">
        <w:t>H</w:t>
      </w:r>
      <w:r w:rsidRPr="008850CC">
        <w:t xml:space="preserve">owever most of these seem to have been </w:t>
      </w:r>
      <w:r w:rsidR="007E04BB">
        <w:t>outdoor</w:t>
      </w:r>
      <w:r w:rsidR="007E04BB" w:rsidRPr="008850CC">
        <w:t xml:space="preserve"> </w:t>
      </w:r>
      <w:r w:rsidRPr="008850CC">
        <w:t xml:space="preserve">measurements </w:t>
      </w:r>
      <w:r w:rsidR="00EF5AC1">
        <w:t>using indirect methods measuring very low environmental levels</w:t>
      </w:r>
      <w:r w:rsidR="00EF3DB0">
        <w:t xml:space="preserve"> (</w:t>
      </w:r>
      <w:r w:rsidR="00E32D4E">
        <w:t xml:space="preserve">a good summary of these measurements can be found in </w:t>
      </w:r>
      <w:r w:rsidR="00EF3DB0">
        <w:t>Chambers et al. 2014)</w:t>
      </w:r>
      <w:r w:rsidR="00EF5AC1">
        <w:t>, or were</w:t>
      </w:r>
      <w:r w:rsidRPr="008850CC">
        <w:t xml:space="preserve"> using radon as a tracer for other environmental or geological processes</w:t>
      </w:r>
      <w:r w:rsidR="007A70E0">
        <w:t xml:space="preserve"> (Pereira 1990</w:t>
      </w:r>
      <w:r w:rsidR="00393096">
        <w:t xml:space="preserve"> and</w:t>
      </w:r>
      <w:r w:rsidR="007A70E0">
        <w:t xml:space="preserve"> </w:t>
      </w:r>
      <w:proofErr w:type="spellStart"/>
      <w:r w:rsidR="007A70E0">
        <w:t>Illić</w:t>
      </w:r>
      <w:proofErr w:type="spellEnd"/>
      <w:r w:rsidR="007A70E0">
        <w:t xml:space="preserve"> et al. 2005)</w:t>
      </w:r>
      <w:r w:rsidR="00290FD7">
        <w:t>.</w:t>
      </w:r>
      <w:r w:rsidR="000E0C4E">
        <w:t xml:space="preserve"> </w:t>
      </w:r>
      <w:r w:rsidR="00290FD7">
        <w:t>Radon in Antarctica is general</w:t>
      </w:r>
      <w:r w:rsidR="0044354C">
        <w:t>ly</w:t>
      </w:r>
      <w:r w:rsidR="00290FD7">
        <w:t xml:space="preserve"> thought to be orders of magnitude less than that found elsewhere in the world, and has been measured </w:t>
      </w:r>
      <w:r w:rsidR="00F706BA">
        <w:t>from as low as 11</w:t>
      </w:r>
      <w:r w:rsidR="00290FD7">
        <w:t xml:space="preserve"> mBq</w:t>
      </w:r>
      <w:r w:rsidR="00F706BA">
        <w:t>.m</w:t>
      </w:r>
      <w:r w:rsidR="00F706BA" w:rsidRPr="00F706BA">
        <w:rPr>
          <w:vertAlign w:val="superscript"/>
        </w:rPr>
        <w:t>-3</w:t>
      </w:r>
      <w:r w:rsidR="00F706BA">
        <w:t xml:space="preserve"> at the South Pole </w:t>
      </w:r>
      <w:r w:rsidR="000B7988">
        <w:t>(</w:t>
      </w:r>
      <w:proofErr w:type="spellStart"/>
      <w:r w:rsidR="000B7988">
        <w:t>Maen</w:t>
      </w:r>
      <w:r w:rsidR="008D6856">
        <w:t>h</w:t>
      </w:r>
      <w:r w:rsidR="000B7988">
        <w:t>aut</w:t>
      </w:r>
      <w:proofErr w:type="spellEnd"/>
      <w:r w:rsidR="000B7988">
        <w:t xml:space="preserve"> et al. 1979) </w:t>
      </w:r>
      <w:r w:rsidR="00F706BA">
        <w:t>up to 40 Bq.m</w:t>
      </w:r>
      <w:r w:rsidR="00F706BA" w:rsidRPr="00F706BA">
        <w:rPr>
          <w:vertAlign w:val="superscript"/>
        </w:rPr>
        <w:t>-3</w:t>
      </w:r>
      <w:r w:rsidR="00F706BA">
        <w:t xml:space="preserve"> at the Ukrainian research station Academician </w:t>
      </w:r>
      <w:proofErr w:type="spellStart"/>
      <w:r w:rsidR="00F706BA">
        <w:t>Vernadsky</w:t>
      </w:r>
      <w:proofErr w:type="spellEnd"/>
      <w:r w:rsidR="00F706BA">
        <w:t xml:space="preserve"> </w:t>
      </w:r>
      <w:r w:rsidR="002305E8">
        <w:t>on the Antarctic peninsula</w:t>
      </w:r>
      <w:r w:rsidR="009F59CD">
        <w:t xml:space="preserve"> (65°15´S, 64°16´W), with the average</w:t>
      </w:r>
      <w:r w:rsidR="00633A64">
        <w:t xml:space="preserve"> annual</w:t>
      </w:r>
      <w:r w:rsidR="009F59CD">
        <w:t xml:space="preserve"> indoor radon concentration measured at the same location being 18 Bq.m</w:t>
      </w:r>
      <w:r w:rsidR="009F59CD" w:rsidRPr="009F59CD">
        <w:rPr>
          <w:vertAlign w:val="superscript"/>
        </w:rPr>
        <w:t>-3</w:t>
      </w:r>
      <w:r w:rsidR="002305E8">
        <w:t xml:space="preserve"> </w:t>
      </w:r>
      <w:r w:rsidR="000E0C4E">
        <w:t>(</w:t>
      </w:r>
      <w:proofErr w:type="spellStart"/>
      <w:r w:rsidR="000E0C4E">
        <w:t>Illić</w:t>
      </w:r>
      <w:proofErr w:type="spellEnd"/>
      <w:r w:rsidR="000E0C4E">
        <w:t xml:space="preserve"> et</w:t>
      </w:r>
      <w:r w:rsidR="000B7988">
        <w:t xml:space="preserve"> </w:t>
      </w:r>
      <w:r w:rsidR="000E0C4E">
        <w:t>al. 2005)</w:t>
      </w:r>
      <w:r w:rsidRPr="008850CC">
        <w:t>.</w:t>
      </w:r>
      <w:r w:rsidR="00393096">
        <w:t xml:space="preserve"> </w:t>
      </w:r>
      <w:proofErr w:type="gramStart"/>
      <w:r w:rsidR="00545F12">
        <w:t>Long-range transport of radon from continental areas</w:t>
      </w:r>
      <w:r w:rsidR="0088719C">
        <w:t xml:space="preserve"> result</w:t>
      </w:r>
      <w:r w:rsidR="00545F12">
        <w:t xml:space="preserve"> in sharp </w:t>
      </w:r>
      <w:r w:rsidR="0082448F">
        <w:t xml:space="preserve">short-term </w:t>
      </w:r>
      <w:r w:rsidR="00545F12">
        <w:t>increases of radon concentration by as much as a factor of fifteen (</w:t>
      </w:r>
      <w:proofErr w:type="spellStart"/>
      <w:r w:rsidR="00545F12">
        <w:t>Polian</w:t>
      </w:r>
      <w:proofErr w:type="spellEnd"/>
      <w:r w:rsidR="00545F12">
        <w:t xml:space="preserve"> et al. 1986).</w:t>
      </w:r>
      <w:proofErr w:type="gramEnd"/>
      <w:r w:rsidR="00545F12">
        <w:t xml:space="preserve"> These events are known as </w:t>
      </w:r>
      <w:r w:rsidR="00393096">
        <w:t>‘</w:t>
      </w:r>
      <w:proofErr w:type="spellStart"/>
      <w:r w:rsidR="00545F12">
        <w:t>Radonic</w:t>
      </w:r>
      <w:proofErr w:type="spellEnd"/>
      <w:r w:rsidR="00545F12">
        <w:t xml:space="preserve"> Storms</w:t>
      </w:r>
      <w:r w:rsidR="00393096">
        <w:t>’</w:t>
      </w:r>
      <w:r w:rsidR="00545F12">
        <w:t xml:space="preserve">. </w:t>
      </w:r>
    </w:p>
    <w:p w:rsidR="008850CC" w:rsidRDefault="004E2E48" w:rsidP="00B74D0D">
      <w:r>
        <w:t xml:space="preserve">Australia’s Antarctic </w:t>
      </w:r>
      <w:r w:rsidR="00635DC5">
        <w:t>(and Sub</w:t>
      </w:r>
      <w:r w:rsidR="00393096">
        <w:t>a</w:t>
      </w:r>
      <w:r w:rsidR="00635DC5">
        <w:t xml:space="preserve">ntarctic) </w:t>
      </w:r>
      <w:r>
        <w:t>bases are all coastal</w:t>
      </w:r>
      <w:r w:rsidR="00B02250">
        <w:t xml:space="preserve"> stations built</w:t>
      </w:r>
      <w:r>
        <w:t xml:space="preserve"> </w:t>
      </w:r>
      <w:r w:rsidR="00B02250">
        <w:t xml:space="preserve">largely on </w:t>
      </w:r>
      <w:r>
        <w:t>rock. Although during the winter season the stations are blanketed with snow and ice, during the summer months the weather can be warm enough that the ice and snow is able to melt away. Under thes</w:t>
      </w:r>
      <w:r w:rsidR="00B02250">
        <w:t>e conditions the rock is mostly</w:t>
      </w:r>
      <w:r>
        <w:t xml:space="preserve"> exposed.</w:t>
      </w:r>
      <w:r w:rsidR="00B02250">
        <w:t xml:space="preserve"> The intention of this project was to measure the radon concentration in buildings built directly on soils or rocks.</w:t>
      </w:r>
      <w:r w:rsidR="008850CC">
        <w:t xml:space="preserve"> </w:t>
      </w:r>
      <w:r w:rsidR="008850CC" w:rsidRPr="008850CC">
        <w:t>In general, the radon levels in Antarctica seem to be low, and it is expected that this study will find radon concentrations i</w:t>
      </w:r>
      <w:r w:rsidR="008850CC">
        <w:t xml:space="preserve">nside the buildings to be low. </w:t>
      </w:r>
    </w:p>
    <w:p w:rsidR="008F732E" w:rsidRDefault="008B4BA7" w:rsidP="00772C08">
      <w:pPr>
        <w:pStyle w:val="Heading2"/>
      </w:pPr>
      <w:bookmarkStart w:id="8" w:name="_Toc474844663"/>
      <w:r>
        <w:t>A</w:t>
      </w:r>
      <w:r w:rsidR="006D497F">
        <w:t xml:space="preserve">ustralian Antarctic Division </w:t>
      </w:r>
      <w:r w:rsidR="00393096">
        <w:t>s</w:t>
      </w:r>
      <w:r w:rsidR="00535934">
        <w:t xml:space="preserve">tation </w:t>
      </w:r>
      <w:r w:rsidR="00393096">
        <w:t>d</w:t>
      </w:r>
      <w:r w:rsidR="00535934">
        <w:t>etails</w:t>
      </w:r>
      <w:bookmarkEnd w:id="8"/>
    </w:p>
    <w:p w:rsidR="009954CB" w:rsidRDefault="009E6FD2" w:rsidP="00B74D0D">
      <w:r>
        <w:t xml:space="preserve">Australia maintains three stations on mainland Antarctica, and one in the </w:t>
      </w:r>
      <w:r w:rsidR="006D497F">
        <w:t>S</w:t>
      </w:r>
      <w:r>
        <w:t>ub</w:t>
      </w:r>
      <w:r w:rsidR="006D497F">
        <w:t>a</w:t>
      </w:r>
      <w:r>
        <w:t>ntarctic (Macquarie Island). A</w:t>
      </w:r>
      <w:r w:rsidR="00F53CE1">
        <w:t>ustralia has held</w:t>
      </w:r>
      <w:r>
        <w:t xml:space="preserve"> a continuous presence on the mainland since the establishment of Mawson station in 1954. Casey (</w:t>
      </w:r>
      <w:r w:rsidR="002F277A">
        <w:t>originally known</w:t>
      </w:r>
      <w:r w:rsidR="00393096">
        <w:t xml:space="preserve"> </w:t>
      </w:r>
      <w:r w:rsidR="006D497F">
        <w:t xml:space="preserve">as </w:t>
      </w:r>
      <w:r w:rsidR="00313B7F">
        <w:t xml:space="preserve">the United States research station </w:t>
      </w:r>
      <w:r>
        <w:t xml:space="preserve">Wilkes) </w:t>
      </w:r>
      <w:r w:rsidR="002267F2">
        <w:t>and Davis were</w:t>
      </w:r>
      <w:r>
        <w:t xml:space="preserve"> established shortly after in </w:t>
      </w:r>
      <w:r w:rsidR="002267F2">
        <w:t xml:space="preserve">1957. Casey </w:t>
      </w:r>
      <w:r>
        <w:t xml:space="preserve">has </w:t>
      </w:r>
      <w:r w:rsidR="00B37847">
        <w:t xml:space="preserve">been rebuilt twice in new locations around Newcomb </w:t>
      </w:r>
      <w:r w:rsidR="006D497F">
        <w:t>B</w:t>
      </w:r>
      <w:r w:rsidR="00B37847">
        <w:t>ay. The current station was opened in 1988.</w:t>
      </w:r>
      <w:r w:rsidR="002267F2">
        <w:t xml:space="preserve"> The Macquarie Island station was opened in 1911 by Sir Douglas Mawson. The site was first occupied by ANARE</w:t>
      </w:r>
      <w:r w:rsidR="005E18AF">
        <w:t xml:space="preserve"> (Australian National Antarctic </w:t>
      </w:r>
      <w:r w:rsidR="005E18AF">
        <w:lastRenderedPageBreak/>
        <w:t>Research Expeditions)</w:t>
      </w:r>
      <w:r w:rsidR="002267F2">
        <w:t xml:space="preserve"> for scientific purposes in 1948.</w:t>
      </w:r>
      <w:r w:rsidR="00D92E59">
        <w:t xml:space="preserve"> The geographic locations of the stations are shown in Table 1</w:t>
      </w:r>
      <w:r w:rsidR="00D13C60">
        <w:t>.1</w:t>
      </w:r>
      <w:r w:rsidR="00D92E59">
        <w:t>.</w:t>
      </w:r>
    </w:p>
    <w:p w:rsidR="009954CB" w:rsidRPr="00B74D0D" w:rsidRDefault="00C4542B" w:rsidP="00B04B6C">
      <w:pPr>
        <w:pStyle w:val="Table"/>
      </w:pPr>
      <w:r w:rsidRPr="00B74D0D">
        <w:t>Table 1.1:</w:t>
      </w:r>
      <w:r w:rsidRPr="00B74D0D">
        <w:tab/>
        <w:t>Australian Antarctic Territory station locations</w:t>
      </w:r>
    </w:p>
    <w:tbl>
      <w:tblPr>
        <w:tblStyle w:val="LightShading-Accent4"/>
        <w:tblW w:w="6804" w:type="dxa"/>
        <w:jc w:val="center"/>
        <w:tblLook w:val="04A0" w:firstRow="1" w:lastRow="0" w:firstColumn="1" w:lastColumn="0" w:noHBand="0" w:noVBand="1"/>
      </w:tblPr>
      <w:tblGrid>
        <w:gridCol w:w="2508"/>
        <w:gridCol w:w="2148"/>
        <w:gridCol w:w="2148"/>
      </w:tblGrid>
      <w:tr w:rsidR="009954CB" w:rsidRPr="009954CB" w:rsidTr="003D51FA">
        <w:trPr>
          <w:cnfStyle w:val="100000000000" w:firstRow="1" w:lastRow="0" w:firstColumn="0" w:lastColumn="0" w:oddVBand="0" w:evenVBand="0" w:oddHBand="0"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508" w:type="dxa"/>
            <w:vAlign w:val="center"/>
          </w:tcPr>
          <w:p w:rsidR="009954CB" w:rsidRPr="009954CB" w:rsidRDefault="009954CB" w:rsidP="002265CE">
            <w:pPr>
              <w:spacing w:before="0"/>
            </w:pPr>
            <w:r w:rsidRPr="009954CB">
              <w:t>Station</w:t>
            </w:r>
          </w:p>
        </w:tc>
        <w:tc>
          <w:tcPr>
            <w:tcW w:w="2148" w:type="dxa"/>
            <w:vAlign w:val="center"/>
          </w:tcPr>
          <w:p w:rsidR="009954CB" w:rsidRPr="009954CB" w:rsidRDefault="009954CB" w:rsidP="002265CE">
            <w:pPr>
              <w:spacing w:before="0"/>
              <w:jc w:val="center"/>
              <w:cnfStyle w:val="100000000000" w:firstRow="1" w:lastRow="0" w:firstColumn="0" w:lastColumn="0" w:oddVBand="0" w:evenVBand="0" w:oddHBand="0" w:evenHBand="0" w:firstRowFirstColumn="0" w:firstRowLastColumn="0" w:lastRowFirstColumn="0" w:lastRowLastColumn="0"/>
            </w:pPr>
            <w:r w:rsidRPr="009954CB">
              <w:t>Latitude</w:t>
            </w:r>
          </w:p>
        </w:tc>
        <w:tc>
          <w:tcPr>
            <w:tcW w:w="2148" w:type="dxa"/>
            <w:vAlign w:val="center"/>
          </w:tcPr>
          <w:p w:rsidR="009954CB" w:rsidRPr="009954CB" w:rsidRDefault="009954CB" w:rsidP="002265CE">
            <w:pPr>
              <w:spacing w:before="0"/>
              <w:jc w:val="center"/>
              <w:cnfStyle w:val="100000000000" w:firstRow="1" w:lastRow="0" w:firstColumn="0" w:lastColumn="0" w:oddVBand="0" w:evenVBand="0" w:oddHBand="0" w:evenHBand="0" w:firstRowFirstColumn="0" w:firstRowLastColumn="0" w:lastRowFirstColumn="0" w:lastRowLastColumn="0"/>
            </w:pPr>
            <w:r w:rsidRPr="009954CB">
              <w:t>Longitude</w:t>
            </w:r>
          </w:p>
        </w:tc>
      </w:tr>
      <w:tr w:rsidR="009954CB" w:rsidRPr="009954CB" w:rsidTr="003D51FA">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508" w:type="dxa"/>
            <w:vAlign w:val="center"/>
          </w:tcPr>
          <w:p w:rsidR="009954CB" w:rsidRPr="00B02250" w:rsidRDefault="009954CB" w:rsidP="002265CE">
            <w:pPr>
              <w:spacing w:before="0"/>
              <w:rPr>
                <w:sz w:val="20"/>
                <w:szCs w:val="20"/>
              </w:rPr>
            </w:pPr>
            <w:r w:rsidRPr="00B02250">
              <w:rPr>
                <w:sz w:val="20"/>
                <w:szCs w:val="20"/>
              </w:rPr>
              <w:t>Mawson</w:t>
            </w:r>
          </w:p>
        </w:tc>
        <w:tc>
          <w:tcPr>
            <w:tcW w:w="2148" w:type="dxa"/>
            <w:vAlign w:val="center"/>
          </w:tcPr>
          <w:p w:rsidR="009954CB" w:rsidRPr="00B02250" w:rsidRDefault="009954CB" w:rsidP="002265CE">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0"/>
                <w:szCs w:val="20"/>
              </w:rPr>
            </w:pPr>
            <w:r w:rsidRPr="00B02250">
              <w:rPr>
                <w:rFonts w:ascii="Calibri" w:hAnsi="Calibri"/>
                <w:color w:val="333333"/>
                <w:sz w:val="20"/>
                <w:szCs w:val="20"/>
              </w:rPr>
              <w:t>67° 36′ 10″ S</w:t>
            </w:r>
          </w:p>
        </w:tc>
        <w:tc>
          <w:tcPr>
            <w:tcW w:w="2148" w:type="dxa"/>
            <w:vAlign w:val="center"/>
          </w:tcPr>
          <w:p w:rsidR="009954CB" w:rsidRPr="00B02250" w:rsidRDefault="009954CB" w:rsidP="002265CE">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02250">
              <w:rPr>
                <w:rFonts w:ascii="Calibri" w:hAnsi="Calibri"/>
                <w:color w:val="000000"/>
                <w:sz w:val="20"/>
                <w:szCs w:val="20"/>
              </w:rPr>
              <w:t>62° 52′ 26″ E</w:t>
            </w:r>
          </w:p>
        </w:tc>
      </w:tr>
      <w:tr w:rsidR="009954CB" w:rsidRPr="009954CB" w:rsidTr="003D51FA">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508" w:type="dxa"/>
            <w:vAlign w:val="center"/>
          </w:tcPr>
          <w:p w:rsidR="009954CB" w:rsidRPr="00B02250" w:rsidRDefault="009954CB" w:rsidP="002265CE">
            <w:pPr>
              <w:spacing w:before="0"/>
              <w:rPr>
                <w:sz w:val="20"/>
                <w:szCs w:val="20"/>
              </w:rPr>
            </w:pPr>
            <w:r w:rsidRPr="00B02250">
              <w:rPr>
                <w:sz w:val="20"/>
                <w:szCs w:val="20"/>
              </w:rPr>
              <w:t>Davis</w:t>
            </w:r>
          </w:p>
        </w:tc>
        <w:tc>
          <w:tcPr>
            <w:tcW w:w="2148" w:type="dxa"/>
            <w:vAlign w:val="center"/>
          </w:tcPr>
          <w:p w:rsidR="009954CB" w:rsidRPr="00B02250" w:rsidRDefault="009954CB" w:rsidP="002265CE">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333333"/>
                <w:sz w:val="20"/>
                <w:szCs w:val="20"/>
              </w:rPr>
            </w:pPr>
            <w:r w:rsidRPr="00B02250">
              <w:rPr>
                <w:rFonts w:ascii="Calibri" w:hAnsi="Calibri"/>
                <w:color w:val="333333"/>
                <w:sz w:val="20"/>
                <w:szCs w:val="20"/>
              </w:rPr>
              <w:t>68° 34′ 36″ S</w:t>
            </w:r>
          </w:p>
        </w:tc>
        <w:tc>
          <w:tcPr>
            <w:tcW w:w="2148" w:type="dxa"/>
            <w:vAlign w:val="center"/>
          </w:tcPr>
          <w:p w:rsidR="009954CB" w:rsidRPr="00B02250" w:rsidRDefault="009954CB" w:rsidP="002265CE">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02250">
              <w:rPr>
                <w:rFonts w:ascii="Calibri" w:hAnsi="Calibri"/>
                <w:color w:val="000000"/>
                <w:sz w:val="20"/>
                <w:szCs w:val="20"/>
              </w:rPr>
              <w:t>77° 58′ 03″ E</w:t>
            </w:r>
          </w:p>
        </w:tc>
      </w:tr>
      <w:tr w:rsidR="009954CB" w:rsidRPr="009954CB" w:rsidTr="003D51FA">
        <w:trPr>
          <w:cnfStyle w:val="000000100000" w:firstRow="0" w:lastRow="0" w:firstColumn="0" w:lastColumn="0" w:oddVBand="0" w:evenVBand="0" w:oddHBand="1" w:evenHBand="0" w:firstRowFirstColumn="0" w:firstRowLastColumn="0" w:lastRowFirstColumn="0" w:lastRowLastColumn="0"/>
          <w:trHeight w:hRule="exact" w:val="454"/>
          <w:jc w:val="center"/>
        </w:trPr>
        <w:tc>
          <w:tcPr>
            <w:cnfStyle w:val="001000000000" w:firstRow="0" w:lastRow="0" w:firstColumn="1" w:lastColumn="0" w:oddVBand="0" w:evenVBand="0" w:oddHBand="0" w:evenHBand="0" w:firstRowFirstColumn="0" w:firstRowLastColumn="0" w:lastRowFirstColumn="0" w:lastRowLastColumn="0"/>
            <w:tcW w:w="2508" w:type="dxa"/>
            <w:vAlign w:val="center"/>
          </w:tcPr>
          <w:p w:rsidR="009954CB" w:rsidRPr="00B02250" w:rsidRDefault="009954CB" w:rsidP="002265CE">
            <w:pPr>
              <w:spacing w:before="0"/>
              <w:rPr>
                <w:sz w:val="20"/>
                <w:szCs w:val="20"/>
              </w:rPr>
            </w:pPr>
            <w:r w:rsidRPr="00B02250">
              <w:rPr>
                <w:sz w:val="20"/>
                <w:szCs w:val="20"/>
              </w:rPr>
              <w:t>Casey</w:t>
            </w:r>
          </w:p>
        </w:tc>
        <w:tc>
          <w:tcPr>
            <w:tcW w:w="2148" w:type="dxa"/>
            <w:vAlign w:val="center"/>
          </w:tcPr>
          <w:p w:rsidR="009954CB" w:rsidRPr="00B02250" w:rsidRDefault="009954CB" w:rsidP="002265CE">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333333"/>
                <w:sz w:val="20"/>
                <w:szCs w:val="20"/>
              </w:rPr>
            </w:pPr>
            <w:r w:rsidRPr="00B02250">
              <w:rPr>
                <w:rFonts w:ascii="Calibri" w:hAnsi="Calibri"/>
                <w:color w:val="333333"/>
                <w:sz w:val="20"/>
                <w:szCs w:val="20"/>
              </w:rPr>
              <w:t>66° 16′ 55″ S</w:t>
            </w:r>
          </w:p>
        </w:tc>
        <w:tc>
          <w:tcPr>
            <w:tcW w:w="2148" w:type="dxa"/>
            <w:vAlign w:val="center"/>
          </w:tcPr>
          <w:p w:rsidR="009954CB" w:rsidRPr="00B02250" w:rsidRDefault="009954CB" w:rsidP="002265CE">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02250">
              <w:rPr>
                <w:rFonts w:ascii="Calibri" w:hAnsi="Calibri"/>
                <w:color w:val="000000"/>
                <w:sz w:val="20"/>
                <w:szCs w:val="20"/>
              </w:rPr>
              <w:t>110° 31′ 39″ E</w:t>
            </w:r>
          </w:p>
        </w:tc>
      </w:tr>
      <w:tr w:rsidR="009954CB" w:rsidRPr="009954CB" w:rsidTr="003D51FA">
        <w:trPr>
          <w:trHeight w:hRule="exact" w:val="454"/>
          <w:jc w:val="center"/>
        </w:trPr>
        <w:tc>
          <w:tcPr>
            <w:cnfStyle w:val="001000000000" w:firstRow="0" w:lastRow="0" w:firstColumn="1" w:lastColumn="0" w:oddVBand="0" w:evenVBand="0" w:oddHBand="0" w:evenHBand="0" w:firstRowFirstColumn="0" w:firstRowLastColumn="0" w:lastRowFirstColumn="0" w:lastRowLastColumn="0"/>
            <w:tcW w:w="2508" w:type="dxa"/>
            <w:vAlign w:val="center"/>
          </w:tcPr>
          <w:p w:rsidR="009954CB" w:rsidRPr="00B02250" w:rsidRDefault="009954CB" w:rsidP="002265CE">
            <w:pPr>
              <w:spacing w:before="0"/>
              <w:rPr>
                <w:sz w:val="20"/>
                <w:szCs w:val="20"/>
              </w:rPr>
            </w:pPr>
            <w:r w:rsidRPr="00B02250">
              <w:rPr>
                <w:sz w:val="20"/>
                <w:szCs w:val="20"/>
              </w:rPr>
              <w:t>Macquarie Island</w:t>
            </w:r>
          </w:p>
        </w:tc>
        <w:tc>
          <w:tcPr>
            <w:tcW w:w="2148" w:type="dxa"/>
            <w:vAlign w:val="center"/>
          </w:tcPr>
          <w:p w:rsidR="009954CB" w:rsidRPr="00B02250" w:rsidRDefault="009954CB" w:rsidP="002265CE">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333333"/>
                <w:sz w:val="20"/>
                <w:szCs w:val="20"/>
              </w:rPr>
            </w:pPr>
            <w:r w:rsidRPr="00B02250">
              <w:rPr>
                <w:rFonts w:ascii="Calibri" w:hAnsi="Calibri"/>
                <w:color w:val="333333"/>
                <w:sz w:val="20"/>
                <w:szCs w:val="20"/>
              </w:rPr>
              <w:t>54° 37′ 12″ S</w:t>
            </w:r>
          </w:p>
        </w:tc>
        <w:tc>
          <w:tcPr>
            <w:tcW w:w="2148" w:type="dxa"/>
            <w:vAlign w:val="center"/>
          </w:tcPr>
          <w:p w:rsidR="009954CB" w:rsidRPr="00B02250" w:rsidRDefault="009954CB" w:rsidP="002265CE">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02250">
              <w:rPr>
                <w:rFonts w:ascii="Calibri" w:hAnsi="Calibri"/>
                <w:color w:val="000000"/>
                <w:sz w:val="20"/>
                <w:szCs w:val="20"/>
              </w:rPr>
              <w:t>158° 51′ 40″ E</w:t>
            </w:r>
          </w:p>
        </w:tc>
      </w:tr>
    </w:tbl>
    <w:p w:rsidR="009B590C" w:rsidRDefault="00634AB5" w:rsidP="00B74D0D">
      <w:r>
        <w:t>The three</w:t>
      </w:r>
      <w:r w:rsidR="00CA7B2B">
        <w:t xml:space="preserve"> stations </w:t>
      </w:r>
      <w:r w:rsidR="007E04BB">
        <w:t xml:space="preserve">on mainland Antarctica </w:t>
      </w:r>
      <w:r w:rsidR="00CA7B2B">
        <w:t xml:space="preserve">were extensively refurbished during </w:t>
      </w:r>
      <w:r w:rsidR="000B0142">
        <w:t>a</w:t>
      </w:r>
      <w:r w:rsidR="00CA7B2B">
        <w:t xml:space="preserve"> reconstruction program undertaken during the 1980s, including many completely new buildings with modern construction and design. </w:t>
      </w:r>
      <w:r w:rsidR="00E47446">
        <w:t xml:space="preserve">These buildings feature steel frames and steel </w:t>
      </w:r>
      <w:r w:rsidR="00D92E59">
        <w:t>exteriors</w:t>
      </w:r>
      <w:r w:rsidR="00E47446">
        <w:t xml:space="preserve">, with plaster interiors and multiple insulation layers. Windows are typically triple glazed. All new buildings also include cold porches at entry points. These are airlock-style rooms </w:t>
      </w:r>
      <w:r w:rsidR="00D92E59">
        <w:t xml:space="preserve">with inner and outer weather-sealed doors </w:t>
      </w:r>
      <w:r w:rsidR="00E47446">
        <w:t xml:space="preserve">designed so that building interiors are never exposed directly to the outside weather. </w:t>
      </w:r>
      <w:r w:rsidR="00C021C8">
        <w:t>The buildings are</w:t>
      </w:r>
      <w:r>
        <w:t xml:space="preserve"> </w:t>
      </w:r>
      <w:r w:rsidR="00C021C8">
        <w:t xml:space="preserve">largely </w:t>
      </w:r>
      <w:r>
        <w:t xml:space="preserve">powered and air-conditioned from an external series of diesel generators and boilers. </w:t>
      </w:r>
      <w:r w:rsidR="00CA7B2B">
        <w:t xml:space="preserve">Most of the buildings at Macquarie Island were refurbished during this construction program, but are not completely new. As such, weather sealing and other factors are not as modern as </w:t>
      </w:r>
      <w:r w:rsidR="00C021C8">
        <w:t xml:space="preserve">found </w:t>
      </w:r>
      <w:r>
        <w:t xml:space="preserve">at </w:t>
      </w:r>
      <w:r w:rsidR="00CA7B2B">
        <w:t>the mainland stations.</w:t>
      </w:r>
    </w:p>
    <w:p w:rsidR="00BC11E8" w:rsidRDefault="007669CD" w:rsidP="00B74D0D">
      <w:r>
        <w:t xml:space="preserve">The average temperatures at Macquarie Island are notably higher than at the mainland stations, with a </w:t>
      </w:r>
      <w:r w:rsidR="006D497F">
        <w:t xml:space="preserve">six </w:t>
      </w:r>
      <w:r>
        <w:t xml:space="preserve">degree difference in summer and </w:t>
      </w:r>
      <w:r w:rsidR="006D497F">
        <w:t xml:space="preserve">fifteen </w:t>
      </w:r>
      <w:r>
        <w:t>degrees or greater diffe</w:t>
      </w:r>
      <w:r w:rsidR="00465AE2">
        <w:t>re</w:t>
      </w:r>
      <w:r>
        <w:t xml:space="preserve">nce in winter. The wind conditions at the </w:t>
      </w:r>
      <w:r w:rsidR="006D497F">
        <w:t xml:space="preserve">four </w:t>
      </w:r>
      <w:r>
        <w:t xml:space="preserve">stations are similar </w:t>
      </w:r>
      <w:r w:rsidR="00465AE2">
        <w:t>in</w:t>
      </w:r>
      <w:r>
        <w:t xml:space="preserve"> summer and winter, with Ma</w:t>
      </w:r>
      <w:r w:rsidR="00465AE2">
        <w:t>w</w:t>
      </w:r>
      <w:r>
        <w:t xml:space="preserve">son having the greatest wind run in both </w:t>
      </w:r>
      <w:r w:rsidR="00465AE2">
        <w:t>seasons</w:t>
      </w:r>
      <w:r>
        <w:t xml:space="preserve">. </w:t>
      </w:r>
      <w:r w:rsidR="00D12153">
        <w:t xml:space="preserve">The wind runs at both Macquarie Island and Davis remain similar through both summer and winter. </w:t>
      </w:r>
      <w:r w:rsidR="007E04BB">
        <w:t xml:space="preserve">Weather conditions </w:t>
      </w:r>
      <w:r w:rsidR="00D92E59">
        <w:t>representative of t</w:t>
      </w:r>
      <w:r w:rsidR="00BC11E8">
        <w:t xml:space="preserve">he </w:t>
      </w:r>
      <w:r w:rsidR="000B0142">
        <w:t>mid-points</w:t>
      </w:r>
      <w:r w:rsidR="00BC11E8">
        <w:t xml:space="preserve"> of summer (January) and winter (July)</w:t>
      </w:r>
      <w:r w:rsidR="00D92E59">
        <w:t xml:space="preserve"> at each of the stations are presented in Tabl</w:t>
      </w:r>
      <w:r w:rsidR="00D13C60">
        <w:t>e 1.2</w:t>
      </w:r>
      <w:r w:rsidR="00D92E59">
        <w:t xml:space="preserve">. </w:t>
      </w:r>
    </w:p>
    <w:p w:rsidR="00783B4C" w:rsidRPr="002265CE" w:rsidRDefault="00783B4C">
      <w:pPr>
        <w:spacing w:before="0" w:line="240" w:lineRule="auto"/>
        <w:rPr>
          <w:b/>
          <w:bCs/>
          <w:i/>
          <w:color w:val="auto"/>
          <w:sz w:val="20"/>
        </w:rPr>
      </w:pPr>
      <w:r>
        <w:br w:type="page"/>
      </w:r>
    </w:p>
    <w:p w:rsidR="00783B4C" w:rsidRDefault="00783B4C" w:rsidP="001D3F42">
      <w:pPr>
        <w:pStyle w:val="Table"/>
      </w:pPr>
      <w:r w:rsidRPr="003C4674">
        <w:lastRenderedPageBreak/>
        <w:t>Table</w:t>
      </w:r>
      <w:r>
        <w:t xml:space="preserve"> 1.2</w:t>
      </w:r>
      <w:r w:rsidRPr="003C4674">
        <w:t>:</w:t>
      </w:r>
      <w:r>
        <w:tab/>
        <w:t>Weather conditions in both summer and winter</w:t>
      </w:r>
      <w:r w:rsidR="001D3F42">
        <w:t xml:space="preserve"> </w:t>
      </w:r>
      <w:r>
        <w:t>(data courtesy of Australian Bureau of Meteorology)</w:t>
      </w:r>
    </w:p>
    <w:tbl>
      <w:tblPr>
        <w:tblStyle w:val="LightShading-Accent4"/>
        <w:tblW w:w="0" w:type="auto"/>
        <w:jc w:val="center"/>
        <w:tblLook w:val="04A0" w:firstRow="1" w:lastRow="0" w:firstColumn="1" w:lastColumn="0" w:noHBand="0" w:noVBand="1"/>
      </w:tblPr>
      <w:tblGrid>
        <w:gridCol w:w="1649"/>
        <w:gridCol w:w="923"/>
        <w:gridCol w:w="923"/>
        <w:gridCol w:w="923"/>
        <w:gridCol w:w="924"/>
        <w:gridCol w:w="923"/>
        <w:gridCol w:w="923"/>
        <w:gridCol w:w="923"/>
        <w:gridCol w:w="924"/>
      </w:tblGrid>
      <w:tr w:rsidR="0088719C" w:rsidRPr="00B4389C" w:rsidTr="003D51F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jc w:val="center"/>
              <w:rPr>
                <w:sz w:val="20"/>
                <w:szCs w:val="20"/>
              </w:rPr>
            </w:pPr>
          </w:p>
        </w:tc>
        <w:tc>
          <w:tcPr>
            <w:tcW w:w="3693" w:type="dxa"/>
            <w:gridSpan w:val="4"/>
            <w:noWrap/>
            <w:vAlign w:val="center"/>
            <w:hideMark/>
          </w:tcPr>
          <w:p w:rsidR="0088719C" w:rsidRPr="00B4389C" w:rsidRDefault="0088719C" w:rsidP="002265CE">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B4389C">
              <w:rPr>
                <w:sz w:val="20"/>
                <w:szCs w:val="20"/>
              </w:rPr>
              <w:t>Jan</w:t>
            </w:r>
            <w:r>
              <w:rPr>
                <w:sz w:val="20"/>
                <w:szCs w:val="20"/>
              </w:rPr>
              <w:t>uary</w:t>
            </w:r>
          </w:p>
        </w:tc>
        <w:tc>
          <w:tcPr>
            <w:tcW w:w="3692" w:type="dxa"/>
            <w:gridSpan w:val="4"/>
            <w:noWrap/>
            <w:vAlign w:val="center"/>
            <w:hideMark/>
          </w:tcPr>
          <w:p w:rsidR="0088719C" w:rsidRPr="00B4389C" w:rsidRDefault="0088719C" w:rsidP="002265CE">
            <w:p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B4389C">
              <w:rPr>
                <w:sz w:val="20"/>
                <w:szCs w:val="20"/>
              </w:rPr>
              <w:t>Jul</w:t>
            </w:r>
            <w:r>
              <w:rPr>
                <w:sz w:val="20"/>
                <w:szCs w:val="20"/>
              </w:rPr>
              <w:t>y</w:t>
            </w:r>
          </w:p>
        </w:tc>
      </w:tr>
      <w:tr w:rsidR="0088719C" w:rsidRPr="00B4389C" w:rsidTr="003D5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3D51FA" w:rsidRDefault="0088719C" w:rsidP="002265CE">
            <w:pPr>
              <w:spacing w:before="120" w:after="120"/>
              <w:rPr>
                <w:sz w:val="20"/>
                <w:szCs w:val="20"/>
              </w:rPr>
            </w:pPr>
            <w:r w:rsidRPr="003D51FA">
              <w:rPr>
                <w:sz w:val="20"/>
                <w:szCs w:val="20"/>
              </w:rPr>
              <w:t>Station</w:t>
            </w:r>
          </w:p>
        </w:tc>
        <w:tc>
          <w:tcPr>
            <w:tcW w:w="923" w:type="dxa"/>
            <w:noWrap/>
            <w:vAlign w:val="center"/>
            <w:hideMark/>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Mean Max temp</w:t>
            </w:r>
          </w:p>
        </w:tc>
        <w:tc>
          <w:tcPr>
            <w:tcW w:w="923" w:type="dxa"/>
            <w:noWrap/>
            <w:vAlign w:val="center"/>
            <w:hideMark/>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Mean Min temp</w:t>
            </w:r>
          </w:p>
        </w:tc>
        <w:tc>
          <w:tcPr>
            <w:tcW w:w="923" w:type="dxa"/>
            <w:noWrap/>
            <w:vAlign w:val="center"/>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Wind run</w:t>
            </w:r>
          </w:p>
        </w:tc>
        <w:tc>
          <w:tcPr>
            <w:tcW w:w="923" w:type="dxa"/>
            <w:noWrap/>
            <w:vAlign w:val="center"/>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Max Gust</w:t>
            </w:r>
          </w:p>
        </w:tc>
        <w:tc>
          <w:tcPr>
            <w:tcW w:w="923" w:type="dxa"/>
            <w:vAlign w:val="center"/>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Mean Max temp</w:t>
            </w:r>
          </w:p>
        </w:tc>
        <w:tc>
          <w:tcPr>
            <w:tcW w:w="923" w:type="dxa"/>
            <w:noWrap/>
            <w:vAlign w:val="center"/>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Mean Min temp</w:t>
            </w:r>
          </w:p>
        </w:tc>
        <w:tc>
          <w:tcPr>
            <w:tcW w:w="923" w:type="dxa"/>
            <w:noWrap/>
            <w:vAlign w:val="center"/>
            <w:hideMark/>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Wind run</w:t>
            </w:r>
          </w:p>
        </w:tc>
        <w:tc>
          <w:tcPr>
            <w:tcW w:w="924" w:type="dxa"/>
            <w:noWrap/>
            <w:vAlign w:val="center"/>
            <w:hideMark/>
          </w:tcPr>
          <w:p w:rsidR="0088719C" w:rsidRPr="00D41C24"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b/>
                <w:sz w:val="20"/>
                <w:szCs w:val="20"/>
              </w:rPr>
            </w:pPr>
            <w:r w:rsidRPr="00D41C24">
              <w:rPr>
                <w:b/>
                <w:sz w:val="20"/>
                <w:szCs w:val="20"/>
              </w:rPr>
              <w:t>Max Gust</w:t>
            </w:r>
          </w:p>
        </w:tc>
      </w:tr>
      <w:tr w:rsidR="0088719C" w:rsidRPr="00B4389C" w:rsidTr="003D51FA">
        <w:trPr>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rPr>
                <w:sz w:val="20"/>
                <w:szCs w:val="20"/>
              </w:rPr>
            </w:pP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B4389C">
              <w:rPr>
                <w:sz w:val="20"/>
                <w:szCs w:val="20"/>
              </w:rPr>
              <w:t>km</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B4389C">
              <w:rPr>
                <w:sz w:val="20"/>
                <w:szCs w:val="20"/>
              </w:rPr>
              <w:t>km/h</w:t>
            </w:r>
          </w:p>
        </w:tc>
        <w:tc>
          <w:tcPr>
            <w:tcW w:w="923" w:type="dxa"/>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B4389C">
              <w:rPr>
                <w:sz w:val="20"/>
                <w:szCs w:val="20"/>
              </w:rPr>
              <w:t>km</w:t>
            </w:r>
          </w:p>
        </w:tc>
        <w:tc>
          <w:tcPr>
            <w:tcW w:w="924"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B4389C">
              <w:rPr>
                <w:sz w:val="20"/>
                <w:szCs w:val="20"/>
              </w:rPr>
              <w:t>km/h</w:t>
            </w:r>
          </w:p>
        </w:tc>
      </w:tr>
      <w:tr w:rsidR="0088719C" w:rsidRPr="00B4389C" w:rsidTr="003D5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rPr>
                <w:sz w:val="20"/>
                <w:szCs w:val="20"/>
              </w:rPr>
            </w:pPr>
            <w:r w:rsidRPr="00B4389C">
              <w:rPr>
                <w:sz w:val="20"/>
                <w:szCs w:val="20"/>
              </w:rPr>
              <w:t>Macq</w:t>
            </w:r>
            <w:r>
              <w:rPr>
                <w:sz w:val="20"/>
                <w:szCs w:val="20"/>
              </w:rPr>
              <w:t>uarie</w:t>
            </w:r>
            <w:r w:rsidRPr="00B4389C">
              <w:rPr>
                <w:sz w:val="20"/>
                <w:szCs w:val="20"/>
              </w:rPr>
              <w:t xml:space="preserve"> Is</w:t>
            </w:r>
            <w:r>
              <w:rPr>
                <w:sz w:val="20"/>
                <w:szCs w:val="20"/>
              </w:rPr>
              <w:t>land</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8.8</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5.3</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695</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169</w:t>
            </w:r>
          </w:p>
        </w:tc>
        <w:tc>
          <w:tcPr>
            <w:tcW w:w="923" w:type="dxa"/>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4.9</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1.6</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740</w:t>
            </w:r>
          </w:p>
        </w:tc>
        <w:tc>
          <w:tcPr>
            <w:tcW w:w="924"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178</w:t>
            </w:r>
          </w:p>
        </w:tc>
      </w:tr>
      <w:tr w:rsidR="0088719C" w:rsidRPr="00B4389C" w:rsidTr="003D51FA">
        <w:trPr>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rPr>
                <w:sz w:val="20"/>
                <w:szCs w:val="20"/>
              </w:rPr>
            </w:pPr>
            <w:r w:rsidRPr="00B4389C">
              <w:rPr>
                <w:sz w:val="20"/>
                <w:szCs w:val="20"/>
              </w:rPr>
              <w:t>Casey</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2.2</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-2.5</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470</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163</w:t>
            </w:r>
          </w:p>
        </w:tc>
        <w:tc>
          <w:tcPr>
            <w:tcW w:w="923" w:type="dxa"/>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-10.5</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-18.7</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716</w:t>
            </w:r>
          </w:p>
        </w:tc>
        <w:tc>
          <w:tcPr>
            <w:tcW w:w="924"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241</w:t>
            </w:r>
          </w:p>
        </w:tc>
      </w:tr>
      <w:tr w:rsidR="0088719C" w:rsidRPr="00B4389C" w:rsidTr="003D51F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rPr>
                <w:sz w:val="20"/>
                <w:szCs w:val="20"/>
              </w:rPr>
            </w:pPr>
            <w:r w:rsidRPr="00B4389C">
              <w:rPr>
                <w:sz w:val="20"/>
                <w:szCs w:val="20"/>
              </w:rPr>
              <w:t>Mawson</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2.5</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-2.7</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789</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198</w:t>
            </w:r>
          </w:p>
        </w:tc>
        <w:tc>
          <w:tcPr>
            <w:tcW w:w="923" w:type="dxa"/>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-14.9</w:t>
            </w:r>
          </w:p>
        </w:tc>
        <w:tc>
          <w:tcPr>
            <w:tcW w:w="923" w:type="dxa"/>
            <w:noWrap/>
            <w:vAlign w:val="center"/>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-20.8</w:t>
            </w:r>
          </w:p>
        </w:tc>
        <w:tc>
          <w:tcPr>
            <w:tcW w:w="923"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979</w:t>
            </w:r>
          </w:p>
        </w:tc>
        <w:tc>
          <w:tcPr>
            <w:tcW w:w="924" w:type="dxa"/>
            <w:noWrap/>
            <w:vAlign w:val="center"/>
            <w:hideMark/>
          </w:tcPr>
          <w:p w:rsidR="0088719C" w:rsidRPr="00B4389C" w:rsidRDefault="0088719C" w:rsidP="002265CE">
            <w:pPr>
              <w:spacing w:before="12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B4389C">
              <w:rPr>
                <w:color w:val="auto"/>
                <w:sz w:val="20"/>
                <w:szCs w:val="20"/>
              </w:rPr>
              <w:t>221</w:t>
            </w:r>
          </w:p>
        </w:tc>
      </w:tr>
      <w:tr w:rsidR="0088719C" w:rsidRPr="00B4389C" w:rsidTr="003D51FA">
        <w:trPr>
          <w:trHeight w:val="300"/>
          <w:jc w:val="center"/>
        </w:trPr>
        <w:tc>
          <w:tcPr>
            <w:cnfStyle w:val="001000000000" w:firstRow="0" w:lastRow="0" w:firstColumn="1" w:lastColumn="0" w:oddVBand="0" w:evenVBand="0" w:oddHBand="0" w:evenHBand="0" w:firstRowFirstColumn="0" w:firstRowLastColumn="0" w:lastRowFirstColumn="0" w:lastRowLastColumn="0"/>
            <w:tcW w:w="1649" w:type="dxa"/>
            <w:noWrap/>
            <w:vAlign w:val="center"/>
            <w:hideMark/>
          </w:tcPr>
          <w:p w:rsidR="0088719C" w:rsidRPr="00B4389C" w:rsidRDefault="0088719C" w:rsidP="002265CE">
            <w:pPr>
              <w:spacing w:before="120" w:after="120"/>
              <w:rPr>
                <w:sz w:val="20"/>
                <w:szCs w:val="20"/>
              </w:rPr>
            </w:pPr>
            <w:r w:rsidRPr="00B4389C">
              <w:rPr>
                <w:sz w:val="20"/>
                <w:szCs w:val="20"/>
              </w:rPr>
              <w:t>Davis</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3.2</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-1.2</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478</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163</w:t>
            </w:r>
          </w:p>
        </w:tc>
        <w:tc>
          <w:tcPr>
            <w:tcW w:w="923" w:type="dxa"/>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-14.3</w:t>
            </w:r>
          </w:p>
        </w:tc>
        <w:tc>
          <w:tcPr>
            <w:tcW w:w="923" w:type="dxa"/>
            <w:noWrap/>
            <w:vAlign w:val="center"/>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-20.7</w:t>
            </w:r>
          </w:p>
        </w:tc>
        <w:tc>
          <w:tcPr>
            <w:tcW w:w="923"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469</w:t>
            </w:r>
          </w:p>
        </w:tc>
        <w:tc>
          <w:tcPr>
            <w:tcW w:w="924" w:type="dxa"/>
            <w:noWrap/>
            <w:vAlign w:val="center"/>
            <w:hideMark/>
          </w:tcPr>
          <w:p w:rsidR="0088719C" w:rsidRPr="00B4389C" w:rsidRDefault="0088719C" w:rsidP="002265CE">
            <w:pPr>
              <w:spacing w:before="12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B4389C">
              <w:rPr>
                <w:color w:val="auto"/>
                <w:sz w:val="20"/>
                <w:szCs w:val="20"/>
              </w:rPr>
              <w:t>195</w:t>
            </w:r>
          </w:p>
        </w:tc>
      </w:tr>
    </w:tbl>
    <w:p w:rsidR="0014639D" w:rsidRDefault="0014639D">
      <w:pPr>
        <w:pStyle w:val="Heading2"/>
      </w:pPr>
      <w:bookmarkStart w:id="9" w:name="_Toc474844664"/>
      <w:r>
        <w:t xml:space="preserve">Measurement </w:t>
      </w:r>
      <w:r w:rsidR="006D497F">
        <w:t>p</w:t>
      </w:r>
      <w:r>
        <w:t>rogram</w:t>
      </w:r>
      <w:bookmarkEnd w:id="9"/>
    </w:p>
    <w:p w:rsidR="0014639D" w:rsidRDefault="0014639D" w:rsidP="00B74D0D">
      <w:r>
        <w:t xml:space="preserve">Measurements were conducted over the 2012 calendar year. This included the 2012 Antarctic winter season, and the 2012-13 summer </w:t>
      </w:r>
      <w:proofErr w:type="gramStart"/>
      <w:r>
        <w:t>season</w:t>
      </w:r>
      <w:proofErr w:type="gramEnd"/>
      <w:r>
        <w:t xml:space="preserve">. </w:t>
      </w:r>
      <w:r w:rsidR="00D0403B">
        <w:t xml:space="preserve">The winter season is </w:t>
      </w:r>
      <w:r w:rsidR="007F1D25">
        <w:t xml:space="preserve">the name given to </w:t>
      </w:r>
      <w:r w:rsidR="00B149E3">
        <w:t xml:space="preserve">the </w:t>
      </w:r>
      <w:r w:rsidR="007F1D25">
        <w:t>period where the Antarctic mainland is cut off from sea travel, normally the months from April to October. The summer season is where the sea ice retreats and the bases are accessible by ship, normally from late October through to early April.</w:t>
      </w:r>
      <w:r w:rsidR="00393096">
        <w:t xml:space="preserve"> </w:t>
      </w:r>
      <w:r>
        <w:t xml:space="preserve">Monitors were delivered to the stations by </w:t>
      </w:r>
      <w:r w:rsidR="00D0403B">
        <w:t xml:space="preserve">regular </w:t>
      </w:r>
      <w:r>
        <w:t xml:space="preserve">mail, which is normally carried by ship </w:t>
      </w:r>
      <w:r w:rsidR="00D0403B">
        <w:t xml:space="preserve">during the summer season </w:t>
      </w:r>
      <w:r>
        <w:t xml:space="preserve">to all four bases, </w:t>
      </w:r>
      <w:r w:rsidR="00D8299F">
        <w:t>and occasionally</w:t>
      </w:r>
      <w:r>
        <w:t xml:space="preserve"> by aircraft </w:t>
      </w:r>
      <w:r w:rsidR="00B149E3">
        <w:t xml:space="preserve">from Hobart </w:t>
      </w:r>
      <w:r>
        <w:t>to Casey.</w:t>
      </w:r>
      <w:r w:rsidR="00D0403B">
        <w:t xml:space="preserve"> </w:t>
      </w:r>
      <w:r w:rsidR="00CC1A81">
        <w:t>The start and finish times for each of the stations were designed to match up as close</w:t>
      </w:r>
      <w:r w:rsidR="00B149E3">
        <w:t>ly</w:t>
      </w:r>
      <w:r w:rsidR="00CC1A81">
        <w:t xml:space="preserve"> as possible, although these times were dictated by the arrival and departure dates of the voyages to each base. </w:t>
      </w:r>
      <w:r w:rsidR="00D0403B">
        <w:t>The program was handled at each station by the station doctor.</w:t>
      </w:r>
      <w:r w:rsidR="00D8299F">
        <w:t xml:space="preserve"> Each base was supplied </w:t>
      </w:r>
      <w:r w:rsidR="00152EB0">
        <w:t xml:space="preserve">initially </w:t>
      </w:r>
      <w:r w:rsidR="00D8299F">
        <w:t xml:space="preserve">with </w:t>
      </w:r>
      <w:r w:rsidR="006D497F">
        <w:t xml:space="preserve">thirteen </w:t>
      </w:r>
      <w:r w:rsidR="00806FFE">
        <w:t xml:space="preserve">monitors intended to be left for one year in location, and </w:t>
      </w:r>
      <w:r w:rsidR="00152EB0">
        <w:t xml:space="preserve">later an extra </w:t>
      </w:r>
      <w:r w:rsidR="006D497F">
        <w:t xml:space="preserve">six </w:t>
      </w:r>
      <w:r w:rsidR="00806FFE">
        <w:t>monitors intended to overlap with the long</w:t>
      </w:r>
      <w:r w:rsidR="006D497F">
        <w:t>-</w:t>
      </w:r>
      <w:r w:rsidR="00806FFE">
        <w:t>term monitors for the three month summer period.</w:t>
      </w:r>
      <w:r w:rsidR="00D8299F">
        <w:t xml:space="preserve"> Each station was supplied with </w:t>
      </w:r>
      <w:r w:rsidR="006D497F">
        <w:t xml:space="preserve">two </w:t>
      </w:r>
      <w:r w:rsidR="00D8299F">
        <w:t xml:space="preserve">additional monitors that were </w:t>
      </w:r>
      <w:r w:rsidR="00880B5F">
        <w:t xml:space="preserve">to be </w:t>
      </w:r>
      <w:r w:rsidR="00D8299F">
        <w:t>returned immediately on arrival</w:t>
      </w:r>
      <w:r w:rsidR="006D497F">
        <w:t>. T</w:t>
      </w:r>
      <w:r w:rsidR="00FE14E1">
        <w:t xml:space="preserve">his was </w:t>
      </w:r>
      <w:r w:rsidR="00D8299F">
        <w:t xml:space="preserve">to give an indication of the contribution to radon exposure on the journey to and from the station and Australia. </w:t>
      </w:r>
      <w:r w:rsidR="00837614">
        <w:t xml:space="preserve">Even though stored in a </w:t>
      </w:r>
      <w:r w:rsidR="006D497F">
        <w:t>n</w:t>
      </w:r>
      <w:r w:rsidR="00837614">
        <w:t>itrogen atmosphere when returned to Australia, t</w:t>
      </w:r>
      <w:r w:rsidR="00F73A66">
        <w:t>hese monitor</w:t>
      </w:r>
      <w:r w:rsidR="00837614">
        <w:t xml:space="preserve">s obtained </w:t>
      </w:r>
      <w:r w:rsidR="00C021C8">
        <w:t xml:space="preserve">a </w:t>
      </w:r>
      <w:r w:rsidR="005B2075">
        <w:t>higher</w:t>
      </w:r>
      <w:r w:rsidR="00C021C8">
        <w:t xml:space="preserve"> background</w:t>
      </w:r>
      <w:r w:rsidR="005B2075">
        <w:t xml:space="preserve"> exposure</w:t>
      </w:r>
      <w:r w:rsidR="00C021C8">
        <w:t xml:space="preserve"> than expected </w:t>
      </w:r>
      <w:r w:rsidR="00F73A66">
        <w:t xml:space="preserve">and </w:t>
      </w:r>
      <w:r w:rsidR="00837614">
        <w:t xml:space="preserve">their results </w:t>
      </w:r>
      <w:r w:rsidR="00F73A66">
        <w:t>will not be included in the program.</w:t>
      </w:r>
    </w:p>
    <w:p w:rsidR="00440D31" w:rsidRPr="002265CE" w:rsidRDefault="00762FD1" w:rsidP="002265CE">
      <w:pPr>
        <w:rPr>
          <w:color w:val="auto"/>
        </w:rPr>
      </w:pPr>
      <w:r>
        <w:t xml:space="preserve">Human exposure to radon primarily falls into two categories, in dwellings (as members of the public) or in the workplace (as occupational exposure). </w:t>
      </w:r>
      <w:r w:rsidR="0066792C">
        <w:t xml:space="preserve">The Australian </w:t>
      </w:r>
      <w:r>
        <w:t xml:space="preserve">Antarctic stations are comprised of structures that </w:t>
      </w:r>
      <w:r w:rsidR="005F2C6D">
        <w:t xml:space="preserve">can </w:t>
      </w:r>
      <w:r>
        <w:t xml:space="preserve">fall in to either </w:t>
      </w:r>
      <w:r w:rsidR="0066792C">
        <w:t>(and</w:t>
      </w:r>
      <w:r>
        <w:t xml:space="preserve"> sometimes both) of these categories. </w:t>
      </w:r>
      <w:r w:rsidR="00440D31">
        <w:t xml:space="preserve">The recommended action levels for </w:t>
      </w:r>
      <w:r w:rsidR="00C26D71">
        <w:t xml:space="preserve">concentrations of </w:t>
      </w:r>
      <w:r w:rsidR="00440D31">
        <w:t xml:space="preserve">radon-222 in air </w:t>
      </w:r>
      <w:r w:rsidR="006D497F">
        <w:t>(as</w:t>
      </w:r>
      <w:r w:rsidR="00440D31">
        <w:t xml:space="preserve"> set out in Annex C of </w:t>
      </w:r>
      <w:r w:rsidR="00CC5B0E">
        <w:t>RPS 1</w:t>
      </w:r>
      <w:r w:rsidR="00440D31">
        <w:t xml:space="preserve"> (ARPANSA, 2002)</w:t>
      </w:r>
      <w:r w:rsidR="00DF6FF5">
        <w:t>)</w:t>
      </w:r>
      <w:r w:rsidR="00440D31">
        <w:t xml:space="preserve"> </w:t>
      </w:r>
      <w:r w:rsidR="00DF6FF5">
        <w:t>are</w:t>
      </w:r>
      <w:r w:rsidR="00440D31">
        <w:t xml:space="preserve"> </w:t>
      </w:r>
      <w:r w:rsidR="00C26D71">
        <w:t>200 Bq.m</w:t>
      </w:r>
      <w:r w:rsidR="00C26D71" w:rsidRPr="00C26D71">
        <w:rPr>
          <w:vertAlign w:val="superscript"/>
        </w:rPr>
        <w:t>-3</w:t>
      </w:r>
      <w:r w:rsidR="00C26D71">
        <w:t xml:space="preserve"> for dwellings and 1000 Bq.m</w:t>
      </w:r>
      <w:r w:rsidR="00C26D71" w:rsidRPr="00C26D71">
        <w:rPr>
          <w:vertAlign w:val="superscript"/>
        </w:rPr>
        <w:t>-3</w:t>
      </w:r>
      <w:r w:rsidR="00C26D71">
        <w:t xml:space="preserve"> for workplaces.</w:t>
      </w:r>
      <w:r w:rsidR="009E5E66">
        <w:t xml:space="preserve"> The main aim of the program wa</w:t>
      </w:r>
      <w:r w:rsidR="00627660">
        <w:t xml:space="preserve">s to observe </w:t>
      </w:r>
      <w:r w:rsidR="00B149E3">
        <w:t xml:space="preserve">the average radon concentrations in various locations, and to see </w:t>
      </w:r>
      <w:r w:rsidR="00627660">
        <w:t xml:space="preserve">if any </w:t>
      </w:r>
      <w:r w:rsidR="00B149E3">
        <w:t xml:space="preserve">of these </w:t>
      </w:r>
      <w:r w:rsidR="00627660">
        <w:t>locations o</w:t>
      </w:r>
      <w:r w:rsidR="009E5E66">
        <w:t xml:space="preserve">n the stations exceeded </w:t>
      </w:r>
      <w:r w:rsidR="00B149E3">
        <w:t xml:space="preserve">the </w:t>
      </w:r>
      <w:r w:rsidR="009E5E66">
        <w:t>values</w:t>
      </w:r>
      <w:r w:rsidR="00B149E3">
        <w:t xml:space="preserve"> specified in RPS 1</w:t>
      </w:r>
      <w:r w:rsidR="009E5E66">
        <w:t>.</w:t>
      </w:r>
    </w:p>
    <w:p w:rsidR="00CE5793" w:rsidRDefault="00535934" w:rsidP="00772C08">
      <w:pPr>
        <w:pStyle w:val="Heading1"/>
      </w:pPr>
      <w:bookmarkStart w:id="10" w:name="_Toc474844665"/>
      <w:r>
        <w:lastRenderedPageBreak/>
        <w:t>Monitors</w:t>
      </w:r>
      <w:bookmarkEnd w:id="10"/>
    </w:p>
    <w:p w:rsidR="00E62336" w:rsidRDefault="0060173C" w:rsidP="00577B74">
      <w:pPr>
        <w:pStyle w:val="Heading2"/>
      </w:pPr>
      <w:bookmarkStart w:id="11" w:name="_Toc474844666"/>
      <w:r>
        <w:t xml:space="preserve">Passive </w:t>
      </w:r>
      <w:r w:rsidR="00DF6FF5">
        <w:t>m</w:t>
      </w:r>
      <w:r>
        <w:t>easurement using</w:t>
      </w:r>
      <w:r w:rsidR="006216F2">
        <w:t xml:space="preserve"> </w:t>
      </w:r>
      <w:r w:rsidR="00535934">
        <w:t>CR-39</w:t>
      </w:r>
      <w:bookmarkEnd w:id="11"/>
    </w:p>
    <w:p w:rsidR="00EB59B4" w:rsidRPr="00F54566" w:rsidRDefault="00EB59B4" w:rsidP="00B74D0D">
      <w:pPr>
        <w:rPr>
          <w:spacing w:val="-2"/>
        </w:rPr>
      </w:pPr>
      <w:r w:rsidRPr="00F54566">
        <w:rPr>
          <w:spacing w:val="-2"/>
        </w:rPr>
        <w:t xml:space="preserve">Radon is most often measured in homes and workplaces using passive-style monitors called solid-state nuclear track detector (SSNTD) systems. These monitors commonly use the material </w:t>
      </w:r>
      <w:proofErr w:type="spellStart"/>
      <w:r w:rsidRPr="00F54566">
        <w:rPr>
          <w:spacing w:val="-2"/>
        </w:rPr>
        <w:t>polyallyl</w:t>
      </w:r>
      <w:proofErr w:type="spellEnd"/>
      <w:r w:rsidRPr="00F54566">
        <w:rPr>
          <w:spacing w:val="-2"/>
        </w:rPr>
        <w:t xml:space="preserve"> </w:t>
      </w:r>
      <w:proofErr w:type="spellStart"/>
      <w:r w:rsidRPr="00F54566">
        <w:rPr>
          <w:spacing w:val="-2"/>
        </w:rPr>
        <w:t>diglycol</w:t>
      </w:r>
      <w:proofErr w:type="spellEnd"/>
      <w:r w:rsidRPr="00F54566">
        <w:rPr>
          <w:spacing w:val="-2"/>
        </w:rPr>
        <w:t xml:space="preserve"> carbonate (PADC) as their basis for measurement. PADC is formed using the monomer </w:t>
      </w:r>
      <w:proofErr w:type="spellStart"/>
      <w:r w:rsidRPr="00F54566">
        <w:rPr>
          <w:spacing w:val="-2"/>
        </w:rPr>
        <w:t>diethyleneglycol</w:t>
      </w:r>
      <w:proofErr w:type="spellEnd"/>
      <w:r w:rsidRPr="00F54566">
        <w:rPr>
          <w:spacing w:val="-2"/>
        </w:rPr>
        <w:t xml:space="preserve"> </w:t>
      </w:r>
      <w:proofErr w:type="spellStart"/>
      <w:proofErr w:type="gramStart"/>
      <w:r w:rsidRPr="00F54566">
        <w:rPr>
          <w:spacing w:val="-2"/>
        </w:rPr>
        <w:t>bis</w:t>
      </w:r>
      <w:proofErr w:type="spellEnd"/>
      <w:proofErr w:type="gramEnd"/>
      <w:r w:rsidRPr="00F54566">
        <w:rPr>
          <w:spacing w:val="-2"/>
        </w:rPr>
        <w:t xml:space="preserve"> </w:t>
      </w:r>
      <w:proofErr w:type="spellStart"/>
      <w:r w:rsidRPr="00F54566">
        <w:rPr>
          <w:spacing w:val="-2"/>
        </w:rPr>
        <w:t>allylcarbonate</w:t>
      </w:r>
      <w:proofErr w:type="spellEnd"/>
      <w:r w:rsidRPr="00F54566">
        <w:rPr>
          <w:spacing w:val="-2"/>
        </w:rPr>
        <w:t xml:space="preserve"> (ADC) along with </w:t>
      </w:r>
      <w:proofErr w:type="spellStart"/>
      <w:r w:rsidRPr="00F54566">
        <w:rPr>
          <w:spacing w:val="-2"/>
        </w:rPr>
        <w:t>diisopropyl</w:t>
      </w:r>
      <w:proofErr w:type="spellEnd"/>
      <w:r w:rsidRPr="00F54566">
        <w:rPr>
          <w:spacing w:val="-2"/>
        </w:rPr>
        <w:t xml:space="preserve"> </w:t>
      </w:r>
      <w:proofErr w:type="spellStart"/>
      <w:r w:rsidRPr="00F54566">
        <w:rPr>
          <w:spacing w:val="-2"/>
        </w:rPr>
        <w:t>peroxydicarbonate</w:t>
      </w:r>
      <w:proofErr w:type="spellEnd"/>
      <w:r w:rsidRPr="00F54566">
        <w:rPr>
          <w:spacing w:val="-2"/>
        </w:rPr>
        <w:t xml:space="preserve"> (IPP) as an initiator for polymerisation. PADC is a clear, colourless material with the empirical formula C</w:t>
      </w:r>
      <w:r w:rsidRPr="00F54566">
        <w:rPr>
          <w:spacing w:val="-2"/>
          <w:vertAlign w:val="subscript"/>
        </w:rPr>
        <w:t>12</w:t>
      </w:r>
      <w:r w:rsidRPr="00F54566">
        <w:rPr>
          <w:spacing w:val="-2"/>
        </w:rPr>
        <w:t>H</w:t>
      </w:r>
      <w:r w:rsidRPr="00F54566">
        <w:rPr>
          <w:spacing w:val="-2"/>
          <w:vertAlign w:val="subscript"/>
        </w:rPr>
        <w:t>18</w:t>
      </w:r>
      <w:r w:rsidRPr="00F54566">
        <w:rPr>
          <w:spacing w:val="-2"/>
        </w:rPr>
        <w:t>O</w:t>
      </w:r>
      <w:r w:rsidRPr="00F54566">
        <w:rPr>
          <w:spacing w:val="-2"/>
          <w:vertAlign w:val="subscript"/>
        </w:rPr>
        <w:t>7</w:t>
      </w:r>
      <w:r w:rsidRPr="00F54566">
        <w:rPr>
          <w:spacing w:val="-2"/>
        </w:rPr>
        <w:t>, known more commonly as CR-39 (</w:t>
      </w:r>
      <w:r w:rsidR="00DF6FF5" w:rsidRPr="00F54566">
        <w:rPr>
          <w:spacing w:val="-2"/>
        </w:rPr>
        <w:t>‘</w:t>
      </w:r>
      <w:r w:rsidRPr="00F54566">
        <w:rPr>
          <w:spacing w:val="-2"/>
        </w:rPr>
        <w:t>Columbia Resin number 39</w:t>
      </w:r>
      <w:r w:rsidR="00DF6FF5" w:rsidRPr="00F54566">
        <w:rPr>
          <w:spacing w:val="-2"/>
        </w:rPr>
        <w:t>’</w:t>
      </w:r>
      <w:r w:rsidRPr="00F54566">
        <w:rPr>
          <w:spacing w:val="-2"/>
        </w:rPr>
        <w:t>). Any radionuclides that undergo alpha decay in the vicinity of the material leave small damage tracks in the plastic. These tracks can be enlarged by a chemical etching process that allows them to be observed under a microscope. CR-39 detectors housed in an appropriate container that allows radon to diffuse in, but does not allow dust and other contaminants to enter</w:t>
      </w:r>
      <w:r w:rsidR="0029330B" w:rsidRPr="00F54566">
        <w:rPr>
          <w:spacing w:val="-2"/>
        </w:rPr>
        <w:t>,</w:t>
      </w:r>
      <w:r w:rsidRPr="00F54566">
        <w:rPr>
          <w:spacing w:val="-2"/>
        </w:rPr>
        <w:t xml:space="preserve"> can be left in the field for </w:t>
      </w:r>
      <w:r w:rsidR="00DF6FF5" w:rsidRPr="00F54566">
        <w:rPr>
          <w:spacing w:val="-2"/>
        </w:rPr>
        <w:t xml:space="preserve">twelve </w:t>
      </w:r>
      <w:r w:rsidRPr="00F54566">
        <w:rPr>
          <w:spacing w:val="-2"/>
        </w:rPr>
        <w:t xml:space="preserve">months or longer. Radon measured in concentrations </w:t>
      </w:r>
      <w:r w:rsidR="00994EE2" w:rsidRPr="00F54566">
        <w:rPr>
          <w:spacing w:val="-2"/>
        </w:rPr>
        <w:t>of approx</w:t>
      </w:r>
      <w:r w:rsidR="00912BD1">
        <w:rPr>
          <w:spacing w:val="-2"/>
        </w:rPr>
        <w:t>imat</w:t>
      </w:r>
      <w:r w:rsidR="00DF6FF5" w:rsidRPr="00F54566">
        <w:rPr>
          <w:spacing w:val="-2"/>
        </w:rPr>
        <w:t>ely</w:t>
      </w:r>
      <w:r w:rsidR="00994EE2" w:rsidRPr="00F54566">
        <w:rPr>
          <w:spacing w:val="-2"/>
        </w:rPr>
        <w:t xml:space="preserve"> 10 Bq.</w:t>
      </w:r>
      <w:r w:rsidRPr="00F54566">
        <w:rPr>
          <w:spacing w:val="-2"/>
        </w:rPr>
        <w:t>m</w:t>
      </w:r>
      <w:r w:rsidR="00994EE2" w:rsidRPr="00F54566">
        <w:rPr>
          <w:spacing w:val="-2"/>
          <w:vertAlign w:val="superscript"/>
        </w:rPr>
        <w:t>-</w:t>
      </w:r>
      <w:r w:rsidRPr="00F54566">
        <w:rPr>
          <w:spacing w:val="-2"/>
          <w:vertAlign w:val="superscript"/>
        </w:rPr>
        <w:t>3</w:t>
      </w:r>
      <w:r w:rsidRPr="00F54566">
        <w:rPr>
          <w:spacing w:val="-2"/>
        </w:rPr>
        <w:t xml:space="preserve"> or less can be measured in this fashion.</w:t>
      </w:r>
    </w:p>
    <w:p w:rsidR="001C76C4" w:rsidRPr="00E73494" w:rsidRDefault="001C76C4" w:rsidP="00B74D0D">
      <w:r>
        <w:t xml:space="preserve">Since 2010, ARPANSA has used an in-house developed system for measurement of radon track-etch data plaques, called SANTECS (Semi-Automated Nuclear Track Etch Counting System). The CR-39 sheets used for SANTECS measurements are of a proprietary brand known as </w:t>
      </w:r>
      <w:proofErr w:type="spellStart"/>
      <w:r>
        <w:t>Pershore</w:t>
      </w:r>
      <w:proofErr w:type="spellEnd"/>
      <w:r>
        <w:t>. The individual plaques are 35</w:t>
      </w:r>
      <w:r w:rsidR="00CC5B0E">
        <w:t xml:space="preserve"> </w:t>
      </w:r>
      <w:r>
        <w:t>mm x 20</w:t>
      </w:r>
      <w:r w:rsidR="00CC5B0E">
        <w:t xml:space="preserve"> </w:t>
      </w:r>
      <w:r>
        <w:t>mm and 0.5</w:t>
      </w:r>
      <w:r w:rsidR="00CC5B0E">
        <w:t xml:space="preserve"> </w:t>
      </w:r>
      <w:r>
        <w:t xml:space="preserve">mm thick. After exposure, the plaques are etched for </w:t>
      </w:r>
      <w:r w:rsidR="00DF6FF5">
        <w:t>six</w:t>
      </w:r>
      <w:r>
        <w:t xml:space="preserve"> hours in a 6.25 M potassium hydroxide (KOH) solution heated to 70 °C</w:t>
      </w:r>
      <w:r w:rsidDel="00256411">
        <w:t xml:space="preserve"> </w:t>
      </w:r>
      <w:r>
        <w:t>before reading. The SANTECS reader scans approximately 80</w:t>
      </w:r>
      <w:r w:rsidR="00DF6FF5">
        <w:t>%</w:t>
      </w:r>
      <w:r>
        <w:t xml:space="preserve"> of the plaque, an area of 560</w:t>
      </w:r>
      <w:r w:rsidR="00CC5B0E">
        <w:t xml:space="preserve"> </w:t>
      </w:r>
      <w:r>
        <w:t>mm</w:t>
      </w:r>
      <w:r w:rsidRPr="0064109C">
        <w:rPr>
          <w:vertAlign w:val="superscript"/>
        </w:rPr>
        <w:t>2</w:t>
      </w:r>
      <w:r>
        <w:t>, or 5.6 cm</w:t>
      </w:r>
      <w:r w:rsidRPr="0064109C">
        <w:rPr>
          <w:vertAlign w:val="superscript"/>
        </w:rPr>
        <w:t>2</w:t>
      </w:r>
      <w:r>
        <w:t>. The development and operating principles of SANTECS are discussed in further detail in Brown et al. (2011) and Fairchild et al. (2011).</w:t>
      </w:r>
    </w:p>
    <w:p w:rsidR="006216F2" w:rsidRDefault="006216F2">
      <w:pPr>
        <w:pStyle w:val="Heading2"/>
      </w:pPr>
      <w:bookmarkStart w:id="12" w:name="_Toc474844667"/>
      <w:r>
        <w:t>NRPB radon monitors</w:t>
      </w:r>
      <w:bookmarkEnd w:id="12"/>
    </w:p>
    <w:p w:rsidR="006216F2" w:rsidRPr="00F54566" w:rsidRDefault="00EE66A2" w:rsidP="00B74D0D">
      <w:pPr>
        <w:rPr>
          <w:spacing w:val="-2"/>
        </w:rPr>
      </w:pPr>
      <w:r w:rsidRPr="00F54566">
        <w:rPr>
          <w:spacing w:val="-2"/>
        </w:rPr>
        <w:t>During the period of this study, ARPANSA used the black NRPB (N</w:t>
      </w:r>
      <w:r w:rsidR="006216F2" w:rsidRPr="00F54566">
        <w:rPr>
          <w:spacing w:val="-2"/>
        </w:rPr>
        <w:t>ational Radiological Protection Board</w:t>
      </w:r>
      <w:r w:rsidR="00337D21" w:rsidRPr="00F54566">
        <w:rPr>
          <w:spacing w:val="-2"/>
        </w:rPr>
        <w:t>)</w:t>
      </w:r>
      <w:r w:rsidRPr="00F54566">
        <w:rPr>
          <w:spacing w:val="-2"/>
        </w:rPr>
        <w:t xml:space="preserve"> </w:t>
      </w:r>
      <w:r w:rsidR="006216F2" w:rsidRPr="00F54566">
        <w:rPr>
          <w:spacing w:val="-2"/>
        </w:rPr>
        <w:t>style passive radon monitors</w:t>
      </w:r>
      <w:r w:rsidR="00952596" w:rsidRPr="00F54566">
        <w:rPr>
          <w:spacing w:val="-2"/>
        </w:rPr>
        <w:t xml:space="preserve"> (</w:t>
      </w:r>
      <w:proofErr w:type="spellStart"/>
      <w:r w:rsidR="00952596" w:rsidRPr="00F54566">
        <w:rPr>
          <w:spacing w:val="-2"/>
        </w:rPr>
        <w:t>Hardcastle</w:t>
      </w:r>
      <w:proofErr w:type="spellEnd"/>
      <w:r w:rsidR="00952596" w:rsidRPr="00F54566">
        <w:rPr>
          <w:spacing w:val="-2"/>
        </w:rPr>
        <w:t xml:space="preserve"> et al. 1996)</w:t>
      </w:r>
      <w:r w:rsidR="00D13C60" w:rsidRPr="00F54566">
        <w:rPr>
          <w:spacing w:val="-2"/>
        </w:rPr>
        <w:t>, as pictured in Figure 2.1.</w:t>
      </w:r>
      <w:r w:rsidRPr="00F54566">
        <w:rPr>
          <w:spacing w:val="-2"/>
        </w:rPr>
        <w:t xml:space="preserve"> These devices are able to measure very low concentrations of radon. The monitors contain a small diffusion chamber which is designed to keep out radon progeny and external dust. The chamber itself encloses a small plastic (CR</w:t>
      </w:r>
      <w:r w:rsidR="00E00069">
        <w:rPr>
          <w:spacing w:val="-2"/>
        </w:rPr>
        <w:noBreakHyphen/>
      </w:r>
      <w:r w:rsidRPr="00F54566">
        <w:rPr>
          <w:spacing w:val="-2"/>
        </w:rPr>
        <w:t xml:space="preserve">39) plaque which is used to record the alpha decays emitted by the radon gas in the chamber. </w:t>
      </w:r>
      <w:r w:rsidR="00E40B30" w:rsidRPr="00F54566">
        <w:rPr>
          <w:spacing w:val="-2"/>
        </w:rPr>
        <w:t xml:space="preserve">The CR-39 plaque </w:t>
      </w:r>
      <w:r w:rsidR="00076768" w:rsidRPr="00F54566">
        <w:rPr>
          <w:spacing w:val="-2"/>
        </w:rPr>
        <w:t xml:space="preserve">is designed to fit into the indentation in the base of the monitor case, and </w:t>
      </w:r>
      <w:r w:rsidR="00E40B30" w:rsidRPr="00F54566">
        <w:rPr>
          <w:spacing w:val="-2"/>
        </w:rPr>
        <w:t xml:space="preserve">is held in place by the rim of the diffusion chamber in the upper lid. </w:t>
      </w:r>
      <w:r w:rsidR="00076768" w:rsidRPr="00F54566">
        <w:rPr>
          <w:spacing w:val="-2"/>
        </w:rPr>
        <w:t>The plaques used by ARPANSA are slightly larger than the indentation, so additional pieces of cello tape are used to hold the plaque in place.</w:t>
      </w:r>
      <w:r w:rsidR="00E40B30" w:rsidRPr="00F54566">
        <w:rPr>
          <w:spacing w:val="-2"/>
        </w:rPr>
        <w:t xml:space="preserve"> </w:t>
      </w:r>
      <w:r w:rsidR="00076768" w:rsidRPr="00F54566">
        <w:rPr>
          <w:spacing w:val="-2"/>
        </w:rPr>
        <w:t xml:space="preserve">The cello tape is placed in areas not normally counted by the SANTECS method. </w:t>
      </w:r>
      <w:r w:rsidRPr="00F54566">
        <w:rPr>
          <w:spacing w:val="-2"/>
        </w:rPr>
        <w:t>These monitors are designed to be left in place for a long period, typically from three months to a year.</w:t>
      </w:r>
    </w:p>
    <w:p w:rsidR="006216F2" w:rsidRDefault="001E7A4B" w:rsidP="006216F2">
      <w:pPr>
        <w:jc w:val="center"/>
      </w:pPr>
      <w:bookmarkStart w:id="13" w:name="_Ref322702631"/>
      <w:r>
        <w:rPr>
          <w:noProof/>
          <w:lang w:eastAsia="en-AU"/>
        </w:rPr>
        <w:drawing>
          <wp:anchor distT="0" distB="0" distL="114300" distR="114300" simplePos="0" relativeHeight="251685888" behindDoc="1" locked="0" layoutInCell="1" allowOverlap="1" wp14:anchorId="6FD8844D" wp14:editId="60588045">
            <wp:simplePos x="0" y="0"/>
            <wp:positionH relativeFrom="column">
              <wp:posOffset>2886710</wp:posOffset>
            </wp:positionH>
            <wp:positionV relativeFrom="paragraph">
              <wp:posOffset>79375</wp:posOffset>
            </wp:positionV>
            <wp:extent cx="2448560" cy="1424940"/>
            <wp:effectExtent l="0" t="0" r="8890" b="3810"/>
            <wp:wrapTight wrapText="bothSides">
              <wp:wrapPolygon edited="0">
                <wp:start x="0" y="0"/>
                <wp:lineTo x="0" y="21369"/>
                <wp:lineTo x="21510" y="21369"/>
                <wp:lineTo x="215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7_cro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8560" cy="142494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4864" behindDoc="1" locked="0" layoutInCell="1" allowOverlap="1" wp14:anchorId="3E3DD279" wp14:editId="64C04C03">
            <wp:simplePos x="0" y="0"/>
            <wp:positionH relativeFrom="column">
              <wp:posOffset>349885</wp:posOffset>
            </wp:positionH>
            <wp:positionV relativeFrom="paragraph">
              <wp:posOffset>66040</wp:posOffset>
            </wp:positionV>
            <wp:extent cx="2409190" cy="1428115"/>
            <wp:effectExtent l="0" t="0" r="0" b="635"/>
            <wp:wrapTight wrapText="bothSides">
              <wp:wrapPolygon edited="0">
                <wp:start x="0" y="0"/>
                <wp:lineTo x="0" y="21321"/>
                <wp:lineTo x="21349" y="21321"/>
                <wp:lineTo x="2134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4_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9190" cy="1428115"/>
                    </a:xfrm>
                    <a:prstGeom prst="rect">
                      <a:avLst/>
                    </a:prstGeom>
                  </pic:spPr>
                </pic:pic>
              </a:graphicData>
            </a:graphic>
            <wp14:sizeRelH relativeFrom="page">
              <wp14:pctWidth>0</wp14:pctWidth>
            </wp14:sizeRelH>
            <wp14:sizeRelV relativeFrom="page">
              <wp14:pctHeight>0</wp14:pctHeight>
            </wp14:sizeRelV>
          </wp:anchor>
        </w:drawing>
      </w:r>
      <w:r w:rsidR="006216F2">
        <w:t xml:space="preserve">      </w:t>
      </w:r>
    </w:p>
    <w:p w:rsidR="006216F2" w:rsidRPr="006216F2" w:rsidRDefault="006216F2" w:rsidP="00B04B6C">
      <w:pPr>
        <w:pStyle w:val="Figure"/>
        <w:spacing w:before="120"/>
      </w:pPr>
      <w:r>
        <w:t xml:space="preserve">Figure </w:t>
      </w:r>
      <w:r w:rsidR="00FC12E9">
        <w:t>2.1</w:t>
      </w:r>
      <w:r>
        <w:t>:</w:t>
      </w:r>
      <w:r w:rsidR="00C4542B">
        <w:tab/>
      </w:r>
      <w:r w:rsidRPr="00783B4C">
        <w:t>Photos</w:t>
      </w:r>
      <w:r>
        <w:t xml:space="preserve"> showing extern</w:t>
      </w:r>
      <w:r w:rsidR="00324F13">
        <w:t>al and internal structure of NRP</w:t>
      </w:r>
      <w:r>
        <w:t>B style radon monitor</w:t>
      </w:r>
      <w:bookmarkEnd w:id="13"/>
    </w:p>
    <w:p w:rsidR="00E4587D" w:rsidRDefault="00535934" w:rsidP="00772C08">
      <w:pPr>
        <w:pStyle w:val="Heading2"/>
      </w:pPr>
      <w:bookmarkStart w:id="14" w:name="_Toc474844668"/>
      <w:r>
        <w:lastRenderedPageBreak/>
        <w:t xml:space="preserve">Monitor </w:t>
      </w:r>
      <w:r w:rsidR="00DF6FF5">
        <w:t>l</w:t>
      </w:r>
      <w:r>
        <w:t>ocation</w:t>
      </w:r>
      <w:r w:rsidR="008B4BA7">
        <w:t>s and</w:t>
      </w:r>
      <w:r>
        <w:t xml:space="preserve"> </w:t>
      </w:r>
      <w:r w:rsidR="00DF6FF5">
        <w:t>d</w:t>
      </w:r>
      <w:r w:rsidR="00C83139">
        <w:t>escriptions</w:t>
      </w:r>
      <w:bookmarkEnd w:id="14"/>
    </w:p>
    <w:p w:rsidR="00D746A5" w:rsidRDefault="007C56BC" w:rsidP="00B74D0D">
      <w:r>
        <w:t xml:space="preserve">Each station representative was provided with descriptive notes designed to allow the representative freedom to place their monitors in locations where they believed the monitor would provide a useful measurement of radon. The notes were </w:t>
      </w:r>
      <w:r w:rsidR="0017737F">
        <w:t>intended</w:t>
      </w:r>
      <w:r>
        <w:t xml:space="preserve"> to give the rep</w:t>
      </w:r>
      <w:r w:rsidR="00337D21">
        <w:t>resentative</w:t>
      </w:r>
      <w:r>
        <w:t xml:space="preserve"> the knowledge required to place the monitors where radon was more likely to impact on human activities.</w:t>
      </w:r>
      <w:r w:rsidR="00332860">
        <w:t xml:space="preserve"> The measurements needed to be accurate and not unnecessarily biased by such factors as stale air and close proximity to bricks and granite.</w:t>
      </w:r>
      <w:r w:rsidR="007C3F58">
        <w:t xml:space="preserve"> These notes are presented in Appendix A1.1.</w:t>
      </w:r>
    </w:p>
    <w:p w:rsidR="0029330B" w:rsidRDefault="00D13C60" w:rsidP="00B74D0D">
      <w:r>
        <w:t>Figure 2.2</w:t>
      </w:r>
      <w:r w:rsidR="00493411">
        <w:t xml:space="preserve"> shows </w:t>
      </w:r>
      <w:r w:rsidR="006D51F9">
        <w:t>the</w:t>
      </w:r>
      <w:r w:rsidR="00493411">
        <w:t xml:space="preserve"> method </w:t>
      </w:r>
      <w:r w:rsidR="00CC5B0E">
        <w:t xml:space="preserve">used </w:t>
      </w:r>
      <w:r w:rsidR="00493411">
        <w:t xml:space="preserve">by </w:t>
      </w:r>
      <w:r w:rsidR="00CC5B0E">
        <w:t>AAD staff</w:t>
      </w:r>
      <w:r w:rsidR="00493411">
        <w:t xml:space="preserve"> at Mawson station for affixing the monitors to a wall using electrical or gaffer tape. This method allows the monitor to be fixed a few </w:t>
      </w:r>
      <w:r w:rsidR="00DF6FF5">
        <w:t xml:space="preserve">centimetres </w:t>
      </w:r>
      <w:r w:rsidR="00493411">
        <w:t>from the wall surface, and allows free air circulation around and under the monitor.</w:t>
      </w:r>
      <w:r w:rsidR="00FB3D15">
        <w:t xml:space="preserve"> It is not known if this method was adopted at the other stations.</w:t>
      </w:r>
    </w:p>
    <w:p w:rsidR="00203300" w:rsidRPr="0029330B" w:rsidRDefault="00952EA6" w:rsidP="00952EA6">
      <w:r w:rsidRPr="00952EA6">
        <w:rPr>
          <w:noProof/>
          <w:lang w:eastAsia="en-AU"/>
        </w:rPr>
        <mc:AlternateContent>
          <mc:Choice Requires="wpg">
            <w:drawing>
              <wp:anchor distT="0" distB="0" distL="114300" distR="114300" simplePos="0" relativeHeight="251682816" behindDoc="0" locked="0" layoutInCell="1" allowOverlap="1" wp14:anchorId="76BF9B2E" wp14:editId="2FB12335">
                <wp:simplePos x="0" y="0"/>
                <wp:positionH relativeFrom="column">
                  <wp:posOffset>32385</wp:posOffset>
                </wp:positionH>
                <wp:positionV relativeFrom="paragraph">
                  <wp:posOffset>5241</wp:posOffset>
                </wp:positionV>
                <wp:extent cx="6273800" cy="2857500"/>
                <wp:effectExtent l="0" t="0" r="0" b="19050"/>
                <wp:wrapNone/>
                <wp:docPr id="61" name="Group 61"/>
                <wp:cNvGraphicFramePr/>
                <a:graphic xmlns:a="http://schemas.openxmlformats.org/drawingml/2006/main">
                  <a:graphicData uri="http://schemas.microsoft.com/office/word/2010/wordprocessingGroup">
                    <wpg:wgp>
                      <wpg:cNvGrpSpPr/>
                      <wpg:grpSpPr>
                        <a:xfrm>
                          <a:off x="0" y="0"/>
                          <a:ext cx="6273800" cy="2857500"/>
                          <a:chOff x="0" y="0"/>
                          <a:chExt cx="6273847" cy="2857500"/>
                        </a:xfrm>
                      </wpg:grpSpPr>
                      <wps:wsp>
                        <wps:cNvPr id="26" name="Text Box 26"/>
                        <wps:cNvSpPr txBox="1">
                          <a:spLocks noChangeArrowheads="1"/>
                        </wps:cNvSpPr>
                        <wps:spPr bwMode="auto">
                          <a:xfrm>
                            <a:off x="4435522" y="1269242"/>
                            <a:ext cx="183832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2A" w:rsidRDefault="00917D2A" w:rsidP="00203300">
                              <w:r>
                                <w:t>FREE AIR CIRCULATION</w:t>
                              </w:r>
                            </w:p>
                          </w:txbxContent>
                        </wps:txbx>
                        <wps:bodyPr rot="0" vert="horz" wrap="square" lIns="91440" tIns="45720" rIns="91440" bIns="45720" anchor="t" anchorCtr="0" upright="1">
                          <a:noAutofit/>
                        </wps:bodyPr>
                      </wps:wsp>
                      <wpg:grpSp>
                        <wpg:cNvPr id="60" name="Group 60"/>
                        <wpg:cNvGrpSpPr/>
                        <wpg:grpSpPr>
                          <a:xfrm>
                            <a:off x="0" y="0"/>
                            <a:ext cx="4594774" cy="2857500"/>
                            <a:chOff x="0" y="0"/>
                            <a:chExt cx="4594774" cy="2857500"/>
                          </a:xfrm>
                        </wpg:grpSpPr>
                        <wps:wsp>
                          <wps:cNvPr id="34" name="Rectangle 34"/>
                          <wps:cNvSpPr>
                            <a:spLocks noChangeArrowheads="1"/>
                          </wps:cNvSpPr>
                          <wps:spPr bwMode="auto">
                            <a:xfrm>
                              <a:off x="0" y="170597"/>
                              <a:ext cx="1143000" cy="5619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 name="Rectangle 30"/>
                          <wps:cNvSpPr>
                            <a:spLocks noChangeArrowheads="1"/>
                          </wps:cNvSpPr>
                          <wps:spPr bwMode="auto">
                            <a:xfrm>
                              <a:off x="470847" y="709684"/>
                              <a:ext cx="240030" cy="571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 name="Rectangle 21"/>
                          <wps:cNvSpPr>
                            <a:spLocks noChangeArrowheads="1"/>
                          </wps:cNvSpPr>
                          <wps:spPr bwMode="auto">
                            <a:xfrm>
                              <a:off x="382137" y="1241947"/>
                              <a:ext cx="409575" cy="200025"/>
                            </a:xfrm>
                            <a:prstGeom prst="rect">
                              <a:avLst/>
                            </a:prstGeom>
                            <a:solidFill>
                              <a:schemeClr val="tx1">
                                <a:lumMod val="100000"/>
                                <a:lumOff val="0"/>
                                <a:alpha val="0"/>
                              </a:schemeClr>
                            </a:solidFill>
                            <a:ln w="9525">
                              <a:solidFill>
                                <a:srgbClr val="000000"/>
                              </a:solidFill>
                              <a:miter lim="800000"/>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436728" y="1303361"/>
                              <a:ext cx="285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Oval 20"/>
                          <wps:cNvSpPr>
                            <a:spLocks noChangeArrowheads="1"/>
                          </wps:cNvSpPr>
                          <wps:spPr bwMode="auto">
                            <a:xfrm>
                              <a:off x="88710" y="1378424"/>
                              <a:ext cx="1000125" cy="9429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7" name="Straight Arrow Connector 37"/>
                          <wps:cNvCnPr>
                            <a:cxnSpLocks noChangeShapeType="1"/>
                          </wps:cNvCnPr>
                          <wps:spPr bwMode="auto">
                            <a:xfrm>
                              <a:off x="3698543" y="0"/>
                              <a:ext cx="635" cy="285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35"/>
                          <wps:cNvSpPr>
                            <a:spLocks noChangeArrowheads="1"/>
                          </wps:cNvSpPr>
                          <wps:spPr bwMode="auto">
                            <a:xfrm>
                              <a:off x="3609832" y="184245"/>
                              <a:ext cx="90805" cy="560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2" name="Moon 22"/>
                          <wps:cNvSpPr>
                            <a:spLocks noChangeArrowheads="1"/>
                          </wps:cNvSpPr>
                          <wps:spPr bwMode="auto">
                            <a:xfrm>
                              <a:off x="3029803" y="1392072"/>
                              <a:ext cx="476250" cy="861695"/>
                            </a:xfrm>
                            <a:prstGeom prst="moon">
                              <a:avLst>
                                <a:gd name="adj" fmla="val 875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4" name="Rectangle 24"/>
                          <wps:cNvSpPr>
                            <a:spLocks noChangeArrowheads="1"/>
                          </wps:cNvSpPr>
                          <wps:spPr bwMode="auto">
                            <a:xfrm>
                              <a:off x="3411940" y="1426191"/>
                              <a:ext cx="138430" cy="8026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1" name="Straight Arrow Connector 31"/>
                          <wps:cNvCnPr>
                            <a:cxnSpLocks noChangeShapeType="1"/>
                          </wps:cNvCnPr>
                          <wps:spPr bwMode="auto">
                            <a:xfrm flipH="1">
                              <a:off x="3507474" y="723332"/>
                              <a:ext cx="147320" cy="57150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3"/>
                          <wps:cNvSpPr>
                            <a:spLocks noChangeArrowheads="1"/>
                          </wps:cNvSpPr>
                          <wps:spPr bwMode="auto">
                            <a:xfrm>
                              <a:off x="3459707" y="1241947"/>
                              <a:ext cx="8128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32"/>
                          <wps:cNvSpPr txBox="1">
                            <a:spLocks noChangeArrowheads="1"/>
                          </wps:cNvSpPr>
                          <wps:spPr bwMode="auto">
                            <a:xfrm>
                              <a:off x="1699146" y="586854"/>
                              <a:ext cx="98552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2A" w:rsidRDefault="00917D2A" w:rsidP="00203300">
                                <w:r>
                                  <w:t>GAFFER TAPE</w:t>
                                </w:r>
                              </w:p>
                            </w:txbxContent>
                          </wps:txbx>
                          <wps:bodyPr rot="0" vert="horz" wrap="square" lIns="91440" tIns="45720" rIns="91440" bIns="45720" anchor="t" anchorCtr="0" upright="1">
                            <a:noAutofit/>
                          </wps:bodyPr>
                        </wps:wsp>
                        <wps:wsp>
                          <wps:cNvPr id="33" name="Straight Arrow Connector 33"/>
                          <wps:cNvCnPr>
                            <a:cxnSpLocks noChangeShapeType="1"/>
                          </wps:cNvCnPr>
                          <wps:spPr bwMode="auto">
                            <a:xfrm flipH="1" flipV="1">
                              <a:off x="1241946" y="511791"/>
                              <a:ext cx="503556" cy="301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29"/>
                          <wps:cNvCnPr>
                            <a:cxnSpLocks noChangeShapeType="1"/>
                          </wps:cNvCnPr>
                          <wps:spPr bwMode="auto">
                            <a:xfrm flipH="1">
                              <a:off x="798394" y="887105"/>
                              <a:ext cx="95186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36"/>
                          <wps:cNvCnPr>
                            <a:cxnSpLocks noChangeShapeType="1"/>
                          </wps:cNvCnPr>
                          <wps:spPr bwMode="auto">
                            <a:xfrm flipV="1">
                              <a:off x="2579427" y="525439"/>
                              <a:ext cx="970280" cy="33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28"/>
                          <wps:cNvCnPr>
                            <a:cxnSpLocks noChangeShapeType="1"/>
                          </wps:cNvCnPr>
                          <wps:spPr bwMode="auto">
                            <a:xfrm>
                              <a:off x="2579427" y="887105"/>
                              <a:ext cx="897255"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1589964" y="1508078"/>
                              <a:ext cx="990600"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2A" w:rsidRDefault="00917D2A" w:rsidP="00203300">
                                <w:r>
                                  <w:t>DETECTOR</w:t>
                                </w:r>
                              </w:p>
                            </w:txbxContent>
                          </wps:txbx>
                          <wps:bodyPr rot="0" vert="horz" wrap="square" lIns="91440" tIns="45720" rIns="91440" bIns="45720" anchor="t" anchorCtr="0" upright="1">
                            <a:noAutofit/>
                          </wps:bodyPr>
                        </wps:wsp>
                        <wps:wsp>
                          <wps:cNvPr id="17" name="Straight Arrow Connector 17"/>
                          <wps:cNvCnPr>
                            <a:cxnSpLocks noChangeShapeType="1"/>
                          </wps:cNvCnPr>
                          <wps:spPr bwMode="auto">
                            <a:xfrm flipH="1">
                              <a:off x="1194179" y="1794681"/>
                              <a:ext cx="39814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Curved Connector 25"/>
                          <wps:cNvCnPr>
                            <a:cxnSpLocks noChangeShapeType="1"/>
                          </wps:cNvCnPr>
                          <wps:spPr bwMode="auto">
                            <a:xfrm rot="10800000" flipV="1">
                              <a:off x="3603009" y="1521726"/>
                              <a:ext cx="833755" cy="342900"/>
                            </a:xfrm>
                            <a:prstGeom prst="curvedConnector3">
                              <a:avLst>
                                <a:gd name="adj1" fmla="val 49963"/>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2"/>
                          <wps:cNvSpPr txBox="1">
                            <a:spLocks noChangeArrowheads="1"/>
                          </wps:cNvSpPr>
                          <wps:spPr bwMode="auto">
                            <a:xfrm>
                              <a:off x="3903259" y="791570"/>
                              <a:ext cx="691515" cy="492760"/>
                            </a:xfrm>
                            <a:prstGeom prst="rect">
                              <a:avLst/>
                            </a:prstGeom>
                            <a:solidFill>
                              <a:srgbClr val="FFFFFF"/>
                            </a:solidFill>
                            <a:ln w="9525">
                              <a:noFill/>
                              <a:miter lim="800000"/>
                              <a:headEnd/>
                              <a:tailEnd/>
                            </a:ln>
                          </wps:spPr>
                          <wps:txbx>
                            <w:txbxContent>
                              <w:p w:rsidR="00917D2A" w:rsidRPr="00203300" w:rsidRDefault="00917D2A">
                                <w:pPr>
                                  <w:rPr>
                                    <w:b/>
                                  </w:rPr>
                                </w:pPr>
                                <w:r w:rsidRPr="00203300">
                                  <w:rPr>
                                    <w:b/>
                                  </w:rPr>
                                  <w:t>WALL</w:t>
                                </w:r>
                              </w:p>
                            </w:txbxContent>
                          </wps:txbx>
                          <wps:bodyPr rot="0" vert="horz" wrap="square" lIns="91440" tIns="45720" rIns="91440" bIns="45720" anchor="t" anchorCtr="0">
                            <a:noAutofit/>
                          </wps:bodyPr>
                        </wps:wsp>
                      </wpg:grpSp>
                    </wpg:wgp>
                  </a:graphicData>
                </a:graphic>
              </wp:anchor>
            </w:drawing>
          </mc:Choice>
          <mc:Fallback>
            <w:pict>
              <v:group id="Group 61" o:spid="_x0000_s1027" style="position:absolute;margin-left:2.55pt;margin-top:.4pt;width:494pt;height:225pt;z-index:251682816" coordsize="62738,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jYyAgAALRCAAAOAAAAZHJzL2Uyb0RvYy54bWzsXFuTm8gVfk/V/geKd1k03dxUlrdszYyT&#10;Km92K3b2nRFIIkFAgBnJm8p/z3e6uQmNrLE1wk4FPcwIaKD7cM53vnNBr3/eb2PtMcyLKE3mOntl&#10;6FqYLNMgStZz/e+f7iaurhWlnwR+nCbhXP8cFvrPb3760+tdNgvNdJPGQZhruEhSzHbZXN+UZTab&#10;TovlJtz6xas0CxMcXKX51i+xma+nQe7vcPVtPDUNw57u0jzI8nQZFgX23qiD+ht5/dUqXJa/rlZF&#10;WGrxXMfcSvk3l3/v6e/0zWt/ts79bBMtq2n43zCLrR8luGlzqRu/9LWHPDq61DZa5mmRrspXy3Q7&#10;TVeraBnKNWA1zOit5n2ePmRyLevZbp01YoJoe3L65ssu//r4W65FwVy3ma4l/hbPSN5WwzaEs8vW&#10;M4x5n2cfs9/yasdabdF696t8S/+xEm0vxfq5EWu4L7Uldtqmw10D0l/imOlajoUNKfjlBk/n6Lzl&#10;5rZ7pnCOzpzWN57S/Jrp7DIoUdHKqbhMTh83fhZK8Rckg0pOpl3L6RMt8F2617BLSkYOIzlp5R77&#10;YQ9SJ4rsQ7r8Z6El6WLjJ+vwbZ6nu03oB5ifFDJW0ZxKIi9mBV3kfvdLGuB5+A9lKi/UE7YQ3LJM&#10;U9cgVmbanilMJdZa8MzlLjctJT5LGNy1aEAjPX+W5UX5Pky3Gn2Z6znsRd7Jf/xQlGpoPYSecpHG&#10;UXAXxbHcyNf3izjXHn3Y1p38VFc/GBYnNDhJ6TR1RbUHk8Q96BhNV9rKvz1mCuOd6U3ubNeZiDth&#10;TTzHcCcG8955tiE8cXP3H5ogE7NNFARh8iFKwtpumXje864QRFmctFxtN9c9C5KS6zq5SEN+nlrk&#10;NioBY3G0nevQdHzUg6CHfJsEWLY/K/0oVt+nh9OXDwQyqP9LqUiVIC1Q+lDu7/fSSiujLGb3afAZ&#10;OpKneGwwLUAwvmzS/A9d2wHO5nrxrwc/D3Ut/ksCPfOYEIR/ckNYjomNvHvkvnvET5a41FwvdU19&#10;XZQKMx+yPFpvcCel2Un6Frq5iqSqkN6qWWEllSkqAJEG2mBJZUc2ZnCAN1JmL4E3wvKE44gj1PBn&#10;5/Dm1JmNxXwHvOFYiJLT32CdwI841LAPOnWAGjDOK8EMnhMBjGNYnqPUusEXJjjpugR2y2ae86L4&#10;QhwgbBCm3Cudix+2gEWFOqxja9hPzkSikVQlPDRJI+gS0rZ6sDS00c8I93p2/b9jxQN4Vt4gQkfT&#10;K1To+MfrabqAryG2AXV3DM92pZUp/0Q8Br7JoDkSjbEcVrGYBhsu9Kajtv9APmsAbTcbvt1qO/YN&#10;h+vcNRlX2g7axeAzD9FdGB6oeuVFAbSgR4q/1TS0ZobfRB4vVHd/5sfZxh/hHtyuonMvStoGMADm&#10;HRMb7BvOAAS3HRP5CWI33OBcRbwdvJehqjIAz3CNF9X/5wZPI0v5mlhjALWlyEnx8V/BNTVsDqex&#10;rusw3F4qrOMKs0dQiA6zOt73hHmWj4dxHGUF5TiAp88J+S9E7atTciTMqnD7VOg9svAmWfp0foso&#10;gdLvj2XuU7SvyYSVtkiTBBFommsY0ur8IqEkBWLrffKxF4HKG3z6nCGHdZDnUqc8O8/Fbc+1BJd6&#10;L62thWib1wSlTSueJuRFtaBmJSqiPKH5TcrKh85cDMPP1Ey5tOO8mOHdureumAjTvp0I4+Zm8vZu&#10;ISb2HXOsG36zWNyww7wYZdsuz4vRc23E0ElbqRQgBH0mbaXCW2KNnXzQABhNWnGUM5Hue6CcCbcN&#10;D6lXBdUE1PLmrd4qOlHlTQzDqRMWPwK1vjpIf2WydETsM4hNJQCl7b+kaaJhs0VnqkaQFV8rOcgN&#10;03MNhc2Me6bh9GoQwrFNq0qauDazvTMseosltHyEpr4OqtX5wT90bbWNUaAj5uXWdSQorIRwmeSr&#10;g1K56INM/o/OXUaz6BR+v6qg+TSRATs+cgKKMQ/lBARDVqXi6/DczJMsqPUCjLtIoKsA0zVMG2PJ&#10;V9bFzTGh2K2ZjW7gjBvgTULxNHHv5hevRNy1FWLKP9cVwqovgFuGI6gkR6l1k3NQI2h6xxKEwymw&#10;fm5q/UImL7P30ssc1ISKblJGlpZqgzwYNlJ56rJQ9cfrt1uAW/SpvMmHZDgoCjvGF/LkLjPdSnWZ&#10;cDzrDMHJr9JjcXF8OrKPl2UfFPwpvW3ahBTodcjHMG1C4Nzo/kDXEpUtXRuplEPsRXLFqrFXIDD9&#10;PgpM3qCTapDeXvqH42TI2CRUtU71mgmaJqEmABzbCzqNe7zxJKf5UdexXJ0fSab0e48pqVJsZa2M&#10;Of2YwTLQ9IfDxJS4wRjqAV+MGS5kShd1xX2RKGmlTAyXeSR7mtC2Nte3YYCGtRCdxPRNresL3YJj&#10;VhTNz081Dp8IiJuC60kDMLv116sbAGF+FSA4SJd6Kj6QRa5+vtRirl2l+hkSSmgeHLV+rAUcNv8/&#10;rfW86dc+qfUYAm2qiNk1tb4P9qbloEyrYgu0Hwsuza8NixF4NLEF5w471789gn2nNfz/uwRGjS0q&#10;/jip9hhydbXvQHxX2Z/CeNdzTMQektmMGD/We7+C2bAG45tgG7ta5aYq2EDBtuV6nq2IDDqEXcOR&#10;RtaBdM+wm5Z5FMS+T1fZGG2TBLrlhYM3imQR5kxvQxNtNzHjGG13om12vo0IQ1oTvSbt6lcjqCyH&#10;yFp1Z4CB2W6vMMc9l6FlQ7oi+cIiTfR0XW6kXSPtqt5qo+5LRbsWD/ljGHS65lT//JWjDPk+IIPf&#10;oQ+6JVCL6wcd6E3CW1uV9lsmc9Trq62LchFq1ESMo4tUvc14Wv2XcqVNUx0/3b6BCmXbvyHgKCV2&#10;nuzfaPLB1+/AG7NRg/foUU2tVyFpEtd43Xo4zsY9A29JK4NAvtVS3XitPdjYxypvIDzTOZd8GqDC&#10;17GMFyjcNVRGVoYIob4LlVGk9Owbxe07uPDJ9L4wfhpBeufqZxzotxe623JU+2MTb/4LAAD//wMA&#10;UEsDBBQABgAIAAAAIQAVGEpM3AAAAAYBAAAPAAAAZHJzL2Rvd25yZXYueG1sTI5BS8NAEIXvgv9h&#10;GcGb3cQaaWMmpRT1VIS2gnjbJtMkNDsbstsk/feOJz0+3uN7X7aabKsG6n3jGCGeRaCIC1c2XCF8&#10;Ht4eFqB8MFya1jEhXMnDKr+9yUxaupF3NOxDpQTCPjUIdQhdqrUvarLGz1xHLN3J9dYEiX2ly96M&#10;AretfoyiZ21Nw/JQm442NRXn/cUivI9mXM/j12F7Pm2u34fk42sbE+L93bR+ARVoCn9j+NUXdcjF&#10;6eguXHrVIiSxDBFEX8rlci7xiPCURAvQeab/6+c/AAAA//8DAFBLAQItABQABgAIAAAAIQC2gziS&#10;/gAAAOEBAAATAAAAAAAAAAAAAAAAAAAAAABbQ29udGVudF9UeXBlc10ueG1sUEsBAi0AFAAGAAgA&#10;AAAhADj9If/WAAAAlAEAAAsAAAAAAAAAAAAAAAAALwEAAF9yZWxzLy5yZWxzUEsBAi0AFAAGAAgA&#10;AAAhAMMJWNjICAAAtEIAAA4AAAAAAAAAAAAAAAAALgIAAGRycy9lMm9Eb2MueG1sUEsBAi0AFAAG&#10;AAgAAAAhABUYSkzcAAAABgEAAA8AAAAAAAAAAAAAAAAAIgsAAGRycy9kb3ducmV2LnhtbFBLBQYA&#10;AAAABAAEAPMAAAArDAAAAAA=&#10;">
                <v:shape id="Text Box 26" o:spid="_x0000_s1028" type="#_x0000_t202" style="position:absolute;left:44355;top:12692;width:18383;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917D2A" w:rsidRDefault="00917D2A" w:rsidP="00203300">
                        <w:r>
                          <w:t>FREE AIR CIRCULATION</w:t>
                        </w:r>
                      </w:p>
                    </w:txbxContent>
                  </v:textbox>
                </v:shape>
                <v:group id="Group 60" o:spid="_x0000_s1029" style="position:absolute;width:45947;height:28575" coordsize="45947,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34" o:spid="_x0000_s1030" style="position:absolute;top:1705;width:11430;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VjcQA&#10;AADbAAAADwAAAGRycy9kb3ducmV2LnhtbESPzW7CMBCE70h9B2uRegOHH6GSYhCg8nPgQsoDrOJt&#10;EhGv09gk4e0xEhLH0cx8o1msOlOKhmpXWFYwGkYgiFOrC84UXH53gy8QziNrLC2Tgjs5WC0/eguM&#10;tW35TE3iMxEg7GJUkHtfxVK6NCeDbmgr4uD92dqgD7LOpK6xDXBTynEUzaTBgsNCjhVtc0qvyc0o&#10;kMm0bX7audtsD/PRZn2Z7E//rNRnv1t/g/DU+Xf41T5qBZ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lY3EAAAA2wAAAA8AAAAAAAAAAAAAAAAAmAIAAGRycy9k&#10;b3ducmV2LnhtbFBLBQYAAAAABAAEAPUAAACJAwAAAAA=&#10;" fillcolor="black [3213]"/>
                  <v:rect id="Rectangle 30" o:spid="_x0000_s1031" style="position:absolute;left:4708;top:7096;width:240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TjsAA&#10;AADbAAAADwAAAGRycy9kb3ducmV2LnhtbERPzYrCMBC+L/gOYQRva6oui1ajqOi6By9WH2BoxrbY&#10;TGoT2/r25iB4/Pj+F6vOlKKh2hWWFYyGEQji1OqCMwWX8/57CsJ5ZI2lZVLwJAerZe9rgbG2LZ+o&#10;SXwmQgi7GBXk3lexlC7NyaAb2oo4cFdbG/QB1pnUNbYh3JRyHEW/0mDBoSHHirY5pbfkYRTI5Kdt&#10;du3MbbaH2Wizvkz+jndWatDv1nMQnjr/Eb/d/1rBJKwPX8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CTjsAAAADbAAAADwAAAAAAAAAAAAAAAACYAgAAZHJzL2Rvd25y&#10;ZXYueG1sUEsFBgAAAAAEAAQA9QAAAIUDAAAAAA==&#10;" fillcolor="black [3213]"/>
                  <v:rect id="Rectangle 21" o:spid="_x0000_s1032" style="position:absolute;left:3821;top:12419;width:409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HC8MA&#10;AADbAAAADwAAAGRycy9kb3ducmV2LnhtbESPQWsCMRSE70L/Q3gFL1KzetCyNYqtKB5EqbX3x+Z1&#10;szV5WTZR139vBMHjMDPfMJNZ66w4UxMqzwoG/QwEceF1xaWCw8/y7R1EiMgarWdScKUAs+lLZ4K5&#10;9hf+pvM+liJBOOSowMRY51KGwpDD0Pc1cfL+fOMwJtmUUjd4SXBn5TDLRtJhxWnBYE1fhorj/uQU&#10;jEtb/G6sOSzC/+f6tKLeaJdtleq+tvMPEJHa+Aw/2mutYDiA+5f0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yHC8MAAADbAAAADwAAAAAAAAAAAAAAAACYAgAAZHJzL2Rv&#10;d25yZXYueG1sUEsFBgAAAAAEAAQA9QAAAIgDAAAAAA==&#10;" fillcolor="black [3213]">
                    <v:fill opacity="0"/>
                  </v:rect>
                  <v:rect id="Rectangle 19" o:spid="_x0000_s1033" style="position:absolute;left:4367;top:13033;width:2857;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oval id="Oval 20" o:spid="_x0000_s1034" style="position:absolute;left:887;top:13784;width:10001;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wsEA&#10;AADbAAAADwAAAGRycy9kb3ducmV2LnhtbERPyW7CMBC9I/EP1iD1RhxQFaGAQQEJqdulYTlP42ni&#10;Nh6nsQvp39cHJI5Pb19tBtuKC/XeOFYwS1IQxJXThmsFx8N+ugDhA7LG1jEp+CMPm/V4tMJcuyu/&#10;06UMtYgh7HNU0ITQ5VL6qiGLPnEdceQ+XW8xRNjXUvd4jeG2lfM0zaRFw7GhwY52DVXf5a9VUDyb&#10;8sVkb6+n8+OP3n59+JAVlVIPk6FYggg0hLv45n7SCuZxff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l8LBAAAA2wAAAA8AAAAAAAAAAAAAAAAAmAIAAGRycy9kb3du&#10;cmV2LnhtbFBLBQYAAAAABAAEAPUAAACGAwAAAAA=&#10;" fillcolor="black [3213]"/>
                  <v:shapetype id="_x0000_t32" coordsize="21600,21600" o:spt="32" o:oned="t" path="m,l21600,21600e" filled="f">
                    <v:path arrowok="t" fillok="f" o:connecttype="none"/>
                    <o:lock v:ext="edit" shapetype="t"/>
                  </v:shapetype>
                  <v:shape id="Straight Arrow Connector 37" o:spid="_x0000_s1035" type="#_x0000_t32" style="position:absolute;left:36985;width:6;height:28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rect id="Rectangle 35" o:spid="_x0000_s1036" style="position:absolute;left:36098;top:1842;width:908;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wFsUA&#10;AADbAAAADwAAAGRycy9kb3ducmV2LnhtbESPwW7CMBBE70j9B2srcWscClQlxEGASuHApSkfsIqX&#10;JGq8DrGbpH9fV6rEcTQzbzTpZjSN6KlztWUFsygGQVxYXXOp4PJ5eHoF4TyyxsYyKfghB5vsYZJi&#10;ou3AH9TnvhQBwi5BBZX3bSKlKyoy6CLbEgfvajuDPsiulLrDIcBNI5/j+EUarDksVNjSvqLiK/82&#10;CmS+GPq3YeV2++Nqttte5u/nGys1fRy3axCeRn8P/7dPWsF8C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zAWxQAAANsAAAAPAAAAAAAAAAAAAAAAAJgCAABkcnMv&#10;ZG93bnJldi54bWxQSwUGAAAAAAQABAD1AAAAigMAAAAA&#10;" fillcolor="black [3213]"/>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2" o:spid="_x0000_s1037" type="#_x0000_t184" style="position:absolute;left:30298;top:13920;width:4762;height:8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cPcAA&#10;AADbAAAADwAAAGRycy9kb3ducmV2LnhtbESPzarCMBSE9xd8h3AEd5rahUo1ihQFl/5Bt4fm2BSb&#10;k9JErT69uXDhLoeZ+YZZbXrbiCd1vnasYDpJQBCXTtdcKbhe9uMFCB+QNTaOScGbPGzWg58VZtq9&#10;+ETPc6hEhLDPUIEJoc2k9KUhi37iWuLo3VxnMUTZVVJ3+Ipw28g0SWbSYs1xwWBLuaHyfn5YBfV8&#10;J48fN99RUe0/pbG5L2a5UqNhv12CCNSH//Bf+6AVpCn8fok/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WcPcAAAADbAAAADwAAAAAAAAAAAAAAAACYAgAAZHJzL2Rvd25y&#10;ZXYueG1sUEsFBgAAAAAEAAQA9QAAAIUDAAAAAA==&#10;" adj="18900" fillcolor="black [3213]"/>
                  <v:rect id="Rectangle 24" o:spid="_x0000_s1038" style="position:absolute;left:34119;top:14261;width:1384;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DUMQA&#10;AADbAAAADwAAAGRycy9kb3ducmV2LnhtbESPzW7CMBCE75V4B2uRuBUHiCoIMQii/h16acgDrOIl&#10;iYjXIXaT9O3rSpV6HM3MN5r0OJlWDNS7xrKC1TICQVxa3XCloLi8PG5BOI+ssbVMCr7JwfEwe0gx&#10;0XbkTxpyX4kAYZeggtr7LpHSlTUZdEvbEQfvanuDPsi+krrHMcBNK9dR9CQNNhwWauwoq6m85V9G&#10;gczjcXged+6cve1W51Oxef24s1KL+XTag/A0+f/wX/tdK1jH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A1DEAAAA2wAAAA8AAAAAAAAAAAAAAAAAmAIAAGRycy9k&#10;b3ducmV2LnhtbFBLBQYAAAAABAAEAPUAAACJAwAAAAA=&#10;" fillcolor="black [3213]"/>
                  <v:shape id="Straight Arrow Connector 31" o:spid="_x0000_s1039" type="#_x0000_t32" style="position:absolute;left:35074;top:7233;width:1473;height:5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KEsQAAADbAAAADwAAAGRycy9kb3ducmV2LnhtbESPT2vCQBTE7wW/w/KE3urGCKFEVxFB&#10;KPSgxn/XR/aZBLNv0+zWpH56VxB6HGbmN8xs0Zta3Kh1lWUF41EEgji3uuJCwWG//vgE4Tyyxtoy&#10;KfgjB4v54G2GqbYd7+iW+UIECLsUFZTeN6mULi/JoBvZhjh4F9sa9EG2hdQtdgFuahlHUSINVhwW&#10;SmxoVVJ+zX6NgmuXneLk/B33x2T7Ezm53dxPnVLvw345BeGp9//hV/tLK5iM4fkl/A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MoSxAAAANsAAAAPAAAAAAAAAAAA&#10;AAAAAKECAABkcnMvZG93bnJldi54bWxQSwUGAAAAAAQABAD5AAAAkgMAAAAA&#10;" strokeweight="4.5pt"/>
                  <v:rect id="Rectangle 23" o:spid="_x0000_s1040" style="position:absolute;left:34597;top:12419;width:81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shape id="Text Box 32" o:spid="_x0000_s1041" type="#_x0000_t202" style="position:absolute;left:16991;top:5868;width:9855;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917D2A" w:rsidRDefault="00917D2A" w:rsidP="00203300">
                          <w:r>
                            <w:t>GAFFER TAPE</w:t>
                          </w:r>
                        </w:p>
                      </w:txbxContent>
                    </v:textbox>
                  </v:shape>
                  <v:shape id="Straight Arrow Connector 33" o:spid="_x0000_s1042" type="#_x0000_t32" style="position:absolute;left:12419;top:5117;width:5036;height:30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stroke endarrow="block"/>
                  </v:shape>
                  <v:shape id="Straight Arrow Connector 29" o:spid="_x0000_s1043" type="#_x0000_t32" style="position:absolute;left:7983;top:8871;width:9519;height:16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Straight Arrow Connector 36" o:spid="_x0000_s1044" type="#_x0000_t32" style="position:absolute;left:25794;top:5254;width:9703;height:3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Straight Arrow Connector 28" o:spid="_x0000_s1045" type="#_x0000_t32" style="position:absolute;left:25794;top:8871;width:8972;height:1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Text Box 16" o:spid="_x0000_s1046" type="#_x0000_t202" style="position:absolute;left:15899;top:15080;width:9906;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917D2A" w:rsidRDefault="00917D2A" w:rsidP="00203300">
                          <w:r>
                            <w:t>DETECTOR</w:t>
                          </w:r>
                        </w:p>
                      </w:txbxContent>
                    </v:textbox>
                  </v:shape>
                  <v:shape id="Straight Arrow Connector 17" o:spid="_x0000_s1047" type="#_x0000_t32" style="position:absolute;left:11941;top:17946;width:3982;height: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48" type="#_x0000_t38" style="position:absolute;left:36030;top:15217;width:8337;height:3429;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IsQAAADbAAAADwAAAGRycy9kb3ducmV2LnhtbESPQWsCMRSE7wX/Q3iF3mq2UkW2Rini&#10;Qk+CumB7e2xeN2s3L2uS6uqvbwqCx2FmvmFmi9624kQ+NI4VvAwzEMSV0w3XCspd8TwFESKyxtYx&#10;KbhQgMV88DDDXLszb+i0jbVIEA45KjAxdrmUoTJkMQxdR5y8b+ctxiR9LbXHc4LbVo6ybCItNpwW&#10;DHa0NFT9bH+tgvWEzOvXtTyU5ljs/eYzKw56pdTTY//+BiJSH+/hW/tDKxiN4f9L+gF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EixAAAANsAAAAPAAAAAAAAAAAA&#10;AAAAAKECAABkcnMvZG93bnJldi54bWxQSwUGAAAAAAQABAD5AAAAkgMAAAAA&#10;" adj="10792">
                    <v:stroke endarrow="block"/>
                  </v:shape>
                  <v:shape id="Text Box 2" o:spid="_x0000_s1049" type="#_x0000_t202" style="position:absolute;left:39032;top:7915;width:691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917D2A" w:rsidRPr="00203300" w:rsidRDefault="00917D2A">
                          <w:pPr>
                            <w:rPr>
                              <w:b/>
                            </w:rPr>
                          </w:pPr>
                          <w:r w:rsidRPr="00203300">
                            <w:rPr>
                              <w:b/>
                            </w:rPr>
                            <w:t>WALL</w:t>
                          </w:r>
                        </w:p>
                      </w:txbxContent>
                    </v:textbox>
                  </v:shape>
                </v:group>
              </v:group>
            </w:pict>
          </mc:Fallback>
        </mc:AlternateContent>
      </w:r>
    </w:p>
    <w:p w:rsidR="00203300" w:rsidRPr="00952EA6" w:rsidRDefault="00203300" w:rsidP="00203300"/>
    <w:p w:rsidR="00203300" w:rsidRPr="00952EA6" w:rsidRDefault="00203300" w:rsidP="00203300"/>
    <w:p w:rsidR="00203300" w:rsidRPr="00952EA6" w:rsidRDefault="00203300" w:rsidP="00203300">
      <w:r w:rsidRPr="00952EA6">
        <w:rPr>
          <w:noProof/>
          <w:lang w:eastAsia="en-AU"/>
        </w:rPr>
        <mc:AlternateContent>
          <mc:Choice Requires="wps">
            <w:drawing>
              <wp:anchor distT="0" distB="0" distL="114300" distR="114300" simplePos="0" relativeHeight="251670528" behindDoc="0" locked="0" layoutInCell="1" allowOverlap="1" wp14:anchorId="07CDD7BB" wp14:editId="7ED9E39E">
                <wp:simplePos x="0" y="0"/>
                <wp:positionH relativeFrom="column">
                  <wp:posOffset>3933825</wp:posOffset>
                </wp:positionH>
                <wp:positionV relativeFrom="paragraph">
                  <wp:posOffset>237490</wp:posOffset>
                </wp:positionV>
                <wp:extent cx="590550" cy="247650"/>
                <wp:effectExtent l="0" t="0" r="0"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D2A" w:rsidRPr="008130D1" w:rsidRDefault="00917D2A" w:rsidP="00203300">
                            <w:pPr>
                              <w:rPr>
                                <w:b/>
                              </w:rPr>
                            </w:pPr>
                            <w:r w:rsidRPr="008130D1">
                              <w:rPr>
                                <w:b/>
                              </w:rPr>
                              <w:t>WALL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309.75pt;margin-top:18.7pt;width:46.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G2gw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WIPz&#10;BUaK9MDRAx89utYjgiPoz2BcDW73Bhz9COfAc6zVmTtNPzuk9E1H1Ja/slYPHScM8svCzeTs6oTj&#10;AshmeKcZxCE7ryPQ2No+NA/agQAdeHo8cRNyoXBYVmlZgoWCKS8Wc1iHCKQ+XjbW+Tdc9ygsGmyB&#10;+ghO9nfOT65HlxDLaSnYWkgZN3a7uZEW7QnIZB2fA/ozN6mCs9Lh2oQ4nUCOECPYQraR9m9Vlhfp&#10;dV7N1vPlYlasi3JWLdLlLM2q62qeFlVxu/4eEsyKuhOMcXUnFD9KMCv+juLDMEziiSJEQ4OrMi8n&#10;hv5YZBqf3xXZCw8TKUXf4OXJidSB19eKQdmk9kTIaZ08Tz8SAj04fmNXogoC8ZME/LgZo+DKED0o&#10;ZKPZI8jCaqANGIa/CSw6bb9iNMBkNth92RHLMZJvFUiryooijHLcFOUih409t2zOLURRgGqwx2ha&#10;3vhp/HfGim0HkSYxK/0K5NiKKJWnrA4ihumLNR3+FGG8z/fR6+l/tvoBAAD//wMAUEsDBBQABgAI&#10;AAAAIQC95+Oo3gAAAAkBAAAPAAAAZHJzL2Rvd25yZXYueG1sTI/PToNAEIfvJr7DZky8GLtQKVjK&#10;0qiJxmtrH2Bgt0DKzhJ2W+jbO57sbf58+c03xXa2vbiY0XeOFMSLCISh2umOGgWHn8/nVxA+IGns&#10;HRkFV+NhW97fFZhrN9HOXPahERxCPkcFbQhDLqWvW2PRL9xgiHdHN1oM3I6N1CNOHG57uYyiVFrs&#10;iC+0OJiP1tSn/dkqOH5PT6v1VH2FQ7ZL0nfssspdlXp8mN82IIKZwz8Mf/qsDiU7Ve5M2oteQRqv&#10;V4wqeMkSEAxk8ZIHFRdpArIs5O0H5S8AAAD//wMAUEsBAi0AFAAGAAgAAAAhALaDOJL+AAAA4QEA&#10;ABMAAAAAAAAAAAAAAAAAAAAAAFtDb250ZW50X1R5cGVzXS54bWxQSwECLQAUAAYACAAAACEAOP0h&#10;/9YAAACUAQAACwAAAAAAAAAAAAAAAAAvAQAAX3JlbHMvLnJlbHNQSwECLQAUAAYACAAAACEAyKPB&#10;toMCAAAXBQAADgAAAAAAAAAAAAAAAAAuAgAAZHJzL2Uyb0RvYy54bWxQSwECLQAUAAYACAAAACEA&#10;vefjqN4AAAAJAQAADwAAAAAAAAAAAAAAAADdBAAAZHJzL2Rvd25yZXYueG1sUEsFBgAAAAAEAAQA&#10;8wAAAOgFAAAAAA==&#10;" stroked="f">
                <v:textbox>
                  <w:txbxContent>
                    <w:p w:rsidR="00917D2A" w:rsidRPr="008130D1" w:rsidRDefault="00917D2A" w:rsidP="00203300">
                      <w:pPr>
                        <w:rPr>
                          <w:b/>
                        </w:rPr>
                      </w:pPr>
                      <w:r w:rsidRPr="008130D1">
                        <w:rPr>
                          <w:b/>
                        </w:rPr>
                        <w:t>WALL</w:t>
                      </w:r>
                    </w:p>
                  </w:txbxContent>
                </v:textbox>
              </v:shape>
            </w:pict>
          </mc:Fallback>
        </mc:AlternateContent>
      </w:r>
    </w:p>
    <w:p w:rsidR="00952EA6" w:rsidRDefault="00952EA6" w:rsidP="00203300"/>
    <w:p w:rsidR="00952EA6" w:rsidRDefault="00952EA6" w:rsidP="00203300"/>
    <w:p w:rsidR="00203300" w:rsidRPr="00952EA6" w:rsidRDefault="00703397" w:rsidP="00203300">
      <w:r w:rsidRPr="00952EA6">
        <w:rPr>
          <w:noProof/>
          <w:lang w:eastAsia="en-AU"/>
        </w:rPr>
        <mc:AlternateContent>
          <mc:Choice Requires="wps">
            <w:drawing>
              <wp:anchor distT="0" distB="0" distL="114300" distR="114300" simplePos="0" relativeHeight="251678720" behindDoc="0" locked="0" layoutInCell="1" allowOverlap="1" wp14:anchorId="1A71E2B0" wp14:editId="1E122938">
                <wp:simplePos x="0" y="0"/>
                <wp:positionH relativeFrom="column">
                  <wp:posOffset>2409825</wp:posOffset>
                </wp:positionH>
                <wp:positionV relativeFrom="paragraph">
                  <wp:posOffset>559435</wp:posOffset>
                </wp:positionV>
                <wp:extent cx="571500" cy="28575"/>
                <wp:effectExtent l="0" t="38100" r="38100" b="857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89.75pt;margin-top:44.05pt;width:4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ZvPgIAAHEEAAAOAAAAZHJzL2Uyb0RvYy54bWysVMtu2zAQvBfoPxC8O5JcK3GEyEEg2b30&#10;ESDpB9AkZRGluATJWDaK/nuXtOw27aUoqgO1FPcxOzvU3f1h0GQvnVdgalpc5ZRIw0Eos6vpl+fN&#10;bEmJD8wIpsHImh6lp/ert2/uRlvJOfSghXQEkxhfjbamfQi2yjLPezkwfwVWGjzswA0s4NbtMuHY&#10;iNkHnc3z/DobwQnrgEvv8Wt7OqSrlL/rJA+fu87LQHRNEVtIq0vrNq7Z6o5VO8dsr/gEg/0DioEp&#10;g0UvqVoWGHlx6o9Ug+IOPHThisOQQdcpLlMP2E2R/9bNU8+sTL0gOd5eaPL/Ly3/tH90RAmcHU7K&#10;sAFn9BQcU7s+kAfnYCQNGIM8giPognyN1lcY1phHFzvmB/NkPwD/6omBpmdmJxPu56PFXEWMyF6F&#10;xI23WHU7fgSBPuwlQCLv0LkhpkRayCHN6HiZkTwEwvFjeVOUOU6S49F8Wd6UqQCrzrHW+fBewkCi&#10;UVM/9XJpokiV2P6DDxEZq84BsbCBjdI6aUIbMtb0tpyXKcCDViIeRjfvdttGO7JnUVXpmVC8cnPw&#10;YkRK1ksm1pMdmNJok5D4CU4hY1rSWG2QghIt8SJF6wRPm1gRu0fAk3US1rfb/Ha9XC8Xs8X8ej1b&#10;5G07e9g0i9n1prgp23dt07TF9wi+WFS9EkKaiP8s8mLxdyKarttJnheZX4jKXmdPjCLY8zuBTuOP&#10;Ez9pZwvi+Ohid1EJqOvkPN3BeHF+3Sevn3+K1Q8AAAD//wMAUEsDBBQABgAIAAAAIQBu2a/E4QAA&#10;AAkBAAAPAAAAZHJzL2Rvd25yZXYueG1sTI/BTsMwDIbvSLxDZCRuLN2A0pa6EzAhegGJbZo4Zo1p&#10;IpqkarKt4+mXneBo+9Pv7y/no+nYngavnUWYThJgZBsntW0R1qvXmwyYD8JK0TlLCEfyMK8uL0pR&#10;SHewn7RfhpbFEOsLgaBC6AvOfaPICD9xPdl4+3aDESGOQ8vlIA4x3HR8liQpN0Lb+EGJnl4UNT/L&#10;nUEIi6+jSjfNc64/Vm/vqf6t63qBeH01Pj0CCzSGPxjO+lEdqui0dTsrPesQbh/y+4giZNkUWATu&#10;0vNii5DPUuBVyf83qE4AAAD//wMAUEsBAi0AFAAGAAgAAAAhALaDOJL+AAAA4QEAABMAAAAAAAAA&#10;AAAAAAAAAAAAAFtDb250ZW50X1R5cGVzXS54bWxQSwECLQAUAAYACAAAACEAOP0h/9YAAACUAQAA&#10;CwAAAAAAAAAAAAAAAAAvAQAAX3JlbHMvLnJlbHNQSwECLQAUAAYACAAAACEABOE2bz4CAABxBAAA&#10;DgAAAAAAAAAAAAAAAAAuAgAAZHJzL2Uyb0RvYy54bWxQSwECLQAUAAYACAAAACEAbtmvxOEAAAAJ&#10;AQAADwAAAAAAAAAAAAAAAACYBAAAZHJzL2Rvd25yZXYueG1sUEsFBgAAAAAEAAQA8wAAAKYFAAAA&#10;AA==&#10;">
                <v:stroke endarrow="block"/>
              </v:shape>
            </w:pict>
          </mc:Fallback>
        </mc:AlternateContent>
      </w:r>
    </w:p>
    <w:p w:rsidR="00203300" w:rsidRPr="00952EA6" w:rsidRDefault="00203300" w:rsidP="00203300"/>
    <w:p w:rsidR="00203300" w:rsidRPr="00952EA6" w:rsidRDefault="00203300" w:rsidP="00203300"/>
    <w:p w:rsidR="00814F4F" w:rsidRDefault="00814F4F" w:rsidP="00B04B6C">
      <w:pPr>
        <w:pStyle w:val="Figure"/>
      </w:pPr>
      <w:r w:rsidRPr="00783B4C">
        <w:t>Figure</w:t>
      </w:r>
      <w:r w:rsidR="00FC12E9">
        <w:t xml:space="preserve"> 2.2</w:t>
      </w:r>
      <w:r w:rsidRPr="00C84397">
        <w:t>:</w:t>
      </w:r>
      <w:r w:rsidRPr="00C84397">
        <w:tab/>
      </w:r>
      <w:r w:rsidR="00CC5B0E">
        <w:t>Method used</w:t>
      </w:r>
      <w:r>
        <w:t xml:space="preserve"> for securing monitor to wall</w:t>
      </w:r>
      <w:r w:rsidR="00CC5B0E">
        <w:t xml:space="preserve"> at Mawson Station</w:t>
      </w:r>
      <w:r w:rsidR="00C4542B">
        <w:t xml:space="preserve"> (</w:t>
      </w:r>
      <w:r>
        <w:t>diagram courtesy Dr Malcolm Arnold, Mawson)</w:t>
      </w:r>
    </w:p>
    <w:p w:rsidR="001E7A4B" w:rsidRDefault="001E7A4B" w:rsidP="00952EA6">
      <w:bookmarkStart w:id="15" w:name="_Toc314825269"/>
      <w:bookmarkEnd w:id="15"/>
    </w:p>
    <w:p w:rsidR="00783B4C" w:rsidRPr="00783B4C" w:rsidRDefault="00783B4C" w:rsidP="00B04B6C">
      <w:pPr>
        <w:pStyle w:val="Table"/>
      </w:pPr>
      <w:r w:rsidRPr="00783B4C">
        <w:t>Table 2.1:</w:t>
      </w:r>
      <w:r w:rsidRPr="00783B4C">
        <w:tab/>
        <w:t>Winter monitor locations summary</w:t>
      </w:r>
    </w:p>
    <w:tbl>
      <w:tblPr>
        <w:tblStyle w:val="LightShading-Accent4"/>
        <w:tblW w:w="0" w:type="auto"/>
        <w:tblLayout w:type="fixed"/>
        <w:tblLook w:val="04A0" w:firstRow="1" w:lastRow="0" w:firstColumn="1" w:lastColumn="0" w:noHBand="0" w:noVBand="1"/>
      </w:tblPr>
      <w:tblGrid>
        <w:gridCol w:w="1854"/>
        <w:gridCol w:w="1656"/>
        <w:gridCol w:w="1146"/>
        <w:gridCol w:w="1122"/>
        <w:gridCol w:w="1171"/>
        <w:gridCol w:w="1146"/>
        <w:gridCol w:w="1147"/>
      </w:tblGrid>
      <w:tr w:rsidR="005274BA" w:rsidTr="00952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5274BA" w:rsidRPr="007277CC" w:rsidRDefault="005274BA" w:rsidP="003D51FA">
            <w:pPr>
              <w:pStyle w:val="ListBullet2"/>
              <w:numPr>
                <w:ilvl w:val="0"/>
                <w:numId w:val="0"/>
              </w:numPr>
              <w:spacing w:after="120" w:afterAutospacing="0"/>
              <w:jc w:val="center"/>
              <w:rPr>
                <w:sz w:val="20"/>
                <w:szCs w:val="20"/>
              </w:rPr>
            </w:pPr>
          </w:p>
        </w:tc>
        <w:tc>
          <w:tcPr>
            <w:tcW w:w="1656" w:type="dxa"/>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No</w:t>
            </w:r>
            <w:r w:rsidR="00DF6FF5">
              <w:rPr>
                <w:sz w:val="20"/>
                <w:szCs w:val="20"/>
              </w:rPr>
              <w:t>.</w:t>
            </w:r>
            <w:r w:rsidRPr="007277CC">
              <w:rPr>
                <w:sz w:val="20"/>
                <w:szCs w:val="20"/>
              </w:rPr>
              <w:t xml:space="preserve"> of </w:t>
            </w:r>
            <w:r w:rsidR="00DF6FF5">
              <w:rPr>
                <w:sz w:val="20"/>
                <w:szCs w:val="20"/>
              </w:rPr>
              <w:t>b</w:t>
            </w:r>
            <w:r w:rsidRPr="007277CC">
              <w:rPr>
                <w:sz w:val="20"/>
                <w:szCs w:val="20"/>
              </w:rPr>
              <w:t>uildings</w:t>
            </w:r>
          </w:p>
        </w:tc>
        <w:tc>
          <w:tcPr>
            <w:tcW w:w="2268" w:type="dxa"/>
            <w:gridSpan w:val="2"/>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 xml:space="preserve">Building </w:t>
            </w:r>
            <w:r w:rsidR="00DF6FF5">
              <w:rPr>
                <w:sz w:val="20"/>
                <w:szCs w:val="20"/>
              </w:rPr>
              <w:t>s</w:t>
            </w:r>
            <w:r w:rsidRPr="007277CC">
              <w:rPr>
                <w:sz w:val="20"/>
                <w:szCs w:val="20"/>
              </w:rPr>
              <w:t>torey</w:t>
            </w:r>
          </w:p>
        </w:tc>
        <w:tc>
          <w:tcPr>
            <w:tcW w:w="3464" w:type="dxa"/>
            <w:gridSpan w:val="3"/>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 xml:space="preserve">Area </w:t>
            </w:r>
            <w:r w:rsidR="00DF6FF5">
              <w:rPr>
                <w:sz w:val="20"/>
                <w:szCs w:val="20"/>
              </w:rPr>
              <w:t>t</w:t>
            </w:r>
            <w:r w:rsidRPr="007277CC">
              <w:rPr>
                <w:sz w:val="20"/>
                <w:szCs w:val="20"/>
              </w:rPr>
              <w:t>ype</w:t>
            </w:r>
          </w:p>
        </w:tc>
      </w:tr>
      <w:tr w:rsidR="003D51FA" w:rsidTr="0095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6B1505" w:rsidRPr="007277CC" w:rsidRDefault="006B1505" w:rsidP="003D51FA">
            <w:pPr>
              <w:pStyle w:val="ListBullet2"/>
              <w:numPr>
                <w:ilvl w:val="0"/>
                <w:numId w:val="0"/>
              </w:numPr>
              <w:spacing w:after="120" w:afterAutospacing="0"/>
              <w:jc w:val="center"/>
              <w:rPr>
                <w:sz w:val="20"/>
                <w:szCs w:val="20"/>
              </w:rPr>
            </w:pPr>
          </w:p>
        </w:tc>
        <w:tc>
          <w:tcPr>
            <w:tcW w:w="165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Downstairs</w:t>
            </w:r>
          </w:p>
        </w:tc>
        <w:tc>
          <w:tcPr>
            <w:tcW w:w="1122"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Upstairs</w:t>
            </w:r>
          </w:p>
        </w:tc>
        <w:tc>
          <w:tcPr>
            <w:tcW w:w="1171"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Living</w:t>
            </w: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Common</w:t>
            </w:r>
          </w:p>
        </w:tc>
        <w:tc>
          <w:tcPr>
            <w:tcW w:w="1147"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Work</w:t>
            </w:r>
          </w:p>
        </w:tc>
      </w:tr>
      <w:tr w:rsidR="009539D0" w:rsidTr="00952EA6">
        <w:tc>
          <w:tcPr>
            <w:cnfStyle w:val="001000000000" w:firstRow="0" w:lastRow="0" w:firstColumn="1" w:lastColumn="0" w:oddVBand="0" w:evenVBand="0" w:oddHBand="0" w:evenHBand="0" w:firstRowFirstColumn="0" w:firstRowLastColumn="0" w:lastRowFirstColumn="0" w:lastRowLastColumn="0"/>
            <w:tcW w:w="1854" w:type="dxa"/>
          </w:tcPr>
          <w:p w:rsidR="006B1505" w:rsidRPr="007277CC" w:rsidRDefault="006B1505" w:rsidP="003D51FA">
            <w:pPr>
              <w:pStyle w:val="ListBullet2"/>
              <w:numPr>
                <w:ilvl w:val="0"/>
                <w:numId w:val="0"/>
              </w:numPr>
              <w:spacing w:after="120" w:afterAutospacing="0"/>
              <w:jc w:val="center"/>
              <w:rPr>
                <w:sz w:val="20"/>
                <w:szCs w:val="20"/>
              </w:rPr>
            </w:pPr>
            <w:r w:rsidRPr="007277CC">
              <w:rPr>
                <w:sz w:val="20"/>
                <w:szCs w:val="20"/>
              </w:rPr>
              <w:t>Mawson</w:t>
            </w:r>
          </w:p>
        </w:tc>
        <w:tc>
          <w:tcPr>
            <w:tcW w:w="165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c>
          <w:tcPr>
            <w:tcW w:w="114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10</w:t>
            </w:r>
          </w:p>
        </w:tc>
        <w:tc>
          <w:tcPr>
            <w:tcW w:w="1122"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c>
          <w:tcPr>
            <w:tcW w:w="1171"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c>
          <w:tcPr>
            <w:tcW w:w="114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c>
          <w:tcPr>
            <w:tcW w:w="1147"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6</w:t>
            </w:r>
          </w:p>
        </w:tc>
      </w:tr>
      <w:tr w:rsidR="003D51FA" w:rsidTr="0095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6B1505" w:rsidRPr="007277CC" w:rsidRDefault="006B1505" w:rsidP="003D51FA">
            <w:pPr>
              <w:pStyle w:val="ListBullet2"/>
              <w:numPr>
                <w:ilvl w:val="0"/>
                <w:numId w:val="0"/>
              </w:numPr>
              <w:spacing w:after="120" w:afterAutospacing="0"/>
              <w:jc w:val="center"/>
              <w:rPr>
                <w:sz w:val="20"/>
                <w:szCs w:val="20"/>
              </w:rPr>
            </w:pPr>
            <w:r w:rsidRPr="007277CC">
              <w:rPr>
                <w:sz w:val="20"/>
                <w:szCs w:val="20"/>
              </w:rPr>
              <w:t>Davis</w:t>
            </w:r>
          </w:p>
        </w:tc>
        <w:tc>
          <w:tcPr>
            <w:tcW w:w="165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9</w:t>
            </w:r>
          </w:p>
        </w:tc>
        <w:tc>
          <w:tcPr>
            <w:tcW w:w="1122"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4</w:t>
            </w:r>
          </w:p>
        </w:tc>
        <w:tc>
          <w:tcPr>
            <w:tcW w:w="1171"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10</w:t>
            </w:r>
          </w:p>
        </w:tc>
        <w:tc>
          <w:tcPr>
            <w:tcW w:w="1147"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2</w:t>
            </w:r>
          </w:p>
        </w:tc>
      </w:tr>
      <w:tr w:rsidR="009539D0" w:rsidTr="00952EA6">
        <w:tc>
          <w:tcPr>
            <w:cnfStyle w:val="001000000000" w:firstRow="0" w:lastRow="0" w:firstColumn="1" w:lastColumn="0" w:oddVBand="0" w:evenVBand="0" w:oddHBand="0" w:evenHBand="0" w:firstRowFirstColumn="0" w:firstRowLastColumn="0" w:lastRowFirstColumn="0" w:lastRowLastColumn="0"/>
            <w:tcW w:w="1854" w:type="dxa"/>
          </w:tcPr>
          <w:p w:rsidR="006B1505" w:rsidRPr="007277CC" w:rsidRDefault="006B1505" w:rsidP="003D51FA">
            <w:pPr>
              <w:pStyle w:val="ListBullet2"/>
              <w:numPr>
                <w:ilvl w:val="0"/>
                <w:numId w:val="0"/>
              </w:numPr>
              <w:spacing w:after="120" w:afterAutospacing="0"/>
              <w:jc w:val="center"/>
              <w:rPr>
                <w:sz w:val="20"/>
                <w:szCs w:val="20"/>
              </w:rPr>
            </w:pPr>
            <w:r w:rsidRPr="007277CC">
              <w:rPr>
                <w:sz w:val="20"/>
                <w:szCs w:val="20"/>
              </w:rPr>
              <w:t>Casey</w:t>
            </w:r>
          </w:p>
        </w:tc>
        <w:tc>
          <w:tcPr>
            <w:tcW w:w="165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c>
          <w:tcPr>
            <w:tcW w:w="114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10</w:t>
            </w:r>
          </w:p>
        </w:tc>
        <w:tc>
          <w:tcPr>
            <w:tcW w:w="1122"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c>
          <w:tcPr>
            <w:tcW w:w="1171"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w:t>
            </w:r>
          </w:p>
        </w:tc>
        <w:tc>
          <w:tcPr>
            <w:tcW w:w="1146"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8</w:t>
            </w:r>
          </w:p>
        </w:tc>
        <w:tc>
          <w:tcPr>
            <w:tcW w:w="1147" w:type="dxa"/>
          </w:tcPr>
          <w:p w:rsidR="006B1505" w:rsidRPr="007277CC" w:rsidRDefault="006B150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r>
      <w:tr w:rsidR="003D51FA" w:rsidTr="0095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4" w:type="dxa"/>
          </w:tcPr>
          <w:p w:rsidR="006B1505" w:rsidRPr="007277CC" w:rsidRDefault="00DF6FF5" w:rsidP="003D51FA">
            <w:pPr>
              <w:pStyle w:val="ListBullet2"/>
              <w:numPr>
                <w:ilvl w:val="0"/>
                <w:numId w:val="0"/>
              </w:numPr>
              <w:spacing w:after="120" w:afterAutospacing="0"/>
              <w:jc w:val="center"/>
              <w:rPr>
                <w:sz w:val="20"/>
                <w:szCs w:val="20"/>
              </w:rPr>
            </w:pPr>
            <w:r>
              <w:rPr>
                <w:sz w:val="20"/>
                <w:szCs w:val="20"/>
              </w:rPr>
              <w:t>Macquarie Island</w:t>
            </w:r>
          </w:p>
        </w:tc>
        <w:tc>
          <w:tcPr>
            <w:tcW w:w="165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10</w:t>
            </w: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11</w:t>
            </w:r>
          </w:p>
        </w:tc>
        <w:tc>
          <w:tcPr>
            <w:tcW w:w="1122"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2</w:t>
            </w:r>
          </w:p>
        </w:tc>
        <w:tc>
          <w:tcPr>
            <w:tcW w:w="1171"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3</w:t>
            </w:r>
          </w:p>
        </w:tc>
        <w:tc>
          <w:tcPr>
            <w:tcW w:w="1146"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2</w:t>
            </w:r>
          </w:p>
        </w:tc>
        <w:tc>
          <w:tcPr>
            <w:tcW w:w="1147" w:type="dxa"/>
          </w:tcPr>
          <w:p w:rsidR="006B1505" w:rsidRPr="007277CC" w:rsidRDefault="006B150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8</w:t>
            </w:r>
          </w:p>
        </w:tc>
      </w:tr>
      <w:tr w:rsidR="009539D0" w:rsidTr="00952EA6">
        <w:tc>
          <w:tcPr>
            <w:cnfStyle w:val="001000000000" w:firstRow="0" w:lastRow="0" w:firstColumn="1" w:lastColumn="0" w:oddVBand="0" w:evenVBand="0" w:oddHBand="0" w:evenHBand="0" w:firstRowFirstColumn="0" w:firstRowLastColumn="0" w:lastRowFirstColumn="0" w:lastRowLastColumn="0"/>
            <w:tcW w:w="1854" w:type="dxa"/>
          </w:tcPr>
          <w:p w:rsidR="004720F3" w:rsidRPr="007277CC" w:rsidRDefault="004720F3" w:rsidP="003D51FA">
            <w:pPr>
              <w:pStyle w:val="ListBullet2"/>
              <w:numPr>
                <w:ilvl w:val="0"/>
                <w:numId w:val="0"/>
              </w:numPr>
              <w:spacing w:after="120" w:afterAutospacing="0"/>
              <w:jc w:val="center"/>
              <w:rPr>
                <w:sz w:val="20"/>
                <w:szCs w:val="20"/>
              </w:rPr>
            </w:pPr>
            <w:r w:rsidRPr="007277CC">
              <w:rPr>
                <w:sz w:val="20"/>
                <w:szCs w:val="20"/>
              </w:rPr>
              <w:t>Total</w:t>
            </w:r>
          </w:p>
        </w:tc>
        <w:tc>
          <w:tcPr>
            <w:tcW w:w="1656"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18</w:t>
            </w:r>
          </w:p>
        </w:tc>
        <w:tc>
          <w:tcPr>
            <w:tcW w:w="1146"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40</w:t>
            </w:r>
          </w:p>
        </w:tc>
        <w:tc>
          <w:tcPr>
            <w:tcW w:w="1122"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12</w:t>
            </w:r>
          </w:p>
        </w:tc>
        <w:tc>
          <w:tcPr>
            <w:tcW w:w="1171"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9</w:t>
            </w:r>
          </w:p>
        </w:tc>
        <w:tc>
          <w:tcPr>
            <w:tcW w:w="1146"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23</w:t>
            </w:r>
          </w:p>
        </w:tc>
        <w:tc>
          <w:tcPr>
            <w:tcW w:w="1147" w:type="dxa"/>
          </w:tcPr>
          <w:p w:rsidR="004720F3" w:rsidRPr="007277CC" w:rsidRDefault="004720F3"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20</w:t>
            </w:r>
          </w:p>
        </w:tc>
      </w:tr>
    </w:tbl>
    <w:p w:rsidR="00783B4C" w:rsidRPr="00783B4C" w:rsidRDefault="009539D0" w:rsidP="00B04B6C">
      <w:pPr>
        <w:pStyle w:val="Table"/>
      </w:pPr>
      <w:r>
        <w:lastRenderedPageBreak/>
        <w:t>T</w:t>
      </w:r>
      <w:r w:rsidR="00783B4C" w:rsidRPr="00783B4C">
        <w:t xml:space="preserve">able 2.2: </w:t>
      </w:r>
      <w:r w:rsidR="00783B4C">
        <w:tab/>
      </w:r>
      <w:r w:rsidR="00783B4C" w:rsidRPr="00783B4C">
        <w:t>Summer monitor locations summary</w:t>
      </w:r>
    </w:p>
    <w:tbl>
      <w:tblPr>
        <w:tblStyle w:val="LightShading-Accent4"/>
        <w:tblW w:w="0" w:type="auto"/>
        <w:tblLook w:val="04A0" w:firstRow="1" w:lastRow="0" w:firstColumn="1" w:lastColumn="0" w:noHBand="0" w:noVBand="1"/>
      </w:tblPr>
      <w:tblGrid>
        <w:gridCol w:w="1843"/>
        <w:gridCol w:w="1650"/>
        <w:gridCol w:w="1151"/>
        <w:gridCol w:w="1134"/>
        <w:gridCol w:w="1154"/>
        <w:gridCol w:w="1154"/>
        <w:gridCol w:w="1155"/>
      </w:tblGrid>
      <w:tr w:rsidR="005274BA" w:rsidTr="00953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5274BA" w:rsidRPr="007277CC" w:rsidRDefault="005274BA" w:rsidP="003D51FA">
            <w:pPr>
              <w:pStyle w:val="ListBullet2"/>
              <w:numPr>
                <w:ilvl w:val="0"/>
                <w:numId w:val="0"/>
              </w:numPr>
              <w:spacing w:after="120" w:afterAutospacing="0"/>
              <w:jc w:val="center"/>
              <w:rPr>
                <w:sz w:val="20"/>
                <w:szCs w:val="20"/>
              </w:rPr>
            </w:pPr>
          </w:p>
        </w:tc>
        <w:tc>
          <w:tcPr>
            <w:tcW w:w="1650" w:type="dxa"/>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No</w:t>
            </w:r>
            <w:r w:rsidR="00320909">
              <w:rPr>
                <w:sz w:val="20"/>
                <w:szCs w:val="20"/>
              </w:rPr>
              <w:t>.</w:t>
            </w:r>
            <w:r w:rsidRPr="007277CC">
              <w:rPr>
                <w:sz w:val="20"/>
                <w:szCs w:val="20"/>
              </w:rPr>
              <w:t xml:space="preserve"> of </w:t>
            </w:r>
            <w:r w:rsidR="00320909">
              <w:rPr>
                <w:sz w:val="20"/>
                <w:szCs w:val="20"/>
              </w:rPr>
              <w:t>b</w:t>
            </w:r>
            <w:r w:rsidRPr="007277CC">
              <w:rPr>
                <w:sz w:val="20"/>
                <w:szCs w:val="20"/>
              </w:rPr>
              <w:t>uildings</w:t>
            </w:r>
          </w:p>
        </w:tc>
        <w:tc>
          <w:tcPr>
            <w:tcW w:w="2285" w:type="dxa"/>
            <w:gridSpan w:val="2"/>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 xml:space="preserve">Building </w:t>
            </w:r>
            <w:r w:rsidR="00320909">
              <w:rPr>
                <w:sz w:val="20"/>
                <w:szCs w:val="20"/>
              </w:rPr>
              <w:t>s</w:t>
            </w:r>
            <w:r w:rsidRPr="007277CC">
              <w:rPr>
                <w:sz w:val="20"/>
                <w:szCs w:val="20"/>
              </w:rPr>
              <w:t>torey</w:t>
            </w:r>
          </w:p>
        </w:tc>
        <w:tc>
          <w:tcPr>
            <w:tcW w:w="3463" w:type="dxa"/>
            <w:gridSpan w:val="3"/>
          </w:tcPr>
          <w:p w:rsidR="005274BA" w:rsidRPr="007277CC" w:rsidRDefault="005274BA" w:rsidP="003D51FA">
            <w:pPr>
              <w:pStyle w:val="ListBullet2"/>
              <w:numPr>
                <w:ilvl w:val="0"/>
                <w:numId w:val="0"/>
              </w:numPr>
              <w:spacing w:after="12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7277CC">
              <w:rPr>
                <w:sz w:val="20"/>
                <w:szCs w:val="20"/>
              </w:rPr>
              <w:t xml:space="preserve">Area </w:t>
            </w:r>
            <w:r w:rsidR="00320909">
              <w:rPr>
                <w:sz w:val="20"/>
                <w:szCs w:val="20"/>
              </w:rPr>
              <w:t>t</w:t>
            </w:r>
            <w:r w:rsidRPr="007277CC">
              <w:rPr>
                <w:sz w:val="20"/>
                <w:szCs w:val="20"/>
              </w:rPr>
              <w:t>ype</w:t>
            </w:r>
          </w:p>
        </w:tc>
      </w:tr>
      <w:tr w:rsidR="003A71B5" w:rsidTr="00953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A71B5" w:rsidP="003D51FA">
            <w:pPr>
              <w:pStyle w:val="ListBullet2"/>
              <w:numPr>
                <w:ilvl w:val="0"/>
                <w:numId w:val="0"/>
              </w:numPr>
              <w:spacing w:after="120" w:afterAutospacing="0"/>
              <w:jc w:val="center"/>
              <w:rPr>
                <w:sz w:val="20"/>
                <w:szCs w:val="20"/>
              </w:rPr>
            </w:pPr>
          </w:p>
        </w:tc>
        <w:tc>
          <w:tcPr>
            <w:tcW w:w="1650"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51"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Downstairs</w:t>
            </w:r>
          </w:p>
        </w:tc>
        <w:tc>
          <w:tcPr>
            <w:tcW w:w="113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Upstairs</w:t>
            </w:r>
          </w:p>
        </w:tc>
        <w:tc>
          <w:tcPr>
            <w:tcW w:w="115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Living</w:t>
            </w:r>
          </w:p>
        </w:tc>
        <w:tc>
          <w:tcPr>
            <w:tcW w:w="115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Common</w:t>
            </w:r>
          </w:p>
        </w:tc>
        <w:tc>
          <w:tcPr>
            <w:tcW w:w="1155"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Work</w:t>
            </w:r>
          </w:p>
        </w:tc>
      </w:tr>
      <w:tr w:rsidR="003A71B5" w:rsidTr="009539D0">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A71B5" w:rsidP="003D51FA">
            <w:pPr>
              <w:pStyle w:val="ListBullet2"/>
              <w:numPr>
                <w:ilvl w:val="0"/>
                <w:numId w:val="0"/>
              </w:numPr>
              <w:spacing w:after="120" w:afterAutospacing="0"/>
              <w:jc w:val="center"/>
              <w:rPr>
                <w:sz w:val="20"/>
                <w:szCs w:val="20"/>
              </w:rPr>
            </w:pPr>
            <w:r w:rsidRPr="007277CC">
              <w:rPr>
                <w:sz w:val="20"/>
                <w:szCs w:val="20"/>
              </w:rPr>
              <w:t>Mawson</w:t>
            </w:r>
          </w:p>
        </w:tc>
        <w:tc>
          <w:tcPr>
            <w:tcW w:w="1650"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w:t>
            </w:r>
          </w:p>
        </w:tc>
        <w:tc>
          <w:tcPr>
            <w:tcW w:w="1151"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c>
          <w:tcPr>
            <w:tcW w:w="113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w:t>
            </w:r>
          </w:p>
        </w:tc>
        <w:tc>
          <w:tcPr>
            <w:tcW w:w="115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w:t>
            </w:r>
          </w:p>
        </w:tc>
        <w:tc>
          <w:tcPr>
            <w:tcW w:w="115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w:t>
            </w:r>
          </w:p>
        </w:tc>
        <w:tc>
          <w:tcPr>
            <w:tcW w:w="1155" w:type="dxa"/>
          </w:tcPr>
          <w:p w:rsidR="003A71B5" w:rsidRPr="007277CC" w:rsidRDefault="00A94DC9"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r>
      <w:tr w:rsidR="003A71B5" w:rsidTr="00953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A71B5" w:rsidP="003D51FA">
            <w:pPr>
              <w:pStyle w:val="ListBullet2"/>
              <w:numPr>
                <w:ilvl w:val="0"/>
                <w:numId w:val="0"/>
              </w:numPr>
              <w:spacing w:after="120" w:afterAutospacing="0"/>
              <w:jc w:val="center"/>
              <w:rPr>
                <w:sz w:val="20"/>
                <w:szCs w:val="20"/>
              </w:rPr>
            </w:pPr>
            <w:r w:rsidRPr="007277CC">
              <w:rPr>
                <w:sz w:val="20"/>
                <w:szCs w:val="20"/>
              </w:rPr>
              <w:t>Davis</w:t>
            </w:r>
          </w:p>
        </w:tc>
        <w:tc>
          <w:tcPr>
            <w:tcW w:w="1650"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c>
          <w:tcPr>
            <w:tcW w:w="1151"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6</w:t>
            </w:r>
          </w:p>
        </w:tc>
        <w:tc>
          <w:tcPr>
            <w:tcW w:w="113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0</w:t>
            </w:r>
          </w:p>
        </w:tc>
        <w:tc>
          <w:tcPr>
            <w:tcW w:w="1154" w:type="dxa"/>
          </w:tcPr>
          <w:p w:rsidR="003A71B5" w:rsidRPr="007277CC" w:rsidRDefault="00E82574"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c>
          <w:tcPr>
            <w:tcW w:w="1154" w:type="dxa"/>
          </w:tcPr>
          <w:p w:rsidR="003A71B5" w:rsidRPr="007277CC" w:rsidRDefault="00E82574"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4</w:t>
            </w:r>
          </w:p>
        </w:tc>
        <w:tc>
          <w:tcPr>
            <w:tcW w:w="1155" w:type="dxa"/>
          </w:tcPr>
          <w:p w:rsidR="003A71B5" w:rsidRPr="007277CC" w:rsidRDefault="00A94DC9"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r>
      <w:tr w:rsidR="003A71B5" w:rsidTr="009539D0">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A71B5" w:rsidP="003D51FA">
            <w:pPr>
              <w:pStyle w:val="ListBullet2"/>
              <w:numPr>
                <w:ilvl w:val="0"/>
                <w:numId w:val="0"/>
              </w:numPr>
              <w:spacing w:after="120" w:afterAutospacing="0"/>
              <w:jc w:val="center"/>
              <w:rPr>
                <w:sz w:val="20"/>
                <w:szCs w:val="20"/>
              </w:rPr>
            </w:pPr>
            <w:r w:rsidRPr="007277CC">
              <w:rPr>
                <w:sz w:val="20"/>
                <w:szCs w:val="20"/>
              </w:rPr>
              <w:t>Casey</w:t>
            </w:r>
          </w:p>
        </w:tc>
        <w:tc>
          <w:tcPr>
            <w:tcW w:w="1650"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w:t>
            </w:r>
          </w:p>
        </w:tc>
        <w:tc>
          <w:tcPr>
            <w:tcW w:w="1151"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c>
          <w:tcPr>
            <w:tcW w:w="113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w:t>
            </w:r>
          </w:p>
        </w:tc>
        <w:tc>
          <w:tcPr>
            <w:tcW w:w="115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w:t>
            </w:r>
          </w:p>
        </w:tc>
        <w:tc>
          <w:tcPr>
            <w:tcW w:w="115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3</w:t>
            </w:r>
          </w:p>
        </w:tc>
        <w:tc>
          <w:tcPr>
            <w:tcW w:w="1155" w:type="dxa"/>
          </w:tcPr>
          <w:p w:rsidR="003A71B5" w:rsidRPr="007277CC" w:rsidRDefault="00A94DC9"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1</w:t>
            </w:r>
          </w:p>
        </w:tc>
      </w:tr>
      <w:tr w:rsidR="003A71B5" w:rsidTr="00953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20909" w:rsidP="003D51FA">
            <w:pPr>
              <w:pStyle w:val="ListBullet2"/>
              <w:numPr>
                <w:ilvl w:val="0"/>
                <w:numId w:val="0"/>
              </w:numPr>
              <w:spacing w:after="120" w:afterAutospacing="0"/>
              <w:jc w:val="center"/>
              <w:rPr>
                <w:sz w:val="20"/>
                <w:szCs w:val="20"/>
              </w:rPr>
            </w:pPr>
            <w:r>
              <w:rPr>
                <w:sz w:val="20"/>
                <w:szCs w:val="20"/>
              </w:rPr>
              <w:t>Macquarie Island</w:t>
            </w:r>
          </w:p>
        </w:tc>
        <w:tc>
          <w:tcPr>
            <w:tcW w:w="1650"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4</w:t>
            </w:r>
          </w:p>
        </w:tc>
        <w:tc>
          <w:tcPr>
            <w:tcW w:w="1151"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6</w:t>
            </w:r>
          </w:p>
        </w:tc>
        <w:tc>
          <w:tcPr>
            <w:tcW w:w="113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0</w:t>
            </w:r>
          </w:p>
        </w:tc>
        <w:tc>
          <w:tcPr>
            <w:tcW w:w="115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2</w:t>
            </w:r>
          </w:p>
        </w:tc>
        <w:tc>
          <w:tcPr>
            <w:tcW w:w="1154" w:type="dxa"/>
          </w:tcPr>
          <w:p w:rsidR="003A71B5" w:rsidRPr="007277CC" w:rsidRDefault="003A71B5"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1</w:t>
            </w:r>
          </w:p>
        </w:tc>
        <w:tc>
          <w:tcPr>
            <w:tcW w:w="1155" w:type="dxa"/>
          </w:tcPr>
          <w:p w:rsidR="003A71B5" w:rsidRPr="007277CC" w:rsidRDefault="00A94DC9" w:rsidP="003D51FA">
            <w:pPr>
              <w:pStyle w:val="ListBullet2"/>
              <w:numPr>
                <w:ilvl w:val="0"/>
                <w:numId w:val="0"/>
              </w:numPr>
              <w:spacing w:after="120" w:afterAutospacing="0"/>
              <w:jc w:val="center"/>
              <w:cnfStyle w:val="000000100000" w:firstRow="0" w:lastRow="0" w:firstColumn="0" w:lastColumn="0" w:oddVBand="0" w:evenVBand="0" w:oddHBand="1" w:evenHBand="0" w:firstRowFirstColumn="0" w:firstRowLastColumn="0" w:lastRowFirstColumn="0" w:lastRowLastColumn="0"/>
              <w:rPr>
                <w:sz w:val="20"/>
                <w:szCs w:val="20"/>
              </w:rPr>
            </w:pPr>
            <w:r w:rsidRPr="007277CC">
              <w:rPr>
                <w:sz w:val="20"/>
                <w:szCs w:val="20"/>
              </w:rPr>
              <w:t>3</w:t>
            </w:r>
          </w:p>
        </w:tc>
      </w:tr>
      <w:tr w:rsidR="003A71B5" w:rsidTr="009539D0">
        <w:tc>
          <w:tcPr>
            <w:cnfStyle w:val="001000000000" w:firstRow="0" w:lastRow="0" w:firstColumn="1" w:lastColumn="0" w:oddVBand="0" w:evenVBand="0" w:oddHBand="0" w:evenHBand="0" w:firstRowFirstColumn="0" w:firstRowLastColumn="0" w:lastRowFirstColumn="0" w:lastRowLastColumn="0"/>
            <w:tcW w:w="1843" w:type="dxa"/>
          </w:tcPr>
          <w:p w:rsidR="003A71B5" w:rsidRPr="007277CC" w:rsidRDefault="003A71B5" w:rsidP="003D51FA">
            <w:pPr>
              <w:pStyle w:val="ListBullet2"/>
              <w:numPr>
                <w:ilvl w:val="0"/>
                <w:numId w:val="0"/>
              </w:numPr>
              <w:spacing w:after="120" w:afterAutospacing="0"/>
              <w:jc w:val="center"/>
              <w:rPr>
                <w:sz w:val="20"/>
                <w:szCs w:val="20"/>
              </w:rPr>
            </w:pPr>
            <w:r w:rsidRPr="007277CC">
              <w:rPr>
                <w:sz w:val="20"/>
                <w:szCs w:val="20"/>
              </w:rPr>
              <w:t>Total</w:t>
            </w:r>
          </w:p>
        </w:tc>
        <w:tc>
          <w:tcPr>
            <w:tcW w:w="1650"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8</w:t>
            </w:r>
          </w:p>
        </w:tc>
        <w:tc>
          <w:tcPr>
            <w:tcW w:w="1151"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20</w:t>
            </w:r>
          </w:p>
        </w:tc>
        <w:tc>
          <w:tcPr>
            <w:tcW w:w="1134" w:type="dxa"/>
          </w:tcPr>
          <w:p w:rsidR="003A71B5" w:rsidRPr="007277CC" w:rsidRDefault="003A71B5"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4</w:t>
            </w:r>
          </w:p>
        </w:tc>
        <w:tc>
          <w:tcPr>
            <w:tcW w:w="1154" w:type="dxa"/>
          </w:tcPr>
          <w:p w:rsidR="003A71B5" w:rsidRPr="007277CC" w:rsidRDefault="00E82574"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7</w:t>
            </w:r>
          </w:p>
        </w:tc>
        <w:tc>
          <w:tcPr>
            <w:tcW w:w="1154" w:type="dxa"/>
          </w:tcPr>
          <w:p w:rsidR="003A71B5" w:rsidRPr="007277CC" w:rsidRDefault="00E82574"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9</w:t>
            </w:r>
          </w:p>
        </w:tc>
        <w:tc>
          <w:tcPr>
            <w:tcW w:w="1155" w:type="dxa"/>
          </w:tcPr>
          <w:p w:rsidR="003A71B5" w:rsidRPr="007277CC" w:rsidRDefault="00A94DC9" w:rsidP="003D51FA">
            <w:pPr>
              <w:pStyle w:val="ListBullet2"/>
              <w:numPr>
                <w:ilvl w:val="0"/>
                <w:numId w:val="0"/>
              </w:numPr>
              <w:spacing w:after="12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7277CC">
              <w:rPr>
                <w:sz w:val="20"/>
                <w:szCs w:val="20"/>
              </w:rPr>
              <w:t>8</w:t>
            </w:r>
          </w:p>
        </w:tc>
      </w:tr>
    </w:tbl>
    <w:p w:rsidR="00320909" w:rsidRPr="009539D0" w:rsidRDefault="009B7E36" w:rsidP="009539D0">
      <w:r w:rsidRPr="009539D0">
        <w:t>The winter measurement program comprised of 52 separate monitors</w:t>
      </w:r>
      <w:r w:rsidR="00263CBF" w:rsidRPr="009539D0">
        <w:t>, a summary of their pla</w:t>
      </w:r>
      <w:r w:rsidR="00D13C60" w:rsidRPr="009539D0">
        <w:t>cements is provided in Table 2.1</w:t>
      </w:r>
      <w:r w:rsidRPr="009539D0">
        <w:t>. A further 24 were de</w:t>
      </w:r>
      <w:r w:rsidR="00263CBF" w:rsidRPr="009539D0">
        <w:t>ployed for the summer pr</w:t>
      </w:r>
      <w:r w:rsidR="00D13C60" w:rsidRPr="009539D0">
        <w:t>ogram, summarised in Table 2.2</w:t>
      </w:r>
      <w:r w:rsidR="00263CBF" w:rsidRPr="009539D0">
        <w:t>.</w:t>
      </w:r>
      <w:r w:rsidRPr="009539D0">
        <w:t xml:space="preserve"> </w:t>
      </w:r>
      <w:r w:rsidR="00FE6EE0" w:rsidRPr="009539D0">
        <w:t xml:space="preserve">The location of the monitors was </w:t>
      </w:r>
      <w:r w:rsidR="00263CBF" w:rsidRPr="009539D0">
        <w:t>categorised</w:t>
      </w:r>
      <w:r w:rsidR="00FE6EE0" w:rsidRPr="009539D0">
        <w:t xml:space="preserve"> using the following guidelines</w:t>
      </w:r>
      <w:r w:rsidR="00320909" w:rsidRPr="009539D0">
        <w:t>:</w:t>
      </w:r>
    </w:p>
    <w:p w:rsidR="00320909" w:rsidRDefault="00320909" w:rsidP="00B04B6C">
      <w:pPr>
        <w:pStyle w:val="ListBullet2"/>
        <w:numPr>
          <w:ilvl w:val="0"/>
          <w:numId w:val="25"/>
        </w:numPr>
      </w:pPr>
      <w:r>
        <w:t>The</w:t>
      </w:r>
      <w:r w:rsidR="00FE6EE0">
        <w:t xml:space="preserve"> </w:t>
      </w:r>
      <w:r w:rsidR="008C04E1">
        <w:t xml:space="preserve">number of buildings is </w:t>
      </w:r>
      <w:r w:rsidR="00DF5B91">
        <w:t>t</w:t>
      </w:r>
      <w:r w:rsidR="008C04E1">
        <w:t>he number of separate buildings at the station that had at least one radon monitor installed</w:t>
      </w:r>
      <w:r>
        <w:t>.</w:t>
      </w:r>
    </w:p>
    <w:p w:rsidR="00320909" w:rsidRDefault="008C04E1" w:rsidP="00B04B6C">
      <w:pPr>
        <w:pStyle w:val="ListBullet2"/>
        <w:numPr>
          <w:ilvl w:val="0"/>
          <w:numId w:val="25"/>
        </w:numPr>
      </w:pPr>
      <w:r>
        <w:t>Eac</w:t>
      </w:r>
      <w:r w:rsidR="00DF5B91">
        <w:t>h of the areas monitored were</w:t>
      </w:r>
      <w:r>
        <w:t xml:space="preserve"> divided into the categories </w:t>
      </w:r>
      <w:r w:rsidR="00DF5B91">
        <w:t xml:space="preserve">of </w:t>
      </w:r>
      <w:r w:rsidR="00320909">
        <w:t>l</w:t>
      </w:r>
      <w:r>
        <w:t xml:space="preserve">iving, </w:t>
      </w:r>
      <w:r w:rsidR="00320909">
        <w:t>c</w:t>
      </w:r>
      <w:r>
        <w:t xml:space="preserve">ommon and </w:t>
      </w:r>
      <w:r w:rsidR="00320909">
        <w:t>w</w:t>
      </w:r>
      <w:r>
        <w:t xml:space="preserve">ork </w:t>
      </w:r>
      <w:r w:rsidR="00320909">
        <w:t>s</w:t>
      </w:r>
      <w:r>
        <w:t>paces</w:t>
      </w:r>
      <w:r w:rsidR="001C46BD">
        <w:t xml:space="preserve">. </w:t>
      </w:r>
    </w:p>
    <w:p w:rsidR="00320909" w:rsidRDefault="00DF5B91" w:rsidP="00B04B6C">
      <w:pPr>
        <w:pStyle w:val="ListBullet2"/>
        <w:numPr>
          <w:ilvl w:val="0"/>
          <w:numId w:val="25"/>
        </w:numPr>
      </w:pPr>
      <w:r>
        <w:t xml:space="preserve">Multi-level buildings were divided into upstairs or downstairs. </w:t>
      </w:r>
    </w:p>
    <w:p w:rsidR="00320909" w:rsidRDefault="00DF5B91" w:rsidP="00B04B6C">
      <w:pPr>
        <w:pStyle w:val="ListBullet2"/>
        <w:numPr>
          <w:ilvl w:val="0"/>
          <w:numId w:val="25"/>
        </w:numPr>
      </w:pPr>
      <w:r>
        <w:t xml:space="preserve">Single level buildings were defined as downstairs only. </w:t>
      </w:r>
    </w:p>
    <w:p w:rsidR="00320909" w:rsidRDefault="00BC5B05" w:rsidP="00B04B6C">
      <w:pPr>
        <w:pStyle w:val="ListBullet2"/>
        <w:numPr>
          <w:ilvl w:val="0"/>
          <w:numId w:val="25"/>
        </w:numPr>
      </w:pPr>
      <w:r>
        <w:t xml:space="preserve">Living areas were defined as bedrooms and areas </w:t>
      </w:r>
      <w:r w:rsidR="00FE6EE0">
        <w:t>accessed</w:t>
      </w:r>
      <w:r>
        <w:t xml:space="preserve"> mostly by </w:t>
      </w:r>
      <w:r w:rsidR="008C04E1">
        <w:t>a single</w:t>
      </w:r>
      <w:r>
        <w:t xml:space="preserve"> person.</w:t>
      </w:r>
    </w:p>
    <w:p w:rsidR="00320909" w:rsidRDefault="00BC5B05" w:rsidP="00B04B6C">
      <w:pPr>
        <w:pStyle w:val="ListBullet2"/>
        <w:numPr>
          <w:ilvl w:val="0"/>
          <w:numId w:val="25"/>
        </w:numPr>
      </w:pPr>
      <w:r>
        <w:t xml:space="preserve">Common areas were defined as areas frequented by a number of people, such as corridors and </w:t>
      </w:r>
      <w:r w:rsidR="00263CBF">
        <w:t xml:space="preserve">shared </w:t>
      </w:r>
      <w:r>
        <w:t xml:space="preserve">recreational spaces. </w:t>
      </w:r>
      <w:r w:rsidR="00DF5B91">
        <w:t>Both of t</w:t>
      </w:r>
      <w:r w:rsidR="00802FBB">
        <w:t>hese areas could be used at any time of the day.</w:t>
      </w:r>
    </w:p>
    <w:p w:rsidR="00320909" w:rsidRDefault="00BC5B05" w:rsidP="00B04B6C">
      <w:pPr>
        <w:pStyle w:val="ListBullet2"/>
        <w:numPr>
          <w:ilvl w:val="0"/>
          <w:numId w:val="25"/>
        </w:numPr>
      </w:pPr>
      <w:r>
        <w:t xml:space="preserve">Work areas were defined as areas used solely for work purposes </w:t>
      </w:r>
      <w:r w:rsidR="008C04E1">
        <w:t xml:space="preserve">mostly occupied </w:t>
      </w:r>
      <w:r>
        <w:t xml:space="preserve">during working hours, such as offices and other workspaces </w:t>
      </w:r>
      <w:r w:rsidR="007D3454">
        <w:t xml:space="preserve">like </w:t>
      </w:r>
      <w:r w:rsidR="008C04E1">
        <w:t>a</w:t>
      </w:r>
      <w:r>
        <w:t xml:space="preserve"> doctor’s surgery </w:t>
      </w:r>
      <w:r w:rsidR="00802FBB">
        <w:t>or scientific laboratories.</w:t>
      </w:r>
      <w:r w:rsidR="001C46BD">
        <w:t xml:space="preserve"> </w:t>
      </w:r>
    </w:p>
    <w:p w:rsidR="00897E31" w:rsidRDefault="001C46BD" w:rsidP="00B74D0D">
      <w:pPr>
        <w:pStyle w:val="ListBullet2"/>
        <w:numPr>
          <w:ilvl w:val="0"/>
          <w:numId w:val="0"/>
        </w:numPr>
      </w:pPr>
      <w:r>
        <w:t>Each separate building could encompass several of each of the categories.</w:t>
      </w:r>
      <w:r w:rsidR="00D13C60">
        <w:t xml:space="preserve"> Photographs of some typical locations surveyed are shown in Figure 2.3 (Davis) and Figure 2.4 (Casey).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897E31" w:rsidTr="00897E31">
        <w:tc>
          <w:tcPr>
            <w:tcW w:w="4621" w:type="dxa"/>
          </w:tcPr>
          <w:p w:rsidR="00897E31" w:rsidRDefault="00BD325D" w:rsidP="00203D01">
            <w:pPr>
              <w:pStyle w:val="ListBullet2"/>
              <w:numPr>
                <w:ilvl w:val="0"/>
                <w:numId w:val="0"/>
              </w:numPr>
              <w:jc w:val="center"/>
            </w:pPr>
            <w:r>
              <w:rPr>
                <w:noProof/>
                <w:lang w:eastAsia="en-AU"/>
              </w:rPr>
              <w:lastRenderedPageBreak/>
              <w:drawing>
                <wp:inline distT="0" distB="0" distL="0" distR="0" wp14:anchorId="5EF63F0E" wp14:editId="27DDE4B0">
                  <wp:extent cx="2808156" cy="18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3-1_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8156" cy="1872000"/>
                          </a:xfrm>
                          <a:prstGeom prst="rect">
                            <a:avLst/>
                          </a:prstGeom>
                        </pic:spPr>
                      </pic:pic>
                    </a:graphicData>
                  </a:graphic>
                </wp:inline>
              </w:drawing>
            </w:r>
          </w:p>
        </w:tc>
        <w:tc>
          <w:tcPr>
            <w:tcW w:w="4621" w:type="dxa"/>
          </w:tcPr>
          <w:p w:rsidR="00897E31" w:rsidRDefault="00BD325D" w:rsidP="00BD325D">
            <w:pPr>
              <w:pStyle w:val="ListBullet2"/>
              <w:numPr>
                <w:ilvl w:val="0"/>
                <w:numId w:val="0"/>
              </w:numPr>
              <w:jc w:val="center"/>
            </w:pPr>
            <w:r>
              <w:rPr>
                <w:noProof/>
                <w:lang w:eastAsia="en-AU"/>
              </w:rPr>
              <w:drawing>
                <wp:inline distT="0" distB="0" distL="0" distR="0" wp14:anchorId="069AFD4C" wp14:editId="02F3F96C">
                  <wp:extent cx="2808156" cy="18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1_smal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8156" cy="1872000"/>
                          </a:xfrm>
                          <a:prstGeom prst="rect">
                            <a:avLst/>
                          </a:prstGeom>
                        </pic:spPr>
                      </pic:pic>
                    </a:graphicData>
                  </a:graphic>
                </wp:inline>
              </w:drawing>
            </w:r>
          </w:p>
        </w:tc>
      </w:tr>
    </w:tbl>
    <w:p w:rsidR="00BC5B05" w:rsidRPr="00C4542B" w:rsidRDefault="00BD325D" w:rsidP="00B04B6C">
      <w:pPr>
        <w:pStyle w:val="Figure"/>
        <w:spacing w:before="120"/>
      </w:pPr>
      <w:r w:rsidRPr="00783B4C">
        <w:t>Figure</w:t>
      </w:r>
      <w:r w:rsidR="00FC12E9" w:rsidRPr="00783B4C">
        <w:t xml:space="preserve"> 2.3</w:t>
      </w:r>
      <w:r w:rsidRPr="00C4542B">
        <w:t>:</w:t>
      </w:r>
      <w:r w:rsidRPr="00C4542B">
        <w:tab/>
        <w:t>Ty</w:t>
      </w:r>
      <w:r w:rsidR="00D12945" w:rsidRPr="00C4542B">
        <w:t>pical</w:t>
      </w:r>
      <w:r w:rsidRPr="00C4542B">
        <w:t xml:space="preserve"> locations </w:t>
      </w:r>
      <w:r w:rsidR="00D12945" w:rsidRPr="00C4542B">
        <w:t xml:space="preserve">used </w:t>
      </w:r>
      <w:r w:rsidRPr="00C4542B">
        <w:t>at Davis</w:t>
      </w:r>
      <w:r w:rsidR="00EE398D" w:rsidRPr="00C4542B">
        <w:t>:</w:t>
      </w:r>
      <w:r w:rsidR="00D12945" w:rsidRPr="00C4542B">
        <w:t xml:space="preserve"> </w:t>
      </w:r>
      <w:r w:rsidR="00320909" w:rsidRPr="00C4542B">
        <w:t>b</w:t>
      </w:r>
      <w:r w:rsidR="00EE398D" w:rsidRPr="00C4542B">
        <w:t xml:space="preserve">asement </w:t>
      </w:r>
      <w:r w:rsidR="00320909" w:rsidRPr="00C4542B">
        <w:t>b</w:t>
      </w:r>
      <w:r w:rsidR="00EE398D" w:rsidRPr="00C4542B">
        <w:t>rewery</w:t>
      </w:r>
      <w:r w:rsidR="00D12945" w:rsidRPr="00C4542B">
        <w:t xml:space="preserve"> (L)</w:t>
      </w:r>
      <w:r w:rsidR="00EE398D" w:rsidRPr="00C4542B">
        <w:t xml:space="preserve">, </w:t>
      </w:r>
      <w:r w:rsidR="00320909" w:rsidRPr="00C4542B">
        <w:t>w</w:t>
      </w:r>
      <w:r w:rsidR="00EE398D" w:rsidRPr="00C4542B">
        <w:t xml:space="preserve">estern </w:t>
      </w:r>
      <w:r w:rsidR="00320909" w:rsidRPr="00C4542B">
        <w:t>s</w:t>
      </w:r>
      <w:r w:rsidR="00EE398D" w:rsidRPr="00C4542B">
        <w:t xml:space="preserve">tairs </w:t>
      </w:r>
      <w:r w:rsidR="00320909" w:rsidRPr="00C4542B">
        <w:t>n</w:t>
      </w:r>
      <w:r w:rsidR="00EE398D" w:rsidRPr="00C4542B">
        <w:t xml:space="preserve">ew </w:t>
      </w:r>
      <w:r w:rsidR="00320909" w:rsidRPr="00C4542B">
        <w:t>l</w:t>
      </w:r>
      <w:r w:rsidR="00EE398D" w:rsidRPr="00C4542B">
        <w:t xml:space="preserve">iving </w:t>
      </w:r>
      <w:r w:rsidR="00320909" w:rsidRPr="00C4542B">
        <w:t>q</w:t>
      </w:r>
      <w:r w:rsidR="00EE398D" w:rsidRPr="00C4542B">
        <w:t>uarters</w:t>
      </w:r>
      <w:r w:rsidR="00D12945" w:rsidRPr="00C4542B">
        <w:t xml:space="preserve"> (R)</w:t>
      </w:r>
    </w:p>
    <w:p w:rsidR="00BD325D" w:rsidRDefault="00BD325D" w:rsidP="00B04B6C">
      <w:pPr>
        <w:pStyle w:val="ListBullet2"/>
        <w:numPr>
          <w:ilvl w:val="0"/>
          <w:numId w:val="0"/>
        </w:num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38"/>
        <w:gridCol w:w="4638"/>
      </w:tblGrid>
      <w:tr w:rsidR="00BD325D" w:rsidTr="00BD325D">
        <w:tc>
          <w:tcPr>
            <w:tcW w:w="4621" w:type="dxa"/>
          </w:tcPr>
          <w:p w:rsidR="00BD325D" w:rsidRDefault="00BD325D" w:rsidP="00BD325D">
            <w:pPr>
              <w:pStyle w:val="ListBullet2"/>
              <w:numPr>
                <w:ilvl w:val="0"/>
                <w:numId w:val="0"/>
              </w:numPr>
              <w:jc w:val="center"/>
            </w:pPr>
            <w:r>
              <w:rPr>
                <w:noProof/>
                <w:lang w:eastAsia="en-AU"/>
              </w:rPr>
              <w:drawing>
                <wp:inline distT="0" distB="0" distL="0" distR="0" wp14:anchorId="73772AC4" wp14:editId="3DB08B3A">
                  <wp:extent cx="2808155" cy="18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1-1_sm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8155" cy="1872000"/>
                          </a:xfrm>
                          <a:prstGeom prst="rect">
                            <a:avLst/>
                          </a:prstGeom>
                        </pic:spPr>
                      </pic:pic>
                    </a:graphicData>
                  </a:graphic>
                </wp:inline>
              </w:drawing>
            </w:r>
          </w:p>
        </w:tc>
        <w:tc>
          <w:tcPr>
            <w:tcW w:w="4621" w:type="dxa"/>
          </w:tcPr>
          <w:p w:rsidR="00BD325D" w:rsidRDefault="00BD325D" w:rsidP="00BD325D">
            <w:pPr>
              <w:pStyle w:val="ListBullet2"/>
              <w:numPr>
                <w:ilvl w:val="0"/>
                <w:numId w:val="0"/>
              </w:numPr>
              <w:jc w:val="center"/>
            </w:pPr>
            <w:r>
              <w:rPr>
                <w:noProof/>
                <w:lang w:eastAsia="en-AU"/>
              </w:rPr>
              <w:drawing>
                <wp:inline distT="0" distB="0" distL="0" distR="0" wp14:anchorId="38DA1633" wp14:editId="21926C1C">
                  <wp:extent cx="2808157" cy="18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0-1_smal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08157" cy="1872000"/>
                          </a:xfrm>
                          <a:prstGeom prst="rect">
                            <a:avLst/>
                          </a:prstGeom>
                        </pic:spPr>
                      </pic:pic>
                    </a:graphicData>
                  </a:graphic>
                </wp:inline>
              </w:drawing>
            </w:r>
          </w:p>
        </w:tc>
      </w:tr>
    </w:tbl>
    <w:p w:rsidR="00BD325D" w:rsidRDefault="00BD325D" w:rsidP="00B04B6C">
      <w:pPr>
        <w:pStyle w:val="Figure"/>
        <w:spacing w:before="120"/>
      </w:pPr>
      <w:r w:rsidRPr="00C84397">
        <w:t>Figure</w:t>
      </w:r>
      <w:r w:rsidR="00FC12E9">
        <w:t xml:space="preserve"> 2.4</w:t>
      </w:r>
      <w:r w:rsidRPr="00C84397">
        <w:t>:</w:t>
      </w:r>
      <w:r w:rsidRPr="00C84397">
        <w:tab/>
      </w:r>
      <w:r>
        <w:t>T</w:t>
      </w:r>
      <w:r w:rsidR="00D12945">
        <w:t xml:space="preserve">ypical </w:t>
      </w:r>
      <w:r>
        <w:t xml:space="preserve">locations </w:t>
      </w:r>
      <w:r w:rsidR="00D12945">
        <w:t xml:space="preserve">used </w:t>
      </w:r>
      <w:r>
        <w:t>at Casey</w:t>
      </w:r>
      <w:r w:rsidR="00EE398D">
        <w:t>:</w:t>
      </w:r>
      <w:r w:rsidR="00D12945">
        <w:t xml:space="preserve"> </w:t>
      </w:r>
      <w:r w:rsidR="00EE398D">
        <w:t>Red Shed Wallow</w:t>
      </w:r>
      <w:r w:rsidR="00D12945">
        <w:t xml:space="preserve"> (L)</w:t>
      </w:r>
      <w:r w:rsidR="00EE398D">
        <w:t xml:space="preserve">, </w:t>
      </w:r>
      <w:r w:rsidR="00D1729D">
        <w:t>m</w:t>
      </w:r>
      <w:r w:rsidR="00EE398D">
        <w:t xml:space="preserve">et </w:t>
      </w:r>
      <w:r w:rsidR="00D1729D">
        <w:t>o</w:t>
      </w:r>
      <w:r w:rsidR="00EE398D">
        <w:t xml:space="preserve">ffice </w:t>
      </w:r>
      <w:r w:rsidR="00D1729D">
        <w:t>w</w:t>
      </w:r>
      <w:r w:rsidR="00EE398D">
        <w:t xml:space="preserve">est </w:t>
      </w:r>
      <w:r w:rsidR="00D1729D">
        <w:t>w</w:t>
      </w:r>
      <w:r w:rsidR="00EE398D">
        <w:t>indow</w:t>
      </w:r>
      <w:r w:rsidR="00D12945">
        <w:t xml:space="preserve"> (R)</w:t>
      </w:r>
    </w:p>
    <w:p w:rsidR="00113D75" w:rsidRDefault="00113D75" w:rsidP="00B74D0D">
      <w:pPr>
        <w:pStyle w:val="ListBullet2"/>
        <w:numPr>
          <w:ilvl w:val="0"/>
          <w:numId w:val="0"/>
        </w:numPr>
      </w:pPr>
    </w:p>
    <w:p w:rsidR="00142A7E" w:rsidRDefault="00142A7E" w:rsidP="00B74D0D">
      <w:pPr>
        <w:pStyle w:val="ListBullet2"/>
        <w:numPr>
          <w:ilvl w:val="0"/>
          <w:numId w:val="0"/>
        </w:numPr>
      </w:pPr>
      <w:r>
        <w:t>For the long-term or winter monitors, 40</w:t>
      </w:r>
      <w:r w:rsidR="00DF6FF5">
        <w:t>%</w:t>
      </w:r>
      <w:r>
        <w:t xml:space="preserve"> were located in occupational (or work) areas. The remaining 60</w:t>
      </w:r>
      <w:r w:rsidR="00DF6FF5">
        <w:t>%</w:t>
      </w:r>
      <w:r>
        <w:t xml:space="preserve"> were located in living or common areas.</w:t>
      </w:r>
    </w:p>
    <w:p w:rsidR="008A55F6" w:rsidRDefault="008A55F6" w:rsidP="00B74D0D">
      <w:pPr>
        <w:pStyle w:val="ListBullet2"/>
        <w:numPr>
          <w:ilvl w:val="0"/>
          <w:numId w:val="0"/>
        </w:numPr>
      </w:pPr>
      <w:r>
        <w:t xml:space="preserve">For </w:t>
      </w:r>
      <w:r w:rsidR="00142A7E">
        <w:t>summer monitors</w:t>
      </w:r>
      <w:r>
        <w:t xml:space="preserve">, approximately one third of the monitors were </w:t>
      </w:r>
      <w:r w:rsidR="00CC5B0E">
        <w:t xml:space="preserve">located </w:t>
      </w:r>
      <w:r>
        <w:t xml:space="preserve">in </w:t>
      </w:r>
      <w:r w:rsidR="00CC5B0E">
        <w:t>work areas</w:t>
      </w:r>
      <w:r>
        <w:t xml:space="preserve">. The remaining two thirds </w:t>
      </w:r>
      <w:r w:rsidR="00521A55">
        <w:t xml:space="preserve">were located in </w:t>
      </w:r>
      <w:r>
        <w:t>areas classed as living or common areas.</w:t>
      </w:r>
    </w:p>
    <w:p w:rsidR="00C22693" w:rsidRDefault="00C22693" w:rsidP="00C22693">
      <w:pPr>
        <w:pStyle w:val="Heading3"/>
      </w:pPr>
      <w:r>
        <w:t>Issues with monitor locations</w:t>
      </w:r>
    </w:p>
    <w:p w:rsidR="00C22693" w:rsidRPr="00C22693" w:rsidRDefault="00C22693" w:rsidP="00B74D0D">
      <w:r>
        <w:t>The intention of the project was to take radon measurements in as wide a range of locations as possible at each station. It was expected that monitors would be deployed in common areas, personal areas</w:t>
      </w:r>
      <w:r w:rsidR="00CC0A26">
        <w:t xml:space="preserve"> (i.e. sleeping quarters)</w:t>
      </w:r>
      <w:r>
        <w:t xml:space="preserve"> and working areas, encompassing both upstairs and downstairs (and possibly below ground) locations. It was also expected that a range of buildings at the station would be measured. </w:t>
      </w:r>
      <w:r w:rsidR="0053628F">
        <w:t>The instructions given (</w:t>
      </w:r>
      <w:r w:rsidR="00CC0A26">
        <w:t>see</w:t>
      </w:r>
      <w:r w:rsidR="0053628F">
        <w:t xml:space="preserve"> </w:t>
      </w:r>
      <w:r w:rsidR="00D13C60">
        <w:t>Appendix A1.1</w:t>
      </w:r>
      <w:r w:rsidR="0053628F">
        <w:t xml:space="preserve">) gave as much latitude as possible to the </w:t>
      </w:r>
      <w:r w:rsidR="00CC0A26">
        <w:t xml:space="preserve">AAD </w:t>
      </w:r>
      <w:r w:rsidR="0053628F">
        <w:t>staff on site</w:t>
      </w:r>
      <w:r w:rsidR="00004A95">
        <w:t xml:space="preserve"> to make decisions on where to place monitors</w:t>
      </w:r>
      <w:r w:rsidR="0053628F">
        <w:t xml:space="preserve">. </w:t>
      </w:r>
      <w:r>
        <w:t xml:space="preserve">These expectations have </w:t>
      </w:r>
      <w:r w:rsidR="0053628F">
        <w:t xml:space="preserve">largely </w:t>
      </w:r>
      <w:r>
        <w:t xml:space="preserve">been met, with certain limitations. </w:t>
      </w:r>
      <w:r w:rsidR="0053628F">
        <w:t>For instance, Macquarie Island had monitors deployed across a range of buildings, with no more than</w:t>
      </w:r>
      <w:r w:rsidR="00004A95">
        <w:t xml:space="preserve"> two in any given building, which was exactly as intended.</w:t>
      </w:r>
      <w:r w:rsidR="0053628F">
        <w:t xml:space="preserve"> Whereas, at the other end of the scale, Davis had all </w:t>
      </w:r>
      <w:r w:rsidR="00D1729D">
        <w:t xml:space="preserve">thirteen </w:t>
      </w:r>
      <w:r w:rsidR="0053628F">
        <w:t xml:space="preserve">monitors deployed in various rooms in </w:t>
      </w:r>
      <w:r w:rsidR="00DD2382">
        <w:t xml:space="preserve">what appears to be </w:t>
      </w:r>
      <w:r w:rsidR="0053628F">
        <w:t>a single building</w:t>
      </w:r>
      <w:r w:rsidR="00CC0A26">
        <w:t>.</w:t>
      </w:r>
      <w:r w:rsidR="0053628F">
        <w:t xml:space="preserve"> This building does include areas that </w:t>
      </w:r>
      <w:r w:rsidR="0053628F">
        <w:lastRenderedPageBreak/>
        <w:t xml:space="preserve">encompass the </w:t>
      </w:r>
      <w:r w:rsidR="00D1729D">
        <w:t xml:space="preserve">three </w:t>
      </w:r>
      <w:r w:rsidR="0053628F">
        <w:t xml:space="preserve">classes of area, </w:t>
      </w:r>
      <w:r w:rsidR="00FD7591">
        <w:t>as well as</w:t>
      </w:r>
      <w:r w:rsidR="0053628F">
        <w:t xml:space="preserve"> upper and lower storeys. However, there is no information regarding any of the other buildings</w:t>
      </w:r>
      <w:r w:rsidR="00263CBF">
        <w:t xml:space="preserve"> on the Davis site, so the data, whilst covering all of the required options </w:t>
      </w:r>
      <w:r w:rsidR="0053628F">
        <w:t>is of limited use.</w:t>
      </w:r>
      <w:r w:rsidR="00E573E2">
        <w:t xml:space="preserve"> Casey and Mawson were both similar in that </w:t>
      </w:r>
      <w:r w:rsidR="00D1729D">
        <w:t xml:space="preserve">three </w:t>
      </w:r>
      <w:r w:rsidR="00E573E2">
        <w:t xml:space="preserve">or </w:t>
      </w:r>
      <w:r w:rsidR="00D1729D">
        <w:t xml:space="preserve">four </w:t>
      </w:r>
      <w:r w:rsidR="00E573E2">
        <w:t>buildings were measured, with the bulk of the monitors in both cases deployed in various rooms of the main living quarters (</w:t>
      </w:r>
      <w:r w:rsidR="00703397">
        <w:t xml:space="preserve">usually referred to as </w:t>
      </w:r>
      <w:r w:rsidR="00E573E2">
        <w:t xml:space="preserve">the </w:t>
      </w:r>
      <w:r w:rsidR="00DF6FF5">
        <w:t>‘</w:t>
      </w:r>
      <w:r w:rsidR="00E573E2">
        <w:t>Red Shed</w:t>
      </w:r>
      <w:r w:rsidR="00DF6FF5">
        <w:t>’</w:t>
      </w:r>
      <w:r w:rsidR="00E573E2">
        <w:t>) with the remaining monitors used in buildings designated as working areas.</w:t>
      </w:r>
      <w:r w:rsidR="00F35175">
        <w:t xml:space="preserve"> These limitations, although less than ideal, have given a good spread of data at some of the stations, and have allowed in-depth measurements of some </w:t>
      </w:r>
      <w:r w:rsidR="00FB05EE">
        <w:t>high-use</w:t>
      </w:r>
      <w:r w:rsidR="00F35175">
        <w:t xml:space="preserve"> buildings at </w:t>
      </w:r>
      <w:r w:rsidR="00FB05EE">
        <w:t xml:space="preserve">the </w:t>
      </w:r>
      <w:r w:rsidR="00F35175">
        <w:t>other stations.</w:t>
      </w:r>
      <w:r w:rsidR="00FB05EE">
        <w:t xml:space="preserve"> The summer deployment showed similar traits, which was to be expected due to the reduced number of monitors, using previously identified locations.</w:t>
      </w:r>
    </w:p>
    <w:p w:rsidR="00C22693" w:rsidRDefault="00C22693">
      <w:pPr>
        <w:spacing w:before="0" w:line="240" w:lineRule="auto"/>
      </w:pPr>
      <w:r>
        <w:br w:type="page"/>
      </w:r>
    </w:p>
    <w:p w:rsidR="007C1637" w:rsidRPr="007C1637" w:rsidRDefault="00D441AD" w:rsidP="007C1637">
      <w:pPr>
        <w:pStyle w:val="Heading1"/>
      </w:pPr>
      <w:bookmarkStart w:id="16" w:name="_Toc474844669"/>
      <w:r>
        <w:lastRenderedPageBreak/>
        <w:t xml:space="preserve">Monitor </w:t>
      </w:r>
      <w:r w:rsidR="00D1729D">
        <w:t>r</w:t>
      </w:r>
      <w:r>
        <w:t xml:space="preserve">aw </w:t>
      </w:r>
      <w:r w:rsidR="00D1729D">
        <w:t>r</w:t>
      </w:r>
      <w:r w:rsidR="00417DE3">
        <w:t>esults</w:t>
      </w:r>
      <w:bookmarkEnd w:id="16"/>
      <w:r w:rsidR="00417DE3">
        <w:t xml:space="preserve"> </w:t>
      </w:r>
    </w:p>
    <w:p w:rsidR="00B926B6" w:rsidRPr="004A4946" w:rsidRDefault="00B926B6" w:rsidP="0015667E">
      <w:pPr>
        <w:jc w:val="both"/>
      </w:pPr>
      <w:r>
        <w:t>There were two sets of monitors deployed to the four Antarctic stations. The first set of 52 monitors was intended to be left in place for as clos</w:t>
      </w:r>
      <w:bookmarkStart w:id="17" w:name="_GoBack"/>
      <w:bookmarkEnd w:id="17"/>
      <w:r>
        <w:t xml:space="preserve">e to one year as possible. These monitors will be referred to as </w:t>
      </w:r>
      <w:r w:rsidR="00DF6FF5">
        <w:t>‘</w:t>
      </w:r>
      <w:proofErr w:type="gramStart"/>
      <w:r>
        <w:t>Winter</w:t>
      </w:r>
      <w:proofErr w:type="gramEnd"/>
      <w:r w:rsidR="00DF6FF5">
        <w:t>’</w:t>
      </w:r>
      <w:r>
        <w:t xml:space="preserve"> monitors. The second smaller set of 2</w:t>
      </w:r>
      <w:r w:rsidR="00AA2F16">
        <w:t>4</w:t>
      </w:r>
      <w:r>
        <w:t xml:space="preserve"> monitors</w:t>
      </w:r>
      <w:r w:rsidR="00393096">
        <w:t xml:space="preserve"> </w:t>
      </w:r>
      <w:r w:rsidR="009539D0">
        <w:t>was</w:t>
      </w:r>
      <w:r>
        <w:t xml:space="preserve"> to be deployed alongside selected winter monitors for a one to two month period during the summer season only. These monitors will be referred to as </w:t>
      </w:r>
      <w:r w:rsidR="00DF6FF5">
        <w:t>‘</w:t>
      </w:r>
      <w:r>
        <w:t>Summer</w:t>
      </w:r>
      <w:r w:rsidR="00DF6FF5">
        <w:t>’</w:t>
      </w:r>
      <w:r>
        <w:t xml:space="preserve"> monitors.</w:t>
      </w:r>
    </w:p>
    <w:p w:rsidR="007C1637" w:rsidRDefault="00D441AD">
      <w:pPr>
        <w:pStyle w:val="Heading2"/>
      </w:pPr>
      <w:bookmarkStart w:id="18" w:name="_Toc474844670"/>
      <w:r>
        <w:t>Winter</w:t>
      </w:r>
      <w:bookmarkEnd w:id="18"/>
    </w:p>
    <w:p w:rsidR="0028397B" w:rsidRDefault="00B926B6" w:rsidP="00B04B6C">
      <w:r>
        <w:t xml:space="preserve">The winter monitors were deployed for a minimum of 295 days up to a maximum of 404 days. These periods are well above the recommended minimum exposure period for ARPANSA’s SANTECS system to measure environmental levels of radon. </w:t>
      </w:r>
      <w:r w:rsidRPr="00B772D1">
        <w:t>The winter monitor radon concentration r</w:t>
      </w:r>
      <w:r>
        <w:t xml:space="preserve">esults are plotted in </w:t>
      </w:r>
      <w:r w:rsidR="00320909">
        <w:t>F</w:t>
      </w:r>
      <w:r>
        <w:t>igure 3.1</w:t>
      </w:r>
      <w:r w:rsidRPr="00B772D1">
        <w:t xml:space="preserve">. All monitors, with the exception of a single monitor from Davis </w:t>
      </w:r>
      <w:r w:rsidR="00C8236D">
        <w:t>recorded results less than</w:t>
      </w:r>
      <w:r w:rsidRPr="00B772D1">
        <w:t xml:space="preserve"> 30 Bq.m</w:t>
      </w:r>
      <w:r w:rsidRPr="00B772D1">
        <w:rPr>
          <w:vertAlign w:val="superscript"/>
        </w:rPr>
        <w:t>-3</w:t>
      </w:r>
      <w:r w:rsidRPr="00B772D1">
        <w:t>. There is a variation from a few Bq.m</w:t>
      </w:r>
      <w:r w:rsidRPr="00B772D1">
        <w:rPr>
          <w:vertAlign w:val="superscript"/>
        </w:rPr>
        <w:t>-3</w:t>
      </w:r>
      <w:r w:rsidRPr="00B772D1">
        <w:t xml:space="preserve"> up to 25 Bq.m</w:t>
      </w:r>
      <w:r w:rsidRPr="00B772D1">
        <w:rPr>
          <w:vertAlign w:val="superscript"/>
        </w:rPr>
        <w:t>-3</w:t>
      </w:r>
      <w:r w:rsidRPr="00B772D1">
        <w:t xml:space="preserve"> or greater at all four stations. The highest level recorded was </w:t>
      </w:r>
      <w:r>
        <w:t xml:space="preserve">by monitor #3 </w:t>
      </w:r>
      <w:r w:rsidRPr="00B772D1">
        <w:t xml:space="preserve">at the Davis </w:t>
      </w:r>
      <w:r w:rsidR="00DF6FF5">
        <w:t>‘</w:t>
      </w:r>
      <w:r w:rsidRPr="00B772D1">
        <w:t>Basement Brewery</w:t>
      </w:r>
      <w:r w:rsidR="00DF6FF5">
        <w:t>’</w:t>
      </w:r>
      <w:r w:rsidRPr="00B772D1">
        <w:t xml:space="preserve">, an area partially underground with approximately half of the surface area of the room </w:t>
      </w:r>
      <w:r>
        <w:t>below the level of</w:t>
      </w:r>
      <w:r w:rsidRPr="00B772D1">
        <w:t xml:space="preserve"> the underlying rock base.</w:t>
      </w:r>
      <w:r>
        <w:t xml:space="preserve"> Also of interest was Mawson monitor #12. This monitor was placed under</w:t>
      </w:r>
      <w:r w:rsidR="0015667E">
        <w:t xml:space="preserve"> </w:t>
      </w:r>
      <w:r w:rsidR="00A558E3">
        <w:t xml:space="preserve">polyethylene sheeting in direct contact with the rock in the crawlspace beneath the Mawson </w:t>
      </w:r>
      <w:r w:rsidR="00DF6FF5">
        <w:t>‘</w:t>
      </w:r>
      <w:r w:rsidR="00A558E3">
        <w:t>Red Shed</w:t>
      </w:r>
      <w:r w:rsidR="00DF6FF5">
        <w:t>’</w:t>
      </w:r>
      <w:r w:rsidR="00A558E3">
        <w:t>. This monitor returned 30 Bq.m</w:t>
      </w:r>
      <w:r w:rsidR="00A558E3" w:rsidRPr="00A558E3">
        <w:rPr>
          <w:vertAlign w:val="superscript"/>
        </w:rPr>
        <w:t>-3</w:t>
      </w:r>
      <w:r w:rsidR="00A558E3">
        <w:t>, the highest value of the winter monitors placed at Mawson.</w:t>
      </w:r>
      <w:r w:rsidR="002F046A">
        <w:t xml:space="preserve"> The lowest </w:t>
      </w:r>
      <w:r w:rsidR="00DF6FF5">
        <w:t>‘</w:t>
      </w:r>
      <w:r w:rsidR="002F046A">
        <w:t>maximum</w:t>
      </w:r>
      <w:r w:rsidR="00DF6FF5">
        <w:t>’</w:t>
      </w:r>
      <w:r w:rsidR="002F046A">
        <w:t xml:space="preserve"> value of the winter program was 21 Bq.m</w:t>
      </w:r>
      <w:r w:rsidR="002F046A" w:rsidRPr="002F046A">
        <w:rPr>
          <w:vertAlign w:val="superscript"/>
        </w:rPr>
        <w:t>-3</w:t>
      </w:r>
      <w:r w:rsidR="002F046A">
        <w:t>, recorded in two locations at Casey</w:t>
      </w:r>
      <w:r w:rsidR="005A5F6C">
        <w:t>, monitors 8 and 11. These record</w:t>
      </w:r>
      <w:r w:rsidR="002F046A">
        <w:t>ed a s</w:t>
      </w:r>
      <w:r w:rsidR="00DD2382">
        <w:t xml:space="preserve">tairwell in the </w:t>
      </w:r>
      <w:r w:rsidR="00DF6FF5">
        <w:t>‘</w:t>
      </w:r>
      <w:r w:rsidR="00DD2382">
        <w:t>Red Shed</w:t>
      </w:r>
      <w:r w:rsidR="00DF6FF5">
        <w:t>’</w:t>
      </w:r>
      <w:r w:rsidR="00DD2382">
        <w:t xml:space="preserve"> and t</w:t>
      </w:r>
      <w:r w:rsidR="002F046A">
        <w:t>he plant inspector’s office of the Workshop, respectively.</w:t>
      </w:r>
    </w:p>
    <w:p w:rsidR="00C4542B" w:rsidRDefault="00D1729D" w:rsidP="00B04B6C">
      <w:r w:rsidRPr="00C70223">
        <w:rPr>
          <w:noProof/>
          <w:lang w:eastAsia="en-AU"/>
        </w:rPr>
        <w:drawing>
          <wp:inline distT="0" distB="0" distL="0" distR="0" wp14:anchorId="7117D056" wp14:editId="39A05938">
            <wp:extent cx="5731510" cy="3329305"/>
            <wp:effectExtent l="0" t="0" r="254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1729D" w:rsidRDefault="00D1729D" w:rsidP="001D3F42">
      <w:pPr>
        <w:pStyle w:val="Figure"/>
      </w:pPr>
      <w:r w:rsidRPr="00783B4C">
        <w:t>Figure</w:t>
      </w:r>
      <w:r>
        <w:t xml:space="preserve"> 3.1</w:t>
      </w:r>
      <w:r w:rsidRPr="00C84397">
        <w:t>:</w:t>
      </w:r>
      <w:r w:rsidRPr="00C84397">
        <w:tab/>
      </w:r>
      <w:r>
        <w:t xml:space="preserve">Radon concentrations for </w:t>
      </w:r>
      <w:r w:rsidRPr="00783B4C">
        <w:t>all</w:t>
      </w:r>
      <w:r>
        <w:t xml:space="preserve"> monitors used in the </w:t>
      </w:r>
      <w:r w:rsidR="001E5D5A">
        <w:t>f</w:t>
      </w:r>
      <w:r>
        <w:t xml:space="preserve">ull </w:t>
      </w:r>
      <w:r w:rsidR="001E5D5A">
        <w:t>y</w:t>
      </w:r>
      <w:r>
        <w:t>ear/</w:t>
      </w:r>
      <w:r w:rsidR="001E5D5A">
        <w:t>w</w:t>
      </w:r>
      <w:r>
        <w:t>inter portion of the study</w:t>
      </w:r>
    </w:p>
    <w:p w:rsidR="008B4BA7" w:rsidRDefault="00D441AD" w:rsidP="008B4BA7">
      <w:pPr>
        <w:pStyle w:val="Heading2"/>
      </w:pPr>
      <w:bookmarkStart w:id="19" w:name="_Toc474833090"/>
      <w:bookmarkStart w:id="20" w:name="_Toc474836538"/>
      <w:bookmarkStart w:id="21" w:name="_Toc474844671"/>
      <w:bookmarkEnd w:id="19"/>
      <w:bookmarkEnd w:id="20"/>
      <w:r>
        <w:lastRenderedPageBreak/>
        <w:t>Summer</w:t>
      </w:r>
      <w:bookmarkEnd w:id="21"/>
    </w:p>
    <w:p w:rsidR="00892875" w:rsidRPr="00892875" w:rsidRDefault="00892875" w:rsidP="00B74D0D">
      <w:r>
        <w:t xml:space="preserve">The summer season is usually thought of as the period of warmer weather where the sea ice retreats and the mainland stations are all accessible by ship. Over the period of this survey, the </w:t>
      </w:r>
      <w:r w:rsidR="00B926B6">
        <w:t>AAD</w:t>
      </w:r>
      <w:r>
        <w:t xml:space="preserve"> was operating a single ship, the </w:t>
      </w:r>
      <w:r w:rsidRPr="00892875">
        <w:rPr>
          <w:i/>
        </w:rPr>
        <w:t>RSV Aurora Australis</w:t>
      </w:r>
      <w:r w:rsidR="00FB0682">
        <w:t xml:space="preserve">, to access the stations. The </w:t>
      </w:r>
      <w:r w:rsidR="004B55D6" w:rsidRPr="004B55D6">
        <w:rPr>
          <w:i/>
        </w:rPr>
        <w:t>Aurora</w:t>
      </w:r>
      <w:r w:rsidR="00FB0682">
        <w:t xml:space="preserve"> is only able to make </w:t>
      </w:r>
      <w:r w:rsidR="001E5D5A">
        <w:t>two</w:t>
      </w:r>
      <w:r w:rsidR="00FB0682">
        <w:t xml:space="preserve"> to </w:t>
      </w:r>
      <w:r w:rsidR="001E5D5A">
        <w:t>three</w:t>
      </w:r>
      <w:r w:rsidR="00FB0682">
        <w:t xml:space="preserve"> visits to each station over the summer period. </w:t>
      </w:r>
      <w:r w:rsidR="009867CC">
        <w:t xml:space="preserve">Monitors were able to be left for </w:t>
      </w:r>
      <w:r w:rsidR="00C43A17">
        <w:t>a longer period</w:t>
      </w:r>
      <w:r w:rsidR="009867CC">
        <w:t xml:space="preserve"> at Casey</w:t>
      </w:r>
      <w:r w:rsidR="00860935">
        <w:t xml:space="preserve"> (nearly double that of the other stations)</w:t>
      </w:r>
      <w:r w:rsidR="009867CC">
        <w:t xml:space="preserve">, as it </w:t>
      </w:r>
      <w:r w:rsidR="00860935">
        <w:t>has recently become</w:t>
      </w:r>
      <w:r w:rsidR="009867CC">
        <w:t xml:space="preserve"> accessible by air </w:t>
      </w:r>
      <w:r w:rsidR="004B55D6">
        <w:t xml:space="preserve">direct from Hobart </w:t>
      </w:r>
      <w:r w:rsidR="009867CC">
        <w:t xml:space="preserve">during the summer season. This enables more visits to the station over </w:t>
      </w:r>
      <w:r w:rsidR="00C43A17">
        <w:t>a longer summer season</w:t>
      </w:r>
      <w:r w:rsidR="009867CC">
        <w:t xml:space="preserve">, relative to the traditional shipping season. </w:t>
      </w:r>
      <w:r w:rsidR="00FB0682">
        <w:t xml:space="preserve">As a result, the maximum period that the summer monitors could be placed was 56 days, with a minimum of 27 days. These times are </w:t>
      </w:r>
      <w:r w:rsidR="0053224B">
        <w:t>much less than</w:t>
      </w:r>
      <w:r w:rsidR="00FB0682">
        <w:t xml:space="preserve"> the minimum recommended placement for ARPANSA’s CR-39 track-et</w:t>
      </w:r>
      <w:r w:rsidR="00860935">
        <w:t xml:space="preserve">ch monitors of </w:t>
      </w:r>
      <w:r w:rsidR="00DD2382">
        <w:t xml:space="preserve">100 days </w:t>
      </w:r>
      <w:r w:rsidR="00860935">
        <w:t xml:space="preserve">(or </w:t>
      </w:r>
      <w:r w:rsidR="00FB0682">
        <w:t xml:space="preserve">approximately </w:t>
      </w:r>
      <w:r w:rsidR="001E5D5A">
        <w:t>three</w:t>
      </w:r>
      <w:r w:rsidR="00DD2382">
        <w:t xml:space="preserve"> months</w:t>
      </w:r>
      <w:r w:rsidR="00FB0682">
        <w:t>)</w:t>
      </w:r>
      <w:r w:rsidR="00607FB8">
        <w:t xml:space="preserve"> (Tate and Long 2016)</w:t>
      </w:r>
      <w:r w:rsidR="00FB0682">
        <w:t xml:space="preserve">. </w:t>
      </w:r>
      <w:r w:rsidR="004B55D6">
        <w:t>As a result, all data</w:t>
      </w:r>
      <w:r w:rsidR="00FB0682">
        <w:t xml:space="preserve"> collected in this portion of the program are then subject to </w:t>
      </w:r>
      <w:r w:rsidR="004B55D6">
        <w:t xml:space="preserve">a </w:t>
      </w:r>
      <w:r w:rsidR="00FB0682">
        <w:t>large</w:t>
      </w:r>
      <w:r w:rsidR="004B55D6">
        <w:t>r than usual</w:t>
      </w:r>
      <w:r w:rsidR="00FB0682">
        <w:t xml:space="preserve"> uncertainty, which could be as high as 50%.</w:t>
      </w:r>
      <w:r w:rsidR="00C128B6">
        <w:t xml:space="preserve"> </w:t>
      </w:r>
    </w:p>
    <w:p w:rsidR="00783B4C" w:rsidRDefault="00D441AD" w:rsidP="00B04B6C">
      <w:pPr>
        <w:pStyle w:val="Figure"/>
      </w:pPr>
      <w:r>
        <w:rPr>
          <w:noProof/>
          <w:lang w:eastAsia="en-AU"/>
        </w:rPr>
        <w:drawing>
          <wp:inline distT="0" distB="0" distL="0" distR="0" wp14:anchorId="0D2E6FA3" wp14:editId="497D6D19">
            <wp:extent cx="5731510" cy="3329909"/>
            <wp:effectExtent l="0" t="0" r="2540"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D41FF" w:rsidRPr="00783B4C" w:rsidRDefault="00D441AD" w:rsidP="00B04B6C">
      <w:pPr>
        <w:pStyle w:val="Figure"/>
      </w:pPr>
      <w:r w:rsidRPr="00783B4C">
        <w:t xml:space="preserve">Figure </w:t>
      </w:r>
      <w:r w:rsidR="00FC12E9" w:rsidRPr="00783B4C">
        <w:t>3.</w:t>
      </w:r>
      <w:r w:rsidRPr="00783B4C">
        <w:t>2:</w:t>
      </w:r>
      <w:r w:rsidRPr="00783B4C">
        <w:tab/>
        <w:t xml:space="preserve">Radon concentrations for all monitors used in the </w:t>
      </w:r>
      <w:r w:rsidR="0015667E" w:rsidRPr="00783B4C">
        <w:t>s</w:t>
      </w:r>
      <w:r w:rsidRPr="00783B4C">
        <w:t>ummer portion of the study</w:t>
      </w:r>
    </w:p>
    <w:p w:rsidR="008C146C" w:rsidRPr="009539D0" w:rsidRDefault="006A4805" w:rsidP="00B74D0D">
      <w:pPr>
        <w:rPr>
          <w:spacing w:val="-2"/>
        </w:rPr>
      </w:pPr>
      <w:r w:rsidRPr="009539D0">
        <w:rPr>
          <w:spacing w:val="-2"/>
        </w:rPr>
        <w:t>The radon concentrations recorded at all four stations during the summer season are plotted in Figure 3.2. There were five monitors in total that exceeded 100 Bq.m</w:t>
      </w:r>
      <w:r w:rsidRPr="009539D0">
        <w:rPr>
          <w:spacing w:val="-2"/>
          <w:vertAlign w:val="superscript"/>
        </w:rPr>
        <w:t>-3</w:t>
      </w:r>
      <w:r w:rsidRPr="009539D0">
        <w:rPr>
          <w:spacing w:val="-2"/>
        </w:rPr>
        <w:t>, two each at Davis and Mawson, and one at Casey. Of these, only a single monitor from Davis exceeded the 200 Bq.m</w:t>
      </w:r>
      <w:r w:rsidRPr="009539D0">
        <w:rPr>
          <w:spacing w:val="-2"/>
          <w:vertAlign w:val="superscript"/>
        </w:rPr>
        <w:t>-3</w:t>
      </w:r>
      <w:r w:rsidRPr="009539D0">
        <w:rPr>
          <w:spacing w:val="-2"/>
        </w:rPr>
        <w:t xml:space="preserve"> action </w:t>
      </w:r>
      <w:proofErr w:type="gramStart"/>
      <w:r w:rsidRPr="009539D0">
        <w:rPr>
          <w:spacing w:val="-2"/>
        </w:rPr>
        <w:t>level</w:t>
      </w:r>
      <w:proofErr w:type="gramEnd"/>
      <w:r w:rsidRPr="009539D0">
        <w:rPr>
          <w:spacing w:val="-2"/>
        </w:rPr>
        <w:t xml:space="preserve"> for radon in dwellings. No monitors at Macquarie Island exceeded 50 Bq.m</w:t>
      </w:r>
      <w:r w:rsidRPr="009539D0">
        <w:rPr>
          <w:spacing w:val="-2"/>
          <w:vertAlign w:val="superscript"/>
        </w:rPr>
        <w:t>-3</w:t>
      </w:r>
      <w:r w:rsidRPr="009539D0">
        <w:rPr>
          <w:spacing w:val="-2"/>
        </w:rPr>
        <w:t>.</w:t>
      </w:r>
      <w:r w:rsidR="00244B68" w:rsidRPr="009539D0">
        <w:rPr>
          <w:spacing w:val="-2"/>
        </w:rPr>
        <w:t xml:space="preserve"> The Davis monitors were #16 and #19, the </w:t>
      </w:r>
      <w:r w:rsidR="0015667E" w:rsidRPr="009539D0">
        <w:rPr>
          <w:spacing w:val="-2"/>
        </w:rPr>
        <w:t>b</w:t>
      </w:r>
      <w:r w:rsidR="00244B68" w:rsidRPr="009539D0">
        <w:rPr>
          <w:spacing w:val="-2"/>
        </w:rPr>
        <w:t xml:space="preserve">asement </w:t>
      </w:r>
      <w:r w:rsidR="0015667E" w:rsidRPr="009539D0">
        <w:rPr>
          <w:spacing w:val="-2"/>
        </w:rPr>
        <w:t>b</w:t>
      </w:r>
      <w:r w:rsidR="00244B68" w:rsidRPr="009539D0">
        <w:rPr>
          <w:spacing w:val="-2"/>
        </w:rPr>
        <w:t xml:space="preserve">rewery and </w:t>
      </w:r>
      <w:r w:rsidR="0015667E" w:rsidRPr="009539D0">
        <w:rPr>
          <w:spacing w:val="-2"/>
        </w:rPr>
        <w:t>w</w:t>
      </w:r>
      <w:r w:rsidR="00244B68" w:rsidRPr="009539D0">
        <w:rPr>
          <w:spacing w:val="-2"/>
        </w:rPr>
        <w:t xml:space="preserve">estern </w:t>
      </w:r>
      <w:r w:rsidR="0015667E" w:rsidRPr="009539D0">
        <w:rPr>
          <w:spacing w:val="-2"/>
        </w:rPr>
        <w:t>s</w:t>
      </w:r>
      <w:r w:rsidR="00244B68" w:rsidRPr="009539D0">
        <w:rPr>
          <w:spacing w:val="-2"/>
        </w:rPr>
        <w:t xml:space="preserve">tairs. </w:t>
      </w:r>
      <w:r w:rsidR="00B90C35" w:rsidRPr="009539D0">
        <w:rPr>
          <w:spacing w:val="-2"/>
        </w:rPr>
        <w:t>The basement brewery rose from 41 to 137 Bq.m</w:t>
      </w:r>
      <w:r w:rsidR="00B90C35" w:rsidRPr="009539D0">
        <w:rPr>
          <w:spacing w:val="-2"/>
          <w:vertAlign w:val="superscript"/>
        </w:rPr>
        <w:t>-3</w:t>
      </w:r>
      <w:r w:rsidR="00B90C35" w:rsidRPr="009539D0">
        <w:rPr>
          <w:spacing w:val="-2"/>
        </w:rPr>
        <w:t>. This seems to be a likely increase as the room is partially underground, and has a single access door most often kept sealed. The western stairs rose from 5 to 207 Bq.m</w:t>
      </w:r>
      <w:r w:rsidR="00B90C35" w:rsidRPr="009539D0">
        <w:rPr>
          <w:spacing w:val="-2"/>
          <w:vertAlign w:val="superscript"/>
        </w:rPr>
        <w:t>-3</w:t>
      </w:r>
      <w:r w:rsidR="00B90C35" w:rsidRPr="009539D0">
        <w:rPr>
          <w:spacing w:val="-2"/>
        </w:rPr>
        <w:t>. Such a large increase seems unlikely, as the area monitored is an open thoroughfare with access from both directions and good air flows.</w:t>
      </w:r>
      <w:r w:rsidR="00393096" w:rsidRPr="009539D0">
        <w:rPr>
          <w:spacing w:val="-2"/>
        </w:rPr>
        <w:t xml:space="preserve"> </w:t>
      </w:r>
      <w:r w:rsidR="001419FB" w:rsidRPr="009539D0">
        <w:rPr>
          <w:spacing w:val="-2"/>
        </w:rPr>
        <w:t xml:space="preserve">Other monitors in similar areas of the same building did not measure such an increase. </w:t>
      </w:r>
      <w:r w:rsidR="000E6DDA" w:rsidRPr="009539D0">
        <w:rPr>
          <w:spacing w:val="-2"/>
        </w:rPr>
        <w:t>Otherwise, t</w:t>
      </w:r>
      <w:r w:rsidR="003228EB" w:rsidRPr="009539D0">
        <w:rPr>
          <w:spacing w:val="-2"/>
        </w:rPr>
        <w:t>he highest measured value in this building was 72 Bq.m</w:t>
      </w:r>
      <w:r w:rsidR="003228EB" w:rsidRPr="009539D0">
        <w:rPr>
          <w:spacing w:val="-2"/>
          <w:vertAlign w:val="superscript"/>
        </w:rPr>
        <w:t>-3</w:t>
      </w:r>
      <w:r w:rsidR="003228EB" w:rsidRPr="009539D0">
        <w:rPr>
          <w:spacing w:val="-2"/>
        </w:rPr>
        <w:t>,</w:t>
      </w:r>
      <w:r w:rsidR="0035767F" w:rsidRPr="009539D0">
        <w:rPr>
          <w:spacing w:val="-2"/>
        </w:rPr>
        <w:t xml:space="preserve"> by monitor</w:t>
      </w:r>
      <w:r w:rsidR="00393096" w:rsidRPr="009539D0">
        <w:rPr>
          <w:spacing w:val="-2"/>
        </w:rPr>
        <w:t xml:space="preserve"> </w:t>
      </w:r>
      <w:r w:rsidR="006D389F" w:rsidRPr="009539D0">
        <w:rPr>
          <w:spacing w:val="-2"/>
        </w:rPr>
        <w:t>Davis #</w:t>
      </w:r>
      <w:r w:rsidR="0035767F" w:rsidRPr="009539D0">
        <w:rPr>
          <w:spacing w:val="-2"/>
        </w:rPr>
        <w:t>20</w:t>
      </w:r>
      <w:r w:rsidR="003228EB" w:rsidRPr="009539D0">
        <w:rPr>
          <w:spacing w:val="-2"/>
        </w:rPr>
        <w:t xml:space="preserve">. </w:t>
      </w:r>
    </w:p>
    <w:p w:rsidR="008C146C" w:rsidRDefault="008C146C" w:rsidP="006A4805">
      <w:pPr>
        <w:jc w:val="both"/>
      </w:pPr>
      <w:r>
        <w:rPr>
          <w:noProof/>
          <w:lang w:eastAsia="en-AU"/>
        </w:rPr>
        <w:lastRenderedPageBreak/>
        <w:drawing>
          <wp:inline distT="0" distB="0" distL="0" distR="0" wp14:anchorId="54E64B1C" wp14:editId="21DC4CA9">
            <wp:extent cx="5731510" cy="3329909"/>
            <wp:effectExtent l="0" t="0" r="254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C146C" w:rsidRDefault="008C146C" w:rsidP="00B04B6C">
      <w:pPr>
        <w:pStyle w:val="Figure"/>
      </w:pPr>
      <w:r>
        <w:t>Figure 3.3: Summer/</w:t>
      </w:r>
      <w:r w:rsidR="00783B4C" w:rsidRPr="001D3F42">
        <w:t>w</w:t>
      </w:r>
      <w:r w:rsidRPr="001D3F42">
        <w:t>inter</w:t>
      </w:r>
      <w:r>
        <w:t xml:space="preserve"> increase factor</w:t>
      </w:r>
    </w:p>
    <w:p w:rsidR="00D37906" w:rsidRDefault="00244B68" w:rsidP="00B74D0D">
      <w:r>
        <w:t>At Mawson, the two monitors above 100 Bq.m</w:t>
      </w:r>
      <w:r w:rsidRPr="001419FB">
        <w:rPr>
          <w:vertAlign w:val="superscript"/>
        </w:rPr>
        <w:t>-3</w:t>
      </w:r>
      <w:r>
        <w:t xml:space="preserve"> were numbered 17 and 18,</w:t>
      </w:r>
      <w:r w:rsidR="00EE2E88">
        <w:t xml:space="preserve"> </w:t>
      </w:r>
      <w:r w:rsidR="00A95F86">
        <w:t>described</w:t>
      </w:r>
      <w:r>
        <w:t xml:space="preserve"> as</w:t>
      </w:r>
      <w:r w:rsidR="000E6DDA">
        <w:t xml:space="preserve"> the </w:t>
      </w:r>
      <w:r w:rsidR="00EE2E88">
        <w:t>k</w:t>
      </w:r>
      <w:r w:rsidR="000E6DDA">
        <w:t xml:space="preserve">itchen </w:t>
      </w:r>
      <w:proofErr w:type="gramStart"/>
      <w:r w:rsidR="000E6DDA">
        <w:t>centre island</w:t>
      </w:r>
      <w:proofErr w:type="gramEnd"/>
      <w:r w:rsidR="000E6DDA">
        <w:t xml:space="preserve"> and </w:t>
      </w:r>
      <w:r w:rsidR="00EE2E88">
        <w:t>r</w:t>
      </w:r>
      <w:r>
        <w:t xml:space="preserve">oom 16 respectively. </w:t>
      </w:r>
      <w:r w:rsidR="0072512E">
        <w:t>The kitchen area rose from 10 to 132 Bq.m</w:t>
      </w:r>
      <w:r w:rsidR="0072512E" w:rsidRPr="0072512E">
        <w:rPr>
          <w:vertAlign w:val="superscript"/>
        </w:rPr>
        <w:t>-3</w:t>
      </w:r>
      <w:r w:rsidR="0072512E">
        <w:t xml:space="preserve"> from winter to summer, whilst Room 16 rose from 24 to 101 Bq.m</w:t>
      </w:r>
      <w:r w:rsidR="0072512E" w:rsidRPr="0072512E">
        <w:rPr>
          <w:vertAlign w:val="superscript"/>
        </w:rPr>
        <w:t>-3</w:t>
      </w:r>
      <w:r w:rsidR="0072512E">
        <w:t>.</w:t>
      </w:r>
      <w:r w:rsidR="006E5E5F">
        <w:t xml:space="preserve"> At</w:t>
      </w:r>
      <w:r w:rsidR="0000289B">
        <w:t xml:space="preserve"> Casey the largest increase was at the </w:t>
      </w:r>
      <w:r w:rsidR="00EE2E88">
        <w:t>d</w:t>
      </w:r>
      <w:r w:rsidR="0000289B">
        <w:t>octor</w:t>
      </w:r>
      <w:r w:rsidR="00EE2E88">
        <w:t>’</w:t>
      </w:r>
      <w:r w:rsidR="0000289B">
        <w:t xml:space="preserve">s </w:t>
      </w:r>
      <w:r w:rsidR="00EE2E88">
        <w:t>o</w:t>
      </w:r>
      <w:r w:rsidR="0000289B">
        <w:t xml:space="preserve">ffice, using </w:t>
      </w:r>
      <w:r w:rsidR="006E5E5F">
        <w:t>monitors #9 and #16. The increase measured here was from 14 to 102 Bq.m</w:t>
      </w:r>
      <w:r w:rsidR="006E5E5F" w:rsidRPr="006E5E5F">
        <w:rPr>
          <w:vertAlign w:val="superscript"/>
        </w:rPr>
        <w:t>-3</w:t>
      </w:r>
      <w:r w:rsidR="006E5E5F">
        <w:t>.</w:t>
      </w:r>
      <w:r w:rsidR="001419FB">
        <w:t xml:space="preserve"> This area is a </w:t>
      </w:r>
      <w:r w:rsidR="0000289B">
        <w:t>secluded</w:t>
      </w:r>
      <w:r w:rsidR="001419FB">
        <w:t xml:space="preserve"> office with an open door during the day, </w:t>
      </w:r>
      <w:r w:rsidR="0000289B">
        <w:t>which is</w:t>
      </w:r>
      <w:r w:rsidR="001419FB">
        <w:t xml:space="preserve"> </w:t>
      </w:r>
      <w:r w:rsidR="0000289B">
        <w:t xml:space="preserve">kept </w:t>
      </w:r>
      <w:r w:rsidR="001419FB">
        <w:t>closed during non-working hours.</w:t>
      </w:r>
      <w:r w:rsidR="008C146C">
        <w:t xml:space="preserve"> The </w:t>
      </w:r>
      <w:r w:rsidR="00EE2E88">
        <w:t>s</w:t>
      </w:r>
      <w:r w:rsidR="008C146C">
        <w:t>ummer/</w:t>
      </w:r>
      <w:r w:rsidR="00EE2E88">
        <w:t>w</w:t>
      </w:r>
      <w:r w:rsidR="008C146C">
        <w:t>inter increase factor for the six summer monitors at each station is shown in Figure 3.3.</w:t>
      </w:r>
      <w:r w:rsidR="005C72BB">
        <w:t xml:space="preserve"> It should be noted that two monitors (</w:t>
      </w:r>
      <w:r w:rsidR="00EE2E88">
        <w:t>Macquarie Island</w:t>
      </w:r>
      <w:r w:rsidR="005C72BB">
        <w:t xml:space="preserve"> #20 and Mawson #21) showed a decrease from winter to summer, whilst one monitor (Davis #18) showed virtually no change. </w:t>
      </w:r>
      <w:r w:rsidR="00980B74">
        <w:t xml:space="preserve">Both locations to show a decrease (the </w:t>
      </w:r>
      <w:r w:rsidR="00EE2E88">
        <w:t>g</w:t>
      </w:r>
      <w:r w:rsidR="00980B74">
        <w:t xml:space="preserve">arden </w:t>
      </w:r>
      <w:r w:rsidR="00EE2E88">
        <w:t>c</w:t>
      </w:r>
      <w:r w:rsidR="00980B74">
        <w:t>o</w:t>
      </w:r>
      <w:r w:rsidR="005B2075">
        <w:t xml:space="preserve">ve donga and the </w:t>
      </w:r>
      <w:r w:rsidR="00AC1F98">
        <w:t>Supervising Com</w:t>
      </w:r>
      <w:r w:rsidR="005B2075">
        <w:t xml:space="preserve">munications Technical Officer’s </w:t>
      </w:r>
      <w:r w:rsidR="00EE2E88">
        <w:t>o</w:t>
      </w:r>
      <w:r w:rsidR="00980B74">
        <w:t xml:space="preserve">ffice) are locations essentially unused (or subject to very occasional use) during the winter, but are subject to continuous traffic or are regularly opened to the exterior during the summer. </w:t>
      </w:r>
      <w:r w:rsidR="005C72BB">
        <w:t xml:space="preserve">Two monitors were not able to be compared as one (Davis #4) was lost during the winter, and one (Casey #20) </w:t>
      </w:r>
      <w:r w:rsidR="00387879">
        <w:t>was placed in</w:t>
      </w:r>
      <w:r w:rsidR="005C72BB">
        <w:t xml:space="preserve"> a new location with no winter </w:t>
      </w:r>
      <w:r w:rsidR="00387879">
        <w:t>analogue</w:t>
      </w:r>
      <w:r w:rsidR="005C72BB">
        <w:t>.</w:t>
      </w:r>
    </w:p>
    <w:p w:rsidR="006A4805" w:rsidRDefault="006A4805" w:rsidP="001D3F42">
      <w:pPr>
        <w:pStyle w:val="Figure"/>
      </w:pPr>
    </w:p>
    <w:p w:rsidR="00B11418" w:rsidRPr="00B11418" w:rsidRDefault="00B11418" w:rsidP="00B11418">
      <w:pPr>
        <w:spacing w:before="0" w:line="240" w:lineRule="auto"/>
        <w:rPr>
          <w:b/>
          <w:bCs/>
          <w:i/>
          <w:color w:val="365F91" w:themeColor="accent1" w:themeShade="BF"/>
          <w:sz w:val="20"/>
        </w:rPr>
      </w:pPr>
      <w:r>
        <w:br w:type="page"/>
      </w:r>
    </w:p>
    <w:p w:rsidR="007C1637" w:rsidRDefault="00535934">
      <w:pPr>
        <w:pStyle w:val="Heading2"/>
      </w:pPr>
      <w:bookmarkStart w:id="22" w:name="_Toc474844672"/>
      <w:r>
        <w:lastRenderedPageBreak/>
        <w:t xml:space="preserve">Overall </w:t>
      </w:r>
      <w:r w:rsidR="00EE2E88">
        <w:t>s</w:t>
      </w:r>
      <w:r w:rsidR="007C1637">
        <w:t xml:space="preserve">tation </w:t>
      </w:r>
      <w:r w:rsidR="00EE2E88">
        <w:t>a</w:t>
      </w:r>
      <w:r w:rsidR="007C1637">
        <w:t>verages</w:t>
      </w:r>
      <w:bookmarkEnd w:id="22"/>
    </w:p>
    <w:p w:rsidR="00840EA7" w:rsidRPr="00840EA7" w:rsidRDefault="00840EA7" w:rsidP="00840EA7">
      <w:r>
        <w:t xml:space="preserve">The </w:t>
      </w:r>
      <w:r w:rsidRPr="00840EA7">
        <w:t xml:space="preserve">radon concentration recorded at each station </w:t>
      </w:r>
      <w:r>
        <w:t xml:space="preserve">has been averaged for </w:t>
      </w:r>
      <w:r w:rsidRPr="00840EA7">
        <w:t>both winter and summer seasons</w:t>
      </w:r>
      <w:r w:rsidR="008C146C">
        <w:t xml:space="preserve"> and are plotted in Figure 3.4</w:t>
      </w:r>
      <w:r>
        <w:t>.</w:t>
      </w:r>
    </w:p>
    <w:p w:rsidR="007C1637" w:rsidRDefault="00056F72" w:rsidP="008E1264">
      <w:pPr>
        <w:jc w:val="center"/>
      </w:pPr>
      <w:r>
        <w:rPr>
          <w:noProof/>
          <w:lang w:eastAsia="en-AU"/>
        </w:rPr>
        <w:drawing>
          <wp:inline distT="0" distB="0" distL="0" distR="0" wp14:anchorId="448F6BA7" wp14:editId="4D21C114">
            <wp:extent cx="5731510" cy="3282759"/>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5529D" w:rsidRDefault="00E5529D" w:rsidP="00B04B6C">
      <w:pPr>
        <w:pStyle w:val="Figure"/>
      </w:pPr>
      <w:r w:rsidRPr="00C84397">
        <w:t>Figure</w:t>
      </w:r>
      <w:r w:rsidR="008C146C">
        <w:t xml:space="preserve"> 3.4</w:t>
      </w:r>
      <w:r w:rsidRPr="00C84397">
        <w:t>:</w:t>
      </w:r>
      <w:r w:rsidRPr="00C84397">
        <w:tab/>
      </w:r>
      <w:r w:rsidR="00FC12E9">
        <w:t>Average radon concentration recorded at each station in both winter and summer seasons</w:t>
      </w:r>
    </w:p>
    <w:p w:rsidR="00E5529D" w:rsidRDefault="00DC2E1E" w:rsidP="00B74D0D">
      <w:r>
        <w:t>During the winter, the average radon concentration at all stations is 20 Bq.m</w:t>
      </w:r>
      <w:r w:rsidRPr="00DF3FBF">
        <w:rPr>
          <w:vertAlign w:val="superscript"/>
        </w:rPr>
        <w:t>-3</w:t>
      </w:r>
      <w:r>
        <w:t xml:space="preserve"> or less. There is a much wider variation in measurements over the summer season. Macquarie Island </w:t>
      </w:r>
      <w:r w:rsidR="001264B4">
        <w:t>features a small increase over</w:t>
      </w:r>
      <w:r w:rsidR="00CF16C3">
        <w:t xml:space="preserve"> the winter readings. </w:t>
      </w:r>
      <w:r w:rsidR="00DF3FBF">
        <w:t xml:space="preserve">This is to be expected as </w:t>
      </w:r>
      <w:r w:rsidR="008F1688">
        <w:t xml:space="preserve">the </w:t>
      </w:r>
      <w:r w:rsidR="00DF3FBF">
        <w:t xml:space="preserve">construction of buildings is of a different type to the mainland stations. </w:t>
      </w:r>
      <w:r w:rsidR="005F1018">
        <w:t xml:space="preserve">Also, </w:t>
      </w:r>
      <w:r w:rsidR="008F1688">
        <w:t xml:space="preserve">weather conditions at Macquarie Island are not </w:t>
      </w:r>
      <w:r w:rsidR="005F1018">
        <w:t xml:space="preserve">as </w:t>
      </w:r>
      <w:r w:rsidR="008F1688">
        <w:t>conducive to elevated radon levels</w:t>
      </w:r>
      <w:r w:rsidR="005F1018">
        <w:t xml:space="preserve"> compared to the mainland</w:t>
      </w:r>
      <w:r w:rsidR="008F1688">
        <w:t>. The temperature variatio</w:t>
      </w:r>
      <w:r w:rsidR="00C128B6">
        <w:t>n from winter to summer is</w:t>
      </w:r>
      <w:r w:rsidR="008F1688">
        <w:t xml:space="preserve"> less</w:t>
      </w:r>
      <w:r w:rsidR="00C128B6">
        <w:t xml:space="preserve"> at Macquarie Island, </w:t>
      </w:r>
      <w:r w:rsidR="002A36DC">
        <w:t xml:space="preserve">a difference of </w:t>
      </w:r>
      <w:r w:rsidR="00C128B6">
        <w:t>approximately 4</w:t>
      </w:r>
      <w:r w:rsidR="00882D39">
        <w:t xml:space="preserve"> </w:t>
      </w:r>
      <w:r w:rsidR="00C128B6">
        <w:t>°C compared to up to 17</w:t>
      </w:r>
      <w:r w:rsidR="00882D39">
        <w:t xml:space="preserve"> </w:t>
      </w:r>
      <w:r w:rsidR="00C128B6">
        <w:t>°C on the mainland</w:t>
      </w:r>
      <w:r w:rsidR="008F1688">
        <w:t xml:space="preserve">. </w:t>
      </w:r>
      <w:r w:rsidR="00EE0862">
        <w:t xml:space="preserve">The other three stations show </w:t>
      </w:r>
      <w:r w:rsidR="00C128B6">
        <w:t xml:space="preserve">radon </w:t>
      </w:r>
      <w:r w:rsidR="00EE0862">
        <w:t>variation from 3</w:t>
      </w:r>
      <w:r w:rsidR="00056F72">
        <w:t>00</w:t>
      </w:r>
      <w:r w:rsidR="00DF6FF5">
        <w:t>%</w:t>
      </w:r>
      <w:r w:rsidR="00EE0862">
        <w:t xml:space="preserve"> to 5</w:t>
      </w:r>
      <w:r w:rsidR="00056F72">
        <w:t>00</w:t>
      </w:r>
      <w:r w:rsidR="00DF6FF5">
        <w:t>%</w:t>
      </w:r>
      <w:r w:rsidR="00EE0862">
        <w:t xml:space="preserve"> higher in summer over winter. </w:t>
      </w:r>
      <w:r w:rsidR="00CF16C3">
        <w:t xml:space="preserve">Davis </w:t>
      </w:r>
      <w:r w:rsidR="00EE0862">
        <w:t>has the largest difference</w:t>
      </w:r>
      <w:r w:rsidR="002A36DC">
        <w:t xml:space="preserve"> in radon concentration</w:t>
      </w:r>
      <w:r w:rsidR="00EE0862">
        <w:t xml:space="preserve">, with an </w:t>
      </w:r>
      <w:r w:rsidR="00CF16C3">
        <w:t>average of nearly 90 Bq.m</w:t>
      </w:r>
      <w:r w:rsidR="00CF16C3" w:rsidRPr="00DF3FBF">
        <w:rPr>
          <w:vertAlign w:val="superscript"/>
        </w:rPr>
        <w:t>-3</w:t>
      </w:r>
      <w:r w:rsidR="00056F72">
        <w:t>. This is a 550</w:t>
      </w:r>
      <w:r w:rsidR="00DF6FF5">
        <w:t>%</w:t>
      </w:r>
      <w:r w:rsidR="00CF16C3">
        <w:t xml:space="preserve"> </w:t>
      </w:r>
      <w:r w:rsidR="00056F72">
        <w:t>increase over</w:t>
      </w:r>
      <w:r w:rsidR="00CF16C3">
        <w:t xml:space="preserve"> the winter measurement</w:t>
      </w:r>
      <w:r w:rsidR="00EE0862">
        <w:t>s</w:t>
      </w:r>
      <w:r w:rsidR="00CF16C3">
        <w:t>.</w:t>
      </w:r>
      <w:r w:rsidR="00E24770">
        <w:t xml:space="preserve"> This higher value is </w:t>
      </w:r>
      <w:r w:rsidR="001264B4">
        <w:t xml:space="preserve">largely </w:t>
      </w:r>
      <w:r w:rsidR="00E24770">
        <w:t>d</w:t>
      </w:r>
      <w:r w:rsidR="00A3623A">
        <w:t>ue to a single monitor that recorded</w:t>
      </w:r>
      <w:r w:rsidR="00E24770">
        <w:t xml:space="preserve"> 217 Bq.m</w:t>
      </w:r>
      <w:r w:rsidR="00E24770" w:rsidRPr="006D7A32">
        <w:rPr>
          <w:vertAlign w:val="superscript"/>
        </w:rPr>
        <w:t>-3</w:t>
      </w:r>
      <w:r w:rsidR="00E24770">
        <w:t xml:space="preserve"> in the summer period. The equivalent winter monitor in this location only recorded a value of 5 Bq.m</w:t>
      </w:r>
      <w:r w:rsidR="00E24770" w:rsidRPr="006D7A32">
        <w:rPr>
          <w:vertAlign w:val="superscript"/>
        </w:rPr>
        <w:t>-3</w:t>
      </w:r>
      <w:r w:rsidR="00E24770">
        <w:t xml:space="preserve">. </w:t>
      </w:r>
      <w:r w:rsidR="006C4310">
        <w:t xml:space="preserve">Such a large rise in radon </w:t>
      </w:r>
      <w:r w:rsidR="00223819">
        <w:t xml:space="preserve">concentration </w:t>
      </w:r>
      <w:r w:rsidR="002A36DC">
        <w:t xml:space="preserve">in a single location </w:t>
      </w:r>
      <w:r w:rsidR="006C4310">
        <w:t>compared to other</w:t>
      </w:r>
      <w:r w:rsidR="002A36DC">
        <w:t xml:space="preserve"> sites</w:t>
      </w:r>
      <w:r w:rsidR="006C4310">
        <w:t xml:space="preserve"> </w:t>
      </w:r>
      <w:r w:rsidR="002A36DC">
        <w:t>at</w:t>
      </w:r>
      <w:r w:rsidR="006C4310">
        <w:t xml:space="preserve"> the station seems </w:t>
      </w:r>
      <w:r w:rsidR="006D7A32">
        <w:t>unlikely;</w:t>
      </w:r>
      <w:r w:rsidR="006C4310">
        <w:t xml:space="preserve"> it is possible that this value is in error. With this value removed</w:t>
      </w:r>
      <w:r w:rsidR="006D7A32">
        <w:t xml:space="preserve"> from the dataset</w:t>
      </w:r>
      <w:r w:rsidR="006C4310">
        <w:t xml:space="preserve">, the summer average for Davis </w:t>
      </w:r>
      <w:r w:rsidR="001264B4">
        <w:t>reduces</w:t>
      </w:r>
      <w:r w:rsidR="006D7A32">
        <w:t xml:space="preserve"> to </w:t>
      </w:r>
      <w:r w:rsidR="002A36DC">
        <w:t xml:space="preserve">approximately </w:t>
      </w:r>
      <w:r w:rsidR="006D7A32">
        <w:t>60 Bq.m</w:t>
      </w:r>
      <w:r w:rsidR="006D7A32" w:rsidRPr="006D7A32">
        <w:rPr>
          <w:vertAlign w:val="superscript"/>
        </w:rPr>
        <w:t>-3</w:t>
      </w:r>
      <w:r w:rsidR="006D7A32">
        <w:t xml:space="preserve">. </w:t>
      </w:r>
      <w:r w:rsidR="00E72245">
        <w:t>This fits</w:t>
      </w:r>
      <w:r w:rsidR="006D7A32">
        <w:t xml:space="preserve"> </w:t>
      </w:r>
      <w:r w:rsidR="00E72245">
        <w:t>into the same 3</w:t>
      </w:r>
      <w:r w:rsidR="00056F72">
        <w:t>00</w:t>
      </w:r>
      <w:r w:rsidR="00DF6FF5">
        <w:t>%</w:t>
      </w:r>
      <w:r w:rsidR="00E72245">
        <w:t xml:space="preserve"> to 4</w:t>
      </w:r>
      <w:r w:rsidR="00056F72">
        <w:t>00</w:t>
      </w:r>
      <w:r w:rsidR="00DF6FF5">
        <w:t>%</w:t>
      </w:r>
      <w:r w:rsidR="00E72245">
        <w:t xml:space="preserve"> </w:t>
      </w:r>
      <w:r w:rsidR="002A36DC">
        <w:t xml:space="preserve">range of </w:t>
      </w:r>
      <w:r w:rsidR="00E72245">
        <w:t>increase</w:t>
      </w:r>
      <w:r w:rsidR="006D7A32">
        <w:t xml:space="preserve"> recorded at the other mainland stations.</w:t>
      </w:r>
    </w:p>
    <w:p w:rsidR="00DC2E1E" w:rsidRPr="007C1637" w:rsidRDefault="00DC2E1E" w:rsidP="007C1637"/>
    <w:p w:rsidR="00B11418" w:rsidRPr="00B9379D" w:rsidRDefault="00B11418">
      <w:pPr>
        <w:spacing w:before="0" w:line="240" w:lineRule="auto"/>
        <w:rPr>
          <w:rFonts w:eastAsia="Times New Roman"/>
          <w:b/>
          <w:bCs/>
          <w:kern w:val="32"/>
          <w:sz w:val="32"/>
          <w:szCs w:val="32"/>
        </w:rPr>
      </w:pPr>
      <w:r>
        <w:br w:type="page"/>
      </w:r>
    </w:p>
    <w:p w:rsidR="009A1C2F" w:rsidRDefault="00222D45">
      <w:pPr>
        <w:pStyle w:val="Heading1"/>
      </w:pPr>
      <w:bookmarkStart w:id="23" w:name="_Toc474844673"/>
      <w:r>
        <w:lastRenderedPageBreak/>
        <w:t>Time–</w:t>
      </w:r>
      <w:r w:rsidR="00EE2E88">
        <w:t>b</w:t>
      </w:r>
      <w:r>
        <w:t xml:space="preserve">ased </w:t>
      </w:r>
      <w:r w:rsidR="00EE2E88">
        <w:t>i</w:t>
      </w:r>
      <w:r>
        <w:t>nterpretation</w:t>
      </w:r>
      <w:bookmarkEnd w:id="23"/>
    </w:p>
    <w:p w:rsidR="00351728" w:rsidRDefault="00351728" w:rsidP="00927FBA">
      <w:r>
        <w:rPr>
          <w:noProof/>
          <w:lang w:eastAsia="en-AU"/>
        </w:rPr>
        <w:drawing>
          <wp:inline distT="0" distB="0" distL="0" distR="0" wp14:anchorId="0D1A5E3A" wp14:editId="479D86B9">
            <wp:extent cx="5676181" cy="3597215"/>
            <wp:effectExtent l="0" t="0" r="127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E2FC7" w:rsidRDefault="00FE2FC7" w:rsidP="00B04B6C">
      <w:pPr>
        <w:pStyle w:val="Figure"/>
      </w:pPr>
      <w:r w:rsidRPr="00C84397">
        <w:t>Figure</w:t>
      </w:r>
      <w:r>
        <w:t xml:space="preserve"> </w:t>
      </w:r>
      <w:r w:rsidR="00FC12E9">
        <w:t>4.</w:t>
      </w:r>
      <w:r>
        <w:t>1</w:t>
      </w:r>
      <w:r w:rsidRPr="00C84397">
        <w:t>:</w:t>
      </w:r>
      <w:r w:rsidRPr="00C84397">
        <w:tab/>
      </w:r>
      <w:r w:rsidR="00813E39">
        <w:t>Winter radon concentrations plotted versus the time in days of the measurement period</w:t>
      </w:r>
    </w:p>
    <w:p w:rsidR="00FE2FC7" w:rsidRPr="00351728" w:rsidRDefault="00F1521B" w:rsidP="00B74D0D">
      <w:r>
        <w:t>T</w:t>
      </w:r>
      <w:r w:rsidR="00C04D8E">
        <w:t xml:space="preserve">he radon concentrations recorded at each station versus </w:t>
      </w:r>
      <w:r w:rsidR="00337D21">
        <w:t xml:space="preserve">emplacement </w:t>
      </w:r>
      <w:r w:rsidR="00C04D8E">
        <w:t>time</w:t>
      </w:r>
      <w:r w:rsidR="00840EA7">
        <w:t xml:space="preserve"> are shown in Figure</w:t>
      </w:r>
      <w:r w:rsidR="00EE2E88">
        <w:t> </w:t>
      </w:r>
      <w:r w:rsidR="00840EA7">
        <w:t>4.1</w:t>
      </w:r>
      <w:r>
        <w:t>. This plot</w:t>
      </w:r>
      <w:r w:rsidR="00C04D8E">
        <w:t xml:space="preserve"> gives a good representation of the variation of radon concentration on each site, and identifies where </w:t>
      </w:r>
      <w:r w:rsidR="00DF6FF5">
        <w:t>‘</w:t>
      </w:r>
      <w:r w:rsidR="00C04D8E">
        <w:t>clusters</w:t>
      </w:r>
      <w:r w:rsidR="00DF6FF5">
        <w:t>’</w:t>
      </w:r>
      <w:r w:rsidR="00C04D8E">
        <w:t xml:space="preserve"> of values appear. </w:t>
      </w:r>
      <w:r>
        <w:t>A</w:t>
      </w:r>
      <w:r w:rsidR="00C04D8E">
        <w:t>ny outliers</w:t>
      </w:r>
      <w:r>
        <w:t xml:space="preserve"> </w:t>
      </w:r>
      <w:r w:rsidR="00992695">
        <w:t>can be</w:t>
      </w:r>
      <w:r>
        <w:t xml:space="preserve"> clearly </w:t>
      </w:r>
      <w:r w:rsidR="00992695">
        <w:t>identified</w:t>
      </w:r>
      <w:r w:rsidR="00C04D8E">
        <w:t xml:space="preserve">, where the concentration at any single site is markedly different to other values. This behaviour is most evident at Davis, where there are two distinct groups of data, centred </w:t>
      </w:r>
      <w:r w:rsidR="002101BC">
        <w:t>a</w:t>
      </w:r>
      <w:r w:rsidR="007242AF">
        <w:t>t approximatel</w:t>
      </w:r>
      <w:r w:rsidR="002101BC">
        <w:t>y</w:t>
      </w:r>
      <w:r w:rsidR="00C04D8E">
        <w:t xml:space="preserve"> 5 and 20 Bq.m</w:t>
      </w:r>
      <w:r w:rsidR="00C04D8E" w:rsidRPr="00B772D1">
        <w:rPr>
          <w:vertAlign w:val="superscript"/>
        </w:rPr>
        <w:t>-3</w:t>
      </w:r>
      <w:r w:rsidR="00C04D8E">
        <w:t>. Then there is a single point at above 40 Bq.m</w:t>
      </w:r>
      <w:r w:rsidR="00C04D8E" w:rsidRPr="00B772D1">
        <w:rPr>
          <w:vertAlign w:val="superscript"/>
        </w:rPr>
        <w:t>-3</w:t>
      </w:r>
      <w:r w:rsidR="00C04D8E">
        <w:t>.</w:t>
      </w:r>
      <w:r w:rsidR="00BB6816">
        <w:t xml:space="preserve"> This outlier was recorded in the </w:t>
      </w:r>
      <w:r w:rsidR="00EE2E88">
        <w:t>b</w:t>
      </w:r>
      <w:r w:rsidR="00BB6816">
        <w:t xml:space="preserve">asement </w:t>
      </w:r>
      <w:r w:rsidR="00EE2E88">
        <w:t>b</w:t>
      </w:r>
      <w:r w:rsidR="00BB6816">
        <w:t xml:space="preserve">rewery, a room which lies </w:t>
      </w:r>
      <w:r w:rsidR="00B772D1">
        <w:t>partially underground.</w:t>
      </w:r>
      <w:r w:rsidR="004F16BD">
        <w:t xml:space="preserve"> The </w:t>
      </w:r>
      <w:r w:rsidR="00AE5983">
        <w:t xml:space="preserve">Mawson, </w:t>
      </w:r>
      <w:r w:rsidR="004F16BD">
        <w:t xml:space="preserve">Casey </w:t>
      </w:r>
      <w:r w:rsidR="00AE5983">
        <w:t>and Macquarie Island feature</w:t>
      </w:r>
      <w:r w:rsidR="004F16BD">
        <w:t xml:space="preserve"> data evenly spread over range</w:t>
      </w:r>
      <w:r w:rsidR="00AE5983">
        <w:t>s from 2</w:t>
      </w:r>
      <w:r w:rsidR="004F16BD">
        <w:t xml:space="preserve"> to </w:t>
      </w:r>
      <w:r w:rsidR="00AE5983">
        <w:t>30</w:t>
      </w:r>
      <w:r w:rsidR="004F16BD">
        <w:t xml:space="preserve"> Bq.m</w:t>
      </w:r>
      <w:r w:rsidR="004F16BD" w:rsidRPr="004F16BD">
        <w:rPr>
          <w:vertAlign w:val="superscript"/>
        </w:rPr>
        <w:t>-3</w:t>
      </w:r>
      <w:r w:rsidR="00AE5983">
        <w:t>, when an uncertainty of 20</w:t>
      </w:r>
      <w:r w:rsidR="00DF6FF5">
        <w:t>%</w:t>
      </w:r>
      <w:r w:rsidR="00AE5983">
        <w:t xml:space="preserve"> on all measurements is taken into account.</w:t>
      </w:r>
      <w:r w:rsidR="00A558E3">
        <w:t xml:space="preserve"> </w:t>
      </w:r>
    </w:p>
    <w:p w:rsidR="009A1C2F" w:rsidRDefault="00351728" w:rsidP="00351728">
      <w:pPr>
        <w:jc w:val="center"/>
      </w:pPr>
      <w:r>
        <w:rPr>
          <w:noProof/>
          <w:lang w:eastAsia="en-AU"/>
        </w:rPr>
        <w:lastRenderedPageBreak/>
        <w:drawing>
          <wp:inline distT="0" distB="0" distL="0" distR="0" wp14:anchorId="1BC105BA" wp14:editId="570582EA">
            <wp:extent cx="5771071" cy="3778370"/>
            <wp:effectExtent l="0" t="0" r="127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E2FC7" w:rsidRDefault="00FE2FC7" w:rsidP="00B04B6C">
      <w:pPr>
        <w:pStyle w:val="Figure"/>
      </w:pPr>
      <w:r w:rsidRPr="00C84397">
        <w:t>Figure</w:t>
      </w:r>
      <w:r>
        <w:t xml:space="preserve"> </w:t>
      </w:r>
      <w:r w:rsidR="00FC12E9">
        <w:t>4.2</w:t>
      </w:r>
      <w:r w:rsidRPr="00C84397">
        <w:t>:</w:t>
      </w:r>
      <w:r w:rsidRPr="00C84397">
        <w:tab/>
      </w:r>
      <w:r w:rsidR="00813E39">
        <w:t>Summer r</w:t>
      </w:r>
      <w:r w:rsidR="00813E39" w:rsidRPr="00813E39">
        <w:t>adon concentrations plotted versus the time in days of the measurement period</w:t>
      </w:r>
    </w:p>
    <w:p w:rsidR="00FE2FC7" w:rsidRDefault="004F72AD" w:rsidP="00B74D0D">
      <w:r>
        <w:t>Figure 4.2</w:t>
      </w:r>
      <w:r w:rsidR="00637EEF">
        <w:t xml:space="preserve"> </w:t>
      </w:r>
      <w:r w:rsidR="00EE2E88">
        <w:t>i</w:t>
      </w:r>
      <w:r w:rsidR="00637EEF">
        <w:t>llustrates the spread of data recorded at each station over the summer season. The Macquarie Island data is grouped into two distinct levels, one &lt;10 Bq.m</w:t>
      </w:r>
      <w:r w:rsidR="00637EEF" w:rsidRPr="00992695">
        <w:rPr>
          <w:vertAlign w:val="superscript"/>
        </w:rPr>
        <w:t>-3</w:t>
      </w:r>
      <w:r w:rsidR="00637EEF">
        <w:t xml:space="preserve"> and another at approximately 30 Bq.m</w:t>
      </w:r>
      <w:r w:rsidR="00637EEF" w:rsidRPr="00992695">
        <w:rPr>
          <w:vertAlign w:val="superscript"/>
        </w:rPr>
        <w:t>-3</w:t>
      </w:r>
      <w:r w:rsidR="00637EEF">
        <w:t xml:space="preserve">. The other three stations have values spread over a much larger range. The outlier recorded at Davis </w:t>
      </w:r>
      <w:r w:rsidR="00882D39">
        <w:t xml:space="preserve">during the winter </w:t>
      </w:r>
      <w:r w:rsidR="00543737">
        <w:t>(</w:t>
      </w:r>
      <w:r w:rsidR="00EE2E88">
        <w:t>b</w:t>
      </w:r>
      <w:r w:rsidR="00543737">
        <w:t xml:space="preserve">asement </w:t>
      </w:r>
      <w:r w:rsidR="00EE2E88">
        <w:t>b</w:t>
      </w:r>
      <w:r w:rsidR="00543737">
        <w:t xml:space="preserve">rewery) </w:t>
      </w:r>
      <w:r w:rsidR="00637EEF">
        <w:t>again features as an outlier in the summer group</w:t>
      </w:r>
      <w:r w:rsidR="003752C0">
        <w:t>, recorded at 137 Bq.m</w:t>
      </w:r>
      <w:r w:rsidR="003752C0" w:rsidRPr="00992695">
        <w:rPr>
          <w:vertAlign w:val="superscript"/>
        </w:rPr>
        <w:t>-3</w:t>
      </w:r>
      <w:r w:rsidR="00637EEF">
        <w:t>.</w:t>
      </w:r>
      <w:r w:rsidR="003752C0">
        <w:t xml:space="preserve"> There is another </w:t>
      </w:r>
      <w:r w:rsidR="00E73494">
        <w:t xml:space="preserve">much higher </w:t>
      </w:r>
      <w:r w:rsidR="003752C0">
        <w:t>outlier in the Davis data, the western stair, which was recorded at 217 Bq.m</w:t>
      </w:r>
      <w:r w:rsidR="003752C0" w:rsidRPr="00992695">
        <w:rPr>
          <w:vertAlign w:val="superscript"/>
        </w:rPr>
        <w:t>-3</w:t>
      </w:r>
      <w:r w:rsidR="003752C0">
        <w:t>. This value is higher than the recommended action level for radon in dwellings (</w:t>
      </w:r>
      <w:r w:rsidR="00882D39">
        <w:t>ARPANSA 2002</w:t>
      </w:r>
      <w:r w:rsidR="003752C0">
        <w:t xml:space="preserve">). </w:t>
      </w:r>
      <w:r w:rsidR="00D81698">
        <w:t xml:space="preserve">Although, it is well below the action level for </w:t>
      </w:r>
      <w:r w:rsidR="004F16BD">
        <w:t>areas designated as workpl</w:t>
      </w:r>
      <w:r w:rsidR="00D81698">
        <w:t>aces. This is the only value recorded in the measurement program above the action level.</w:t>
      </w:r>
      <w:r w:rsidR="006D7A32">
        <w:t xml:space="preserve"> </w:t>
      </w:r>
      <w:r w:rsidR="00E73494">
        <w:t>As</w:t>
      </w:r>
      <w:r w:rsidR="00293996">
        <w:t xml:space="preserve"> </w:t>
      </w:r>
      <w:r w:rsidR="004F16BD">
        <w:t xml:space="preserve">previously </w:t>
      </w:r>
      <w:r w:rsidR="00293996">
        <w:t xml:space="preserve">discussed in </w:t>
      </w:r>
      <w:r w:rsidR="00320909">
        <w:t>S</w:t>
      </w:r>
      <w:r w:rsidR="00293996">
        <w:t>ection 3.3</w:t>
      </w:r>
      <w:r w:rsidR="006D7A32">
        <w:t xml:space="preserve">, it is possible that this value is in error, and </w:t>
      </w:r>
      <w:r w:rsidR="001264B4">
        <w:t xml:space="preserve">possibly </w:t>
      </w:r>
      <w:r w:rsidR="006D7A32">
        <w:t>can be disregarded.</w:t>
      </w:r>
    </w:p>
    <w:p w:rsidR="00351728" w:rsidRDefault="00556E4C" w:rsidP="00351728">
      <w:pPr>
        <w:jc w:val="center"/>
      </w:pPr>
      <w:r>
        <w:rPr>
          <w:noProof/>
          <w:lang w:eastAsia="en-AU"/>
        </w:rPr>
        <w:lastRenderedPageBreak/>
        <w:drawing>
          <wp:inline distT="0" distB="0" distL="0" distR="0" wp14:anchorId="3BCE8F8C" wp14:editId="7E65C23A">
            <wp:extent cx="5760000" cy="378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2FC7" w:rsidRDefault="00FE2FC7" w:rsidP="00B04B6C">
      <w:pPr>
        <w:pStyle w:val="Figure"/>
      </w:pPr>
      <w:r w:rsidRPr="00C84397">
        <w:t>Figure</w:t>
      </w:r>
      <w:r w:rsidR="00FC12E9">
        <w:t xml:space="preserve"> 4.3</w:t>
      </w:r>
      <w:r w:rsidRPr="00C84397">
        <w:t>:</w:t>
      </w:r>
      <w:r w:rsidRPr="00C84397">
        <w:tab/>
      </w:r>
      <w:r w:rsidR="00293807">
        <w:t>Mean radon concentrations at each station for both winter and summer</w:t>
      </w:r>
    </w:p>
    <w:p w:rsidR="00FE2FC7" w:rsidRDefault="00FE2FC7" w:rsidP="00B74D0D">
      <w:r>
        <w:t>Fig</w:t>
      </w:r>
      <w:r w:rsidR="00293996">
        <w:t>ure 4.3</w:t>
      </w:r>
      <w:r>
        <w:t xml:space="preserve"> shows a condensed form of the data, where the mean value for each station </w:t>
      </w:r>
      <w:r w:rsidR="009D0761">
        <w:t>for</w:t>
      </w:r>
      <w:r>
        <w:t xml:space="preserve"> both summer and winter </w:t>
      </w:r>
      <w:r w:rsidR="009D0761">
        <w:t>measurements is</w:t>
      </w:r>
      <w:r>
        <w:t xml:space="preserve"> plotted. </w:t>
      </w:r>
      <w:r w:rsidR="009D0761">
        <w:t xml:space="preserve">The </w:t>
      </w:r>
      <w:r w:rsidR="005D6FAE">
        <w:t>uncertainties</w:t>
      </w:r>
      <w:r w:rsidR="009D0761">
        <w:t xml:space="preserve"> have been</w:t>
      </w:r>
      <w:r>
        <w:t xml:space="preserve"> calculated from the standard deviation of the mean</w:t>
      </w:r>
      <w:r w:rsidR="009D0761">
        <w:t xml:space="preserve"> for each value</w:t>
      </w:r>
      <w:r>
        <w:t>. The error bars can be approximated by ±25</w:t>
      </w:r>
      <w:r w:rsidR="00DF6FF5">
        <w:t>%</w:t>
      </w:r>
      <w:r>
        <w:t xml:space="preserve"> for the </w:t>
      </w:r>
      <w:r w:rsidR="009D0761">
        <w:t xml:space="preserve">four </w:t>
      </w:r>
      <w:r>
        <w:t>winter values, and ±50</w:t>
      </w:r>
      <w:r w:rsidR="00DF6FF5">
        <w:t>%</w:t>
      </w:r>
      <w:r>
        <w:t xml:space="preserve"> for the summer values.</w:t>
      </w:r>
      <w:r w:rsidR="00B023E2">
        <w:t xml:space="preserve"> This is very consistent with previous results from ARPANSA’s SANTECs C</w:t>
      </w:r>
      <w:r w:rsidR="002F0CC2">
        <w:t>R</w:t>
      </w:r>
      <w:r w:rsidR="00B023E2">
        <w:t>-39 measurement system</w:t>
      </w:r>
      <w:r w:rsidR="002F0CC2">
        <w:t xml:space="preserve"> where</w:t>
      </w:r>
      <w:r w:rsidR="00393096">
        <w:t xml:space="preserve"> </w:t>
      </w:r>
      <w:r w:rsidR="00B023E2">
        <w:t xml:space="preserve">any monitors exposed for </w:t>
      </w:r>
      <w:r w:rsidR="00672CA9">
        <w:t xml:space="preserve">thirty to sixty </w:t>
      </w:r>
      <w:r w:rsidR="00B023E2">
        <w:t>days or less tend to have an uncertainty of around 50</w:t>
      </w:r>
      <w:r w:rsidR="00DF6FF5">
        <w:t>%</w:t>
      </w:r>
      <w:r w:rsidR="00B023E2">
        <w:t xml:space="preserve">. This uncertainty falls to 30% or less with longer exposures. ARPANSA recommends </w:t>
      </w:r>
      <w:r w:rsidR="00672CA9">
        <w:t>three</w:t>
      </w:r>
      <w:r w:rsidR="00B023E2">
        <w:t xml:space="preserve"> months (or 100 days) as a minimum placement period due to these limitations. Short period exposures are useful to decide if an area has </w:t>
      </w:r>
      <w:r w:rsidR="00EE1446">
        <w:t>a radon concentration</w:t>
      </w:r>
      <w:r w:rsidR="00B023E2">
        <w:t xml:space="preserve"> above or below the recommended limits. They are not suitable to accurately measure radon levels at or around background levels.</w:t>
      </w:r>
    </w:p>
    <w:p w:rsidR="00222D45" w:rsidRDefault="00222D45">
      <w:pPr>
        <w:spacing w:before="0" w:line="240" w:lineRule="auto"/>
      </w:pPr>
      <w:r>
        <w:br w:type="page"/>
      </w:r>
    </w:p>
    <w:p w:rsidR="00BE686D" w:rsidRDefault="00BE686D" w:rsidP="00BE686D">
      <w:pPr>
        <w:pStyle w:val="Heading1"/>
      </w:pPr>
      <w:bookmarkStart w:id="24" w:name="_Toc474844674"/>
      <w:r>
        <w:lastRenderedPageBreak/>
        <w:t>Conclusions</w:t>
      </w:r>
      <w:bookmarkEnd w:id="24"/>
    </w:p>
    <w:p w:rsidR="007242AF" w:rsidRDefault="00FC3FD3" w:rsidP="00B74D0D">
      <w:r>
        <w:t>As expected, it has been shown that the overall radon concentrations at Australia’s Antarctic</w:t>
      </w:r>
      <w:r w:rsidR="002F0CC2">
        <w:t xml:space="preserve"> and Sub</w:t>
      </w:r>
      <w:r w:rsidR="00672CA9">
        <w:t>a</w:t>
      </w:r>
      <w:r w:rsidR="002F0CC2">
        <w:t>ntarctic</w:t>
      </w:r>
      <w:r>
        <w:t xml:space="preserve"> stations </w:t>
      </w:r>
      <w:r w:rsidR="00337D21">
        <w:t>are</w:t>
      </w:r>
      <w:r>
        <w:t xml:space="preserve"> quite low, and should not be a cause of concern for staff based at the stations. The results obtained for the winter and summer portions of th</w:t>
      </w:r>
      <w:r w:rsidR="001A1344">
        <w:t>e study differ</w:t>
      </w:r>
      <w:r>
        <w:t xml:space="preserve"> quite markedly, both in </w:t>
      </w:r>
      <w:r w:rsidR="008508E2">
        <w:t>radon concentration</w:t>
      </w:r>
      <w:r>
        <w:t xml:space="preserve"> and accuracy. </w:t>
      </w:r>
      <w:r w:rsidR="002A0278">
        <w:t xml:space="preserve">The </w:t>
      </w:r>
      <w:r w:rsidR="00F00F1A">
        <w:t xml:space="preserve">monitors in the </w:t>
      </w:r>
      <w:r w:rsidR="002A0278">
        <w:t>winter po</w:t>
      </w:r>
      <w:r w:rsidR="00CA64E3">
        <w:t>r</w:t>
      </w:r>
      <w:r w:rsidR="002A0278">
        <w:t xml:space="preserve">tion of the study </w:t>
      </w:r>
      <w:r w:rsidR="008508E2">
        <w:t>performed</w:t>
      </w:r>
      <w:r w:rsidR="002A0278">
        <w:t xml:space="preserve"> well, with very low levels of radon recorded at all four of the Australian stations. The average value recorded at each stati</w:t>
      </w:r>
      <w:r w:rsidR="00F00F1A">
        <w:t>o</w:t>
      </w:r>
      <w:r w:rsidR="002A0278">
        <w:t>n was 20 Bq.m</w:t>
      </w:r>
      <w:r w:rsidR="002A0278" w:rsidRPr="00754F46">
        <w:rPr>
          <w:vertAlign w:val="superscript"/>
        </w:rPr>
        <w:t>-3</w:t>
      </w:r>
      <w:r w:rsidR="00F00F1A">
        <w:t xml:space="preserve"> or less, with a minimum </w:t>
      </w:r>
      <w:r w:rsidR="001A1344">
        <w:t xml:space="preserve">average value </w:t>
      </w:r>
      <w:r w:rsidR="00F00F1A">
        <w:t xml:space="preserve">of 13.8 </w:t>
      </w:r>
      <w:r w:rsidR="00CC5F5F">
        <w:t>Bq.m</w:t>
      </w:r>
      <w:r w:rsidR="00CC5F5F" w:rsidRPr="00CC5F5F">
        <w:rPr>
          <w:vertAlign w:val="superscript"/>
        </w:rPr>
        <w:t>-3</w:t>
      </w:r>
      <w:r w:rsidR="00CC5F5F">
        <w:t xml:space="preserve"> </w:t>
      </w:r>
      <w:r w:rsidR="00F00F1A">
        <w:t xml:space="preserve">recorded at Macquarie Island. As expected, the results of the summer portion were elevated in comparison to the winter results. </w:t>
      </w:r>
      <w:r w:rsidR="002A0278">
        <w:t>The average values recorded over the summer period rose by 3</w:t>
      </w:r>
      <w:r>
        <w:t>00</w:t>
      </w:r>
      <w:r w:rsidR="00DF6FF5">
        <w:t>%</w:t>
      </w:r>
      <w:r w:rsidR="002A0278">
        <w:t xml:space="preserve"> to 4</w:t>
      </w:r>
      <w:r>
        <w:t>00</w:t>
      </w:r>
      <w:r w:rsidR="00DF6FF5">
        <w:t>%</w:t>
      </w:r>
      <w:r w:rsidR="002A0278">
        <w:t xml:space="preserve"> at all sites except Macquarie Island, where </w:t>
      </w:r>
      <w:r>
        <w:t>a 165</w:t>
      </w:r>
      <w:r w:rsidR="00DF6FF5">
        <w:t>%</w:t>
      </w:r>
      <w:r w:rsidR="002A0278">
        <w:t xml:space="preserve"> increase was </w:t>
      </w:r>
      <w:r>
        <w:t xml:space="preserve">noted. </w:t>
      </w:r>
      <w:r w:rsidR="002A0278">
        <w:t>Less</w:t>
      </w:r>
      <w:r w:rsidR="007242AF">
        <w:t xml:space="preserve"> </w:t>
      </w:r>
      <w:r w:rsidR="00F00F1A">
        <w:t xml:space="preserve">useful </w:t>
      </w:r>
      <w:r w:rsidR="007242AF">
        <w:t xml:space="preserve">information was gained from the summer portion of the study than expected. This was due to the relatively short period that was open for monitors to be deployed. At such low concentrations, the 30-60 day period was </w:t>
      </w:r>
      <w:r w:rsidR="00754F46">
        <w:t xml:space="preserve">not </w:t>
      </w:r>
      <w:r w:rsidR="007242AF">
        <w:t xml:space="preserve">long enough to </w:t>
      </w:r>
      <w:r w:rsidR="00222D45">
        <w:t>measure</w:t>
      </w:r>
      <w:r w:rsidR="007242AF">
        <w:t xml:space="preserve"> any radon concentrations on site with less than </w:t>
      </w:r>
      <w:r w:rsidR="00754F46">
        <w:t xml:space="preserve">an associated </w:t>
      </w:r>
      <w:r w:rsidR="007242AF">
        <w:t>50</w:t>
      </w:r>
      <w:r w:rsidR="00DF6FF5">
        <w:t>%</w:t>
      </w:r>
      <w:r w:rsidR="007242AF">
        <w:t xml:space="preserve"> uncertainty. </w:t>
      </w:r>
      <w:r w:rsidR="008508E2">
        <w:t>An alternative method for measuring radon at these sites during the summer period would be to use an active-type monitor. This style of monitor is designed to reliably measure radon in the 10-100 Bq.m</w:t>
      </w:r>
      <w:r w:rsidR="008508E2" w:rsidRPr="006F7A86">
        <w:rPr>
          <w:vertAlign w:val="superscript"/>
        </w:rPr>
        <w:t>-3</w:t>
      </w:r>
      <w:r w:rsidR="008508E2">
        <w:t xml:space="preserve"> range </w:t>
      </w:r>
      <w:r w:rsidR="006F7A86">
        <w:t xml:space="preserve">found at the stations </w:t>
      </w:r>
      <w:r w:rsidR="008508E2">
        <w:t xml:space="preserve">with integrations times of less than an hour. An integration time of </w:t>
      </w:r>
      <w:r w:rsidR="00370A5F">
        <w:t>one</w:t>
      </w:r>
      <w:r w:rsidR="008508E2">
        <w:t xml:space="preserve"> hour or longer would provide </w:t>
      </w:r>
      <w:r w:rsidR="006F7A86">
        <w:t xml:space="preserve">results with an acceptable accuracy with only one day of measurements in each location. A week on-site (usually available during resupply operations) would provide accurate measurements at </w:t>
      </w:r>
      <w:r w:rsidR="00370A5F">
        <w:t>five to six</w:t>
      </w:r>
      <w:r w:rsidR="006F7A86">
        <w:t xml:space="preserve"> locations. If left at each site for longer, any diurnal variation would also become apparent.</w:t>
      </w:r>
    </w:p>
    <w:p w:rsidR="002F0CC2" w:rsidRDefault="002F0CC2" w:rsidP="00222D45">
      <w:pPr>
        <w:spacing w:before="0"/>
        <w:jc w:val="both"/>
      </w:pPr>
    </w:p>
    <w:p w:rsidR="00222D45" w:rsidRDefault="007242AF" w:rsidP="00B74D0D">
      <w:pPr>
        <w:spacing w:before="0"/>
      </w:pPr>
      <w:r>
        <w:t xml:space="preserve">As expected, no </w:t>
      </w:r>
      <w:r w:rsidR="00337D21">
        <w:t xml:space="preserve">reliable </w:t>
      </w:r>
      <w:r>
        <w:t>measurements were recorded above the 200 Bq.m</w:t>
      </w:r>
      <w:r w:rsidRPr="00754F46">
        <w:rPr>
          <w:vertAlign w:val="superscript"/>
        </w:rPr>
        <w:t>-3</w:t>
      </w:r>
      <w:r>
        <w:t xml:space="preserve"> action </w:t>
      </w:r>
      <w:proofErr w:type="gramStart"/>
      <w:r w:rsidR="00D22C52">
        <w:t>level</w:t>
      </w:r>
      <w:proofErr w:type="gramEnd"/>
      <w:r w:rsidR="00D22C52">
        <w:t xml:space="preserve"> for radon in dwellings</w:t>
      </w:r>
      <w:r w:rsidR="00EE1446">
        <w:t xml:space="preserve"> as specified in Annex C of RPS 1</w:t>
      </w:r>
      <w:r w:rsidR="002F0CC2">
        <w:t xml:space="preserve"> (ARPANSA 2002)</w:t>
      </w:r>
      <w:r>
        <w:t xml:space="preserve">. </w:t>
      </w:r>
      <w:r w:rsidR="00337D21">
        <w:t>A</w:t>
      </w:r>
      <w:r>
        <w:t xml:space="preserve"> single value measured </w:t>
      </w:r>
      <w:r w:rsidR="00CC5F5F">
        <w:t xml:space="preserve">in a common area </w:t>
      </w:r>
      <w:r>
        <w:t xml:space="preserve">at Davis </w:t>
      </w:r>
      <w:r w:rsidR="00337D21">
        <w:t>exceeded the limit, which was possibly in error</w:t>
      </w:r>
      <w:r>
        <w:t xml:space="preserve"> and should be ignored.</w:t>
      </w:r>
    </w:p>
    <w:p w:rsidR="00884C09" w:rsidRDefault="00884C09" w:rsidP="00222D45">
      <w:pPr>
        <w:spacing w:before="0"/>
        <w:jc w:val="both"/>
      </w:pPr>
    </w:p>
    <w:p w:rsidR="00BE686D" w:rsidRPr="00BE686D" w:rsidRDefault="00BE686D" w:rsidP="00BE686D"/>
    <w:p w:rsidR="00986D40" w:rsidRDefault="00986D40">
      <w:pPr>
        <w:spacing w:before="0" w:line="240" w:lineRule="auto"/>
        <w:rPr>
          <w:rFonts w:eastAsia="Times New Roman"/>
          <w:b/>
          <w:bCs/>
          <w:color w:val="1F497D" w:themeColor="text2"/>
          <w:kern w:val="32"/>
          <w:sz w:val="32"/>
          <w:szCs w:val="32"/>
        </w:rPr>
      </w:pPr>
      <w:r>
        <w:br w:type="page"/>
      </w:r>
    </w:p>
    <w:p w:rsidR="008C4A85" w:rsidRDefault="00BE686D" w:rsidP="00772C08">
      <w:pPr>
        <w:pStyle w:val="AppendixHeading"/>
      </w:pPr>
      <w:bookmarkStart w:id="25" w:name="_Toc474844675"/>
      <w:r>
        <w:lastRenderedPageBreak/>
        <w:t xml:space="preserve">Monitor </w:t>
      </w:r>
      <w:r w:rsidR="00370A5F">
        <w:t>d</w:t>
      </w:r>
      <w:r>
        <w:t>etails</w:t>
      </w:r>
      <w:bookmarkEnd w:id="25"/>
    </w:p>
    <w:p w:rsidR="00D339BD" w:rsidRDefault="00156278" w:rsidP="00772C08">
      <w:pPr>
        <w:pStyle w:val="Appendixheading2"/>
      </w:pPr>
      <w:bookmarkStart w:id="26" w:name="_Toc474844676"/>
      <w:r>
        <w:t>Letter to Antarctic Staff on deployment of monitors</w:t>
      </w:r>
      <w:bookmarkEnd w:id="26"/>
    </w:p>
    <w:p w:rsidR="00A77471" w:rsidRDefault="00A77471" w:rsidP="00A77471">
      <w:pPr>
        <w:spacing w:before="0" w:line="240" w:lineRule="auto"/>
        <w:jc w:val="center"/>
        <w:rPr>
          <w:b/>
          <w:bCs/>
          <w:sz w:val="20"/>
          <w:szCs w:val="20"/>
        </w:rPr>
      </w:pPr>
    </w:p>
    <w:p w:rsidR="00A77471" w:rsidRDefault="00A77471" w:rsidP="00A77471">
      <w:pPr>
        <w:spacing w:before="0" w:line="240" w:lineRule="auto"/>
        <w:jc w:val="center"/>
        <w:rPr>
          <w:b/>
          <w:bCs/>
          <w:sz w:val="20"/>
          <w:szCs w:val="20"/>
        </w:rPr>
      </w:pPr>
    </w:p>
    <w:p w:rsidR="00A77471" w:rsidRPr="00344B44" w:rsidRDefault="00A77471" w:rsidP="00A77471">
      <w:pPr>
        <w:spacing w:before="0" w:line="240" w:lineRule="auto"/>
        <w:jc w:val="center"/>
        <w:rPr>
          <w:b/>
          <w:bCs/>
          <w:sz w:val="20"/>
          <w:szCs w:val="20"/>
        </w:rPr>
      </w:pPr>
      <w:r w:rsidRPr="00344B44">
        <w:rPr>
          <w:b/>
          <w:bCs/>
          <w:sz w:val="20"/>
          <w:szCs w:val="20"/>
        </w:rPr>
        <w:t xml:space="preserve">Antarctica Radon Survey – </w:t>
      </w:r>
      <w:r w:rsidRPr="00344B44">
        <w:rPr>
          <w:b/>
          <w:bCs/>
          <w:i/>
          <w:sz w:val="20"/>
          <w:szCs w:val="20"/>
        </w:rPr>
        <w:t>Station Name</w:t>
      </w:r>
      <w:r w:rsidRPr="00344B44">
        <w:rPr>
          <w:b/>
          <w:bCs/>
          <w:sz w:val="20"/>
          <w:szCs w:val="20"/>
        </w:rPr>
        <w:t xml:space="preserve"> 2012</w:t>
      </w:r>
    </w:p>
    <w:p w:rsidR="00A77471" w:rsidRPr="00344B44" w:rsidRDefault="00A77471" w:rsidP="00A77471">
      <w:pPr>
        <w:spacing w:before="0" w:line="240" w:lineRule="auto"/>
        <w:rPr>
          <w:rFonts w:eastAsia="Times New Roman" w:cs="Tahoma"/>
          <w:i/>
          <w:sz w:val="20"/>
          <w:szCs w:val="20"/>
        </w:rPr>
      </w:pPr>
      <w:r w:rsidRPr="00344B44">
        <w:rPr>
          <w:rFonts w:eastAsia="Times New Roman" w:cs="Tahoma"/>
          <w:i/>
          <w:sz w:val="20"/>
          <w:szCs w:val="20"/>
        </w:rPr>
        <w:t>Recipient</w:t>
      </w:r>
    </w:p>
    <w:p w:rsidR="00A77471" w:rsidRPr="00344B44" w:rsidRDefault="00A77471" w:rsidP="00A77471">
      <w:pPr>
        <w:spacing w:before="0" w:line="240" w:lineRule="auto"/>
        <w:rPr>
          <w:rFonts w:eastAsia="Times New Roman" w:cs="Tahoma"/>
          <w:i/>
          <w:sz w:val="20"/>
          <w:szCs w:val="20"/>
        </w:rPr>
      </w:pPr>
      <w:r w:rsidRPr="00344B44">
        <w:rPr>
          <w:rFonts w:eastAsia="Times New Roman" w:cs="Tahoma"/>
          <w:i/>
          <w:sz w:val="20"/>
          <w:szCs w:val="20"/>
        </w:rPr>
        <w:t>Station Name</w:t>
      </w:r>
    </w:p>
    <w:p w:rsidR="00A77471" w:rsidRPr="00344B44" w:rsidRDefault="00A77471" w:rsidP="00A77471">
      <w:pPr>
        <w:spacing w:before="0" w:line="240" w:lineRule="auto"/>
        <w:rPr>
          <w:rFonts w:eastAsia="Times New Roman" w:cs="Tahoma"/>
          <w:sz w:val="20"/>
          <w:szCs w:val="20"/>
        </w:rPr>
      </w:pPr>
    </w:p>
    <w:p w:rsidR="00A77471" w:rsidRPr="00344B44" w:rsidRDefault="00A77471" w:rsidP="00A77471">
      <w:pPr>
        <w:spacing w:before="0" w:line="240" w:lineRule="auto"/>
        <w:rPr>
          <w:rFonts w:eastAsia="Times New Roman" w:cs="Tahoma"/>
          <w:sz w:val="20"/>
          <w:szCs w:val="20"/>
        </w:rPr>
      </w:pPr>
    </w:p>
    <w:p w:rsidR="00A77471" w:rsidRPr="00344B44" w:rsidRDefault="00A77471" w:rsidP="00EF3121">
      <w:pPr>
        <w:spacing w:before="0" w:line="240" w:lineRule="auto"/>
        <w:jc w:val="both"/>
        <w:rPr>
          <w:sz w:val="20"/>
          <w:szCs w:val="20"/>
        </w:rPr>
      </w:pPr>
      <w:r w:rsidRPr="00344B44">
        <w:rPr>
          <w:sz w:val="20"/>
          <w:szCs w:val="20"/>
        </w:rPr>
        <w:t>Thank you for participating in our Antarctica radon survey.</w:t>
      </w:r>
      <w:r w:rsidR="00393096" w:rsidRPr="00344B44">
        <w:rPr>
          <w:sz w:val="20"/>
          <w:szCs w:val="20"/>
        </w:rPr>
        <w:t xml:space="preserve"> </w:t>
      </w:r>
      <w:r w:rsidRPr="00344B44">
        <w:rPr>
          <w:sz w:val="20"/>
          <w:szCs w:val="20"/>
        </w:rPr>
        <w:t>I have enclosed fifteen monitors for your use.</w:t>
      </w:r>
    </w:p>
    <w:p w:rsidR="00A77471" w:rsidRPr="00344B44" w:rsidRDefault="00A77471" w:rsidP="00EF3121">
      <w:pPr>
        <w:spacing w:before="0" w:line="240" w:lineRule="auto"/>
        <w:jc w:val="both"/>
        <w:rPr>
          <w:sz w:val="20"/>
          <w:szCs w:val="20"/>
        </w:rPr>
      </w:pPr>
      <w:r w:rsidRPr="00344B44">
        <w:rPr>
          <w:sz w:val="20"/>
          <w:szCs w:val="20"/>
        </w:rPr>
        <w:t>It is intended that the monitors will be left in place for approximately 12 months, depending on shipping schedules. I have also attached some notes on radon and some information on the monitors themselves.</w:t>
      </w:r>
    </w:p>
    <w:p w:rsidR="00A77471" w:rsidRPr="00344B44" w:rsidRDefault="00A77471" w:rsidP="00EF3121">
      <w:pPr>
        <w:spacing w:before="0" w:line="240" w:lineRule="auto"/>
        <w:jc w:val="both"/>
        <w:rPr>
          <w:sz w:val="20"/>
          <w:szCs w:val="20"/>
        </w:rPr>
      </w:pPr>
    </w:p>
    <w:p w:rsidR="00A77471" w:rsidRPr="00344B44" w:rsidRDefault="00A77471" w:rsidP="00EF3121">
      <w:pPr>
        <w:spacing w:before="0" w:line="240" w:lineRule="auto"/>
        <w:jc w:val="both"/>
        <w:rPr>
          <w:sz w:val="20"/>
          <w:szCs w:val="20"/>
        </w:rPr>
      </w:pPr>
      <w:r w:rsidRPr="00344B44">
        <w:rPr>
          <w:sz w:val="20"/>
          <w:szCs w:val="20"/>
        </w:rPr>
        <w:t xml:space="preserve">Before placing the monitors on-site, could you please select two to be used as a </w:t>
      </w:r>
      <w:proofErr w:type="gramStart"/>
      <w:r w:rsidRPr="00344B44">
        <w:rPr>
          <w:sz w:val="20"/>
          <w:szCs w:val="20"/>
        </w:rPr>
        <w:t>control.</w:t>
      </w:r>
      <w:proofErr w:type="gramEnd"/>
      <w:r w:rsidRPr="00344B44">
        <w:rPr>
          <w:sz w:val="20"/>
          <w:szCs w:val="20"/>
        </w:rPr>
        <w:t xml:space="preserve"> Please place these monitors in a plastic bag and return them to ARPANSA in the addressed envelope provided. If this could be on the immediate return voyage it would be greatly appreciated.</w:t>
      </w:r>
    </w:p>
    <w:p w:rsidR="00A77471" w:rsidRPr="00344B44" w:rsidRDefault="00A77471" w:rsidP="00A77471">
      <w:pPr>
        <w:spacing w:before="0" w:line="240" w:lineRule="auto"/>
        <w:rPr>
          <w:rFonts w:eastAsia="Times New Roman" w:cs="Tahoma"/>
          <w:sz w:val="20"/>
          <w:szCs w:val="20"/>
        </w:rPr>
      </w:pPr>
    </w:p>
    <w:p w:rsidR="00A77471" w:rsidRPr="00344B44" w:rsidRDefault="00A77471" w:rsidP="00A77471">
      <w:pPr>
        <w:spacing w:before="0" w:line="240" w:lineRule="auto"/>
        <w:rPr>
          <w:rFonts w:eastAsia="Times New Roman" w:cs="Tahoma"/>
          <w:b/>
          <w:sz w:val="20"/>
          <w:szCs w:val="20"/>
        </w:rPr>
      </w:pPr>
      <w:r w:rsidRPr="00344B44">
        <w:rPr>
          <w:rFonts w:eastAsia="Times New Roman" w:cs="Tahoma"/>
          <w:b/>
          <w:sz w:val="20"/>
          <w:szCs w:val="20"/>
        </w:rPr>
        <w:t>Notes for Placement of Monitors</w:t>
      </w:r>
    </w:p>
    <w:p w:rsidR="00A77471" w:rsidRPr="00344B44" w:rsidRDefault="00A77471" w:rsidP="00A77471">
      <w:pPr>
        <w:spacing w:before="0" w:line="240" w:lineRule="auto"/>
        <w:rPr>
          <w:rFonts w:eastAsia="Times New Roman" w:cs="Tahoma"/>
          <w:sz w:val="20"/>
          <w:szCs w:val="20"/>
        </w:rPr>
      </w:pPr>
    </w:p>
    <w:p w:rsidR="00A77471" w:rsidRPr="00344B44" w:rsidRDefault="00A77471" w:rsidP="00A77471">
      <w:pPr>
        <w:spacing w:before="0" w:line="240" w:lineRule="auto"/>
        <w:rPr>
          <w:sz w:val="20"/>
          <w:szCs w:val="20"/>
        </w:rPr>
      </w:pPr>
      <w:r w:rsidRPr="00344B44">
        <w:rPr>
          <w:sz w:val="20"/>
          <w:szCs w:val="20"/>
        </w:rPr>
        <w:t>To give an accurate reading of radon exposure, each monitor can only be used in a single location, and the time spent in that location needs to be recorded.</w:t>
      </w:r>
    </w:p>
    <w:p w:rsidR="00A77471" w:rsidRPr="00344B44" w:rsidRDefault="00A77471" w:rsidP="00A77471">
      <w:pPr>
        <w:spacing w:before="0" w:line="240" w:lineRule="auto"/>
        <w:rPr>
          <w:sz w:val="20"/>
          <w:szCs w:val="20"/>
        </w:rPr>
      </w:pPr>
    </w:p>
    <w:p w:rsidR="00A77471" w:rsidRPr="00344B44" w:rsidRDefault="00A77471" w:rsidP="00A77471">
      <w:pPr>
        <w:spacing w:before="0" w:line="240" w:lineRule="auto"/>
        <w:rPr>
          <w:sz w:val="20"/>
          <w:szCs w:val="20"/>
        </w:rPr>
      </w:pPr>
      <w:r w:rsidRPr="00344B44">
        <w:rPr>
          <w:sz w:val="20"/>
          <w:szCs w:val="20"/>
        </w:rPr>
        <w:t>Some dos</w:t>
      </w:r>
    </w:p>
    <w:p w:rsidR="00A77471" w:rsidRPr="00344B44" w:rsidRDefault="00A77471" w:rsidP="00A77471">
      <w:pPr>
        <w:numPr>
          <w:ilvl w:val="0"/>
          <w:numId w:val="24"/>
        </w:numPr>
        <w:spacing w:before="0" w:line="240" w:lineRule="auto"/>
        <w:ind w:left="714" w:hanging="357"/>
        <w:rPr>
          <w:sz w:val="20"/>
          <w:szCs w:val="20"/>
        </w:rPr>
      </w:pPr>
      <w:r w:rsidRPr="00344B44">
        <w:rPr>
          <w:sz w:val="20"/>
          <w:szCs w:val="20"/>
        </w:rPr>
        <w:t>Please put the monitors in highly occupied areas, such as recreation, work or sleeping areas</w:t>
      </w:r>
    </w:p>
    <w:p w:rsidR="00A77471" w:rsidRPr="00344B44" w:rsidRDefault="00A77471" w:rsidP="00A77471">
      <w:pPr>
        <w:numPr>
          <w:ilvl w:val="0"/>
          <w:numId w:val="24"/>
        </w:numPr>
        <w:spacing w:before="0" w:line="240" w:lineRule="auto"/>
        <w:rPr>
          <w:sz w:val="20"/>
          <w:szCs w:val="20"/>
        </w:rPr>
      </w:pPr>
      <w:r w:rsidRPr="00344B44">
        <w:rPr>
          <w:sz w:val="20"/>
          <w:szCs w:val="20"/>
        </w:rPr>
        <w:t>Please distribute them over ground and second floor accommodation, where available</w:t>
      </w:r>
    </w:p>
    <w:p w:rsidR="00A77471" w:rsidRPr="00344B44" w:rsidRDefault="00A77471" w:rsidP="00A77471">
      <w:pPr>
        <w:numPr>
          <w:ilvl w:val="0"/>
          <w:numId w:val="24"/>
        </w:numPr>
        <w:spacing w:before="0" w:line="240" w:lineRule="auto"/>
        <w:rPr>
          <w:sz w:val="20"/>
          <w:szCs w:val="20"/>
        </w:rPr>
      </w:pPr>
      <w:r w:rsidRPr="00344B44">
        <w:rPr>
          <w:sz w:val="20"/>
          <w:szCs w:val="20"/>
        </w:rPr>
        <w:t>Please put the monitors between about waist and head height</w:t>
      </w:r>
    </w:p>
    <w:p w:rsidR="00A77471" w:rsidRPr="00344B44" w:rsidRDefault="00A77471" w:rsidP="00A77471">
      <w:pPr>
        <w:numPr>
          <w:ilvl w:val="0"/>
          <w:numId w:val="24"/>
        </w:numPr>
        <w:spacing w:before="0" w:line="240" w:lineRule="auto"/>
        <w:rPr>
          <w:sz w:val="20"/>
          <w:szCs w:val="20"/>
        </w:rPr>
      </w:pPr>
      <w:r w:rsidRPr="00344B44">
        <w:rPr>
          <w:sz w:val="20"/>
          <w:szCs w:val="20"/>
        </w:rPr>
        <w:t>Please put the monitors in a place where it won’t be moved about or in the way</w:t>
      </w:r>
    </w:p>
    <w:p w:rsidR="00A77471" w:rsidRPr="00344B44" w:rsidRDefault="00A77471" w:rsidP="00A77471">
      <w:pPr>
        <w:spacing w:before="0" w:line="240" w:lineRule="auto"/>
        <w:rPr>
          <w:sz w:val="20"/>
          <w:szCs w:val="20"/>
        </w:rPr>
      </w:pPr>
    </w:p>
    <w:p w:rsidR="00A77471" w:rsidRPr="00344B44" w:rsidRDefault="00A77471" w:rsidP="00A77471">
      <w:pPr>
        <w:spacing w:before="0" w:line="240" w:lineRule="auto"/>
        <w:rPr>
          <w:sz w:val="20"/>
          <w:szCs w:val="20"/>
        </w:rPr>
      </w:pPr>
      <w:r w:rsidRPr="00344B44">
        <w:rPr>
          <w:sz w:val="20"/>
          <w:szCs w:val="20"/>
        </w:rPr>
        <w:t>And some don’ts</w:t>
      </w:r>
    </w:p>
    <w:p w:rsidR="00A77471" w:rsidRPr="00344B44" w:rsidRDefault="00A77471" w:rsidP="00A77471">
      <w:pPr>
        <w:numPr>
          <w:ilvl w:val="0"/>
          <w:numId w:val="24"/>
        </w:numPr>
        <w:spacing w:before="0" w:line="240" w:lineRule="auto"/>
        <w:rPr>
          <w:sz w:val="20"/>
          <w:szCs w:val="20"/>
        </w:rPr>
      </w:pPr>
      <w:r w:rsidRPr="00344B44">
        <w:rPr>
          <w:sz w:val="20"/>
          <w:szCs w:val="20"/>
        </w:rPr>
        <w:t>Please don’t put the monitors near brick or granite surfaces</w:t>
      </w:r>
    </w:p>
    <w:p w:rsidR="00A77471" w:rsidRPr="00344B44" w:rsidRDefault="00A77471" w:rsidP="00A77471">
      <w:pPr>
        <w:numPr>
          <w:ilvl w:val="0"/>
          <w:numId w:val="24"/>
        </w:numPr>
        <w:spacing w:before="0" w:line="240" w:lineRule="auto"/>
        <w:rPr>
          <w:sz w:val="20"/>
          <w:szCs w:val="20"/>
        </w:rPr>
      </w:pPr>
      <w:r w:rsidRPr="00344B44">
        <w:rPr>
          <w:sz w:val="20"/>
          <w:szCs w:val="20"/>
        </w:rPr>
        <w:t>Please don’t open the monitors, cover or seal the opening around the flat side of the monitor</w:t>
      </w:r>
    </w:p>
    <w:p w:rsidR="00A77471" w:rsidRPr="00344B44" w:rsidRDefault="00A77471" w:rsidP="00A77471">
      <w:pPr>
        <w:numPr>
          <w:ilvl w:val="0"/>
          <w:numId w:val="24"/>
        </w:numPr>
        <w:spacing w:before="0" w:line="240" w:lineRule="auto"/>
        <w:rPr>
          <w:sz w:val="20"/>
          <w:szCs w:val="20"/>
        </w:rPr>
      </w:pPr>
      <w:r w:rsidRPr="00344B44">
        <w:rPr>
          <w:sz w:val="20"/>
          <w:szCs w:val="20"/>
        </w:rPr>
        <w:t>Please don’t put the monitors inside an enclosed space (such as a cupboard) where they will be isolated from regular air flows</w:t>
      </w:r>
    </w:p>
    <w:p w:rsidR="00A77471" w:rsidRPr="00344B44" w:rsidRDefault="00A77471" w:rsidP="00A77471">
      <w:pPr>
        <w:spacing w:before="0" w:line="240" w:lineRule="auto"/>
        <w:ind w:left="360"/>
        <w:rPr>
          <w:sz w:val="20"/>
          <w:szCs w:val="20"/>
        </w:rPr>
      </w:pPr>
    </w:p>
    <w:p w:rsidR="00A77471" w:rsidRPr="00344B44" w:rsidRDefault="00A77471" w:rsidP="00A77471">
      <w:pPr>
        <w:spacing w:before="0" w:line="240" w:lineRule="auto"/>
        <w:rPr>
          <w:sz w:val="20"/>
          <w:szCs w:val="20"/>
        </w:rPr>
      </w:pPr>
      <w:r w:rsidRPr="00344B44">
        <w:rPr>
          <w:sz w:val="20"/>
          <w:szCs w:val="20"/>
        </w:rPr>
        <w:t>These are inert monitors made of plastic that absorb radon. They are not electronic and not a Dangerous Good.</w:t>
      </w:r>
    </w:p>
    <w:p w:rsidR="00A77471" w:rsidRPr="00344B44" w:rsidRDefault="00A77471" w:rsidP="00A77471">
      <w:pPr>
        <w:spacing w:before="0" w:line="240" w:lineRule="auto"/>
        <w:rPr>
          <w:sz w:val="20"/>
          <w:szCs w:val="20"/>
        </w:rPr>
      </w:pPr>
      <w:r w:rsidRPr="00344B44">
        <w:rPr>
          <w:sz w:val="20"/>
          <w:szCs w:val="20"/>
        </w:rPr>
        <w:t>Please do not hesitate to contact me if you have any questions or require any further information.</w:t>
      </w:r>
    </w:p>
    <w:p w:rsidR="00A77471" w:rsidRPr="00344B44" w:rsidRDefault="00A77471" w:rsidP="00A77471">
      <w:pPr>
        <w:spacing w:before="0" w:line="240" w:lineRule="auto"/>
        <w:rPr>
          <w:sz w:val="20"/>
          <w:szCs w:val="20"/>
        </w:rPr>
      </w:pPr>
    </w:p>
    <w:p w:rsidR="00A77471" w:rsidRPr="00344B44" w:rsidRDefault="00A77471" w:rsidP="00A77471">
      <w:pPr>
        <w:spacing w:before="0" w:line="240" w:lineRule="auto"/>
        <w:rPr>
          <w:sz w:val="20"/>
          <w:szCs w:val="20"/>
        </w:rPr>
      </w:pPr>
      <w:r w:rsidRPr="00344B44">
        <w:rPr>
          <w:sz w:val="20"/>
          <w:szCs w:val="20"/>
        </w:rPr>
        <w:t>Best regards,</w:t>
      </w:r>
    </w:p>
    <w:p w:rsidR="00A04C47" w:rsidRPr="00344B44" w:rsidRDefault="00A04C47" w:rsidP="00A77471">
      <w:pPr>
        <w:spacing w:before="0" w:line="240" w:lineRule="auto"/>
        <w:rPr>
          <w:sz w:val="20"/>
          <w:szCs w:val="20"/>
        </w:rPr>
      </w:pPr>
      <w:r w:rsidRPr="00344B44">
        <w:rPr>
          <w:sz w:val="20"/>
          <w:szCs w:val="20"/>
        </w:rPr>
        <w:t>ARPANSA</w:t>
      </w:r>
    </w:p>
    <w:p w:rsidR="00E55D1D" w:rsidRPr="00344B44" w:rsidRDefault="00E55D1D" w:rsidP="00A77471">
      <w:pPr>
        <w:spacing w:before="0" w:line="240" w:lineRule="auto"/>
        <w:rPr>
          <w:sz w:val="20"/>
          <w:szCs w:val="20"/>
        </w:rPr>
      </w:pPr>
    </w:p>
    <w:p w:rsidR="00E55D1D" w:rsidRPr="00344B44" w:rsidRDefault="00E55D1D" w:rsidP="00A77471">
      <w:pPr>
        <w:spacing w:before="0" w:line="240" w:lineRule="auto"/>
        <w:rPr>
          <w:sz w:val="20"/>
          <w:szCs w:val="20"/>
        </w:rPr>
      </w:pPr>
    </w:p>
    <w:p w:rsidR="00E55D1D" w:rsidRDefault="00E55D1D">
      <w:pPr>
        <w:spacing w:before="0" w:line="240" w:lineRule="auto"/>
        <w:rPr>
          <w:sz w:val="20"/>
          <w:szCs w:val="20"/>
        </w:rPr>
      </w:pPr>
      <w:r>
        <w:rPr>
          <w:sz w:val="20"/>
          <w:szCs w:val="20"/>
        </w:rPr>
        <w:br w:type="page"/>
      </w:r>
    </w:p>
    <w:p w:rsidR="00344B44" w:rsidRDefault="00344B44" w:rsidP="00344B44">
      <w:pPr>
        <w:pStyle w:val="Appendixheading2"/>
      </w:pPr>
      <w:bookmarkStart w:id="27" w:name="_Toc474844677"/>
      <w:r>
        <w:lastRenderedPageBreak/>
        <w:t>Monitor Results – Winter Placement</w:t>
      </w:r>
      <w:bookmarkEnd w:id="27"/>
    </w:p>
    <w:p w:rsidR="00344B44" w:rsidRDefault="00344B44" w:rsidP="00344B44">
      <w:pPr>
        <w:pStyle w:val="Table"/>
      </w:pPr>
      <w:r w:rsidRPr="003C4674">
        <w:t>Table</w:t>
      </w:r>
      <w:r>
        <w:t xml:space="preserve"> A1.2.1</w:t>
      </w:r>
      <w:r w:rsidRPr="003C4674">
        <w:t>:</w:t>
      </w:r>
      <w:r>
        <w:tab/>
        <w:t>Winter monitor details for Mawson</w:t>
      </w:r>
    </w:p>
    <w:p w:rsidR="00344B44" w:rsidRDefault="00344B44">
      <w:pPr>
        <w:spacing w:before="0" w:line="240" w:lineRule="auto"/>
        <w:rPr>
          <w:sz w:val="20"/>
          <w:szCs w:val="20"/>
        </w:rPr>
      </w:pPr>
    </w:p>
    <w:tbl>
      <w:tblPr>
        <w:tblStyle w:val="MediumShading1-Accent4"/>
        <w:tblW w:w="9606" w:type="dxa"/>
        <w:tblLayout w:type="fixed"/>
        <w:tblLook w:val="04A0" w:firstRow="1" w:lastRow="0" w:firstColumn="1" w:lastColumn="0" w:noHBand="0" w:noVBand="1"/>
      </w:tblPr>
      <w:tblGrid>
        <w:gridCol w:w="1332"/>
        <w:gridCol w:w="2385"/>
        <w:gridCol w:w="1177"/>
        <w:gridCol w:w="1178"/>
        <w:gridCol w:w="1178"/>
        <w:gridCol w:w="1178"/>
        <w:gridCol w:w="1178"/>
      </w:tblGrid>
      <w:tr w:rsidR="00E55D1D" w:rsidRPr="000A1D78" w:rsidTr="00E55D1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A57964">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2385"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177"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 xml:space="preserve">Date </w:t>
            </w:r>
            <w:r w:rsidR="000A1D78">
              <w:rPr>
                <w:color w:val="FFFFFF" w:themeColor="background1"/>
                <w:sz w:val="18"/>
                <w:szCs w:val="18"/>
              </w:rPr>
              <w:br/>
            </w:r>
            <w:r w:rsidRPr="000A1D78">
              <w:rPr>
                <w:color w:val="FFFFFF" w:themeColor="background1"/>
                <w:sz w:val="18"/>
                <w:szCs w:val="18"/>
              </w:rPr>
              <w:t>Placed</w:t>
            </w:r>
          </w:p>
        </w:tc>
        <w:tc>
          <w:tcPr>
            <w:tcW w:w="1178"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1178"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78"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1178" w:type="dxa"/>
            <w:vAlign w:val="center"/>
          </w:tcPr>
          <w:p w:rsidR="00E55D1D" w:rsidRPr="000A1D78" w:rsidRDefault="00E55D1D"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  (Bq.m</w:t>
            </w:r>
            <w:r w:rsidRPr="000A1D78">
              <w:rPr>
                <w:color w:val="FFFFFF" w:themeColor="background1"/>
                <w:sz w:val="18"/>
                <w:szCs w:val="18"/>
                <w:vertAlign w:val="superscript"/>
              </w:rPr>
              <w:t>-3</w:t>
            </w:r>
            <w:r w:rsidRPr="000A1D78">
              <w:rPr>
                <w:color w:val="FFFFFF" w:themeColor="background1"/>
                <w:sz w:val="18"/>
                <w:szCs w:val="18"/>
              </w:rPr>
              <w:t>)</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w:t>
            </w:r>
          </w:p>
        </w:tc>
        <w:tc>
          <w:tcPr>
            <w:tcW w:w="2385" w:type="dxa"/>
            <w:vAlign w:val="center"/>
          </w:tcPr>
          <w:p w:rsidR="00E55D1D" w:rsidRPr="000A1D78" w:rsidRDefault="00E55D1D"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Outer wall, </w:t>
            </w:r>
            <w:r w:rsidR="0003145C">
              <w:rPr>
                <w:rFonts w:ascii="Calibri" w:eastAsia="Times New Roman" w:hAnsi="Calibri"/>
                <w:sz w:val="18"/>
                <w:szCs w:val="18"/>
                <w:lang w:eastAsia="en-AU"/>
              </w:rPr>
              <w:t>m</w:t>
            </w:r>
            <w:r w:rsidRPr="000A1D78">
              <w:rPr>
                <w:rFonts w:ascii="Calibri" w:eastAsia="Times New Roman" w:hAnsi="Calibri"/>
                <w:sz w:val="18"/>
                <w:szCs w:val="18"/>
                <w:lang w:eastAsia="en-AU"/>
              </w:rPr>
              <w:t xml:space="preserve">edical </w:t>
            </w:r>
            <w:r w:rsidR="0003145C">
              <w:rPr>
                <w:rFonts w:ascii="Calibri" w:eastAsia="Times New Roman" w:hAnsi="Calibri"/>
                <w:sz w:val="18"/>
                <w:szCs w:val="18"/>
                <w:lang w:eastAsia="en-AU"/>
              </w:rPr>
              <w:t>c</w:t>
            </w:r>
            <w:r w:rsidRPr="000A1D78">
              <w:rPr>
                <w:rFonts w:ascii="Calibri" w:eastAsia="Times New Roman" w:hAnsi="Calibri"/>
                <w:sz w:val="18"/>
                <w:szCs w:val="18"/>
                <w:lang w:eastAsia="en-AU"/>
              </w:rPr>
              <w:t>onsulting office, mid-chest height.</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6.48</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20</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#2</w:t>
            </w:r>
          </w:p>
        </w:tc>
        <w:tc>
          <w:tcPr>
            <w:tcW w:w="2385" w:type="dxa"/>
            <w:vAlign w:val="center"/>
          </w:tcPr>
          <w:p w:rsidR="00E55D1D" w:rsidRPr="000A1D78" w:rsidRDefault="00E55D1D"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Wall of </w:t>
            </w:r>
            <w:r w:rsidR="0003145C">
              <w:rPr>
                <w:rFonts w:ascii="Calibri" w:eastAsia="Times New Roman" w:hAnsi="Calibri"/>
                <w:sz w:val="18"/>
                <w:szCs w:val="18"/>
                <w:lang w:eastAsia="en-AU"/>
              </w:rPr>
              <w:t>r</w:t>
            </w:r>
            <w:r w:rsidRPr="000A1D78">
              <w:rPr>
                <w:rFonts w:ascii="Calibri" w:eastAsia="Times New Roman" w:hAnsi="Calibri"/>
                <w:sz w:val="18"/>
                <w:szCs w:val="18"/>
                <w:lang w:eastAsia="en-AU"/>
              </w:rPr>
              <w:t xml:space="preserve">oom 3 </w:t>
            </w:r>
            <w:r w:rsidR="0003145C">
              <w:rPr>
                <w:rFonts w:ascii="Calibri" w:eastAsia="Times New Roman" w:hAnsi="Calibri"/>
                <w:sz w:val="18"/>
                <w:szCs w:val="18"/>
                <w:lang w:eastAsia="en-AU"/>
              </w:rPr>
              <w:t>g</w:t>
            </w:r>
            <w:r w:rsidRPr="000A1D78">
              <w:rPr>
                <w:rFonts w:ascii="Calibri" w:eastAsia="Times New Roman" w:hAnsi="Calibri"/>
                <w:sz w:val="18"/>
                <w:szCs w:val="18"/>
                <w:lang w:eastAsia="en-AU"/>
              </w:rPr>
              <w:t xml:space="preserve">round </w:t>
            </w:r>
            <w:r w:rsidR="0003145C">
              <w:rPr>
                <w:rFonts w:ascii="Calibri" w:eastAsia="Times New Roman" w:hAnsi="Calibri"/>
                <w:sz w:val="18"/>
                <w:szCs w:val="18"/>
                <w:lang w:eastAsia="en-AU"/>
              </w:rPr>
              <w:t>f</w:t>
            </w:r>
            <w:r w:rsidRPr="000A1D78">
              <w:rPr>
                <w:rFonts w:ascii="Calibri" w:eastAsia="Times New Roman" w:hAnsi="Calibri"/>
                <w:sz w:val="18"/>
                <w:szCs w:val="18"/>
                <w:lang w:eastAsia="en-AU"/>
              </w:rPr>
              <w:t>loor Red Shed above head of bed, mid-chest height</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8.46</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26</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#3</w:t>
            </w:r>
          </w:p>
        </w:tc>
        <w:tc>
          <w:tcPr>
            <w:tcW w:w="2385" w:type="dxa"/>
            <w:vAlign w:val="center"/>
          </w:tcPr>
          <w:p w:rsidR="00E55D1D" w:rsidRPr="000A1D78" w:rsidRDefault="00E55D1D"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sent back to ARPANSA</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9/03/2012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Not</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Used</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#4</w:t>
            </w:r>
          </w:p>
        </w:tc>
        <w:tc>
          <w:tcPr>
            <w:tcW w:w="2385" w:type="dxa"/>
            <w:vAlign w:val="center"/>
          </w:tcPr>
          <w:p w:rsidR="00E55D1D" w:rsidRPr="000A1D78" w:rsidRDefault="00E55D1D"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Kitchen </w:t>
            </w:r>
            <w:r w:rsidR="0003145C">
              <w:rPr>
                <w:rFonts w:ascii="Calibri" w:eastAsia="Times New Roman" w:hAnsi="Calibri"/>
                <w:sz w:val="18"/>
                <w:szCs w:val="18"/>
                <w:lang w:eastAsia="en-AU"/>
              </w:rPr>
              <w:t>c</w:t>
            </w:r>
            <w:r w:rsidRPr="000A1D78">
              <w:rPr>
                <w:rFonts w:ascii="Calibri" w:eastAsia="Times New Roman" w:hAnsi="Calibri"/>
                <w:sz w:val="18"/>
                <w:szCs w:val="18"/>
                <w:lang w:eastAsia="en-AU"/>
              </w:rPr>
              <w:t xml:space="preserve">entre </w:t>
            </w:r>
            <w:r w:rsidR="0003145C">
              <w:rPr>
                <w:rFonts w:ascii="Calibri" w:eastAsia="Times New Roman" w:hAnsi="Calibri"/>
                <w:sz w:val="18"/>
                <w:szCs w:val="18"/>
                <w:lang w:eastAsia="en-AU"/>
              </w:rPr>
              <w:t>i</w:t>
            </w:r>
            <w:r w:rsidRPr="000A1D78">
              <w:rPr>
                <w:rFonts w:ascii="Calibri" w:eastAsia="Times New Roman" w:hAnsi="Calibri"/>
                <w:sz w:val="18"/>
                <w:szCs w:val="18"/>
                <w:lang w:eastAsia="en-AU"/>
              </w:rPr>
              <w:t>sland above fire extinguishers</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3.14</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10</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#5</w:t>
            </w:r>
          </w:p>
        </w:tc>
        <w:tc>
          <w:tcPr>
            <w:tcW w:w="2385" w:type="dxa"/>
            <w:vAlign w:val="center"/>
          </w:tcPr>
          <w:p w:rsidR="00E55D1D" w:rsidRPr="000A1D78" w:rsidRDefault="00E55D1D"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Outer (</w:t>
            </w:r>
            <w:r w:rsidR="0003145C">
              <w:rPr>
                <w:rFonts w:ascii="Calibri" w:eastAsia="Times New Roman" w:hAnsi="Calibri"/>
                <w:sz w:val="18"/>
                <w:szCs w:val="18"/>
                <w:lang w:eastAsia="en-AU"/>
              </w:rPr>
              <w:t>e</w:t>
            </w:r>
            <w:r w:rsidRPr="000A1D78">
              <w:rPr>
                <w:rFonts w:ascii="Calibri" w:eastAsia="Times New Roman" w:hAnsi="Calibri"/>
                <w:sz w:val="18"/>
                <w:szCs w:val="18"/>
                <w:lang w:eastAsia="en-AU"/>
              </w:rPr>
              <w:t>ast) wall Mess; on pillar 30 cm from window glass</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3.16</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10</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#6</w:t>
            </w:r>
          </w:p>
        </w:tc>
        <w:tc>
          <w:tcPr>
            <w:tcW w:w="2385" w:type="dxa"/>
            <w:vAlign w:val="center"/>
          </w:tcPr>
          <w:p w:rsidR="00E55D1D" w:rsidRPr="000A1D78" w:rsidRDefault="00E55D1D"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South dividing wall Room 16 Red Shed Upper; just above waist height</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7.56</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24</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#7</w:t>
            </w:r>
          </w:p>
        </w:tc>
        <w:tc>
          <w:tcPr>
            <w:tcW w:w="2385" w:type="dxa"/>
            <w:vAlign w:val="center"/>
          </w:tcPr>
          <w:p w:rsidR="00E55D1D" w:rsidRPr="000A1D78" w:rsidRDefault="00E55D1D"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Pillar </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est end of bar, Red Shed Upper</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3.80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12</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#8</w:t>
            </w:r>
          </w:p>
        </w:tc>
        <w:tc>
          <w:tcPr>
            <w:tcW w:w="2385" w:type="dxa"/>
            <w:vAlign w:val="center"/>
          </w:tcPr>
          <w:p w:rsidR="00E55D1D" w:rsidRPr="000A1D78" w:rsidRDefault="00E55D1D"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Lounge Red Shed </w:t>
            </w:r>
            <w:r w:rsidR="0018687D">
              <w:rPr>
                <w:rFonts w:ascii="Calibri" w:eastAsia="Times New Roman" w:hAnsi="Calibri"/>
                <w:sz w:val="18"/>
                <w:szCs w:val="18"/>
                <w:lang w:eastAsia="en-AU"/>
              </w:rPr>
              <w:t>u</w:t>
            </w:r>
            <w:r w:rsidRPr="000A1D78">
              <w:rPr>
                <w:rFonts w:ascii="Calibri" w:eastAsia="Times New Roman" w:hAnsi="Calibri"/>
                <w:sz w:val="18"/>
                <w:szCs w:val="18"/>
                <w:lang w:eastAsia="en-AU"/>
              </w:rPr>
              <w:t xml:space="preserve">pper; window pillar, </w:t>
            </w:r>
            <w:r w:rsidR="0018687D">
              <w:rPr>
                <w:rFonts w:ascii="Calibri" w:eastAsia="Times New Roman" w:hAnsi="Calibri"/>
                <w:sz w:val="18"/>
                <w:szCs w:val="18"/>
                <w:lang w:eastAsia="en-AU"/>
              </w:rPr>
              <w:t>e</w:t>
            </w:r>
            <w:r w:rsidRPr="000A1D78">
              <w:rPr>
                <w:rFonts w:ascii="Calibri" w:eastAsia="Times New Roman" w:hAnsi="Calibri"/>
                <w:sz w:val="18"/>
                <w:szCs w:val="18"/>
                <w:lang w:eastAsia="en-AU"/>
              </w:rPr>
              <w:t>ast facing, 30 cm from window glass, mid-chest height</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7.89</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25</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#9</w:t>
            </w:r>
          </w:p>
        </w:tc>
        <w:tc>
          <w:tcPr>
            <w:tcW w:w="2385" w:type="dxa"/>
            <w:vAlign w:val="center"/>
          </w:tcPr>
          <w:p w:rsidR="00E55D1D" w:rsidRPr="000A1D78" w:rsidRDefault="00E55D1D"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South dividing wall Room 8 </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 xml:space="preserve">est side Red Shed </w:t>
            </w:r>
            <w:r w:rsidR="0018687D">
              <w:rPr>
                <w:rFonts w:ascii="Calibri" w:eastAsia="Times New Roman" w:hAnsi="Calibri"/>
                <w:sz w:val="18"/>
                <w:szCs w:val="18"/>
                <w:lang w:eastAsia="en-AU"/>
              </w:rPr>
              <w:t>l</w:t>
            </w:r>
            <w:r w:rsidRPr="000A1D78">
              <w:rPr>
                <w:rFonts w:ascii="Calibri" w:eastAsia="Times New Roman" w:hAnsi="Calibri"/>
                <w:sz w:val="18"/>
                <w:szCs w:val="18"/>
                <w:lang w:eastAsia="en-AU"/>
              </w:rPr>
              <w:t>ower; mid-chest height</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6.16</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19</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#10</w:t>
            </w:r>
          </w:p>
        </w:tc>
        <w:tc>
          <w:tcPr>
            <w:tcW w:w="2385" w:type="dxa"/>
            <w:vAlign w:val="center"/>
          </w:tcPr>
          <w:p w:rsidR="00E55D1D" w:rsidRPr="000A1D78" w:rsidRDefault="00E55D1D"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sent back to ARPANSA</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9/03/2012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Not</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Used</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#11</w:t>
            </w:r>
          </w:p>
        </w:tc>
        <w:tc>
          <w:tcPr>
            <w:tcW w:w="2385" w:type="dxa"/>
            <w:vAlign w:val="center"/>
          </w:tcPr>
          <w:p w:rsidR="00E55D1D" w:rsidRPr="000A1D78" w:rsidRDefault="00E55D1D"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North wall R</w:t>
            </w:r>
            <w:r w:rsidR="0018687D">
              <w:rPr>
                <w:rFonts w:ascii="Calibri" w:eastAsia="Times New Roman" w:hAnsi="Calibri"/>
                <w:sz w:val="18"/>
                <w:szCs w:val="18"/>
                <w:lang w:eastAsia="en-AU"/>
              </w:rPr>
              <w:t>oo</w:t>
            </w:r>
            <w:r w:rsidRPr="000A1D78">
              <w:rPr>
                <w:rFonts w:ascii="Calibri" w:eastAsia="Times New Roman" w:hAnsi="Calibri"/>
                <w:sz w:val="18"/>
                <w:szCs w:val="18"/>
                <w:lang w:eastAsia="en-AU"/>
              </w:rPr>
              <w:t>m 13 Red Shed lower; mid-chest height</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5.79</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18</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#12</w:t>
            </w:r>
          </w:p>
        </w:tc>
        <w:tc>
          <w:tcPr>
            <w:tcW w:w="2385" w:type="dxa"/>
            <w:vAlign w:val="center"/>
          </w:tcPr>
          <w:p w:rsidR="00E55D1D" w:rsidRPr="000A1D78" w:rsidRDefault="00E55D1D"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Under black PE sheeting on rock under Red Shed; access hatch </w:t>
            </w:r>
            <w:r w:rsidR="0018687D">
              <w:rPr>
                <w:rFonts w:ascii="Calibri" w:eastAsia="Times New Roman" w:hAnsi="Calibri"/>
                <w:sz w:val="18"/>
                <w:szCs w:val="18"/>
                <w:lang w:eastAsia="en-AU"/>
              </w:rPr>
              <w:t>g</w:t>
            </w:r>
            <w:r w:rsidRPr="000A1D78">
              <w:rPr>
                <w:rFonts w:ascii="Calibri" w:eastAsia="Times New Roman" w:hAnsi="Calibri"/>
                <w:sz w:val="18"/>
                <w:szCs w:val="18"/>
                <w:lang w:eastAsia="en-AU"/>
              </w:rPr>
              <w:t xml:space="preserve">round floor;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outhern stairwell</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320</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9.48</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#13</w:t>
            </w:r>
          </w:p>
        </w:tc>
        <w:tc>
          <w:tcPr>
            <w:tcW w:w="2385" w:type="dxa"/>
            <w:vAlign w:val="center"/>
          </w:tcPr>
          <w:p w:rsidR="00E55D1D" w:rsidRPr="000A1D78" w:rsidRDefault="00E55D1D"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Outer wall above desk(</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 xml:space="preserve">est facing) SCTO </w:t>
            </w:r>
            <w:r w:rsidR="0018687D">
              <w:rPr>
                <w:rFonts w:ascii="Calibri" w:eastAsia="Times New Roman" w:hAnsi="Calibri"/>
                <w:sz w:val="18"/>
                <w:szCs w:val="18"/>
                <w:lang w:eastAsia="en-AU"/>
              </w:rPr>
              <w:t>o</w:t>
            </w:r>
            <w:r w:rsidRPr="000A1D78">
              <w:rPr>
                <w:rFonts w:ascii="Calibri" w:eastAsia="Times New Roman" w:hAnsi="Calibri"/>
                <w:sz w:val="18"/>
                <w:szCs w:val="18"/>
                <w:lang w:eastAsia="en-AU"/>
              </w:rPr>
              <w:t xml:space="preserve">ffice ; OPS </w:t>
            </w:r>
            <w:r w:rsidR="0018687D">
              <w:rPr>
                <w:rFonts w:ascii="Calibri" w:eastAsia="Times New Roman" w:hAnsi="Calibri"/>
                <w:sz w:val="18"/>
                <w:szCs w:val="18"/>
                <w:lang w:eastAsia="en-AU"/>
              </w:rPr>
              <w:t>b</w:t>
            </w:r>
            <w:r w:rsidRPr="000A1D78">
              <w:rPr>
                <w:rFonts w:ascii="Calibri" w:eastAsia="Times New Roman" w:hAnsi="Calibri"/>
                <w:sz w:val="18"/>
                <w:szCs w:val="18"/>
                <w:lang w:eastAsia="en-AU"/>
              </w:rPr>
              <w:t>uilding; mid-chest height</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9/03/2012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319</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5.10</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16</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#14</w:t>
            </w:r>
          </w:p>
        </w:tc>
        <w:tc>
          <w:tcPr>
            <w:tcW w:w="2385" w:type="dxa"/>
            <w:vAlign w:val="center"/>
          </w:tcPr>
          <w:p w:rsidR="00E55D1D" w:rsidRPr="000A1D78" w:rsidRDefault="00E55D1D"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Outer(</w:t>
            </w:r>
            <w:r w:rsidR="0018687D">
              <w:rPr>
                <w:rFonts w:ascii="Calibri" w:eastAsia="Times New Roman" w:hAnsi="Calibri"/>
                <w:sz w:val="18"/>
                <w:szCs w:val="18"/>
                <w:lang w:eastAsia="en-AU"/>
              </w:rPr>
              <w:t>n</w:t>
            </w:r>
            <w:r w:rsidRPr="000A1D78">
              <w:rPr>
                <w:rFonts w:ascii="Calibri" w:eastAsia="Times New Roman" w:hAnsi="Calibri"/>
                <w:sz w:val="18"/>
                <w:szCs w:val="18"/>
                <w:lang w:eastAsia="en-AU"/>
              </w:rPr>
              <w:t xml:space="preserve">orth facing) wall MET </w:t>
            </w:r>
            <w:r w:rsidR="0018687D">
              <w:rPr>
                <w:rFonts w:ascii="Calibri" w:eastAsia="Times New Roman" w:hAnsi="Calibri"/>
                <w:sz w:val="18"/>
                <w:szCs w:val="18"/>
                <w:lang w:eastAsia="en-AU"/>
              </w:rPr>
              <w:t>o</w:t>
            </w:r>
            <w:r w:rsidRPr="000A1D78">
              <w:rPr>
                <w:rFonts w:ascii="Calibri" w:eastAsia="Times New Roman" w:hAnsi="Calibri"/>
                <w:sz w:val="18"/>
                <w:szCs w:val="18"/>
                <w:lang w:eastAsia="en-AU"/>
              </w:rPr>
              <w:t>ffice, OPS building; above desk; mid-chest height</w:t>
            </w:r>
          </w:p>
        </w:tc>
        <w:tc>
          <w:tcPr>
            <w:tcW w:w="1177"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9/03/2012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319</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4.72</w:t>
            </w:r>
          </w:p>
        </w:tc>
        <w:tc>
          <w:tcPr>
            <w:tcW w:w="1178" w:type="dxa"/>
            <w:vAlign w:val="center"/>
          </w:tcPr>
          <w:p w:rsidR="00E55D1D" w:rsidRPr="000A1D78" w:rsidRDefault="00E55D1D"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15</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32" w:type="dxa"/>
            <w:vAlign w:val="center"/>
          </w:tcPr>
          <w:p w:rsidR="00E55D1D" w:rsidRPr="000A1D78" w:rsidRDefault="00E55D1D" w:rsidP="005A01EC">
            <w:pPr>
              <w:spacing w:before="100" w:beforeAutospacing="1" w:after="100" w:afterAutospacing="1"/>
              <w:jc w:val="center"/>
              <w:rPr>
                <w:sz w:val="18"/>
                <w:szCs w:val="18"/>
              </w:rPr>
            </w:pPr>
            <w:r w:rsidRPr="000A1D78">
              <w:rPr>
                <w:sz w:val="18"/>
                <w:szCs w:val="18"/>
              </w:rPr>
              <w:t>Mawson #15</w:t>
            </w:r>
          </w:p>
        </w:tc>
        <w:tc>
          <w:tcPr>
            <w:tcW w:w="2385" w:type="dxa"/>
            <w:vAlign w:val="center"/>
          </w:tcPr>
          <w:p w:rsidR="00E55D1D" w:rsidRPr="000A1D78" w:rsidRDefault="00E55D1D"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Diesel workshop; ground floor;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outh facing wall; mid-chest height</w:t>
            </w:r>
          </w:p>
        </w:tc>
        <w:tc>
          <w:tcPr>
            <w:tcW w:w="1177"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9/03/2012</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22/01/2013</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319</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7.66</w:t>
            </w:r>
          </w:p>
        </w:tc>
        <w:tc>
          <w:tcPr>
            <w:tcW w:w="1178" w:type="dxa"/>
            <w:vAlign w:val="center"/>
          </w:tcPr>
          <w:p w:rsidR="00E55D1D" w:rsidRPr="000A1D78" w:rsidRDefault="00E55D1D"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24</w:t>
            </w:r>
          </w:p>
        </w:tc>
      </w:tr>
    </w:tbl>
    <w:p w:rsidR="00E55D1D" w:rsidRDefault="00E55D1D" w:rsidP="00A77471">
      <w:pPr>
        <w:spacing w:before="0" w:line="240" w:lineRule="auto"/>
        <w:rPr>
          <w:sz w:val="20"/>
          <w:szCs w:val="20"/>
        </w:rPr>
      </w:pPr>
    </w:p>
    <w:p w:rsidR="00344B44" w:rsidRDefault="00344B44">
      <w:pPr>
        <w:spacing w:before="0" w:line="240" w:lineRule="auto"/>
        <w:rPr>
          <w:sz w:val="20"/>
          <w:szCs w:val="20"/>
        </w:rPr>
      </w:pPr>
      <w:r>
        <w:rPr>
          <w:sz w:val="20"/>
          <w:szCs w:val="20"/>
        </w:rPr>
        <w:br w:type="page"/>
      </w:r>
    </w:p>
    <w:p w:rsidR="00344B44" w:rsidRDefault="00344B44" w:rsidP="00344B44">
      <w:pPr>
        <w:pStyle w:val="Table"/>
      </w:pPr>
      <w:r w:rsidRPr="003C4674">
        <w:lastRenderedPageBreak/>
        <w:t>Table</w:t>
      </w:r>
      <w:r>
        <w:t xml:space="preserve"> A1.2.2</w:t>
      </w:r>
      <w:r w:rsidRPr="003C4674">
        <w:t>:</w:t>
      </w:r>
      <w:r>
        <w:tab/>
        <w:t>Winter monitor details for Davis</w:t>
      </w:r>
    </w:p>
    <w:p w:rsidR="00E55D1D" w:rsidRDefault="00E55D1D" w:rsidP="00A77471">
      <w:pPr>
        <w:spacing w:before="0" w:line="240" w:lineRule="auto"/>
        <w:rPr>
          <w:sz w:val="20"/>
          <w:szCs w:val="20"/>
        </w:rPr>
      </w:pPr>
    </w:p>
    <w:tbl>
      <w:tblPr>
        <w:tblStyle w:val="MediumShading1-Accent4"/>
        <w:tblW w:w="9606" w:type="dxa"/>
        <w:tblLook w:val="04A0" w:firstRow="1" w:lastRow="0" w:firstColumn="1" w:lastColumn="0" w:noHBand="0" w:noVBand="1"/>
      </w:tblPr>
      <w:tblGrid>
        <w:gridCol w:w="1345"/>
        <w:gridCol w:w="2416"/>
        <w:gridCol w:w="1155"/>
        <w:gridCol w:w="1172"/>
        <w:gridCol w:w="1173"/>
        <w:gridCol w:w="1172"/>
        <w:gridCol w:w="1173"/>
      </w:tblGrid>
      <w:tr w:rsidR="00A57964" w:rsidRPr="000A1D78" w:rsidTr="00A5796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A57964">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2416"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155"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 xml:space="preserve">Date </w:t>
            </w:r>
            <w:r w:rsidR="000A1D78">
              <w:rPr>
                <w:color w:val="FFFFFF" w:themeColor="background1"/>
                <w:sz w:val="18"/>
                <w:szCs w:val="18"/>
              </w:rPr>
              <w:br/>
            </w:r>
            <w:r w:rsidRPr="000A1D78">
              <w:rPr>
                <w:color w:val="FFFFFF" w:themeColor="background1"/>
                <w:sz w:val="18"/>
                <w:szCs w:val="18"/>
              </w:rPr>
              <w:t>Placed</w:t>
            </w:r>
          </w:p>
        </w:tc>
        <w:tc>
          <w:tcPr>
            <w:tcW w:w="1172"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1173"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72"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1173" w:type="dxa"/>
            <w:vAlign w:val="center"/>
          </w:tcPr>
          <w:p w:rsidR="00344B44" w:rsidRPr="000A1D78" w:rsidRDefault="00344B44"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  (Bq.m</w:t>
            </w:r>
            <w:r w:rsidRPr="000A1D78">
              <w:rPr>
                <w:color w:val="FFFFFF" w:themeColor="background1"/>
                <w:sz w:val="18"/>
                <w:szCs w:val="18"/>
                <w:vertAlign w:val="superscript"/>
              </w:rPr>
              <w:t>-3</w:t>
            </w:r>
            <w:r w:rsidRPr="000A1D78">
              <w:rPr>
                <w:color w:val="FFFFFF" w:themeColor="background1"/>
                <w:sz w:val="18"/>
                <w:szCs w:val="18"/>
              </w:rPr>
              <w:t>)</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w:t>
            </w:r>
          </w:p>
        </w:tc>
        <w:tc>
          <w:tcPr>
            <w:tcW w:w="2416" w:type="dxa"/>
            <w:vAlign w:val="center"/>
          </w:tcPr>
          <w:p w:rsidR="00344B44" w:rsidRPr="000A1D78" w:rsidRDefault="00344B44"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sent back to ARPANSA</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Not</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Used</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#2</w:t>
            </w:r>
          </w:p>
        </w:tc>
        <w:tc>
          <w:tcPr>
            <w:tcW w:w="2416" w:type="dxa"/>
            <w:vAlign w:val="center"/>
          </w:tcPr>
          <w:p w:rsidR="00344B44" w:rsidRPr="000A1D78" w:rsidRDefault="00344B44"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sent back to ARPANSA</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Not</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Used</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#3</w:t>
            </w:r>
          </w:p>
        </w:tc>
        <w:tc>
          <w:tcPr>
            <w:tcW w:w="2416" w:type="dxa"/>
            <w:vAlign w:val="center"/>
          </w:tcPr>
          <w:p w:rsidR="00344B44" w:rsidRPr="000A1D78" w:rsidRDefault="00344B44"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Basement Brewery,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ervice pipe to right of ladder</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12.04</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41</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#4</w:t>
            </w:r>
          </w:p>
        </w:tc>
        <w:tc>
          <w:tcPr>
            <w:tcW w:w="2416" w:type="dxa"/>
            <w:vAlign w:val="center"/>
          </w:tcPr>
          <w:p w:rsidR="00344B44" w:rsidRPr="000A1D78" w:rsidRDefault="00344B44"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G07 </w:t>
            </w:r>
            <w:r w:rsidR="0018687D">
              <w:rPr>
                <w:rFonts w:ascii="Calibri" w:eastAsia="Times New Roman" w:hAnsi="Calibri"/>
                <w:sz w:val="18"/>
                <w:szCs w:val="18"/>
                <w:lang w:eastAsia="en-AU"/>
              </w:rPr>
              <w:t>b</w:t>
            </w:r>
            <w:r w:rsidRPr="000A1D78">
              <w:rPr>
                <w:rFonts w:ascii="Calibri" w:eastAsia="Times New Roman" w:hAnsi="Calibri"/>
                <w:sz w:val="18"/>
                <w:szCs w:val="18"/>
                <w:lang w:eastAsia="en-AU"/>
              </w:rPr>
              <w:t>edroom SMQ downstairs</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#5</w:t>
            </w:r>
          </w:p>
        </w:tc>
        <w:tc>
          <w:tcPr>
            <w:tcW w:w="2416" w:type="dxa"/>
            <w:vAlign w:val="center"/>
          </w:tcPr>
          <w:p w:rsidR="00344B44" w:rsidRPr="000A1D78" w:rsidRDefault="00344B44"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Surgery </w:t>
            </w:r>
            <w:r w:rsidR="0018687D">
              <w:rPr>
                <w:rFonts w:ascii="Calibri" w:eastAsia="Times New Roman" w:hAnsi="Calibri"/>
                <w:sz w:val="18"/>
                <w:szCs w:val="18"/>
                <w:lang w:eastAsia="en-AU"/>
              </w:rPr>
              <w:t>o</w:t>
            </w:r>
            <w:r w:rsidRPr="000A1D78">
              <w:rPr>
                <w:rFonts w:ascii="Calibri" w:eastAsia="Times New Roman" w:hAnsi="Calibri"/>
                <w:sz w:val="18"/>
                <w:szCs w:val="18"/>
                <w:lang w:eastAsia="en-AU"/>
              </w:rPr>
              <w:t>ffice door handle</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6.18</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21</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#6</w:t>
            </w:r>
          </w:p>
        </w:tc>
        <w:tc>
          <w:tcPr>
            <w:tcW w:w="2416" w:type="dxa"/>
            <w:vAlign w:val="center"/>
          </w:tcPr>
          <w:p w:rsidR="00344B44" w:rsidRPr="000A1D78" w:rsidRDefault="00344B44"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Cinema - base of handrail support - back row</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5.07</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17</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#7</w:t>
            </w:r>
          </w:p>
        </w:tc>
        <w:tc>
          <w:tcPr>
            <w:tcW w:w="2416" w:type="dxa"/>
            <w:vAlign w:val="center"/>
          </w:tcPr>
          <w:p w:rsidR="00344B44" w:rsidRPr="000A1D78" w:rsidRDefault="00344B44"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Firehose </w:t>
            </w:r>
            <w:r w:rsidR="0018687D">
              <w:rPr>
                <w:rFonts w:ascii="Calibri" w:eastAsia="Times New Roman" w:hAnsi="Calibri"/>
                <w:sz w:val="18"/>
                <w:szCs w:val="18"/>
                <w:lang w:eastAsia="en-AU"/>
              </w:rPr>
              <w:t>r</w:t>
            </w:r>
            <w:r w:rsidRPr="000A1D78">
              <w:rPr>
                <w:rFonts w:ascii="Calibri" w:eastAsia="Times New Roman" w:hAnsi="Calibri"/>
                <w:sz w:val="18"/>
                <w:szCs w:val="18"/>
                <w:lang w:eastAsia="en-AU"/>
              </w:rPr>
              <w:t>eel upstairs SMQ - next to SL room</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5.27</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18</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#8</w:t>
            </w:r>
          </w:p>
        </w:tc>
        <w:tc>
          <w:tcPr>
            <w:tcW w:w="2416" w:type="dxa"/>
            <w:vAlign w:val="center"/>
          </w:tcPr>
          <w:p w:rsidR="00344B44" w:rsidRPr="000A1D78" w:rsidRDefault="00344B44"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Firehose </w:t>
            </w:r>
            <w:r w:rsidR="0018687D">
              <w:rPr>
                <w:rFonts w:ascii="Calibri" w:eastAsia="Times New Roman" w:hAnsi="Calibri"/>
                <w:sz w:val="18"/>
                <w:szCs w:val="18"/>
                <w:lang w:eastAsia="en-AU"/>
              </w:rPr>
              <w:t>r</w:t>
            </w:r>
            <w:r w:rsidRPr="000A1D78">
              <w:rPr>
                <w:rFonts w:ascii="Calibri" w:eastAsia="Times New Roman" w:hAnsi="Calibri"/>
                <w:sz w:val="18"/>
                <w:szCs w:val="18"/>
                <w:lang w:eastAsia="en-AU"/>
              </w:rPr>
              <w:t>eel upstairs - SMQ (near stairs)</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2.43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#9</w:t>
            </w:r>
          </w:p>
        </w:tc>
        <w:tc>
          <w:tcPr>
            <w:tcW w:w="2416" w:type="dxa"/>
            <w:vAlign w:val="center"/>
          </w:tcPr>
          <w:p w:rsidR="00344B44" w:rsidRPr="000A1D78" w:rsidRDefault="00344B44"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Fire hydrant rack. New LQ cold porch</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5.41</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18</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#10</w:t>
            </w:r>
          </w:p>
        </w:tc>
        <w:tc>
          <w:tcPr>
            <w:tcW w:w="2416" w:type="dxa"/>
            <w:vAlign w:val="center"/>
          </w:tcPr>
          <w:p w:rsidR="00344B44" w:rsidRPr="000A1D78" w:rsidRDefault="00344B44"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Kitchen - under back knife rack</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1.87</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6</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#11</w:t>
            </w:r>
          </w:p>
        </w:tc>
        <w:tc>
          <w:tcPr>
            <w:tcW w:w="2416" w:type="dxa"/>
            <w:vAlign w:val="center"/>
          </w:tcPr>
          <w:p w:rsidR="00344B44" w:rsidRPr="000A1D78" w:rsidRDefault="00344B44"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Chrome leg supporting bench at comm</w:t>
            </w:r>
            <w:r w:rsidR="0018687D">
              <w:rPr>
                <w:rFonts w:ascii="Calibri" w:eastAsia="Times New Roman" w:hAnsi="Calibri"/>
                <w:sz w:val="18"/>
                <w:szCs w:val="18"/>
                <w:lang w:eastAsia="en-AU"/>
              </w:rPr>
              <w:t>unication</w:t>
            </w:r>
            <w:r w:rsidRPr="000A1D78">
              <w:rPr>
                <w:rFonts w:ascii="Calibri" w:eastAsia="Times New Roman" w:hAnsi="Calibri"/>
                <w:sz w:val="18"/>
                <w:szCs w:val="18"/>
                <w:lang w:eastAsia="en-AU"/>
              </w:rPr>
              <w:t>s console in mess</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6.55</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22</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#12</w:t>
            </w:r>
          </w:p>
        </w:tc>
        <w:tc>
          <w:tcPr>
            <w:tcW w:w="2416" w:type="dxa"/>
            <w:vAlign w:val="center"/>
          </w:tcPr>
          <w:p w:rsidR="00344B44" w:rsidRPr="000A1D78" w:rsidRDefault="00344B44"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Left leg of bar near window (under the bench)</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2.38</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#13</w:t>
            </w:r>
          </w:p>
        </w:tc>
        <w:tc>
          <w:tcPr>
            <w:tcW w:w="2416" w:type="dxa"/>
            <w:vAlign w:val="center"/>
          </w:tcPr>
          <w:p w:rsidR="00344B44" w:rsidRPr="000A1D78" w:rsidRDefault="00344B44"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Eastern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tair. New LQ next to top step (on the side)</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2.63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9</w:t>
            </w:r>
          </w:p>
        </w:tc>
      </w:tr>
      <w:tr w:rsidR="00344B4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#14</w:t>
            </w:r>
          </w:p>
        </w:tc>
        <w:tc>
          <w:tcPr>
            <w:tcW w:w="2416" w:type="dxa"/>
            <w:vAlign w:val="center"/>
          </w:tcPr>
          <w:p w:rsidR="00344B44" w:rsidRPr="000A1D78" w:rsidRDefault="00344B44"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Chrome leg supporting window bench in mess (under the middle window)</w:t>
            </w:r>
          </w:p>
        </w:tc>
        <w:tc>
          <w:tcPr>
            <w:tcW w:w="1155"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0.63</w:t>
            </w:r>
          </w:p>
        </w:tc>
        <w:tc>
          <w:tcPr>
            <w:tcW w:w="1173" w:type="dxa"/>
            <w:vAlign w:val="center"/>
          </w:tcPr>
          <w:p w:rsidR="00344B44" w:rsidRPr="000A1D78" w:rsidRDefault="00344B44" w:rsidP="00344B4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w:t>
            </w:r>
          </w:p>
        </w:tc>
      </w:tr>
      <w:tr w:rsidR="00344B4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45" w:type="dxa"/>
            <w:vAlign w:val="center"/>
          </w:tcPr>
          <w:p w:rsidR="00344B44" w:rsidRPr="000A1D78" w:rsidRDefault="00344B44" w:rsidP="005A01EC">
            <w:pPr>
              <w:spacing w:before="100" w:beforeAutospacing="1" w:after="100" w:afterAutospacing="1"/>
              <w:jc w:val="center"/>
              <w:rPr>
                <w:sz w:val="18"/>
                <w:szCs w:val="18"/>
              </w:rPr>
            </w:pPr>
            <w:r w:rsidRPr="000A1D78">
              <w:rPr>
                <w:sz w:val="18"/>
                <w:szCs w:val="18"/>
              </w:rPr>
              <w:t>Davis #15</w:t>
            </w:r>
          </w:p>
        </w:tc>
        <w:tc>
          <w:tcPr>
            <w:tcW w:w="2416" w:type="dxa"/>
            <w:vAlign w:val="center"/>
          </w:tcPr>
          <w:p w:rsidR="00344B44" w:rsidRPr="000A1D78" w:rsidRDefault="00344B44"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Western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 xml:space="preserve">tair </w:t>
            </w:r>
            <w:r w:rsidR="0018687D">
              <w:rPr>
                <w:rFonts w:ascii="Calibri" w:eastAsia="Times New Roman" w:hAnsi="Calibri"/>
                <w:sz w:val="18"/>
                <w:szCs w:val="18"/>
                <w:lang w:eastAsia="en-AU"/>
              </w:rPr>
              <w:t>n</w:t>
            </w:r>
            <w:r w:rsidRPr="000A1D78">
              <w:rPr>
                <w:rFonts w:ascii="Calibri" w:eastAsia="Times New Roman" w:hAnsi="Calibri"/>
                <w:sz w:val="18"/>
                <w:szCs w:val="18"/>
                <w:lang w:eastAsia="en-AU"/>
              </w:rPr>
              <w:t>ew LQ (</w:t>
            </w:r>
            <w:proofErr w:type="spellStart"/>
            <w:r w:rsidR="0018687D">
              <w:rPr>
                <w:rFonts w:ascii="Calibri" w:eastAsia="Times New Roman" w:hAnsi="Calibri"/>
                <w:sz w:val="18"/>
                <w:szCs w:val="18"/>
                <w:lang w:eastAsia="en-AU"/>
              </w:rPr>
              <w:t>b</w:t>
            </w:r>
            <w:r w:rsidRPr="000A1D78">
              <w:rPr>
                <w:rFonts w:ascii="Calibri" w:eastAsia="Times New Roman" w:hAnsi="Calibri"/>
                <w:sz w:val="18"/>
                <w:szCs w:val="18"/>
                <w:lang w:eastAsia="en-AU"/>
              </w:rPr>
              <w:t>arstairs</w:t>
            </w:r>
            <w:proofErr w:type="spellEnd"/>
            <w:r w:rsidRPr="000A1D78">
              <w:rPr>
                <w:rFonts w:ascii="Calibri" w:eastAsia="Times New Roman" w:hAnsi="Calibri"/>
                <w:sz w:val="18"/>
                <w:szCs w:val="18"/>
                <w:lang w:eastAsia="en-AU"/>
              </w:rPr>
              <w:t>) next to top step</w:t>
            </w:r>
          </w:p>
        </w:tc>
        <w:tc>
          <w:tcPr>
            <w:tcW w:w="1155"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3/04/2012</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295</w:t>
            </w:r>
          </w:p>
        </w:tc>
        <w:tc>
          <w:tcPr>
            <w:tcW w:w="1172"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1.51</w:t>
            </w:r>
          </w:p>
        </w:tc>
        <w:tc>
          <w:tcPr>
            <w:tcW w:w="1173" w:type="dxa"/>
            <w:vAlign w:val="center"/>
          </w:tcPr>
          <w:p w:rsidR="00344B44" w:rsidRPr="000A1D78" w:rsidRDefault="00344B44" w:rsidP="00344B4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w:t>
            </w:r>
          </w:p>
        </w:tc>
      </w:tr>
    </w:tbl>
    <w:p w:rsidR="00344B44" w:rsidRDefault="00344B44" w:rsidP="00A77471">
      <w:pPr>
        <w:spacing w:before="0" w:line="240" w:lineRule="auto"/>
        <w:rPr>
          <w:sz w:val="20"/>
          <w:szCs w:val="20"/>
        </w:rPr>
      </w:pPr>
    </w:p>
    <w:p w:rsidR="00E55D1D" w:rsidRDefault="00E55D1D" w:rsidP="00A77471">
      <w:pPr>
        <w:spacing w:before="0" w:line="240" w:lineRule="auto"/>
        <w:rPr>
          <w:sz w:val="20"/>
          <w:szCs w:val="20"/>
        </w:rPr>
      </w:pPr>
    </w:p>
    <w:p w:rsidR="00D339BD" w:rsidRDefault="00D339BD" w:rsidP="00D339BD"/>
    <w:p w:rsidR="00A0218E" w:rsidRDefault="00A0218E" w:rsidP="00772C08">
      <w:pPr>
        <w:pStyle w:val="Appendixheading2"/>
        <w:sectPr w:rsidR="00A0218E" w:rsidSect="00F54566">
          <w:footerReference w:type="default" r:id="rId46"/>
          <w:pgSz w:w="11906" w:h="16838" w:code="9"/>
          <w:pgMar w:top="1418" w:right="1418" w:bottom="1418" w:left="1418" w:header="709" w:footer="567" w:gutter="0"/>
          <w:pgNumType w:start="1"/>
          <w:cols w:space="708"/>
          <w:docGrid w:linePitch="360"/>
        </w:sectPr>
      </w:pPr>
    </w:p>
    <w:p w:rsidR="00B74D0D" w:rsidRDefault="00B74D0D" w:rsidP="001D3F42">
      <w:pPr>
        <w:pStyle w:val="Table"/>
      </w:pPr>
      <w:r w:rsidRPr="003C4674">
        <w:lastRenderedPageBreak/>
        <w:t>Table</w:t>
      </w:r>
      <w:r>
        <w:t xml:space="preserve"> A1.2.3</w:t>
      </w:r>
      <w:r w:rsidRPr="003C4674">
        <w:t>:</w:t>
      </w:r>
      <w:r>
        <w:tab/>
        <w:t>Winter monitor details for Casey</w:t>
      </w:r>
    </w:p>
    <w:tbl>
      <w:tblPr>
        <w:tblStyle w:val="MediumShading1-Accent4"/>
        <w:tblW w:w="9606" w:type="dxa"/>
        <w:tblLook w:val="04A0" w:firstRow="1" w:lastRow="0" w:firstColumn="1" w:lastColumn="0" w:noHBand="0" w:noVBand="1"/>
      </w:tblPr>
      <w:tblGrid>
        <w:gridCol w:w="1327"/>
        <w:gridCol w:w="2441"/>
        <w:gridCol w:w="1167"/>
        <w:gridCol w:w="1168"/>
        <w:gridCol w:w="1167"/>
        <w:gridCol w:w="1168"/>
        <w:gridCol w:w="1168"/>
      </w:tblGrid>
      <w:tr w:rsidR="001D3F42" w:rsidRPr="000A1D78" w:rsidTr="00A5796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A57964">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2441" w:type="dxa"/>
            <w:vAlign w:val="center"/>
          </w:tcPr>
          <w:p w:rsidR="00A0218E" w:rsidRPr="000A1D78" w:rsidRDefault="003923E0"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167" w:type="dxa"/>
            <w:vAlign w:val="center"/>
          </w:tcPr>
          <w:p w:rsidR="00A0218E" w:rsidRPr="000A1D78"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 xml:space="preserve">Date </w:t>
            </w:r>
            <w:r w:rsidR="000A1D78">
              <w:rPr>
                <w:color w:val="FFFFFF" w:themeColor="background1"/>
                <w:sz w:val="18"/>
                <w:szCs w:val="18"/>
              </w:rPr>
              <w:br/>
            </w:r>
            <w:r w:rsidRPr="000A1D78">
              <w:rPr>
                <w:color w:val="FFFFFF" w:themeColor="background1"/>
                <w:sz w:val="18"/>
                <w:szCs w:val="18"/>
              </w:rPr>
              <w:t>Placed</w:t>
            </w:r>
          </w:p>
        </w:tc>
        <w:tc>
          <w:tcPr>
            <w:tcW w:w="1168" w:type="dxa"/>
            <w:vAlign w:val="center"/>
          </w:tcPr>
          <w:p w:rsidR="00A0218E" w:rsidRPr="000A1D78"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1167" w:type="dxa"/>
            <w:vAlign w:val="center"/>
          </w:tcPr>
          <w:p w:rsidR="00A0218E" w:rsidRPr="000A1D78"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68" w:type="dxa"/>
            <w:vAlign w:val="center"/>
          </w:tcPr>
          <w:p w:rsidR="00A0218E" w:rsidRPr="000A1D78"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1168" w:type="dxa"/>
            <w:vAlign w:val="center"/>
          </w:tcPr>
          <w:p w:rsidR="00A0218E" w:rsidRPr="000A1D78"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w:t>
            </w:r>
            <w:r w:rsidR="00393096" w:rsidRPr="000A1D78">
              <w:rPr>
                <w:color w:val="FFFFFF" w:themeColor="background1"/>
                <w:sz w:val="18"/>
                <w:szCs w:val="18"/>
              </w:rPr>
              <w:t xml:space="preserve"> </w:t>
            </w:r>
            <w:r w:rsidRPr="000A1D78">
              <w:rPr>
                <w:color w:val="FFFFFF" w:themeColor="background1"/>
                <w:sz w:val="18"/>
                <w:szCs w:val="18"/>
              </w:rPr>
              <w:t xml:space="preserve"> (Bq.m</w:t>
            </w:r>
            <w:r w:rsidRPr="000A1D78">
              <w:rPr>
                <w:color w:val="FFFFFF" w:themeColor="background1"/>
                <w:sz w:val="18"/>
                <w:szCs w:val="18"/>
                <w:vertAlign w:val="superscript"/>
              </w:rPr>
              <w:t>-3</w:t>
            </w:r>
            <w:r w:rsidRPr="000A1D78">
              <w:rPr>
                <w:color w:val="FFFFFF" w:themeColor="background1"/>
                <w:sz w:val="18"/>
                <w:szCs w:val="18"/>
              </w:rPr>
              <w:t>)</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w:t>
            </w:r>
          </w:p>
        </w:tc>
        <w:tc>
          <w:tcPr>
            <w:tcW w:w="2441" w:type="dxa"/>
            <w:vAlign w:val="center"/>
          </w:tcPr>
          <w:p w:rsidR="00A0218E" w:rsidRPr="000A1D78"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Red Shed Wallow </w:t>
            </w:r>
            <w:r w:rsidR="005B2075">
              <w:rPr>
                <w:rFonts w:ascii="Calibri" w:eastAsia="Times New Roman" w:hAnsi="Calibri"/>
                <w:sz w:val="18"/>
                <w:szCs w:val="18"/>
                <w:lang w:eastAsia="en-AU"/>
              </w:rPr>
              <w:t>c</w:t>
            </w:r>
            <w:r w:rsidRPr="000A1D78">
              <w:rPr>
                <w:rFonts w:ascii="Calibri" w:eastAsia="Times New Roman" w:hAnsi="Calibri"/>
                <w:sz w:val="18"/>
                <w:szCs w:val="18"/>
                <w:lang w:eastAsia="en-AU"/>
              </w:rPr>
              <w:t xml:space="preserve">orner </w:t>
            </w:r>
            <w:r w:rsidR="0018687D">
              <w:rPr>
                <w:rFonts w:ascii="Calibri" w:eastAsia="Times New Roman" w:hAnsi="Calibri"/>
                <w:sz w:val="18"/>
                <w:szCs w:val="18"/>
                <w:lang w:eastAsia="en-AU"/>
              </w:rPr>
              <w:t>b</w:t>
            </w:r>
            <w:r w:rsidRPr="000A1D78">
              <w:rPr>
                <w:rFonts w:ascii="Calibri" w:eastAsia="Times New Roman" w:hAnsi="Calibri"/>
                <w:sz w:val="18"/>
                <w:szCs w:val="18"/>
                <w:lang w:eastAsia="en-AU"/>
              </w:rPr>
              <w:t>ookshelf</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7.45</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18</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#2</w:t>
            </w:r>
          </w:p>
        </w:tc>
        <w:tc>
          <w:tcPr>
            <w:tcW w:w="2441" w:type="dxa"/>
            <w:vAlign w:val="center"/>
          </w:tcPr>
          <w:p w:rsidR="00A0218E" w:rsidRPr="000A1D78"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Mess, </w:t>
            </w:r>
            <w:r w:rsidR="0018687D">
              <w:rPr>
                <w:rFonts w:ascii="Calibri" w:eastAsia="Times New Roman" w:hAnsi="Calibri"/>
                <w:sz w:val="18"/>
                <w:szCs w:val="18"/>
                <w:lang w:eastAsia="en-AU"/>
              </w:rPr>
              <w:t>n</w:t>
            </w:r>
            <w:r w:rsidRPr="000A1D78">
              <w:rPr>
                <w:rFonts w:ascii="Calibri" w:eastAsia="Times New Roman" w:hAnsi="Calibri"/>
                <w:sz w:val="18"/>
                <w:szCs w:val="18"/>
                <w:lang w:eastAsia="en-AU"/>
              </w:rPr>
              <w:t>ext to safety suggestion box under clock</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3.76</w:t>
            </w:r>
          </w:p>
        </w:tc>
        <w:tc>
          <w:tcPr>
            <w:tcW w:w="1168" w:type="dxa"/>
            <w:vAlign w:val="center"/>
          </w:tcPr>
          <w:p w:rsidR="00A0218E" w:rsidRPr="000A1D78"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9</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#3</w:t>
            </w:r>
          </w:p>
        </w:tc>
        <w:tc>
          <w:tcPr>
            <w:tcW w:w="2441" w:type="dxa"/>
            <w:vAlign w:val="center"/>
          </w:tcPr>
          <w:p w:rsidR="00A0218E" w:rsidRPr="000A1D78" w:rsidRDefault="00A0218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Splinters Bar, on beam behind drink dispenser</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3.03</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#4</w:t>
            </w:r>
          </w:p>
        </w:tc>
        <w:tc>
          <w:tcPr>
            <w:tcW w:w="2441" w:type="dxa"/>
            <w:vAlign w:val="center"/>
          </w:tcPr>
          <w:p w:rsidR="00A0218E" w:rsidRPr="000A1D78" w:rsidRDefault="00A0218E"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Mezzanine, near table tennis table</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3.51</w:t>
            </w:r>
          </w:p>
        </w:tc>
        <w:tc>
          <w:tcPr>
            <w:tcW w:w="1168" w:type="dxa"/>
            <w:vAlign w:val="center"/>
          </w:tcPr>
          <w:p w:rsidR="00A0218E" w:rsidRPr="000A1D78"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9</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#5</w:t>
            </w:r>
          </w:p>
        </w:tc>
        <w:tc>
          <w:tcPr>
            <w:tcW w:w="2441" w:type="dxa"/>
            <w:vAlign w:val="center"/>
          </w:tcPr>
          <w:p w:rsidR="00A0218E" w:rsidRPr="000A1D78" w:rsidRDefault="00A0218E" w:rsidP="0006091A">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Doctor's room </w:t>
            </w:r>
            <w:r w:rsidR="00DF6FF5" w:rsidRPr="000A1D78">
              <w:rPr>
                <w:rFonts w:ascii="Calibri" w:eastAsia="Times New Roman" w:hAnsi="Calibri"/>
                <w:sz w:val="18"/>
                <w:szCs w:val="18"/>
                <w:lang w:eastAsia="en-AU"/>
              </w:rPr>
              <w:t>‘</w:t>
            </w:r>
            <w:proofErr w:type="spellStart"/>
            <w:r w:rsidRPr="000A1D78">
              <w:rPr>
                <w:rFonts w:ascii="Calibri" w:eastAsia="Times New Roman" w:hAnsi="Calibri"/>
                <w:sz w:val="18"/>
                <w:szCs w:val="18"/>
                <w:lang w:eastAsia="en-AU"/>
              </w:rPr>
              <w:t>finster</w:t>
            </w:r>
            <w:proofErr w:type="spellEnd"/>
            <w:r w:rsidR="00DF6FF5" w:rsidRPr="000A1D78">
              <w:rPr>
                <w:rFonts w:ascii="Calibri" w:eastAsia="Times New Roman" w:hAnsi="Calibri"/>
                <w:sz w:val="18"/>
                <w:szCs w:val="18"/>
                <w:lang w:eastAsia="en-AU"/>
              </w:rPr>
              <w:t>’</w:t>
            </w:r>
            <w:r w:rsidRPr="000A1D78">
              <w:rPr>
                <w:rFonts w:ascii="Calibri" w:eastAsia="Times New Roman" w:hAnsi="Calibri"/>
                <w:sz w:val="18"/>
                <w:szCs w:val="18"/>
                <w:lang w:eastAsia="en-AU"/>
              </w:rPr>
              <w:t xml:space="preserve"> 2nd floor </w:t>
            </w:r>
            <w:r w:rsidR="0006091A">
              <w:rPr>
                <w:rFonts w:ascii="Calibri" w:eastAsia="Times New Roman" w:hAnsi="Calibri"/>
                <w:sz w:val="18"/>
                <w:szCs w:val="18"/>
                <w:lang w:eastAsia="en-AU"/>
              </w:rPr>
              <w:t>R</w:t>
            </w:r>
            <w:r w:rsidRPr="000A1D78">
              <w:rPr>
                <w:rFonts w:ascii="Calibri" w:eastAsia="Times New Roman" w:hAnsi="Calibri"/>
                <w:sz w:val="18"/>
                <w:szCs w:val="18"/>
                <w:lang w:eastAsia="en-AU"/>
              </w:rPr>
              <w:t xml:space="preserve">ed </w:t>
            </w:r>
            <w:r w:rsidR="0006091A">
              <w:rPr>
                <w:rFonts w:ascii="Calibri" w:eastAsia="Times New Roman" w:hAnsi="Calibri"/>
                <w:sz w:val="18"/>
                <w:szCs w:val="18"/>
                <w:lang w:eastAsia="en-AU"/>
              </w:rPr>
              <w:t>S</w:t>
            </w:r>
            <w:r w:rsidRPr="000A1D78">
              <w:rPr>
                <w:rFonts w:ascii="Calibri" w:eastAsia="Times New Roman" w:hAnsi="Calibri"/>
                <w:sz w:val="18"/>
                <w:szCs w:val="18"/>
                <w:lang w:eastAsia="en-AU"/>
              </w:rPr>
              <w:t>hed side of bookshelf</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5.15</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13</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#6</w:t>
            </w:r>
          </w:p>
        </w:tc>
        <w:tc>
          <w:tcPr>
            <w:tcW w:w="2441" w:type="dxa"/>
            <w:vAlign w:val="center"/>
          </w:tcPr>
          <w:p w:rsidR="00A0218E" w:rsidRPr="000A1D78" w:rsidRDefault="00A0218E" w:rsidP="0006091A">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Room 214 2nd floor </w:t>
            </w:r>
            <w:r w:rsidR="0006091A">
              <w:rPr>
                <w:rFonts w:ascii="Calibri" w:eastAsia="Times New Roman" w:hAnsi="Calibri"/>
                <w:sz w:val="18"/>
                <w:szCs w:val="18"/>
                <w:lang w:eastAsia="en-AU"/>
              </w:rPr>
              <w:t>R</w:t>
            </w:r>
            <w:r w:rsidRPr="000A1D78">
              <w:rPr>
                <w:rFonts w:ascii="Calibri" w:eastAsia="Times New Roman" w:hAnsi="Calibri"/>
                <w:sz w:val="18"/>
                <w:szCs w:val="18"/>
                <w:lang w:eastAsia="en-AU"/>
              </w:rPr>
              <w:t xml:space="preserve">ed </w:t>
            </w:r>
            <w:r w:rsidR="0006091A">
              <w:rPr>
                <w:rFonts w:ascii="Calibri" w:eastAsia="Times New Roman" w:hAnsi="Calibri"/>
                <w:sz w:val="18"/>
                <w:szCs w:val="18"/>
                <w:lang w:eastAsia="en-AU"/>
              </w:rPr>
              <w:t>S</w:t>
            </w:r>
            <w:r w:rsidRPr="000A1D78">
              <w:rPr>
                <w:rFonts w:ascii="Calibri" w:eastAsia="Times New Roman" w:hAnsi="Calibri"/>
                <w:sz w:val="18"/>
                <w:szCs w:val="18"/>
                <w:lang w:eastAsia="en-AU"/>
              </w:rPr>
              <w:t>hed side of bookshelf</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Monitor</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Lost</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#7</w:t>
            </w:r>
          </w:p>
        </w:tc>
        <w:tc>
          <w:tcPr>
            <w:tcW w:w="2441" w:type="dxa"/>
            <w:vAlign w:val="center"/>
          </w:tcPr>
          <w:p w:rsidR="00A0218E" w:rsidRPr="000A1D78"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West </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 xml:space="preserve">ing, </w:t>
            </w:r>
            <w:r w:rsidR="0018687D">
              <w:rPr>
                <w:rFonts w:ascii="Calibri" w:eastAsia="Times New Roman" w:hAnsi="Calibri"/>
                <w:sz w:val="18"/>
                <w:szCs w:val="18"/>
                <w:lang w:eastAsia="en-AU"/>
              </w:rPr>
              <w:t>b</w:t>
            </w:r>
            <w:r w:rsidRPr="000A1D78">
              <w:rPr>
                <w:rFonts w:ascii="Calibri" w:eastAsia="Times New Roman" w:hAnsi="Calibri"/>
                <w:sz w:val="18"/>
                <w:szCs w:val="18"/>
                <w:lang w:eastAsia="en-AU"/>
              </w:rPr>
              <w:t xml:space="preserve">ottom of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 xml:space="preserve">tairs </w:t>
            </w:r>
            <w:r w:rsidR="0018687D">
              <w:rPr>
                <w:rFonts w:ascii="Calibri" w:eastAsia="Times New Roman" w:hAnsi="Calibri"/>
                <w:sz w:val="18"/>
                <w:szCs w:val="18"/>
                <w:lang w:eastAsia="en-AU"/>
              </w:rPr>
              <w:t>f</w:t>
            </w:r>
            <w:r w:rsidRPr="000A1D78">
              <w:rPr>
                <w:rFonts w:ascii="Calibri" w:eastAsia="Times New Roman" w:hAnsi="Calibri"/>
                <w:sz w:val="18"/>
                <w:szCs w:val="18"/>
                <w:lang w:eastAsia="en-AU"/>
              </w:rPr>
              <w:t xml:space="preserve">ire </w:t>
            </w:r>
            <w:r w:rsidR="0018687D">
              <w:rPr>
                <w:rFonts w:ascii="Calibri" w:eastAsia="Times New Roman" w:hAnsi="Calibri"/>
                <w:sz w:val="18"/>
                <w:szCs w:val="18"/>
                <w:lang w:eastAsia="en-AU"/>
              </w:rPr>
              <w:t>e</w:t>
            </w:r>
            <w:r w:rsidRPr="000A1D78">
              <w:rPr>
                <w:rFonts w:ascii="Calibri" w:eastAsia="Times New Roman" w:hAnsi="Calibri"/>
                <w:sz w:val="18"/>
                <w:szCs w:val="18"/>
                <w:lang w:eastAsia="en-AU"/>
              </w:rPr>
              <w:t>xtinguisher</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7.69</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19</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#8</w:t>
            </w:r>
          </w:p>
        </w:tc>
        <w:tc>
          <w:tcPr>
            <w:tcW w:w="2441" w:type="dxa"/>
            <w:vAlign w:val="center"/>
          </w:tcPr>
          <w:p w:rsidR="00A0218E" w:rsidRPr="000A1D78" w:rsidRDefault="00A0218E"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Outside Room 112 Red Shed on noticeboard</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8.53</w:t>
            </w:r>
          </w:p>
        </w:tc>
        <w:tc>
          <w:tcPr>
            <w:tcW w:w="1168" w:type="dxa"/>
            <w:vAlign w:val="center"/>
          </w:tcPr>
          <w:p w:rsidR="00A0218E" w:rsidRPr="000A1D78"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21</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#9</w:t>
            </w:r>
          </w:p>
        </w:tc>
        <w:tc>
          <w:tcPr>
            <w:tcW w:w="2441" w:type="dxa"/>
            <w:vAlign w:val="center"/>
          </w:tcPr>
          <w:p w:rsidR="00A0218E" w:rsidRPr="000A1D78"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Doctor's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 xml:space="preserve">urgery </w:t>
            </w:r>
            <w:r w:rsidR="0018687D">
              <w:rPr>
                <w:rFonts w:ascii="Calibri" w:eastAsia="Times New Roman" w:hAnsi="Calibri"/>
                <w:sz w:val="18"/>
                <w:szCs w:val="18"/>
                <w:lang w:eastAsia="en-AU"/>
              </w:rPr>
              <w:t>o</w:t>
            </w:r>
            <w:r w:rsidRPr="000A1D78">
              <w:rPr>
                <w:rFonts w:ascii="Calibri" w:eastAsia="Times New Roman" w:hAnsi="Calibri"/>
                <w:sz w:val="18"/>
                <w:szCs w:val="18"/>
                <w:lang w:eastAsia="en-AU"/>
              </w:rPr>
              <w:t>ffice</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5.85</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#10</w:t>
            </w:r>
          </w:p>
        </w:tc>
        <w:tc>
          <w:tcPr>
            <w:tcW w:w="2441" w:type="dxa"/>
            <w:vAlign w:val="center"/>
          </w:tcPr>
          <w:p w:rsidR="00A0218E" w:rsidRPr="000A1D78"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Met </w:t>
            </w:r>
            <w:r w:rsidR="0018687D">
              <w:rPr>
                <w:rFonts w:ascii="Calibri" w:eastAsia="Times New Roman" w:hAnsi="Calibri"/>
                <w:sz w:val="18"/>
                <w:szCs w:val="18"/>
                <w:lang w:eastAsia="en-AU"/>
              </w:rPr>
              <w:t>o</w:t>
            </w:r>
            <w:r w:rsidRPr="000A1D78">
              <w:rPr>
                <w:rFonts w:ascii="Calibri" w:eastAsia="Times New Roman" w:hAnsi="Calibri"/>
                <w:sz w:val="18"/>
                <w:szCs w:val="18"/>
                <w:lang w:eastAsia="en-AU"/>
              </w:rPr>
              <w:t xml:space="preserve">ffice </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 xml:space="preserve">est </w:t>
            </w:r>
            <w:r w:rsidR="0018687D">
              <w:rPr>
                <w:rFonts w:ascii="Calibri" w:eastAsia="Times New Roman" w:hAnsi="Calibri"/>
                <w:sz w:val="18"/>
                <w:szCs w:val="18"/>
                <w:lang w:eastAsia="en-AU"/>
              </w:rPr>
              <w:t>w</w:t>
            </w:r>
            <w:r w:rsidRPr="000A1D78">
              <w:rPr>
                <w:rFonts w:ascii="Calibri" w:eastAsia="Times New Roman" w:hAnsi="Calibri"/>
                <w:sz w:val="18"/>
                <w:szCs w:val="18"/>
                <w:lang w:eastAsia="en-AU"/>
              </w:rPr>
              <w:t>indow #2</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6.26</w:t>
            </w:r>
          </w:p>
        </w:tc>
        <w:tc>
          <w:tcPr>
            <w:tcW w:w="1168" w:type="dxa"/>
            <w:vAlign w:val="center"/>
          </w:tcPr>
          <w:p w:rsidR="00A0218E" w:rsidRPr="000A1D78"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15</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#11</w:t>
            </w:r>
          </w:p>
        </w:tc>
        <w:tc>
          <w:tcPr>
            <w:tcW w:w="2441" w:type="dxa"/>
            <w:vAlign w:val="center"/>
          </w:tcPr>
          <w:p w:rsidR="00A0218E" w:rsidRPr="000A1D78"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Workshop above P.I. </w:t>
            </w:r>
            <w:r w:rsidR="0018687D">
              <w:rPr>
                <w:rFonts w:ascii="Calibri" w:eastAsia="Times New Roman" w:hAnsi="Calibri"/>
                <w:sz w:val="18"/>
                <w:szCs w:val="18"/>
                <w:lang w:eastAsia="en-AU"/>
              </w:rPr>
              <w:t>d</w:t>
            </w:r>
            <w:r w:rsidRPr="000A1D78">
              <w:rPr>
                <w:rFonts w:ascii="Calibri" w:eastAsia="Times New Roman" w:hAnsi="Calibri"/>
                <w:sz w:val="18"/>
                <w:szCs w:val="18"/>
                <w:lang w:eastAsia="en-AU"/>
              </w:rPr>
              <w:t xml:space="preserve">esk under </w:t>
            </w:r>
            <w:proofErr w:type="spellStart"/>
            <w:r w:rsidRPr="000A1D78">
              <w:rPr>
                <w:rFonts w:ascii="Calibri" w:eastAsia="Times New Roman" w:hAnsi="Calibri"/>
                <w:sz w:val="18"/>
                <w:szCs w:val="18"/>
                <w:lang w:eastAsia="en-AU"/>
              </w:rPr>
              <w:t>keybox</w:t>
            </w:r>
            <w:proofErr w:type="spellEnd"/>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8.31</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21</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#12</w:t>
            </w:r>
          </w:p>
        </w:tc>
        <w:tc>
          <w:tcPr>
            <w:tcW w:w="2441" w:type="dxa"/>
            <w:vAlign w:val="center"/>
          </w:tcPr>
          <w:p w:rsidR="00A0218E" w:rsidRPr="000A1D78" w:rsidRDefault="00A0218E"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Kitchen storage/office above music control</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4.62</w:t>
            </w:r>
          </w:p>
        </w:tc>
        <w:tc>
          <w:tcPr>
            <w:tcW w:w="1168" w:type="dxa"/>
            <w:vAlign w:val="center"/>
          </w:tcPr>
          <w:p w:rsidR="00A0218E" w:rsidRPr="000A1D78"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11</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#13</w:t>
            </w:r>
          </w:p>
        </w:tc>
        <w:tc>
          <w:tcPr>
            <w:tcW w:w="2441" w:type="dxa"/>
            <w:vAlign w:val="center"/>
          </w:tcPr>
          <w:p w:rsidR="00A0218E" w:rsidRPr="000A1D78"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Room 104 Red </w:t>
            </w:r>
            <w:r w:rsidR="0018687D">
              <w:rPr>
                <w:rFonts w:ascii="Calibri" w:eastAsia="Times New Roman" w:hAnsi="Calibri"/>
                <w:sz w:val="18"/>
                <w:szCs w:val="18"/>
                <w:lang w:eastAsia="en-AU"/>
              </w:rPr>
              <w:t>S</w:t>
            </w:r>
            <w:r w:rsidRPr="000A1D78">
              <w:rPr>
                <w:rFonts w:ascii="Calibri" w:eastAsia="Times New Roman" w:hAnsi="Calibri"/>
                <w:sz w:val="18"/>
                <w:szCs w:val="18"/>
                <w:lang w:eastAsia="en-AU"/>
              </w:rPr>
              <w:t>hed 1st floor side of bookshelf</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14/02/2013</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404</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3.76</w:t>
            </w:r>
          </w:p>
        </w:tc>
        <w:tc>
          <w:tcPr>
            <w:tcW w:w="1168" w:type="dxa"/>
            <w:vAlign w:val="center"/>
          </w:tcPr>
          <w:p w:rsidR="00A0218E" w:rsidRPr="000A1D78"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9</w:t>
            </w:r>
          </w:p>
        </w:tc>
      </w:tr>
      <w:tr w:rsidR="00A57964"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#14</w:t>
            </w:r>
          </w:p>
        </w:tc>
        <w:tc>
          <w:tcPr>
            <w:tcW w:w="2441" w:type="dxa"/>
            <w:vAlign w:val="center"/>
          </w:tcPr>
          <w:p w:rsidR="00A0218E" w:rsidRPr="000A1D78" w:rsidRDefault="00A0218E"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returned to Australia</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67"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N/A</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Not</w:t>
            </w:r>
          </w:p>
        </w:tc>
        <w:tc>
          <w:tcPr>
            <w:tcW w:w="1168" w:type="dxa"/>
            <w:vAlign w:val="center"/>
          </w:tcPr>
          <w:p w:rsidR="00A0218E" w:rsidRPr="000A1D78"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0A1D78">
              <w:rPr>
                <w:i/>
                <w:sz w:val="18"/>
                <w:szCs w:val="18"/>
              </w:rPr>
              <w:t>Used</w:t>
            </w:r>
          </w:p>
        </w:tc>
      </w:tr>
      <w:tr w:rsidR="00A57964"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27" w:type="dxa"/>
            <w:vAlign w:val="center"/>
          </w:tcPr>
          <w:p w:rsidR="00A0218E" w:rsidRPr="000A1D78" w:rsidRDefault="00A0218E" w:rsidP="005A01EC">
            <w:pPr>
              <w:spacing w:before="100" w:beforeAutospacing="1" w:after="100" w:afterAutospacing="1"/>
              <w:jc w:val="center"/>
              <w:rPr>
                <w:sz w:val="18"/>
                <w:szCs w:val="18"/>
              </w:rPr>
            </w:pPr>
            <w:r w:rsidRPr="000A1D78">
              <w:rPr>
                <w:sz w:val="18"/>
                <w:szCs w:val="18"/>
              </w:rPr>
              <w:t>Casey #15</w:t>
            </w:r>
          </w:p>
        </w:tc>
        <w:tc>
          <w:tcPr>
            <w:tcW w:w="2441" w:type="dxa"/>
            <w:vAlign w:val="center"/>
          </w:tcPr>
          <w:p w:rsidR="00A0218E" w:rsidRPr="000A1D78" w:rsidRDefault="00A0218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sz w:val="18"/>
                <w:szCs w:val="18"/>
                <w:lang w:eastAsia="en-AU"/>
              </w:rPr>
            </w:pPr>
            <w:r w:rsidRPr="000A1D78">
              <w:rPr>
                <w:rFonts w:ascii="Calibri" w:eastAsia="Times New Roman" w:hAnsi="Calibri"/>
                <w:i/>
                <w:sz w:val="18"/>
                <w:szCs w:val="18"/>
                <w:lang w:eastAsia="en-AU"/>
              </w:rPr>
              <w:t>Control returned to Australia</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7/01/2012</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67"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N/A</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Not</w:t>
            </w:r>
          </w:p>
        </w:tc>
        <w:tc>
          <w:tcPr>
            <w:tcW w:w="1168" w:type="dxa"/>
            <w:vAlign w:val="center"/>
          </w:tcPr>
          <w:p w:rsidR="00A0218E" w:rsidRPr="000A1D78"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0A1D78">
              <w:rPr>
                <w:i/>
                <w:sz w:val="18"/>
                <w:szCs w:val="18"/>
              </w:rPr>
              <w:t>Used</w:t>
            </w:r>
          </w:p>
        </w:tc>
      </w:tr>
    </w:tbl>
    <w:p w:rsidR="00CC50C6" w:rsidRDefault="00CC50C6">
      <w:pPr>
        <w:spacing w:before="0" w:line="240" w:lineRule="auto"/>
        <w:rPr>
          <w:b/>
          <w:bCs/>
          <w:i/>
          <w:color w:val="365F91" w:themeColor="accent1" w:themeShade="BF"/>
          <w:sz w:val="20"/>
        </w:rPr>
      </w:pPr>
      <w:r>
        <w:br w:type="page"/>
      </w:r>
    </w:p>
    <w:p w:rsidR="00B74D0D" w:rsidRDefault="00B74D0D" w:rsidP="001D3F42">
      <w:pPr>
        <w:pStyle w:val="Table"/>
      </w:pPr>
      <w:r w:rsidRPr="003C4674">
        <w:lastRenderedPageBreak/>
        <w:t>Table</w:t>
      </w:r>
      <w:r>
        <w:t xml:space="preserve"> A1.2.4</w:t>
      </w:r>
      <w:r w:rsidRPr="003C4674">
        <w:t>:</w:t>
      </w:r>
      <w:r>
        <w:tab/>
        <w:t>Winter monitor details for Macquarie Island</w:t>
      </w:r>
    </w:p>
    <w:tbl>
      <w:tblPr>
        <w:tblStyle w:val="MediumShading1-Accent4"/>
        <w:tblW w:w="9606" w:type="dxa"/>
        <w:tblLook w:val="04A0" w:firstRow="1" w:lastRow="0" w:firstColumn="1" w:lastColumn="0" w:noHBand="0" w:noVBand="1"/>
      </w:tblPr>
      <w:tblGrid>
        <w:gridCol w:w="1311"/>
        <w:gridCol w:w="2307"/>
        <w:gridCol w:w="1197"/>
        <w:gridCol w:w="1198"/>
        <w:gridCol w:w="1197"/>
        <w:gridCol w:w="1198"/>
        <w:gridCol w:w="1198"/>
      </w:tblGrid>
      <w:tr w:rsidR="001D3F42" w:rsidRPr="00A57964" w:rsidTr="00A5796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A57964">
            <w:pPr>
              <w:spacing w:before="100" w:beforeAutospacing="1" w:after="100" w:afterAutospacing="1"/>
              <w:jc w:val="center"/>
              <w:rPr>
                <w:color w:val="FFFFFF" w:themeColor="background1"/>
                <w:sz w:val="20"/>
                <w:szCs w:val="20"/>
              </w:rPr>
            </w:pPr>
            <w:r w:rsidRPr="00A57964">
              <w:rPr>
                <w:color w:val="FFFFFF" w:themeColor="background1"/>
                <w:sz w:val="20"/>
                <w:szCs w:val="20"/>
              </w:rPr>
              <w:t>Monitor #</w:t>
            </w:r>
          </w:p>
        </w:tc>
        <w:tc>
          <w:tcPr>
            <w:tcW w:w="2307" w:type="dxa"/>
            <w:vAlign w:val="center"/>
          </w:tcPr>
          <w:p w:rsidR="00A0218E" w:rsidRPr="00A57964" w:rsidRDefault="003923E0"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Description</w:t>
            </w:r>
          </w:p>
        </w:tc>
        <w:tc>
          <w:tcPr>
            <w:tcW w:w="1197"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Date Placed</w:t>
            </w:r>
          </w:p>
        </w:tc>
        <w:tc>
          <w:tcPr>
            <w:tcW w:w="1198"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Date Retrieved</w:t>
            </w:r>
          </w:p>
        </w:tc>
        <w:tc>
          <w:tcPr>
            <w:tcW w:w="1197"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Days in Location</w:t>
            </w:r>
          </w:p>
        </w:tc>
        <w:tc>
          <w:tcPr>
            <w:tcW w:w="1198"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Exposure (kBq.d.m</w:t>
            </w:r>
            <w:r w:rsidRPr="00A57964">
              <w:rPr>
                <w:color w:val="FFFFFF" w:themeColor="background1"/>
                <w:sz w:val="20"/>
                <w:szCs w:val="20"/>
                <w:vertAlign w:val="superscript"/>
              </w:rPr>
              <w:t>-3</w:t>
            </w:r>
            <w:r w:rsidRPr="00A57964">
              <w:rPr>
                <w:color w:val="FFFFFF" w:themeColor="background1"/>
                <w:sz w:val="20"/>
                <w:szCs w:val="20"/>
              </w:rPr>
              <w:t>)</w:t>
            </w:r>
          </w:p>
        </w:tc>
        <w:tc>
          <w:tcPr>
            <w:tcW w:w="1198"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57964">
              <w:rPr>
                <w:color w:val="FFFFFF" w:themeColor="background1"/>
                <w:sz w:val="20"/>
                <w:szCs w:val="20"/>
              </w:rPr>
              <w:t>Radon</w:t>
            </w:r>
            <w:r w:rsidR="00393096" w:rsidRPr="00A57964">
              <w:rPr>
                <w:color w:val="FFFFFF" w:themeColor="background1"/>
                <w:sz w:val="20"/>
                <w:szCs w:val="20"/>
              </w:rPr>
              <w:t xml:space="preserve"> </w:t>
            </w:r>
            <w:r w:rsidRPr="00A57964">
              <w:rPr>
                <w:color w:val="FFFFFF" w:themeColor="background1"/>
                <w:sz w:val="20"/>
                <w:szCs w:val="20"/>
              </w:rPr>
              <w:t xml:space="preserve"> (Bq.m</w:t>
            </w:r>
            <w:r w:rsidRPr="00A57964">
              <w:rPr>
                <w:color w:val="FFFFFF" w:themeColor="background1"/>
                <w:sz w:val="20"/>
                <w:szCs w:val="20"/>
                <w:vertAlign w:val="superscript"/>
              </w:rPr>
              <w:t>-3</w:t>
            </w:r>
            <w:r w:rsidRPr="00A57964">
              <w:rPr>
                <w:color w:val="FFFFFF" w:themeColor="background1"/>
                <w:sz w:val="20"/>
                <w:szCs w:val="20"/>
              </w:rPr>
              <w:t>)</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w:t>
            </w:r>
          </w:p>
        </w:tc>
        <w:tc>
          <w:tcPr>
            <w:tcW w:w="2307" w:type="dxa"/>
            <w:vAlign w:val="center"/>
          </w:tcPr>
          <w:p w:rsidR="00A0218E" w:rsidRPr="00A57964" w:rsidRDefault="00A0218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sz w:val="18"/>
                <w:szCs w:val="18"/>
                <w:lang w:eastAsia="en-AU"/>
              </w:rPr>
            </w:pPr>
            <w:r w:rsidRPr="00A57964">
              <w:rPr>
                <w:rFonts w:ascii="Calibri" w:eastAsia="Times New Roman" w:hAnsi="Calibri"/>
                <w:i/>
                <w:sz w:val="18"/>
                <w:szCs w:val="18"/>
                <w:lang w:eastAsia="en-AU"/>
              </w:rPr>
              <w:t>Control - RTA</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19/04/2012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N/A</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N/A</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A57964">
              <w:rPr>
                <w:i/>
                <w:sz w:val="18"/>
                <w:szCs w:val="18"/>
              </w:rPr>
              <w:t>Not</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i/>
                <w:sz w:val="18"/>
                <w:szCs w:val="18"/>
              </w:rPr>
            </w:pPr>
            <w:r w:rsidRPr="00A57964">
              <w:rPr>
                <w:i/>
                <w:sz w:val="18"/>
                <w:szCs w:val="18"/>
              </w:rPr>
              <w:t>Used</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#2</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Surgery - </w:t>
            </w:r>
            <w:r w:rsidR="0018687D">
              <w:rPr>
                <w:rFonts w:ascii="Calibri" w:eastAsia="Times New Roman" w:hAnsi="Calibri"/>
                <w:sz w:val="18"/>
                <w:szCs w:val="18"/>
                <w:lang w:eastAsia="en-AU"/>
              </w:rPr>
              <w:t>o</w:t>
            </w:r>
            <w:r w:rsidRPr="00A57964">
              <w:rPr>
                <w:rFonts w:ascii="Calibri" w:eastAsia="Times New Roman" w:hAnsi="Calibri"/>
                <w:sz w:val="18"/>
                <w:szCs w:val="18"/>
                <w:lang w:eastAsia="en-AU"/>
              </w:rPr>
              <w:t xml:space="preserve">ver </w:t>
            </w:r>
            <w:r w:rsidR="0018687D">
              <w:rPr>
                <w:rFonts w:ascii="Calibri" w:eastAsia="Times New Roman" w:hAnsi="Calibri"/>
                <w:sz w:val="18"/>
                <w:szCs w:val="18"/>
                <w:lang w:eastAsia="en-AU"/>
              </w:rPr>
              <w:t>s</w:t>
            </w:r>
            <w:r w:rsidRPr="00A57964">
              <w:rPr>
                <w:rFonts w:ascii="Calibri" w:eastAsia="Times New Roman" w:hAnsi="Calibri"/>
                <w:sz w:val="18"/>
                <w:szCs w:val="18"/>
                <w:lang w:eastAsia="en-AU"/>
              </w:rPr>
              <w:t>ink</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6.19</w:t>
            </w:r>
          </w:p>
        </w:tc>
        <w:tc>
          <w:tcPr>
            <w:tcW w:w="1198" w:type="dxa"/>
            <w:vAlign w:val="center"/>
          </w:tcPr>
          <w:p w:rsidR="00A0218E" w:rsidRPr="00A57964"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20</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#3</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Mess - </w:t>
            </w:r>
            <w:r w:rsidR="0018687D">
              <w:rPr>
                <w:rFonts w:ascii="Calibri" w:eastAsia="Times New Roman" w:hAnsi="Calibri"/>
                <w:sz w:val="18"/>
                <w:szCs w:val="18"/>
                <w:lang w:eastAsia="en-AU"/>
              </w:rPr>
              <w:t>e</w:t>
            </w:r>
            <w:r w:rsidRPr="00A57964">
              <w:rPr>
                <w:rFonts w:ascii="Calibri" w:eastAsia="Times New Roman" w:hAnsi="Calibri"/>
                <w:sz w:val="18"/>
                <w:szCs w:val="18"/>
                <w:lang w:eastAsia="en-AU"/>
              </w:rPr>
              <w:t xml:space="preserve">ast </w:t>
            </w:r>
            <w:r w:rsidR="0018687D">
              <w:rPr>
                <w:rFonts w:ascii="Calibri" w:eastAsia="Times New Roman" w:hAnsi="Calibri"/>
                <w:sz w:val="18"/>
                <w:szCs w:val="18"/>
                <w:lang w:eastAsia="en-AU"/>
              </w:rPr>
              <w:t>w</w:t>
            </w:r>
            <w:r w:rsidRPr="00A57964">
              <w:rPr>
                <w:rFonts w:ascii="Calibri" w:eastAsia="Times New Roman" w:hAnsi="Calibri"/>
                <w:sz w:val="18"/>
                <w:szCs w:val="18"/>
                <w:lang w:eastAsia="en-AU"/>
              </w:rPr>
              <w:t xml:space="preserve">all of </w:t>
            </w:r>
            <w:r w:rsidR="0018687D">
              <w:rPr>
                <w:rFonts w:ascii="Calibri" w:eastAsia="Times New Roman" w:hAnsi="Calibri"/>
                <w:sz w:val="18"/>
                <w:szCs w:val="18"/>
                <w:lang w:eastAsia="en-AU"/>
              </w:rPr>
              <w:t>d</w:t>
            </w:r>
            <w:r w:rsidRPr="00A57964">
              <w:rPr>
                <w:rFonts w:ascii="Calibri" w:eastAsia="Times New Roman" w:hAnsi="Calibri"/>
                <w:sz w:val="18"/>
                <w:szCs w:val="18"/>
                <w:lang w:eastAsia="en-AU"/>
              </w:rPr>
              <w:t xml:space="preserve">ining </w:t>
            </w:r>
            <w:r w:rsidR="0018687D">
              <w:rPr>
                <w:rFonts w:ascii="Calibri" w:eastAsia="Times New Roman" w:hAnsi="Calibri"/>
                <w:sz w:val="18"/>
                <w:szCs w:val="18"/>
                <w:lang w:eastAsia="en-AU"/>
              </w:rPr>
              <w:t>r</w:t>
            </w:r>
            <w:r w:rsidRPr="00A57964">
              <w:rPr>
                <w:rFonts w:ascii="Calibri" w:eastAsia="Times New Roman" w:hAnsi="Calibri"/>
                <w:sz w:val="18"/>
                <w:szCs w:val="18"/>
                <w:lang w:eastAsia="en-AU"/>
              </w:rPr>
              <w:t>oom</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17</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#4</w:t>
            </w:r>
          </w:p>
        </w:tc>
        <w:tc>
          <w:tcPr>
            <w:tcW w:w="2307" w:type="dxa"/>
            <w:vAlign w:val="center"/>
          </w:tcPr>
          <w:p w:rsidR="00A0218E" w:rsidRPr="00A57964" w:rsidRDefault="00A0218E"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i/>
                <w:sz w:val="18"/>
                <w:szCs w:val="18"/>
                <w:lang w:eastAsia="en-AU"/>
              </w:rPr>
            </w:pPr>
            <w:r w:rsidRPr="00A57964">
              <w:rPr>
                <w:rFonts w:ascii="Calibri" w:eastAsia="Times New Roman" w:hAnsi="Calibri"/>
                <w:i/>
                <w:sz w:val="18"/>
                <w:szCs w:val="18"/>
                <w:lang w:eastAsia="en-AU"/>
              </w:rPr>
              <w:t>Control - RTA</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19/04/2012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N/A</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N/A</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A57964">
              <w:rPr>
                <w:i/>
                <w:sz w:val="18"/>
                <w:szCs w:val="18"/>
              </w:rPr>
              <w:t>Not</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A57964">
              <w:rPr>
                <w:i/>
                <w:sz w:val="18"/>
                <w:szCs w:val="18"/>
              </w:rPr>
              <w:t>Used</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#5</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proofErr w:type="spellStart"/>
            <w:r w:rsidRPr="00A57964">
              <w:rPr>
                <w:rFonts w:ascii="Calibri" w:eastAsia="Times New Roman" w:hAnsi="Calibri"/>
                <w:sz w:val="18"/>
                <w:szCs w:val="18"/>
                <w:lang w:eastAsia="en-AU"/>
              </w:rPr>
              <w:t>Cumpston's</w:t>
            </w:r>
            <w:proofErr w:type="spellEnd"/>
            <w:r w:rsidRPr="00A57964">
              <w:rPr>
                <w:rFonts w:ascii="Calibri" w:eastAsia="Times New Roman" w:hAnsi="Calibri"/>
                <w:sz w:val="18"/>
                <w:szCs w:val="18"/>
                <w:lang w:eastAsia="en-AU"/>
              </w:rPr>
              <w:t xml:space="preserve"> - </w:t>
            </w:r>
            <w:r w:rsidR="0018687D">
              <w:rPr>
                <w:rFonts w:ascii="Calibri" w:eastAsia="Times New Roman" w:hAnsi="Calibri"/>
                <w:sz w:val="18"/>
                <w:szCs w:val="18"/>
                <w:lang w:eastAsia="en-AU"/>
              </w:rPr>
              <w:t>s</w:t>
            </w:r>
            <w:r w:rsidRPr="00A57964">
              <w:rPr>
                <w:rFonts w:ascii="Calibri" w:eastAsia="Times New Roman" w:hAnsi="Calibri"/>
                <w:sz w:val="18"/>
                <w:szCs w:val="18"/>
                <w:lang w:eastAsia="en-AU"/>
              </w:rPr>
              <w:t xml:space="preserve">tation </w:t>
            </w:r>
            <w:r w:rsidR="0018687D">
              <w:rPr>
                <w:rFonts w:ascii="Calibri" w:eastAsia="Times New Roman" w:hAnsi="Calibri"/>
                <w:sz w:val="18"/>
                <w:szCs w:val="18"/>
                <w:lang w:eastAsia="en-AU"/>
              </w:rPr>
              <w:t>l</w:t>
            </w:r>
            <w:r w:rsidRPr="00A57964">
              <w:rPr>
                <w:rFonts w:ascii="Calibri" w:eastAsia="Times New Roman" w:hAnsi="Calibri"/>
                <w:sz w:val="18"/>
                <w:szCs w:val="18"/>
                <w:lang w:eastAsia="en-AU"/>
              </w:rPr>
              <w:t xml:space="preserve">eader's </w:t>
            </w:r>
            <w:r w:rsidR="0018687D">
              <w:rPr>
                <w:rFonts w:ascii="Calibri" w:eastAsia="Times New Roman" w:hAnsi="Calibri"/>
                <w:sz w:val="18"/>
                <w:szCs w:val="18"/>
                <w:lang w:eastAsia="en-AU"/>
              </w:rPr>
              <w:t>o</w:t>
            </w:r>
            <w:r w:rsidRPr="00A57964">
              <w:rPr>
                <w:rFonts w:ascii="Calibri" w:eastAsia="Times New Roman" w:hAnsi="Calibri"/>
                <w:sz w:val="18"/>
                <w:szCs w:val="18"/>
                <w:lang w:eastAsia="en-AU"/>
              </w:rPr>
              <w:t>ffice</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306</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2.46</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8</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#6</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proofErr w:type="spellStart"/>
            <w:r w:rsidRPr="00A57964">
              <w:rPr>
                <w:rFonts w:ascii="Calibri" w:eastAsia="Times New Roman" w:hAnsi="Calibri"/>
                <w:sz w:val="18"/>
                <w:szCs w:val="18"/>
                <w:lang w:eastAsia="en-AU"/>
              </w:rPr>
              <w:t>Cumpston's</w:t>
            </w:r>
            <w:proofErr w:type="spellEnd"/>
            <w:r w:rsidRPr="00A57964">
              <w:rPr>
                <w:rFonts w:ascii="Calibri" w:eastAsia="Times New Roman" w:hAnsi="Calibri"/>
                <w:sz w:val="18"/>
                <w:szCs w:val="18"/>
                <w:lang w:eastAsia="en-AU"/>
              </w:rPr>
              <w:t xml:space="preserve"> - </w:t>
            </w:r>
            <w:r w:rsidR="0018687D">
              <w:rPr>
                <w:rFonts w:ascii="Calibri" w:eastAsia="Times New Roman" w:hAnsi="Calibri"/>
                <w:sz w:val="18"/>
                <w:szCs w:val="18"/>
                <w:lang w:eastAsia="en-AU"/>
              </w:rPr>
              <w:t>d</w:t>
            </w:r>
            <w:r w:rsidRPr="00A57964">
              <w:rPr>
                <w:rFonts w:ascii="Calibri" w:eastAsia="Times New Roman" w:hAnsi="Calibri"/>
                <w:sz w:val="18"/>
                <w:szCs w:val="18"/>
                <w:lang w:eastAsia="en-AU"/>
              </w:rPr>
              <w:t xml:space="preserve">octor's </w:t>
            </w:r>
            <w:r w:rsidR="0018687D">
              <w:rPr>
                <w:rFonts w:ascii="Calibri" w:eastAsia="Times New Roman" w:hAnsi="Calibri"/>
                <w:sz w:val="18"/>
                <w:szCs w:val="18"/>
                <w:lang w:eastAsia="en-AU"/>
              </w:rPr>
              <w:t>r</w:t>
            </w:r>
            <w:r w:rsidRPr="00A57964">
              <w:rPr>
                <w:rFonts w:ascii="Calibri" w:eastAsia="Times New Roman" w:hAnsi="Calibri"/>
                <w:sz w:val="18"/>
                <w:szCs w:val="18"/>
                <w:lang w:eastAsia="en-AU"/>
              </w:rPr>
              <w:t>oom (2nd Floor)</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26/03/2013</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333</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9</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#7</w:t>
            </w:r>
          </w:p>
        </w:tc>
        <w:tc>
          <w:tcPr>
            <w:tcW w:w="2307" w:type="dxa"/>
            <w:vAlign w:val="center"/>
          </w:tcPr>
          <w:p w:rsidR="00A0218E" w:rsidRPr="00A57964" w:rsidRDefault="00A0218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proofErr w:type="spellStart"/>
            <w:r w:rsidRPr="00A57964">
              <w:rPr>
                <w:rFonts w:ascii="Calibri" w:eastAsia="Times New Roman" w:hAnsi="Calibri"/>
                <w:sz w:val="18"/>
                <w:szCs w:val="18"/>
                <w:lang w:eastAsia="en-AU"/>
              </w:rPr>
              <w:t>Greenstore</w:t>
            </w:r>
            <w:proofErr w:type="spellEnd"/>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7.24</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24</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#8</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Rec </w:t>
            </w:r>
            <w:r w:rsidR="0018687D">
              <w:rPr>
                <w:rFonts w:ascii="Calibri" w:eastAsia="Times New Roman" w:hAnsi="Calibri"/>
                <w:sz w:val="18"/>
                <w:szCs w:val="18"/>
                <w:lang w:eastAsia="en-AU"/>
              </w:rPr>
              <w:t>r</w:t>
            </w:r>
            <w:r w:rsidRPr="00A57964">
              <w:rPr>
                <w:rFonts w:ascii="Calibri" w:eastAsia="Times New Roman" w:hAnsi="Calibri"/>
                <w:sz w:val="18"/>
                <w:szCs w:val="18"/>
                <w:lang w:eastAsia="en-AU"/>
              </w:rPr>
              <w:t xml:space="preserve">oom (2nd </w:t>
            </w:r>
            <w:r w:rsidR="0018687D">
              <w:rPr>
                <w:rFonts w:ascii="Calibri" w:eastAsia="Times New Roman" w:hAnsi="Calibri"/>
                <w:sz w:val="18"/>
                <w:szCs w:val="18"/>
                <w:lang w:eastAsia="en-AU"/>
              </w:rPr>
              <w:t>f</w:t>
            </w:r>
            <w:r w:rsidRPr="00A57964">
              <w:rPr>
                <w:rFonts w:ascii="Calibri" w:eastAsia="Times New Roman" w:hAnsi="Calibri"/>
                <w:sz w:val="18"/>
                <w:szCs w:val="18"/>
                <w:lang w:eastAsia="en-AU"/>
              </w:rPr>
              <w:t>loor)</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N/A</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N/A</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A57964">
              <w:rPr>
                <w:i/>
                <w:sz w:val="18"/>
                <w:szCs w:val="18"/>
              </w:rPr>
              <w:t>Monitor</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i/>
                <w:sz w:val="18"/>
                <w:szCs w:val="18"/>
              </w:rPr>
            </w:pPr>
            <w:r w:rsidRPr="00A57964">
              <w:rPr>
                <w:i/>
                <w:sz w:val="18"/>
                <w:szCs w:val="18"/>
              </w:rPr>
              <w:t>Lost</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#9</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Fire </w:t>
            </w:r>
            <w:r w:rsidR="0018687D">
              <w:rPr>
                <w:rFonts w:ascii="Calibri" w:eastAsia="Times New Roman" w:hAnsi="Calibri"/>
                <w:sz w:val="18"/>
                <w:szCs w:val="18"/>
                <w:lang w:eastAsia="en-AU"/>
              </w:rPr>
              <w:t>h</w:t>
            </w:r>
            <w:r w:rsidRPr="00A57964">
              <w:rPr>
                <w:rFonts w:ascii="Calibri" w:eastAsia="Times New Roman" w:hAnsi="Calibri"/>
                <w:sz w:val="18"/>
                <w:szCs w:val="18"/>
                <w:lang w:eastAsia="en-AU"/>
              </w:rPr>
              <w:t>ut</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5.92</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19</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#10</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proofErr w:type="spellStart"/>
            <w:r w:rsidRPr="00A57964">
              <w:rPr>
                <w:rFonts w:ascii="Calibri" w:eastAsia="Times New Roman" w:hAnsi="Calibri"/>
                <w:sz w:val="18"/>
                <w:szCs w:val="18"/>
                <w:lang w:eastAsia="en-AU"/>
              </w:rPr>
              <w:t>Comms</w:t>
            </w:r>
            <w:proofErr w:type="spellEnd"/>
            <w:r w:rsidRPr="00A57964">
              <w:rPr>
                <w:rFonts w:ascii="Calibri" w:eastAsia="Times New Roman" w:hAnsi="Calibri"/>
                <w:sz w:val="18"/>
                <w:szCs w:val="18"/>
                <w:lang w:eastAsia="en-AU"/>
              </w:rPr>
              <w:t xml:space="preserve"> </w:t>
            </w:r>
            <w:r w:rsidR="0018687D">
              <w:rPr>
                <w:rFonts w:ascii="Calibri" w:eastAsia="Times New Roman" w:hAnsi="Calibri"/>
                <w:sz w:val="18"/>
                <w:szCs w:val="18"/>
                <w:lang w:eastAsia="en-AU"/>
              </w:rPr>
              <w:t>h</w:t>
            </w:r>
            <w:r w:rsidRPr="00A57964">
              <w:rPr>
                <w:rFonts w:ascii="Calibri" w:eastAsia="Times New Roman" w:hAnsi="Calibri"/>
                <w:sz w:val="18"/>
                <w:szCs w:val="18"/>
                <w:lang w:eastAsia="en-AU"/>
              </w:rPr>
              <w:t>ut</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2.31</w:t>
            </w:r>
          </w:p>
        </w:tc>
        <w:tc>
          <w:tcPr>
            <w:tcW w:w="1198" w:type="dxa"/>
            <w:vAlign w:val="center"/>
          </w:tcPr>
          <w:p w:rsidR="00A0218E" w:rsidRPr="00A57964"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8</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#11</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Bio/MIPEP </w:t>
            </w:r>
            <w:r w:rsidR="0018687D">
              <w:rPr>
                <w:rFonts w:ascii="Calibri" w:eastAsia="Times New Roman" w:hAnsi="Calibri"/>
                <w:sz w:val="18"/>
                <w:szCs w:val="18"/>
                <w:lang w:eastAsia="en-AU"/>
              </w:rPr>
              <w:t>h</w:t>
            </w:r>
            <w:r w:rsidRPr="00A57964">
              <w:rPr>
                <w:rFonts w:ascii="Calibri" w:eastAsia="Times New Roman" w:hAnsi="Calibri"/>
                <w:sz w:val="18"/>
                <w:szCs w:val="18"/>
                <w:lang w:eastAsia="en-AU"/>
              </w:rPr>
              <w:t>ut</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5.45</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18</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#12</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Mechanic's </w:t>
            </w:r>
            <w:r w:rsidR="0018687D">
              <w:rPr>
                <w:rFonts w:ascii="Calibri" w:eastAsia="Times New Roman" w:hAnsi="Calibri"/>
                <w:sz w:val="18"/>
                <w:szCs w:val="18"/>
                <w:lang w:eastAsia="en-AU"/>
              </w:rPr>
              <w:t>w</w:t>
            </w:r>
            <w:r w:rsidRPr="00A57964">
              <w:rPr>
                <w:rFonts w:ascii="Calibri" w:eastAsia="Times New Roman" w:hAnsi="Calibri"/>
                <w:sz w:val="18"/>
                <w:szCs w:val="18"/>
                <w:lang w:eastAsia="en-AU"/>
              </w:rPr>
              <w:t>orkshop</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1.90</w:t>
            </w:r>
          </w:p>
        </w:tc>
        <w:tc>
          <w:tcPr>
            <w:tcW w:w="1198" w:type="dxa"/>
            <w:vAlign w:val="center"/>
          </w:tcPr>
          <w:p w:rsidR="00A0218E" w:rsidRPr="00A57964"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6</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#13</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Southern Aurora </w:t>
            </w:r>
            <w:r w:rsidR="0018687D">
              <w:rPr>
                <w:rFonts w:ascii="Calibri" w:eastAsia="Times New Roman" w:hAnsi="Calibri"/>
                <w:sz w:val="18"/>
                <w:szCs w:val="18"/>
                <w:lang w:eastAsia="en-AU"/>
              </w:rPr>
              <w:t>d</w:t>
            </w:r>
            <w:r w:rsidRPr="00A57964">
              <w:rPr>
                <w:rFonts w:ascii="Calibri" w:eastAsia="Times New Roman" w:hAnsi="Calibri"/>
                <w:sz w:val="18"/>
                <w:szCs w:val="18"/>
                <w:lang w:eastAsia="en-AU"/>
              </w:rPr>
              <w:t>onga</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0.62</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#14</w:t>
            </w:r>
          </w:p>
        </w:tc>
        <w:tc>
          <w:tcPr>
            <w:tcW w:w="2307" w:type="dxa"/>
            <w:vAlign w:val="center"/>
          </w:tcPr>
          <w:p w:rsidR="00A0218E" w:rsidRPr="00A57964" w:rsidRDefault="00A0218E" w:rsidP="0018687D">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Hass. House </w:t>
            </w:r>
            <w:r w:rsidR="0018687D">
              <w:rPr>
                <w:rFonts w:ascii="Calibri" w:eastAsia="Times New Roman" w:hAnsi="Calibri"/>
                <w:sz w:val="18"/>
                <w:szCs w:val="18"/>
                <w:lang w:eastAsia="en-AU"/>
              </w:rPr>
              <w:t>d</w:t>
            </w:r>
            <w:r w:rsidRPr="00A57964">
              <w:rPr>
                <w:rFonts w:ascii="Calibri" w:eastAsia="Times New Roman" w:hAnsi="Calibri"/>
                <w:sz w:val="18"/>
                <w:szCs w:val="18"/>
                <w:lang w:eastAsia="en-AU"/>
              </w:rPr>
              <w:t>onga</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4.48</w:t>
            </w:r>
          </w:p>
        </w:tc>
        <w:tc>
          <w:tcPr>
            <w:tcW w:w="1198" w:type="dxa"/>
            <w:vAlign w:val="center"/>
          </w:tcPr>
          <w:p w:rsidR="00A0218E" w:rsidRPr="00A57964" w:rsidRDefault="0069548D" w:rsidP="00A57964">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15</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1" w:type="dxa"/>
            <w:vAlign w:val="center"/>
          </w:tcPr>
          <w:p w:rsidR="00A0218E" w:rsidRPr="00A57964" w:rsidRDefault="00A0218E" w:rsidP="005A01EC">
            <w:pPr>
              <w:spacing w:before="100" w:beforeAutospacing="1" w:after="100" w:afterAutospacing="1"/>
              <w:jc w:val="center"/>
              <w:rPr>
                <w:sz w:val="18"/>
                <w:szCs w:val="18"/>
              </w:rPr>
            </w:pPr>
            <w:proofErr w:type="spellStart"/>
            <w:r w:rsidRPr="00A57964">
              <w:rPr>
                <w:sz w:val="18"/>
                <w:szCs w:val="18"/>
              </w:rPr>
              <w:t>Macq</w:t>
            </w:r>
            <w:proofErr w:type="spellEnd"/>
            <w:r w:rsidRPr="00A57964">
              <w:rPr>
                <w:sz w:val="18"/>
                <w:szCs w:val="18"/>
              </w:rPr>
              <w:t xml:space="preserve"> Is #15</w:t>
            </w:r>
          </w:p>
        </w:tc>
        <w:tc>
          <w:tcPr>
            <w:tcW w:w="2307" w:type="dxa"/>
            <w:vAlign w:val="center"/>
          </w:tcPr>
          <w:p w:rsidR="00A0218E" w:rsidRPr="00A57964" w:rsidRDefault="00A0218E"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Garden Cove </w:t>
            </w:r>
            <w:r w:rsidR="0018687D">
              <w:rPr>
                <w:rFonts w:ascii="Calibri" w:eastAsia="Times New Roman" w:hAnsi="Calibri"/>
                <w:sz w:val="18"/>
                <w:szCs w:val="18"/>
                <w:lang w:eastAsia="en-AU"/>
              </w:rPr>
              <w:t>d</w:t>
            </w:r>
            <w:r w:rsidRPr="00A57964">
              <w:rPr>
                <w:rFonts w:ascii="Calibri" w:eastAsia="Times New Roman" w:hAnsi="Calibri"/>
                <w:sz w:val="18"/>
                <w:szCs w:val="18"/>
                <w:lang w:eastAsia="en-AU"/>
              </w:rPr>
              <w:t>onga</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27/04/2012</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26/02/2013</w:t>
            </w:r>
          </w:p>
        </w:tc>
        <w:tc>
          <w:tcPr>
            <w:tcW w:w="1197"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305</w:t>
            </w:r>
          </w:p>
        </w:tc>
        <w:tc>
          <w:tcPr>
            <w:tcW w:w="1198" w:type="dxa"/>
            <w:vAlign w:val="center"/>
          </w:tcPr>
          <w:p w:rsidR="00A0218E" w:rsidRPr="00A57964" w:rsidRDefault="00A0218E"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4.02</w:t>
            </w:r>
          </w:p>
        </w:tc>
        <w:tc>
          <w:tcPr>
            <w:tcW w:w="1198" w:type="dxa"/>
            <w:vAlign w:val="center"/>
          </w:tcPr>
          <w:p w:rsidR="00A0218E" w:rsidRPr="00A57964" w:rsidRDefault="0069548D" w:rsidP="00A57964">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13</w:t>
            </w:r>
          </w:p>
        </w:tc>
      </w:tr>
    </w:tbl>
    <w:p w:rsidR="001212D9" w:rsidRPr="00C3336E" w:rsidRDefault="004C7DB6" w:rsidP="00C3336E">
      <w:pPr>
        <w:spacing w:before="0" w:line="240" w:lineRule="auto"/>
        <w:rPr>
          <w:b/>
          <w:bCs/>
          <w:i/>
          <w:color w:val="365F91" w:themeColor="accent1" w:themeShade="BF"/>
          <w:sz w:val="20"/>
        </w:rPr>
      </w:pPr>
      <w:r>
        <w:br w:type="page"/>
      </w:r>
    </w:p>
    <w:p w:rsidR="00E86FDC" w:rsidRDefault="001212D9" w:rsidP="00E86FDC">
      <w:pPr>
        <w:pStyle w:val="Appendixheading2"/>
      </w:pPr>
      <w:bookmarkStart w:id="28" w:name="_Toc474844678"/>
      <w:r>
        <w:lastRenderedPageBreak/>
        <w:t>Monitor Results – Summer Placement</w:t>
      </w:r>
      <w:bookmarkEnd w:id="28"/>
    </w:p>
    <w:p w:rsidR="00C3336E" w:rsidRPr="00C3336E" w:rsidRDefault="00B74D0D" w:rsidP="001D3F42">
      <w:pPr>
        <w:pStyle w:val="Table"/>
      </w:pPr>
      <w:r w:rsidRPr="003C4674">
        <w:t>Table</w:t>
      </w:r>
      <w:r>
        <w:t xml:space="preserve"> A1.3.1</w:t>
      </w:r>
      <w:r w:rsidRPr="003C4674">
        <w:t>:</w:t>
      </w:r>
      <w:r>
        <w:tab/>
        <w:t>Summer monitor details for Mawson</w:t>
      </w:r>
    </w:p>
    <w:tbl>
      <w:tblPr>
        <w:tblStyle w:val="MediumShading1-Accent4"/>
        <w:tblW w:w="9747" w:type="dxa"/>
        <w:tblLayout w:type="fixed"/>
        <w:tblLook w:val="04A0" w:firstRow="1" w:lastRow="0" w:firstColumn="1" w:lastColumn="0" w:noHBand="0" w:noVBand="1"/>
      </w:tblPr>
      <w:tblGrid>
        <w:gridCol w:w="1242"/>
        <w:gridCol w:w="1843"/>
        <w:gridCol w:w="1276"/>
        <w:gridCol w:w="1134"/>
        <w:gridCol w:w="1276"/>
        <w:gridCol w:w="992"/>
        <w:gridCol w:w="1134"/>
        <w:gridCol w:w="850"/>
      </w:tblGrid>
      <w:tr w:rsidR="00A57964" w:rsidRPr="00A57964" w:rsidTr="000A1D7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A57964">
            <w:pPr>
              <w:spacing w:before="100" w:beforeAutospacing="1" w:after="100" w:afterAutospacing="1"/>
              <w:jc w:val="center"/>
              <w:rPr>
                <w:color w:val="FFFFFF" w:themeColor="background1"/>
                <w:sz w:val="18"/>
                <w:szCs w:val="18"/>
              </w:rPr>
            </w:pPr>
            <w:r w:rsidRPr="00A57964">
              <w:rPr>
                <w:color w:val="FFFFFF" w:themeColor="background1"/>
                <w:sz w:val="18"/>
                <w:szCs w:val="18"/>
              </w:rPr>
              <w:t>Monitor #</w:t>
            </w:r>
          </w:p>
        </w:tc>
        <w:tc>
          <w:tcPr>
            <w:tcW w:w="1843" w:type="dxa"/>
            <w:vAlign w:val="center"/>
          </w:tcPr>
          <w:p w:rsidR="00A0218E" w:rsidRPr="00A57964" w:rsidRDefault="003923E0"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Description</w:t>
            </w:r>
          </w:p>
        </w:tc>
        <w:tc>
          <w:tcPr>
            <w:tcW w:w="1276"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Reference</w:t>
            </w:r>
          </w:p>
        </w:tc>
        <w:tc>
          <w:tcPr>
            <w:tcW w:w="1134"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 xml:space="preserve">Date </w:t>
            </w:r>
            <w:r w:rsidR="000A1D78">
              <w:rPr>
                <w:color w:val="FFFFFF" w:themeColor="background1"/>
                <w:sz w:val="18"/>
                <w:szCs w:val="18"/>
              </w:rPr>
              <w:br/>
            </w:r>
            <w:r w:rsidRPr="00A57964">
              <w:rPr>
                <w:color w:val="FFFFFF" w:themeColor="background1"/>
                <w:sz w:val="18"/>
                <w:szCs w:val="18"/>
              </w:rPr>
              <w:t>Placed</w:t>
            </w:r>
          </w:p>
        </w:tc>
        <w:tc>
          <w:tcPr>
            <w:tcW w:w="1276"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Date Retrieved</w:t>
            </w:r>
          </w:p>
        </w:tc>
        <w:tc>
          <w:tcPr>
            <w:tcW w:w="992"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Days in Location</w:t>
            </w:r>
          </w:p>
        </w:tc>
        <w:tc>
          <w:tcPr>
            <w:tcW w:w="1134"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Exposure (kBq.d.m</w:t>
            </w:r>
            <w:r w:rsidRPr="00A57964">
              <w:rPr>
                <w:color w:val="FFFFFF" w:themeColor="background1"/>
                <w:sz w:val="18"/>
                <w:szCs w:val="18"/>
                <w:vertAlign w:val="superscript"/>
              </w:rPr>
              <w:t>-3</w:t>
            </w:r>
            <w:r w:rsidRPr="00A57964">
              <w:rPr>
                <w:color w:val="FFFFFF" w:themeColor="background1"/>
                <w:sz w:val="18"/>
                <w:szCs w:val="18"/>
              </w:rPr>
              <w:t>)</w:t>
            </w:r>
          </w:p>
        </w:tc>
        <w:tc>
          <w:tcPr>
            <w:tcW w:w="850" w:type="dxa"/>
            <w:vAlign w:val="center"/>
          </w:tcPr>
          <w:p w:rsidR="00A0218E" w:rsidRPr="00A57964" w:rsidRDefault="00A0218E" w:rsidP="00A5796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57964">
              <w:rPr>
                <w:color w:val="FFFFFF" w:themeColor="background1"/>
                <w:sz w:val="18"/>
                <w:szCs w:val="18"/>
              </w:rPr>
              <w:t>Radon</w:t>
            </w:r>
            <w:r w:rsidR="00393096" w:rsidRPr="00A57964">
              <w:rPr>
                <w:color w:val="FFFFFF" w:themeColor="background1"/>
                <w:sz w:val="18"/>
                <w:szCs w:val="18"/>
              </w:rPr>
              <w:t xml:space="preserve"> </w:t>
            </w:r>
            <w:r w:rsidRPr="00A57964">
              <w:rPr>
                <w:color w:val="FFFFFF" w:themeColor="background1"/>
                <w:sz w:val="18"/>
                <w:szCs w:val="18"/>
              </w:rPr>
              <w:t xml:space="preserve"> (Bq.m</w:t>
            </w:r>
            <w:r w:rsidRPr="00A57964">
              <w:rPr>
                <w:color w:val="FFFFFF" w:themeColor="background1"/>
                <w:sz w:val="18"/>
                <w:szCs w:val="18"/>
                <w:vertAlign w:val="superscript"/>
              </w:rPr>
              <w:t>-3</w:t>
            </w:r>
            <w:r w:rsidRPr="00A57964">
              <w:rPr>
                <w:color w:val="FFFFFF" w:themeColor="background1"/>
                <w:sz w:val="18"/>
                <w:szCs w:val="18"/>
              </w:rPr>
              <w:t>)</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#16</w:t>
            </w:r>
          </w:p>
        </w:tc>
        <w:tc>
          <w:tcPr>
            <w:tcW w:w="1843" w:type="dxa"/>
            <w:vAlign w:val="center"/>
          </w:tcPr>
          <w:p w:rsidR="00A0218E" w:rsidRPr="00A57964" w:rsidRDefault="003923E0" w:rsidP="0018687D">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Med Consult </w:t>
            </w:r>
            <w:r w:rsidR="0018687D">
              <w:rPr>
                <w:rFonts w:ascii="Calibri" w:eastAsia="Times New Roman" w:hAnsi="Calibri"/>
                <w:sz w:val="18"/>
                <w:szCs w:val="18"/>
                <w:lang w:eastAsia="en-AU"/>
              </w:rPr>
              <w:t>o</w:t>
            </w:r>
            <w:r w:rsidRPr="00A57964">
              <w:rPr>
                <w:rFonts w:ascii="Calibri" w:eastAsia="Times New Roman" w:hAnsi="Calibri"/>
                <w:sz w:val="18"/>
                <w:szCs w:val="18"/>
                <w:lang w:eastAsia="en-AU"/>
              </w:rPr>
              <w:t>ffice</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Mawson #1</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1.61</w:t>
            </w:r>
          </w:p>
        </w:tc>
        <w:tc>
          <w:tcPr>
            <w:tcW w:w="850"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33</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#17</w:t>
            </w:r>
          </w:p>
        </w:tc>
        <w:tc>
          <w:tcPr>
            <w:tcW w:w="1843" w:type="dxa"/>
            <w:vAlign w:val="center"/>
          </w:tcPr>
          <w:p w:rsidR="00A0218E" w:rsidRPr="00A57964" w:rsidRDefault="00A0218E"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K</w:t>
            </w:r>
            <w:r w:rsidR="003923E0" w:rsidRPr="00A57964">
              <w:rPr>
                <w:rFonts w:ascii="Calibri" w:eastAsia="Times New Roman" w:hAnsi="Calibri"/>
                <w:sz w:val="18"/>
                <w:szCs w:val="18"/>
                <w:lang w:eastAsia="en-AU"/>
              </w:rPr>
              <w:t xml:space="preserve">itchen </w:t>
            </w:r>
            <w:r w:rsidR="0003145C">
              <w:rPr>
                <w:rFonts w:ascii="Calibri" w:eastAsia="Times New Roman" w:hAnsi="Calibri"/>
                <w:sz w:val="18"/>
                <w:szCs w:val="18"/>
                <w:lang w:eastAsia="en-AU"/>
              </w:rPr>
              <w:t>c</w:t>
            </w:r>
            <w:r w:rsidR="003923E0" w:rsidRPr="00A57964">
              <w:rPr>
                <w:rFonts w:ascii="Calibri" w:eastAsia="Times New Roman" w:hAnsi="Calibri"/>
                <w:sz w:val="18"/>
                <w:szCs w:val="18"/>
                <w:lang w:eastAsia="en-AU"/>
              </w:rPr>
              <w:t xml:space="preserve">entre </w:t>
            </w:r>
            <w:r w:rsidR="0003145C">
              <w:rPr>
                <w:rFonts w:ascii="Calibri" w:eastAsia="Times New Roman" w:hAnsi="Calibri"/>
                <w:sz w:val="18"/>
                <w:szCs w:val="18"/>
                <w:lang w:eastAsia="en-AU"/>
              </w:rPr>
              <w:t>i</w:t>
            </w:r>
            <w:r w:rsidR="003923E0" w:rsidRPr="00A57964">
              <w:rPr>
                <w:rFonts w:ascii="Calibri" w:eastAsia="Times New Roman" w:hAnsi="Calibri"/>
                <w:sz w:val="18"/>
                <w:szCs w:val="18"/>
                <w:lang w:eastAsia="en-AU"/>
              </w:rPr>
              <w:t>sland</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Mawson #4</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6.32</w:t>
            </w:r>
          </w:p>
        </w:tc>
        <w:tc>
          <w:tcPr>
            <w:tcW w:w="850"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132</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#18</w:t>
            </w:r>
          </w:p>
        </w:tc>
        <w:tc>
          <w:tcPr>
            <w:tcW w:w="1843" w:type="dxa"/>
            <w:vAlign w:val="center"/>
          </w:tcPr>
          <w:p w:rsidR="00A0218E" w:rsidRPr="00A57964" w:rsidRDefault="003923E0"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Room 16 Red Shed </w:t>
            </w:r>
            <w:r w:rsidR="0003145C">
              <w:rPr>
                <w:rFonts w:ascii="Calibri" w:eastAsia="Times New Roman" w:hAnsi="Calibri"/>
                <w:sz w:val="18"/>
                <w:szCs w:val="18"/>
                <w:lang w:eastAsia="en-AU"/>
              </w:rPr>
              <w:t>u</w:t>
            </w:r>
            <w:r w:rsidRPr="00A57964">
              <w:rPr>
                <w:rFonts w:ascii="Calibri" w:eastAsia="Times New Roman" w:hAnsi="Calibri"/>
                <w:sz w:val="18"/>
                <w:szCs w:val="18"/>
                <w:lang w:eastAsia="en-AU"/>
              </w:rPr>
              <w:t>pper</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Mawson #6</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4.88</w:t>
            </w:r>
          </w:p>
        </w:tc>
        <w:tc>
          <w:tcPr>
            <w:tcW w:w="850"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102</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#19</w:t>
            </w:r>
          </w:p>
        </w:tc>
        <w:tc>
          <w:tcPr>
            <w:tcW w:w="1843" w:type="dxa"/>
            <w:vAlign w:val="center"/>
          </w:tcPr>
          <w:p w:rsidR="00A0218E" w:rsidRPr="00A57964" w:rsidRDefault="00A0218E"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L</w:t>
            </w:r>
            <w:r w:rsidR="003923E0" w:rsidRPr="00A57964">
              <w:rPr>
                <w:rFonts w:ascii="Calibri" w:eastAsia="Times New Roman" w:hAnsi="Calibri"/>
                <w:sz w:val="18"/>
                <w:szCs w:val="18"/>
                <w:lang w:eastAsia="en-AU"/>
              </w:rPr>
              <w:t xml:space="preserve">ounge, Red Shed </w:t>
            </w:r>
            <w:r w:rsidR="0003145C">
              <w:rPr>
                <w:rFonts w:ascii="Calibri" w:eastAsia="Times New Roman" w:hAnsi="Calibri"/>
                <w:sz w:val="18"/>
                <w:szCs w:val="18"/>
                <w:lang w:eastAsia="en-AU"/>
              </w:rPr>
              <w:t>u</w:t>
            </w:r>
            <w:r w:rsidR="003923E0" w:rsidRPr="00A57964">
              <w:rPr>
                <w:rFonts w:ascii="Calibri" w:eastAsia="Times New Roman" w:hAnsi="Calibri"/>
                <w:sz w:val="18"/>
                <w:szCs w:val="18"/>
                <w:lang w:eastAsia="en-AU"/>
              </w:rPr>
              <w:t>pper</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Mawson #8</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3.19</w:t>
            </w:r>
          </w:p>
        </w:tc>
        <w:tc>
          <w:tcPr>
            <w:tcW w:w="850"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67</w:t>
            </w:r>
          </w:p>
        </w:tc>
      </w:tr>
      <w:tr w:rsidR="00A57964" w:rsidRPr="00A57964"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#20</w:t>
            </w:r>
          </w:p>
        </w:tc>
        <w:tc>
          <w:tcPr>
            <w:tcW w:w="1843" w:type="dxa"/>
            <w:vAlign w:val="center"/>
          </w:tcPr>
          <w:p w:rsidR="00A0218E" w:rsidRPr="00A57964" w:rsidRDefault="00A0218E"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Room</w:t>
            </w:r>
            <w:r w:rsidR="003923E0" w:rsidRPr="00A57964">
              <w:rPr>
                <w:rFonts w:ascii="Calibri" w:eastAsia="Times New Roman" w:hAnsi="Calibri"/>
                <w:sz w:val="18"/>
                <w:szCs w:val="18"/>
                <w:lang w:eastAsia="en-AU"/>
              </w:rPr>
              <w:t xml:space="preserve"> 13, Red Shed lower</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Mawson #11</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1.10</w:t>
            </w:r>
          </w:p>
        </w:tc>
        <w:tc>
          <w:tcPr>
            <w:tcW w:w="850" w:type="dxa"/>
            <w:vAlign w:val="center"/>
          </w:tcPr>
          <w:p w:rsidR="00A0218E" w:rsidRPr="00A57964" w:rsidRDefault="00A0218E" w:rsidP="00A57964">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57964">
              <w:rPr>
                <w:sz w:val="18"/>
                <w:szCs w:val="18"/>
              </w:rPr>
              <w:t>23</w:t>
            </w:r>
          </w:p>
        </w:tc>
      </w:tr>
      <w:tr w:rsidR="00A57964" w:rsidRPr="00A57964"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vAlign w:val="center"/>
          </w:tcPr>
          <w:p w:rsidR="00A0218E" w:rsidRPr="00A57964" w:rsidRDefault="00A0218E" w:rsidP="005A01EC">
            <w:pPr>
              <w:spacing w:before="100" w:beforeAutospacing="1" w:after="100" w:afterAutospacing="1" w:line="240" w:lineRule="auto"/>
              <w:jc w:val="center"/>
              <w:rPr>
                <w:sz w:val="18"/>
                <w:szCs w:val="18"/>
              </w:rPr>
            </w:pPr>
            <w:r w:rsidRPr="00A57964">
              <w:rPr>
                <w:sz w:val="18"/>
                <w:szCs w:val="18"/>
              </w:rPr>
              <w:t>Mawson #21</w:t>
            </w:r>
          </w:p>
        </w:tc>
        <w:tc>
          <w:tcPr>
            <w:tcW w:w="1843" w:type="dxa"/>
            <w:vAlign w:val="center"/>
          </w:tcPr>
          <w:p w:rsidR="00A0218E" w:rsidRPr="00A57964"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A57964">
              <w:rPr>
                <w:rFonts w:ascii="Calibri" w:eastAsia="Times New Roman" w:hAnsi="Calibri"/>
                <w:sz w:val="18"/>
                <w:szCs w:val="18"/>
                <w:lang w:eastAsia="en-AU"/>
              </w:rPr>
              <w:t xml:space="preserve">SCTO </w:t>
            </w:r>
            <w:r w:rsidR="0003145C">
              <w:rPr>
                <w:rFonts w:ascii="Calibri" w:eastAsia="Times New Roman" w:hAnsi="Calibri"/>
                <w:sz w:val="18"/>
                <w:szCs w:val="18"/>
                <w:lang w:eastAsia="en-AU"/>
              </w:rPr>
              <w:t>o</w:t>
            </w:r>
            <w:r w:rsidRPr="00A57964">
              <w:rPr>
                <w:rFonts w:ascii="Calibri" w:eastAsia="Times New Roman" w:hAnsi="Calibri"/>
                <w:sz w:val="18"/>
                <w:szCs w:val="18"/>
                <w:lang w:eastAsia="en-AU"/>
              </w:rPr>
              <w:t>ffice</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Mawson #13</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5/12/2012</w:t>
            </w:r>
          </w:p>
        </w:tc>
        <w:tc>
          <w:tcPr>
            <w:tcW w:w="1276"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22/01/2013</w:t>
            </w:r>
          </w:p>
        </w:tc>
        <w:tc>
          <w:tcPr>
            <w:tcW w:w="992"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48</w:t>
            </w:r>
          </w:p>
        </w:tc>
        <w:tc>
          <w:tcPr>
            <w:tcW w:w="1134"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0.66</w:t>
            </w:r>
          </w:p>
        </w:tc>
        <w:tc>
          <w:tcPr>
            <w:tcW w:w="850" w:type="dxa"/>
            <w:vAlign w:val="center"/>
          </w:tcPr>
          <w:p w:rsidR="00A0218E" w:rsidRPr="00A57964" w:rsidRDefault="00A0218E" w:rsidP="00A57964">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57964">
              <w:rPr>
                <w:sz w:val="18"/>
                <w:szCs w:val="18"/>
              </w:rPr>
              <w:t>14</w:t>
            </w:r>
          </w:p>
        </w:tc>
      </w:tr>
    </w:tbl>
    <w:p w:rsidR="00B74D0D" w:rsidRDefault="005A01EC" w:rsidP="005A01EC">
      <w:pPr>
        <w:pStyle w:val="Table"/>
        <w:ind w:left="0" w:firstLine="0"/>
      </w:pPr>
      <w:r>
        <w:br/>
      </w:r>
      <w:r w:rsidR="00B74D0D" w:rsidRPr="003C4674">
        <w:t>Table</w:t>
      </w:r>
      <w:r w:rsidR="00B74D0D">
        <w:t xml:space="preserve"> A1.3.2</w:t>
      </w:r>
      <w:r w:rsidR="00B74D0D" w:rsidRPr="003C4674">
        <w:t>:</w:t>
      </w:r>
      <w:r w:rsidR="00B74D0D">
        <w:tab/>
        <w:t>Summer monitor details for Davis</w:t>
      </w:r>
    </w:p>
    <w:tbl>
      <w:tblPr>
        <w:tblStyle w:val="MediumShading1-Accent4"/>
        <w:tblW w:w="9747" w:type="dxa"/>
        <w:tblLayout w:type="fixed"/>
        <w:tblLook w:val="04A0" w:firstRow="1" w:lastRow="0" w:firstColumn="1" w:lastColumn="0" w:noHBand="0" w:noVBand="1"/>
      </w:tblPr>
      <w:tblGrid>
        <w:gridCol w:w="1193"/>
        <w:gridCol w:w="1892"/>
        <w:gridCol w:w="1276"/>
        <w:gridCol w:w="1134"/>
        <w:gridCol w:w="1276"/>
        <w:gridCol w:w="992"/>
        <w:gridCol w:w="1134"/>
        <w:gridCol w:w="850"/>
      </w:tblGrid>
      <w:tr w:rsidR="001D3F42" w:rsidRPr="000A1D78" w:rsidTr="000A1D7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A0218E" w:rsidRPr="000A1D78" w:rsidRDefault="00A0218E" w:rsidP="000A1D78">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1892" w:type="dxa"/>
            <w:vAlign w:val="center"/>
          </w:tcPr>
          <w:p w:rsidR="00A0218E" w:rsidRPr="000A1D78" w:rsidRDefault="003923E0"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276"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Reference</w:t>
            </w:r>
          </w:p>
        </w:tc>
        <w:tc>
          <w:tcPr>
            <w:tcW w:w="1134"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 xml:space="preserve">Date </w:t>
            </w:r>
            <w:r w:rsidR="000A1D78">
              <w:rPr>
                <w:color w:val="FFFFFF" w:themeColor="background1"/>
                <w:sz w:val="18"/>
                <w:szCs w:val="18"/>
              </w:rPr>
              <w:br/>
            </w:r>
            <w:r w:rsidRPr="000A1D78">
              <w:rPr>
                <w:color w:val="FFFFFF" w:themeColor="background1"/>
                <w:sz w:val="18"/>
                <w:szCs w:val="18"/>
              </w:rPr>
              <w:t>Placed</w:t>
            </w:r>
          </w:p>
        </w:tc>
        <w:tc>
          <w:tcPr>
            <w:tcW w:w="1276"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992"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34"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850"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w:t>
            </w:r>
            <w:r w:rsidR="00393096" w:rsidRPr="000A1D78">
              <w:rPr>
                <w:color w:val="FFFFFF" w:themeColor="background1"/>
                <w:sz w:val="18"/>
                <w:szCs w:val="18"/>
              </w:rPr>
              <w:t xml:space="preserve"> </w:t>
            </w:r>
            <w:r w:rsidRPr="000A1D78">
              <w:rPr>
                <w:color w:val="FFFFFF" w:themeColor="background1"/>
                <w:sz w:val="18"/>
                <w:szCs w:val="18"/>
              </w:rPr>
              <w:t xml:space="preserve"> (Bq.m</w:t>
            </w:r>
            <w:r w:rsidRPr="000A1D78">
              <w:rPr>
                <w:color w:val="FFFFFF" w:themeColor="background1"/>
                <w:sz w:val="18"/>
                <w:szCs w:val="18"/>
                <w:vertAlign w:val="superscript"/>
              </w:rPr>
              <w:t>-3</w:t>
            </w:r>
            <w:r w:rsidRPr="000A1D78">
              <w:rPr>
                <w:color w:val="FFFFFF" w:themeColor="background1"/>
                <w:sz w:val="18"/>
                <w:szCs w:val="18"/>
              </w:rPr>
              <w:t>)</w:t>
            </w:r>
          </w:p>
        </w:tc>
      </w:tr>
      <w:tr w:rsidR="000A1D78"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#16</w:t>
            </w:r>
          </w:p>
        </w:tc>
        <w:tc>
          <w:tcPr>
            <w:tcW w:w="1892" w:type="dxa"/>
            <w:vAlign w:val="center"/>
          </w:tcPr>
          <w:p w:rsidR="003923E0" w:rsidRPr="000A1D78" w:rsidRDefault="003923E0"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Basement </w:t>
            </w:r>
            <w:r w:rsidR="0003145C">
              <w:rPr>
                <w:rFonts w:ascii="Calibri" w:eastAsia="Times New Roman" w:hAnsi="Calibri"/>
                <w:sz w:val="18"/>
                <w:szCs w:val="18"/>
                <w:lang w:eastAsia="en-AU"/>
              </w:rPr>
              <w:t>b</w:t>
            </w:r>
            <w:r w:rsidRPr="000A1D78">
              <w:rPr>
                <w:rFonts w:ascii="Calibri" w:eastAsia="Times New Roman" w:hAnsi="Calibri"/>
                <w:sz w:val="18"/>
                <w:szCs w:val="18"/>
                <w:lang w:eastAsia="en-AU"/>
              </w:rPr>
              <w:t>rewery</w:t>
            </w:r>
          </w:p>
        </w:tc>
        <w:tc>
          <w:tcPr>
            <w:tcW w:w="1276" w:type="dxa"/>
            <w:vAlign w:val="center"/>
          </w:tcPr>
          <w:p w:rsidR="003923E0" w:rsidRPr="000A1D78" w:rsidRDefault="003923E0"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Davis #3</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3.70</w:t>
            </w:r>
          </w:p>
        </w:tc>
        <w:tc>
          <w:tcPr>
            <w:tcW w:w="850"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137</w:t>
            </w:r>
          </w:p>
        </w:tc>
      </w:tr>
      <w:tr w:rsidR="000A1D78"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#17</w:t>
            </w:r>
          </w:p>
        </w:tc>
        <w:tc>
          <w:tcPr>
            <w:tcW w:w="1892" w:type="dxa"/>
            <w:vAlign w:val="center"/>
          </w:tcPr>
          <w:p w:rsidR="003923E0" w:rsidRPr="000A1D78"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Surgery </w:t>
            </w:r>
            <w:r w:rsidR="0003145C">
              <w:rPr>
                <w:rFonts w:ascii="Calibri" w:eastAsia="Times New Roman" w:hAnsi="Calibri"/>
                <w:sz w:val="18"/>
                <w:szCs w:val="18"/>
                <w:lang w:eastAsia="en-AU"/>
              </w:rPr>
              <w:t>o</w:t>
            </w:r>
            <w:r w:rsidRPr="000A1D78">
              <w:rPr>
                <w:rFonts w:ascii="Calibri" w:eastAsia="Times New Roman" w:hAnsi="Calibri"/>
                <w:sz w:val="18"/>
                <w:szCs w:val="18"/>
                <w:lang w:eastAsia="en-AU"/>
              </w:rPr>
              <w:t>ffice door handle</w:t>
            </w:r>
          </w:p>
        </w:tc>
        <w:tc>
          <w:tcPr>
            <w:tcW w:w="1276" w:type="dxa"/>
            <w:vAlign w:val="center"/>
          </w:tcPr>
          <w:p w:rsidR="003923E0" w:rsidRPr="000A1D78" w:rsidRDefault="003923E0"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Davis #5</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1.07</w:t>
            </w:r>
          </w:p>
        </w:tc>
        <w:tc>
          <w:tcPr>
            <w:tcW w:w="850"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40</w:t>
            </w:r>
          </w:p>
        </w:tc>
      </w:tr>
      <w:tr w:rsidR="000A1D78"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#18</w:t>
            </w:r>
          </w:p>
        </w:tc>
        <w:tc>
          <w:tcPr>
            <w:tcW w:w="1892" w:type="dxa"/>
            <w:vAlign w:val="center"/>
          </w:tcPr>
          <w:p w:rsidR="003923E0" w:rsidRPr="000A1D78" w:rsidRDefault="003923E0"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Cinema - back row back hand rail</w:t>
            </w:r>
          </w:p>
        </w:tc>
        <w:tc>
          <w:tcPr>
            <w:tcW w:w="1276" w:type="dxa"/>
            <w:vAlign w:val="center"/>
          </w:tcPr>
          <w:p w:rsidR="003923E0" w:rsidRPr="000A1D78" w:rsidRDefault="003923E0"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Davis #6</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0.47</w:t>
            </w:r>
          </w:p>
        </w:tc>
        <w:tc>
          <w:tcPr>
            <w:tcW w:w="850"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18</w:t>
            </w:r>
          </w:p>
        </w:tc>
      </w:tr>
      <w:tr w:rsidR="000A1D78"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#19</w:t>
            </w:r>
          </w:p>
        </w:tc>
        <w:tc>
          <w:tcPr>
            <w:tcW w:w="1892" w:type="dxa"/>
            <w:vAlign w:val="center"/>
          </w:tcPr>
          <w:p w:rsidR="003923E0" w:rsidRPr="000A1D78"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Western </w:t>
            </w:r>
            <w:r w:rsidR="0003145C">
              <w:rPr>
                <w:rFonts w:ascii="Calibri" w:eastAsia="Times New Roman" w:hAnsi="Calibri"/>
                <w:sz w:val="18"/>
                <w:szCs w:val="18"/>
                <w:lang w:eastAsia="en-AU"/>
              </w:rPr>
              <w:t>s</w:t>
            </w:r>
            <w:r w:rsidRPr="000A1D78">
              <w:rPr>
                <w:rFonts w:ascii="Calibri" w:eastAsia="Times New Roman" w:hAnsi="Calibri"/>
                <w:sz w:val="18"/>
                <w:szCs w:val="18"/>
                <w:lang w:eastAsia="en-AU"/>
              </w:rPr>
              <w:t>tair</w:t>
            </w:r>
          </w:p>
        </w:tc>
        <w:tc>
          <w:tcPr>
            <w:tcW w:w="1276" w:type="dxa"/>
            <w:vAlign w:val="center"/>
          </w:tcPr>
          <w:p w:rsidR="003923E0" w:rsidRPr="000A1D78" w:rsidRDefault="003923E0"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Davis #15</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5.87</w:t>
            </w:r>
          </w:p>
        </w:tc>
        <w:tc>
          <w:tcPr>
            <w:tcW w:w="850"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217</w:t>
            </w:r>
          </w:p>
        </w:tc>
      </w:tr>
      <w:tr w:rsidR="000A1D78" w:rsidRPr="000A1D78"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#20</w:t>
            </w:r>
          </w:p>
        </w:tc>
        <w:tc>
          <w:tcPr>
            <w:tcW w:w="1892" w:type="dxa"/>
            <w:vAlign w:val="center"/>
          </w:tcPr>
          <w:p w:rsidR="003923E0" w:rsidRPr="000A1D78" w:rsidRDefault="003923E0"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0A1D78">
              <w:rPr>
                <w:rFonts w:ascii="Calibri" w:eastAsia="Times New Roman" w:hAnsi="Calibri"/>
                <w:sz w:val="18"/>
                <w:szCs w:val="18"/>
                <w:lang w:eastAsia="en-AU"/>
              </w:rPr>
              <w:t xml:space="preserve">Chrome </w:t>
            </w:r>
            <w:r w:rsidR="0003145C">
              <w:rPr>
                <w:rFonts w:ascii="Calibri" w:eastAsia="Times New Roman" w:hAnsi="Calibri"/>
                <w:sz w:val="18"/>
                <w:szCs w:val="18"/>
                <w:lang w:eastAsia="en-AU"/>
              </w:rPr>
              <w:t>l</w:t>
            </w:r>
            <w:r w:rsidRPr="000A1D78">
              <w:rPr>
                <w:rFonts w:ascii="Calibri" w:eastAsia="Times New Roman" w:hAnsi="Calibri"/>
                <w:sz w:val="18"/>
                <w:szCs w:val="18"/>
                <w:lang w:eastAsia="en-AU"/>
              </w:rPr>
              <w:t xml:space="preserve">eg </w:t>
            </w:r>
            <w:r w:rsidR="0003145C">
              <w:rPr>
                <w:rFonts w:ascii="Calibri" w:eastAsia="Times New Roman" w:hAnsi="Calibri"/>
                <w:sz w:val="18"/>
                <w:szCs w:val="18"/>
                <w:lang w:eastAsia="en-AU"/>
              </w:rPr>
              <w:t>s</w:t>
            </w:r>
            <w:r w:rsidRPr="000A1D78">
              <w:rPr>
                <w:rFonts w:ascii="Calibri" w:eastAsia="Times New Roman" w:hAnsi="Calibri"/>
                <w:sz w:val="18"/>
                <w:szCs w:val="18"/>
                <w:lang w:eastAsia="en-AU"/>
              </w:rPr>
              <w:t xml:space="preserve">upporting </w:t>
            </w:r>
            <w:r w:rsidR="0003145C">
              <w:rPr>
                <w:rFonts w:ascii="Calibri" w:eastAsia="Times New Roman" w:hAnsi="Calibri"/>
                <w:sz w:val="18"/>
                <w:szCs w:val="18"/>
                <w:lang w:eastAsia="en-AU"/>
              </w:rPr>
              <w:t>w</w:t>
            </w:r>
            <w:r w:rsidRPr="000A1D78">
              <w:rPr>
                <w:rFonts w:ascii="Calibri" w:eastAsia="Times New Roman" w:hAnsi="Calibri"/>
                <w:sz w:val="18"/>
                <w:szCs w:val="18"/>
                <w:lang w:eastAsia="en-AU"/>
              </w:rPr>
              <w:t>indow</w:t>
            </w:r>
          </w:p>
        </w:tc>
        <w:tc>
          <w:tcPr>
            <w:tcW w:w="1276" w:type="dxa"/>
            <w:vAlign w:val="center"/>
          </w:tcPr>
          <w:p w:rsidR="003923E0" w:rsidRPr="000A1D78" w:rsidRDefault="003923E0"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Davis #14</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1.96</w:t>
            </w:r>
          </w:p>
        </w:tc>
        <w:tc>
          <w:tcPr>
            <w:tcW w:w="850" w:type="dxa"/>
            <w:vAlign w:val="center"/>
          </w:tcPr>
          <w:p w:rsidR="003923E0" w:rsidRPr="000A1D78" w:rsidRDefault="003923E0"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0A1D78">
              <w:rPr>
                <w:sz w:val="18"/>
                <w:szCs w:val="18"/>
              </w:rPr>
              <w:t>72</w:t>
            </w:r>
          </w:p>
        </w:tc>
      </w:tr>
      <w:tr w:rsidR="000A1D78" w:rsidRPr="000A1D78"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93" w:type="dxa"/>
            <w:vAlign w:val="center"/>
          </w:tcPr>
          <w:p w:rsidR="003923E0" w:rsidRPr="000A1D78" w:rsidRDefault="003923E0" w:rsidP="005A01EC">
            <w:pPr>
              <w:spacing w:before="100" w:beforeAutospacing="1" w:after="100" w:afterAutospacing="1" w:line="240" w:lineRule="auto"/>
              <w:jc w:val="center"/>
              <w:rPr>
                <w:sz w:val="18"/>
                <w:szCs w:val="18"/>
              </w:rPr>
            </w:pPr>
            <w:r w:rsidRPr="000A1D78">
              <w:rPr>
                <w:sz w:val="18"/>
                <w:szCs w:val="18"/>
              </w:rPr>
              <w:t>Davis #21</w:t>
            </w:r>
          </w:p>
        </w:tc>
        <w:tc>
          <w:tcPr>
            <w:tcW w:w="1892" w:type="dxa"/>
            <w:vAlign w:val="center"/>
          </w:tcPr>
          <w:p w:rsidR="003923E0" w:rsidRPr="000A1D78" w:rsidRDefault="003923E0" w:rsidP="005A01EC">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Bedroom SMQ downstairs</w:t>
            </w:r>
          </w:p>
        </w:tc>
        <w:tc>
          <w:tcPr>
            <w:tcW w:w="1276" w:type="dxa"/>
            <w:vAlign w:val="center"/>
          </w:tcPr>
          <w:p w:rsidR="003923E0" w:rsidRPr="000A1D78" w:rsidRDefault="003923E0"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Davis #4</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27/12/2012</w:t>
            </w:r>
          </w:p>
        </w:tc>
        <w:tc>
          <w:tcPr>
            <w:tcW w:w="1276"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23/01/2013</w:t>
            </w:r>
          </w:p>
        </w:tc>
        <w:tc>
          <w:tcPr>
            <w:tcW w:w="992"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27</w:t>
            </w:r>
          </w:p>
        </w:tc>
        <w:tc>
          <w:tcPr>
            <w:tcW w:w="1134"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0.85</w:t>
            </w:r>
          </w:p>
        </w:tc>
        <w:tc>
          <w:tcPr>
            <w:tcW w:w="850" w:type="dxa"/>
            <w:vAlign w:val="center"/>
          </w:tcPr>
          <w:p w:rsidR="003923E0" w:rsidRPr="000A1D78" w:rsidRDefault="003923E0"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0A1D78">
              <w:rPr>
                <w:sz w:val="18"/>
                <w:szCs w:val="18"/>
              </w:rPr>
              <w:t>31</w:t>
            </w:r>
          </w:p>
        </w:tc>
      </w:tr>
    </w:tbl>
    <w:p w:rsidR="00B74D0D" w:rsidRDefault="005A01EC" w:rsidP="005A01EC">
      <w:pPr>
        <w:pStyle w:val="Table"/>
        <w:ind w:left="0" w:firstLine="0"/>
      </w:pPr>
      <w:r>
        <w:br/>
      </w:r>
      <w:r w:rsidR="00B74D0D" w:rsidRPr="003C4674">
        <w:t>Table</w:t>
      </w:r>
      <w:r w:rsidR="00B74D0D">
        <w:t xml:space="preserve"> A1.3.3</w:t>
      </w:r>
      <w:r w:rsidR="00B74D0D" w:rsidRPr="003C4674">
        <w:t>:</w:t>
      </w:r>
      <w:r w:rsidR="00B74D0D">
        <w:tab/>
        <w:t>Summer monitor details for Casey</w:t>
      </w:r>
    </w:p>
    <w:tbl>
      <w:tblPr>
        <w:tblStyle w:val="MediumShading1-Accent4"/>
        <w:tblW w:w="9747" w:type="dxa"/>
        <w:tblLook w:val="04A0" w:firstRow="1" w:lastRow="0" w:firstColumn="1" w:lastColumn="0" w:noHBand="0" w:noVBand="1"/>
      </w:tblPr>
      <w:tblGrid>
        <w:gridCol w:w="1143"/>
        <w:gridCol w:w="1942"/>
        <w:gridCol w:w="1228"/>
        <w:gridCol w:w="1182"/>
        <w:gridCol w:w="1276"/>
        <w:gridCol w:w="992"/>
        <w:gridCol w:w="1134"/>
        <w:gridCol w:w="850"/>
      </w:tblGrid>
      <w:tr w:rsidR="001D3F42" w:rsidRPr="000A1D78" w:rsidTr="000A1D7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0A1D78" w:rsidRDefault="00A0218E" w:rsidP="000A1D78">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1942" w:type="dxa"/>
            <w:vAlign w:val="center"/>
          </w:tcPr>
          <w:p w:rsidR="00A0218E" w:rsidRPr="000A1D78" w:rsidRDefault="003923E0"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228"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Reference</w:t>
            </w:r>
          </w:p>
        </w:tc>
        <w:tc>
          <w:tcPr>
            <w:tcW w:w="1182"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Placed</w:t>
            </w:r>
          </w:p>
        </w:tc>
        <w:tc>
          <w:tcPr>
            <w:tcW w:w="1276"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992"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34"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850"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w:t>
            </w:r>
            <w:r w:rsidR="00393096" w:rsidRPr="000A1D78">
              <w:rPr>
                <w:color w:val="FFFFFF" w:themeColor="background1"/>
                <w:sz w:val="18"/>
                <w:szCs w:val="18"/>
              </w:rPr>
              <w:t xml:space="preserve"> </w:t>
            </w:r>
            <w:r w:rsidRPr="000A1D78">
              <w:rPr>
                <w:color w:val="FFFFFF" w:themeColor="background1"/>
                <w:sz w:val="18"/>
                <w:szCs w:val="18"/>
              </w:rPr>
              <w:t xml:space="preserve"> (Bq.m</w:t>
            </w:r>
            <w:r w:rsidRPr="000A1D78">
              <w:rPr>
                <w:color w:val="FFFFFF" w:themeColor="background1"/>
                <w:sz w:val="18"/>
                <w:szCs w:val="18"/>
                <w:vertAlign w:val="superscript"/>
              </w:rPr>
              <w:t>-3</w:t>
            </w:r>
            <w:r w:rsidRPr="000A1D78">
              <w:rPr>
                <w:color w:val="FFFFFF" w:themeColor="background1"/>
                <w:sz w:val="18"/>
                <w:szCs w:val="18"/>
              </w:rPr>
              <w:t>)</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#16</w:t>
            </w:r>
          </w:p>
        </w:tc>
        <w:tc>
          <w:tcPr>
            <w:tcW w:w="1942" w:type="dxa"/>
            <w:vAlign w:val="center"/>
          </w:tcPr>
          <w:p w:rsidR="00A0218E" w:rsidRPr="005A01EC" w:rsidRDefault="003923E0"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Doctor's office</w:t>
            </w:r>
          </w:p>
        </w:tc>
        <w:tc>
          <w:tcPr>
            <w:tcW w:w="1228" w:type="dxa"/>
            <w:vAlign w:val="center"/>
          </w:tcPr>
          <w:p w:rsidR="00A0218E" w:rsidRPr="005A01EC" w:rsidRDefault="00A0218E"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Casey #9</w:t>
            </w:r>
          </w:p>
        </w:tc>
        <w:tc>
          <w:tcPr>
            <w:tcW w:w="118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5.69</w:t>
            </w:r>
          </w:p>
        </w:tc>
        <w:tc>
          <w:tcPr>
            <w:tcW w:w="850"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102</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#17</w:t>
            </w:r>
          </w:p>
        </w:tc>
        <w:tc>
          <w:tcPr>
            <w:tcW w:w="1942" w:type="dxa"/>
            <w:vAlign w:val="center"/>
          </w:tcPr>
          <w:p w:rsidR="00A0218E" w:rsidRPr="005A01EC" w:rsidRDefault="003923E0"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Next to 113</w:t>
            </w:r>
          </w:p>
        </w:tc>
        <w:tc>
          <w:tcPr>
            <w:tcW w:w="1228" w:type="dxa"/>
            <w:vAlign w:val="center"/>
          </w:tcPr>
          <w:p w:rsidR="00A0218E" w:rsidRPr="005A01EC" w:rsidRDefault="00A0218E"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Casey #8</w:t>
            </w:r>
          </w:p>
        </w:tc>
        <w:tc>
          <w:tcPr>
            <w:tcW w:w="118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3.43</w:t>
            </w:r>
          </w:p>
        </w:tc>
        <w:tc>
          <w:tcPr>
            <w:tcW w:w="850"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61</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#18</w:t>
            </w:r>
          </w:p>
        </w:tc>
        <w:tc>
          <w:tcPr>
            <w:tcW w:w="1942" w:type="dxa"/>
            <w:vAlign w:val="center"/>
          </w:tcPr>
          <w:p w:rsidR="00A0218E" w:rsidRPr="005A01EC" w:rsidRDefault="003923E0"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Mess</w:t>
            </w:r>
          </w:p>
        </w:tc>
        <w:tc>
          <w:tcPr>
            <w:tcW w:w="1228" w:type="dxa"/>
            <w:vAlign w:val="center"/>
          </w:tcPr>
          <w:p w:rsidR="00A0218E" w:rsidRPr="005A01EC" w:rsidRDefault="00A0218E"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Casey #2</w:t>
            </w:r>
          </w:p>
        </w:tc>
        <w:tc>
          <w:tcPr>
            <w:tcW w:w="118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1.94</w:t>
            </w:r>
          </w:p>
        </w:tc>
        <w:tc>
          <w:tcPr>
            <w:tcW w:w="850"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35</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#19</w:t>
            </w:r>
          </w:p>
        </w:tc>
        <w:tc>
          <w:tcPr>
            <w:tcW w:w="1942" w:type="dxa"/>
            <w:vAlign w:val="center"/>
          </w:tcPr>
          <w:p w:rsidR="00A0218E" w:rsidRPr="005A01EC"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 xml:space="preserve">Library </w:t>
            </w:r>
            <w:r w:rsidR="0003145C">
              <w:rPr>
                <w:rFonts w:ascii="Calibri" w:eastAsia="Times New Roman" w:hAnsi="Calibri"/>
                <w:sz w:val="18"/>
                <w:szCs w:val="18"/>
                <w:lang w:eastAsia="en-AU"/>
              </w:rPr>
              <w:t>e</w:t>
            </w:r>
            <w:r w:rsidRPr="005A01EC">
              <w:rPr>
                <w:rFonts w:ascii="Calibri" w:eastAsia="Times New Roman" w:hAnsi="Calibri"/>
                <w:sz w:val="18"/>
                <w:szCs w:val="18"/>
                <w:lang w:eastAsia="en-AU"/>
              </w:rPr>
              <w:t>ntrance</w:t>
            </w:r>
          </w:p>
        </w:tc>
        <w:tc>
          <w:tcPr>
            <w:tcW w:w="1228" w:type="dxa"/>
            <w:vAlign w:val="center"/>
          </w:tcPr>
          <w:p w:rsidR="00A0218E" w:rsidRPr="005A01EC" w:rsidRDefault="00A0218E"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Casey #4</w:t>
            </w:r>
          </w:p>
        </w:tc>
        <w:tc>
          <w:tcPr>
            <w:tcW w:w="118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3.96</w:t>
            </w:r>
          </w:p>
        </w:tc>
        <w:tc>
          <w:tcPr>
            <w:tcW w:w="850"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71</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#20</w:t>
            </w:r>
          </w:p>
        </w:tc>
        <w:tc>
          <w:tcPr>
            <w:tcW w:w="1942" w:type="dxa"/>
            <w:vAlign w:val="center"/>
          </w:tcPr>
          <w:p w:rsidR="00A0218E" w:rsidRPr="005A01EC" w:rsidRDefault="00A0218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Room 213</w:t>
            </w:r>
          </w:p>
        </w:tc>
        <w:tc>
          <w:tcPr>
            <w:tcW w:w="1228" w:type="dxa"/>
            <w:vAlign w:val="center"/>
          </w:tcPr>
          <w:p w:rsidR="00A0218E" w:rsidRPr="005A01EC" w:rsidRDefault="00A0218E" w:rsidP="000A1D78">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N</w:t>
            </w:r>
            <w:r w:rsidR="00845C8E" w:rsidRPr="005A01EC">
              <w:rPr>
                <w:sz w:val="18"/>
                <w:szCs w:val="18"/>
              </w:rPr>
              <w:t>ew Location</w:t>
            </w:r>
          </w:p>
        </w:tc>
        <w:tc>
          <w:tcPr>
            <w:tcW w:w="118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1.03</w:t>
            </w:r>
          </w:p>
        </w:tc>
        <w:tc>
          <w:tcPr>
            <w:tcW w:w="850" w:type="dxa"/>
            <w:vAlign w:val="center"/>
          </w:tcPr>
          <w:p w:rsidR="00A0218E" w:rsidRPr="005A01EC" w:rsidRDefault="00A0218E" w:rsidP="000A1D78">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18</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5A01EC" w:rsidRDefault="00A0218E" w:rsidP="005A01EC">
            <w:pPr>
              <w:spacing w:before="100" w:beforeAutospacing="1" w:after="100" w:afterAutospacing="1" w:line="240" w:lineRule="auto"/>
              <w:jc w:val="center"/>
              <w:rPr>
                <w:sz w:val="18"/>
                <w:szCs w:val="18"/>
              </w:rPr>
            </w:pPr>
            <w:r w:rsidRPr="005A01EC">
              <w:rPr>
                <w:sz w:val="18"/>
                <w:szCs w:val="18"/>
              </w:rPr>
              <w:t>Casey #21</w:t>
            </w:r>
          </w:p>
        </w:tc>
        <w:tc>
          <w:tcPr>
            <w:tcW w:w="1942" w:type="dxa"/>
            <w:vAlign w:val="center"/>
          </w:tcPr>
          <w:p w:rsidR="00A0218E" w:rsidRPr="005A01EC" w:rsidRDefault="003923E0"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Bar</w:t>
            </w:r>
          </w:p>
        </w:tc>
        <w:tc>
          <w:tcPr>
            <w:tcW w:w="1228" w:type="dxa"/>
            <w:vAlign w:val="center"/>
          </w:tcPr>
          <w:p w:rsidR="00A0218E" w:rsidRPr="005A01EC" w:rsidRDefault="00A0218E" w:rsidP="000A1D78">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Casey #3</w:t>
            </w:r>
          </w:p>
        </w:tc>
        <w:tc>
          <w:tcPr>
            <w:tcW w:w="118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20/12/2012</w:t>
            </w:r>
          </w:p>
        </w:tc>
        <w:tc>
          <w:tcPr>
            <w:tcW w:w="1276"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14/02/2013</w:t>
            </w:r>
          </w:p>
        </w:tc>
        <w:tc>
          <w:tcPr>
            <w:tcW w:w="992"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56</w:t>
            </w:r>
          </w:p>
        </w:tc>
        <w:tc>
          <w:tcPr>
            <w:tcW w:w="1134"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0.70</w:t>
            </w:r>
          </w:p>
        </w:tc>
        <w:tc>
          <w:tcPr>
            <w:tcW w:w="850" w:type="dxa"/>
            <w:vAlign w:val="center"/>
          </w:tcPr>
          <w:p w:rsidR="00A0218E" w:rsidRPr="005A01EC" w:rsidRDefault="00A0218E" w:rsidP="000A1D78">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13</w:t>
            </w:r>
          </w:p>
        </w:tc>
      </w:tr>
    </w:tbl>
    <w:p w:rsidR="000A1D78" w:rsidRDefault="000A1D78" w:rsidP="00A57964">
      <w:pPr>
        <w:pStyle w:val="Table"/>
        <w:keepNext/>
      </w:pPr>
    </w:p>
    <w:p w:rsidR="000A1D78" w:rsidRDefault="000A1D78">
      <w:pPr>
        <w:spacing w:before="0" w:line="240" w:lineRule="auto"/>
        <w:rPr>
          <w:b/>
          <w:bCs/>
          <w:i/>
          <w:color w:val="4E1A74"/>
          <w:sz w:val="20"/>
        </w:rPr>
      </w:pPr>
      <w:r>
        <w:br w:type="page"/>
      </w:r>
    </w:p>
    <w:p w:rsidR="00B74D0D" w:rsidRDefault="00B74D0D" w:rsidP="00A57964">
      <w:pPr>
        <w:pStyle w:val="Table"/>
        <w:keepNext/>
      </w:pPr>
      <w:r w:rsidRPr="003C4674">
        <w:lastRenderedPageBreak/>
        <w:t>Table</w:t>
      </w:r>
      <w:r>
        <w:t xml:space="preserve"> A1.3.4</w:t>
      </w:r>
      <w:r w:rsidRPr="003C4674">
        <w:t>:</w:t>
      </w:r>
      <w:r>
        <w:tab/>
        <w:t>Summer monitor details for Macquarie Island</w:t>
      </w:r>
    </w:p>
    <w:tbl>
      <w:tblPr>
        <w:tblStyle w:val="MediumShading1-Accent4"/>
        <w:tblW w:w="9747" w:type="dxa"/>
        <w:tblLook w:val="04A0" w:firstRow="1" w:lastRow="0" w:firstColumn="1" w:lastColumn="0" w:noHBand="0" w:noVBand="1"/>
      </w:tblPr>
      <w:tblGrid>
        <w:gridCol w:w="1143"/>
        <w:gridCol w:w="1942"/>
        <w:gridCol w:w="1228"/>
        <w:gridCol w:w="1182"/>
        <w:gridCol w:w="1276"/>
        <w:gridCol w:w="992"/>
        <w:gridCol w:w="1134"/>
        <w:gridCol w:w="850"/>
      </w:tblGrid>
      <w:tr w:rsidR="001D3F42" w:rsidRPr="000A1D78" w:rsidTr="000A1D78">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A0218E" w:rsidRPr="000A1D78" w:rsidRDefault="00A0218E" w:rsidP="000A1D78">
            <w:pPr>
              <w:spacing w:before="100" w:beforeAutospacing="1" w:after="100" w:afterAutospacing="1"/>
              <w:jc w:val="center"/>
              <w:rPr>
                <w:color w:val="FFFFFF" w:themeColor="background1"/>
                <w:sz w:val="18"/>
                <w:szCs w:val="18"/>
              </w:rPr>
            </w:pPr>
            <w:r w:rsidRPr="000A1D78">
              <w:rPr>
                <w:color w:val="FFFFFF" w:themeColor="background1"/>
                <w:sz w:val="18"/>
                <w:szCs w:val="18"/>
              </w:rPr>
              <w:t>Monitor #</w:t>
            </w:r>
          </w:p>
        </w:tc>
        <w:tc>
          <w:tcPr>
            <w:tcW w:w="1942" w:type="dxa"/>
            <w:vAlign w:val="center"/>
          </w:tcPr>
          <w:p w:rsidR="00A0218E" w:rsidRPr="000A1D78" w:rsidRDefault="003923E0"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Description</w:t>
            </w:r>
          </w:p>
        </w:tc>
        <w:tc>
          <w:tcPr>
            <w:tcW w:w="1228"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Reference</w:t>
            </w:r>
          </w:p>
        </w:tc>
        <w:tc>
          <w:tcPr>
            <w:tcW w:w="1182"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Placed</w:t>
            </w:r>
          </w:p>
        </w:tc>
        <w:tc>
          <w:tcPr>
            <w:tcW w:w="1276"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Date Retrieved</w:t>
            </w:r>
          </w:p>
        </w:tc>
        <w:tc>
          <w:tcPr>
            <w:tcW w:w="992"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Days in Location</w:t>
            </w:r>
          </w:p>
        </w:tc>
        <w:tc>
          <w:tcPr>
            <w:tcW w:w="1134"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Exposure (kBq.d.m</w:t>
            </w:r>
            <w:r w:rsidRPr="000A1D78">
              <w:rPr>
                <w:color w:val="FFFFFF" w:themeColor="background1"/>
                <w:sz w:val="18"/>
                <w:szCs w:val="18"/>
                <w:vertAlign w:val="superscript"/>
              </w:rPr>
              <w:t>-3</w:t>
            </w:r>
            <w:r w:rsidRPr="000A1D78">
              <w:rPr>
                <w:color w:val="FFFFFF" w:themeColor="background1"/>
                <w:sz w:val="18"/>
                <w:szCs w:val="18"/>
              </w:rPr>
              <w:t>)</w:t>
            </w:r>
          </w:p>
        </w:tc>
        <w:tc>
          <w:tcPr>
            <w:tcW w:w="850" w:type="dxa"/>
            <w:vAlign w:val="center"/>
          </w:tcPr>
          <w:p w:rsidR="00A0218E" w:rsidRPr="000A1D78" w:rsidRDefault="00A0218E" w:rsidP="000A1D7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0A1D78">
              <w:rPr>
                <w:color w:val="FFFFFF" w:themeColor="background1"/>
                <w:sz w:val="18"/>
                <w:szCs w:val="18"/>
              </w:rPr>
              <w:t>Radon</w:t>
            </w:r>
            <w:r w:rsidR="00393096" w:rsidRPr="000A1D78">
              <w:rPr>
                <w:color w:val="FFFFFF" w:themeColor="background1"/>
                <w:sz w:val="18"/>
                <w:szCs w:val="18"/>
              </w:rPr>
              <w:t xml:space="preserve"> </w:t>
            </w:r>
            <w:r w:rsidRPr="000A1D78">
              <w:rPr>
                <w:color w:val="FFFFFF" w:themeColor="background1"/>
                <w:sz w:val="18"/>
                <w:szCs w:val="18"/>
              </w:rPr>
              <w:t xml:space="preserve"> (Bq.m</w:t>
            </w:r>
            <w:r w:rsidRPr="000A1D78">
              <w:rPr>
                <w:color w:val="FFFFFF" w:themeColor="background1"/>
                <w:sz w:val="18"/>
                <w:szCs w:val="18"/>
                <w:vertAlign w:val="superscript"/>
              </w:rPr>
              <w:t>-3</w:t>
            </w:r>
            <w:r w:rsidRPr="000A1D78">
              <w:rPr>
                <w:color w:val="FFFFFF" w:themeColor="background1"/>
                <w:sz w:val="18"/>
                <w:szCs w:val="18"/>
              </w:rPr>
              <w:t>)</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#16</w:t>
            </w:r>
          </w:p>
        </w:tc>
        <w:tc>
          <w:tcPr>
            <w:tcW w:w="1942" w:type="dxa"/>
            <w:vAlign w:val="center"/>
          </w:tcPr>
          <w:p w:rsidR="003923E0" w:rsidRPr="005A01EC" w:rsidRDefault="003923E0"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 xml:space="preserve">Surgery </w:t>
            </w:r>
            <w:r w:rsidR="0003145C">
              <w:rPr>
                <w:rFonts w:ascii="Calibri" w:eastAsia="Times New Roman" w:hAnsi="Calibri"/>
                <w:sz w:val="18"/>
                <w:szCs w:val="18"/>
                <w:lang w:eastAsia="en-AU"/>
              </w:rPr>
              <w:t>o</w:t>
            </w:r>
            <w:r w:rsidRPr="005A01EC">
              <w:rPr>
                <w:rFonts w:ascii="Calibri" w:eastAsia="Times New Roman" w:hAnsi="Calibri"/>
                <w:sz w:val="18"/>
                <w:szCs w:val="18"/>
                <w:lang w:eastAsia="en-AU"/>
              </w:rPr>
              <w:t xml:space="preserve">ver </w:t>
            </w:r>
            <w:r w:rsidR="0003145C">
              <w:rPr>
                <w:rFonts w:ascii="Calibri" w:eastAsia="Times New Roman" w:hAnsi="Calibri"/>
                <w:sz w:val="18"/>
                <w:szCs w:val="18"/>
                <w:lang w:eastAsia="en-AU"/>
              </w:rPr>
              <w:t>s</w:t>
            </w:r>
            <w:r w:rsidRPr="005A01EC">
              <w:rPr>
                <w:rFonts w:ascii="Calibri" w:eastAsia="Times New Roman" w:hAnsi="Calibri"/>
                <w:sz w:val="18"/>
                <w:szCs w:val="18"/>
                <w:lang w:eastAsia="en-AU"/>
              </w:rPr>
              <w:t>ink</w:t>
            </w:r>
          </w:p>
        </w:tc>
        <w:tc>
          <w:tcPr>
            <w:tcW w:w="1228" w:type="dxa"/>
            <w:vAlign w:val="center"/>
          </w:tcPr>
          <w:p w:rsidR="003923E0" w:rsidRPr="005A01EC" w:rsidRDefault="003923E0" w:rsidP="005A01EC">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#2</w:t>
            </w:r>
          </w:p>
        </w:tc>
        <w:tc>
          <w:tcPr>
            <w:tcW w:w="118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1.30</w:t>
            </w:r>
          </w:p>
        </w:tc>
        <w:tc>
          <w:tcPr>
            <w:tcW w:w="850"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28</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#17</w:t>
            </w:r>
          </w:p>
        </w:tc>
        <w:tc>
          <w:tcPr>
            <w:tcW w:w="1942" w:type="dxa"/>
            <w:vAlign w:val="center"/>
          </w:tcPr>
          <w:p w:rsidR="003923E0" w:rsidRPr="005A01EC"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Comm</w:t>
            </w:r>
            <w:r w:rsidR="0003145C">
              <w:rPr>
                <w:rFonts w:ascii="Calibri" w:eastAsia="Times New Roman" w:hAnsi="Calibri"/>
                <w:sz w:val="18"/>
                <w:szCs w:val="18"/>
                <w:lang w:eastAsia="en-AU"/>
              </w:rPr>
              <w:t>unication</w:t>
            </w:r>
            <w:r w:rsidRPr="005A01EC">
              <w:rPr>
                <w:rFonts w:ascii="Calibri" w:eastAsia="Times New Roman" w:hAnsi="Calibri"/>
                <w:sz w:val="18"/>
                <w:szCs w:val="18"/>
                <w:lang w:eastAsia="en-AU"/>
              </w:rPr>
              <w:t xml:space="preserve">s </w:t>
            </w:r>
            <w:r w:rsidR="0003145C">
              <w:rPr>
                <w:rFonts w:ascii="Calibri" w:eastAsia="Times New Roman" w:hAnsi="Calibri"/>
                <w:sz w:val="18"/>
                <w:szCs w:val="18"/>
                <w:lang w:eastAsia="en-AU"/>
              </w:rPr>
              <w:t>h</w:t>
            </w:r>
            <w:r w:rsidRPr="005A01EC">
              <w:rPr>
                <w:rFonts w:ascii="Calibri" w:eastAsia="Times New Roman" w:hAnsi="Calibri"/>
                <w:sz w:val="18"/>
                <w:szCs w:val="18"/>
                <w:lang w:eastAsia="en-AU"/>
              </w:rPr>
              <w:t>ut</w:t>
            </w:r>
          </w:p>
        </w:tc>
        <w:tc>
          <w:tcPr>
            <w:tcW w:w="1228" w:type="dxa"/>
            <w:vAlign w:val="center"/>
          </w:tcPr>
          <w:p w:rsidR="003923E0" w:rsidRPr="005A01EC" w:rsidRDefault="003923E0" w:rsidP="005A01EC">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#10</w:t>
            </w:r>
          </w:p>
        </w:tc>
        <w:tc>
          <w:tcPr>
            <w:tcW w:w="118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1.63</w:t>
            </w:r>
          </w:p>
        </w:tc>
        <w:tc>
          <w:tcPr>
            <w:tcW w:w="850"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35</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#18</w:t>
            </w:r>
          </w:p>
        </w:tc>
        <w:tc>
          <w:tcPr>
            <w:tcW w:w="1942" w:type="dxa"/>
            <w:vAlign w:val="center"/>
          </w:tcPr>
          <w:p w:rsidR="003923E0" w:rsidRPr="005A01EC" w:rsidRDefault="00943F5E" w:rsidP="005A01E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B</w:t>
            </w:r>
            <w:r w:rsidR="003923E0" w:rsidRPr="005A01EC">
              <w:rPr>
                <w:rFonts w:ascii="Calibri" w:eastAsia="Times New Roman" w:hAnsi="Calibri"/>
                <w:sz w:val="18"/>
                <w:szCs w:val="18"/>
                <w:lang w:eastAsia="en-AU"/>
              </w:rPr>
              <w:t>io MIPEP</w:t>
            </w:r>
          </w:p>
        </w:tc>
        <w:tc>
          <w:tcPr>
            <w:tcW w:w="1228" w:type="dxa"/>
            <w:vAlign w:val="center"/>
          </w:tcPr>
          <w:p w:rsidR="003923E0" w:rsidRPr="005A01EC" w:rsidRDefault="003923E0" w:rsidP="005A01EC">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#11</w:t>
            </w:r>
          </w:p>
        </w:tc>
        <w:tc>
          <w:tcPr>
            <w:tcW w:w="118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1.55</w:t>
            </w:r>
          </w:p>
        </w:tc>
        <w:tc>
          <w:tcPr>
            <w:tcW w:w="850"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34</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#19</w:t>
            </w:r>
          </w:p>
        </w:tc>
        <w:tc>
          <w:tcPr>
            <w:tcW w:w="1942" w:type="dxa"/>
            <w:vAlign w:val="center"/>
          </w:tcPr>
          <w:p w:rsidR="003923E0" w:rsidRPr="005A01EC" w:rsidRDefault="003923E0" w:rsidP="005A01E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Mess</w:t>
            </w:r>
          </w:p>
        </w:tc>
        <w:tc>
          <w:tcPr>
            <w:tcW w:w="1228" w:type="dxa"/>
            <w:vAlign w:val="center"/>
          </w:tcPr>
          <w:p w:rsidR="003923E0" w:rsidRPr="005A01EC" w:rsidRDefault="003923E0" w:rsidP="005A01EC">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#3</w:t>
            </w:r>
          </w:p>
        </w:tc>
        <w:tc>
          <w:tcPr>
            <w:tcW w:w="118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1.52</w:t>
            </w:r>
          </w:p>
        </w:tc>
        <w:tc>
          <w:tcPr>
            <w:tcW w:w="850"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33</w:t>
            </w:r>
          </w:p>
        </w:tc>
      </w:tr>
      <w:tr w:rsidR="005A01EC" w:rsidRPr="005A01EC" w:rsidTr="005A01EC">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#20</w:t>
            </w:r>
          </w:p>
        </w:tc>
        <w:tc>
          <w:tcPr>
            <w:tcW w:w="1942" w:type="dxa"/>
            <w:vAlign w:val="center"/>
          </w:tcPr>
          <w:p w:rsidR="003923E0" w:rsidRPr="005A01EC" w:rsidRDefault="003923E0" w:rsidP="0003145C">
            <w:pPr>
              <w:spacing w:before="0" w:line="24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 xml:space="preserve">Garden Cove </w:t>
            </w:r>
            <w:r w:rsidR="0003145C">
              <w:rPr>
                <w:rFonts w:ascii="Calibri" w:eastAsia="Times New Roman" w:hAnsi="Calibri"/>
                <w:sz w:val="18"/>
                <w:szCs w:val="18"/>
                <w:lang w:eastAsia="en-AU"/>
              </w:rPr>
              <w:t>d</w:t>
            </w:r>
            <w:r w:rsidRPr="005A01EC">
              <w:rPr>
                <w:rFonts w:ascii="Calibri" w:eastAsia="Times New Roman" w:hAnsi="Calibri"/>
                <w:sz w:val="18"/>
                <w:szCs w:val="18"/>
                <w:lang w:eastAsia="en-AU"/>
              </w:rPr>
              <w:t>onga</w:t>
            </w:r>
          </w:p>
        </w:tc>
        <w:tc>
          <w:tcPr>
            <w:tcW w:w="1228" w:type="dxa"/>
            <w:vAlign w:val="center"/>
          </w:tcPr>
          <w:p w:rsidR="003923E0" w:rsidRPr="005A01EC" w:rsidRDefault="003923E0" w:rsidP="005A01EC">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#14</w:t>
            </w:r>
          </w:p>
        </w:tc>
        <w:tc>
          <w:tcPr>
            <w:tcW w:w="118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0.23</w:t>
            </w:r>
          </w:p>
        </w:tc>
        <w:tc>
          <w:tcPr>
            <w:tcW w:w="850" w:type="dxa"/>
            <w:vAlign w:val="center"/>
          </w:tcPr>
          <w:p w:rsidR="003923E0" w:rsidRPr="005A01EC" w:rsidRDefault="003923E0" w:rsidP="005A01EC">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A01EC">
              <w:rPr>
                <w:sz w:val="18"/>
                <w:szCs w:val="18"/>
              </w:rPr>
              <w:t>5</w:t>
            </w:r>
          </w:p>
        </w:tc>
      </w:tr>
      <w:tr w:rsidR="005A01EC" w:rsidRPr="005A01EC" w:rsidTr="005A01EC">
        <w:trPr>
          <w:cnfStyle w:val="000000010000" w:firstRow="0" w:lastRow="0" w:firstColumn="0" w:lastColumn="0" w:oddVBand="0" w:evenVBand="0" w:oddHBand="0" w:evenHBand="1"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1143" w:type="dxa"/>
            <w:vAlign w:val="center"/>
          </w:tcPr>
          <w:p w:rsidR="003923E0" w:rsidRPr="005A01EC" w:rsidRDefault="003923E0" w:rsidP="005A01EC">
            <w:pPr>
              <w:spacing w:before="100" w:beforeAutospacing="1" w:after="100" w:afterAutospacing="1" w:line="240" w:lineRule="auto"/>
              <w:jc w:val="center"/>
              <w:rPr>
                <w:sz w:val="18"/>
                <w:szCs w:val="18"/>
              </w:rPr>
            </w:pPr>
            <w:proofErr w:type="spellStart"/>
            <w:r w:rsidRPr="005A01EC">
              <w:rPr>
                <w:sz w:val="18"/>
                <w:szCs w:val="18"/>
              </w:rPr>
              <w:t>Macq</w:t>
            </w:r>
            <w:proofErr w:type="spellEnd"/>
            <w:r w:rsidRPr="005A01EC">
              <w:rPr>
                <w:sz w:val="18"/>
                <w:szCs w:val="18"/>
              </w:rPr>
              <w:t xml:space="preserve"> Is #21</w:t>
            </w:r>
          </w:p>
        </w:tc>
        <w:tc>
          <w:tcPr>
            <w:tcW w:w="1942" w:type="dxa"/>
            <w:vAlign w:val="center"/>
          </w:tcPr>
          <w:p w:rsidR="003923E0" w:rsidRPr="005A01EC" w:rsidRDefault="003923E0" w:rsidP="0003145C">
            <w:pPr>
              <w:spacing w:before="0" w:line="24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18"/>
                <w:szCs w:val="18"/>
                <w:lang w:eastAsia="en-AU"/>
              </w:rPr>
            </w:pPr>
            <w:r w:rsidRPr="005A01EC">
              <w:rPr>
                <w:rFonts w:ascii="Calibri" w:eastAsia="Times New Roman" w:hAnsi="Calibri"/>
                <w:sz w:val="18"/>
                <w:szCs w:val="18"/>
                <w:lang w:eastAsia="en-AU"/>
              </w:rPr>
              <w:t xml:space="preserve">Southern Aurora </w:t>
            </w:r>
            <w:r w:rsidR="0003145C">
              <w:rPr>
                <w:rFonts w:ascii="Calibri" w:eastAsia="Times New Roman" w:hAnsi="Calibri"/>
                <w:sz w:val="18"/>
                <w:szCs w:val="18"/>
                <w:lang w:eastAsia="en-AU"/>
              </w:rPr>
              <w:t>d</w:t>
            </w:r>
            <w:r w:rsidRPr="005A01EC">
              <w:rPr>
                <w:rFonts w:ascii="Calibri" w:eastAsia="Times New Roman" w:hAnsi="Calibri"/>
                <w:sz w:val="18"/>
                <w:szCs w:val="18"/>
                <w:lang w:eastAsia="en-AU"/>
              </w:rPr>
              <w:t>onga</w:t>
            </w:r>
          </w:p>
        </w:tc>
        <w:tc>
          <w:tcPr>
            <w:tcW w:w="1228" w:type="dxa"/>
            <w:vAlign w:val="center"/>
          </w:tcPr>
          <w:p w:rsidR="003923E0" w:rsidRPr="005A01EC" w:rsidRDefault="003923E0" w:rsidP="005A01EC">
            <w:pPr>
              <w:spacing w:before="100" w:beforeAutospacing="1" w:after="100" w:afterAutospacing="1"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5A01EC">
              <w:rPr>
                <w:sz w:val="18"/>
                <w:szCs w:val="18"/>
              </w:rPr>
              <w:t>Macq</w:t>
            </w:r>
            <w:proofErr w:type="spellEnd"/>
            <w:r w:rsidRPr="005A01EC">
              <w:rPr>
                <w:sz w:val="18"/>
                <w:szCs w:val="18"/>
              </w:rPr>
              <w:t xml:space="preserve"> Is #13</w:t>
            </w:r>
          </w:p>
        </w:tc>
        <w:tc>
          <w:tcPr>
            <w:tcW w:w="118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11/01/2013</w:t>
            </w:r>
          </w:p>
        </w:tc>
        <w:tc>
          <w:tcPr>
            <w:tcW w:w="1276"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26/02/2013</w:t>
            </w:r>
          </w:p>
        </w:tc>
        <w:tc>
          <w:tcPr>
            <w:tcW w:w="992"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46</w:t>
            </w:r>
          </w:p>
        </w:tc>
        <w:tc>
          <w:tcPr>
            <w:tcW w:w="1134"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0.14</w:t>
            </w:r>
          </w:p>
        </w:tc>
        <w:tc>
          <w:tcPr>
            <w:tcW w:w="850" w:type="dxa"/>
            <w:vAlign w:val="center"/>
          </w:tcPr>
          <w:p w:rsidR="003923E0" w:rsidRPr="005A01EC" w:rsidRDefault="003923E0" w:rsidP="005A01EC">
            <w:pPr>
              <w:spacing w:before="0" w:line="24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5A01EC">
              <w:rPr>
                <w:sz w:val="18"/>
                <w:szCs w:val="18"/>
              </w:rPr>
              <w:t>3</w:t>
            </w:r>
          </w:p>
        </w:tc>
      </w:tr>
    </w:tbl>
    <w:p w:rsidR="00F743F0" w:rsidRDefault="00F743F0" w:rsidP="00D339BD">
      <w:pPr>
        <w:sectPr w:rsidR="00F743F0" w:rsidSect="00344B44">
          <w:headerReference w:type="default" r:id="rId47"/>
          <w:pgSz w:w="11906" w:h="16838" w:code="9"/>
          <w:pgMar w:top="1418" w:right="1418" w:bottom="1418" w:left="1418" w:header="709" w:footer="567" w:gutter="0"/>
          <w:cols w:space="708"/>
          <w:docGrid w:linePitch="360"/>
        </w:sectPr>
      </w:pPr>
    </w:p>
    <w:p w:rsidR="00F743F0" w:rsidRDefault="00F743F0" w:rsidP="00B74D0D">
      <w:pPr>
        <w:pStyle w:val="Heading1"/>
        <w:numPr>
          <w:ilvl w:val="0"/>
          <w:numId w:val="0"/>
        </w:numPr>
      </w:pPr>
      <w:bookmarkStart w:id="29" w:name="_Toc474844679"/>
      <w:r>
        <w:lastRenderedPageBreak/>
        <w:t>References</w:t>
      </w:r>
      <w:bookmarkEnd w:id="29"/>
    </w:p>
    <w:p w:rsidR="00F743F0" w:rsidRDefault="00F743F0" w:rsidP="00B74D0D">
      <w:pPr>
        <w:pStyle w:val="Reference"/>
      </w:pPr>
      <w:r>
        <w:t>ARPANSA (Australian Radiation Protection and Nuclear Safety Agency) 2002, Recommendations for Limiting Exposure to Ionizing Radiation (1995) and National Standard for Limiting Occupational Exposure to Ionizing Radiation, Radiation Protection Series Publication No. 1.</w:t>
      </w:r>
    </w:p>
    <w:p w:rsidR="00F743F0" w:rsidRDefault="00F743F0" w:rsidP="00B74D0D">
      <w:pPr>
        <w:pStyle w:val="Reference"/>
        <w:ind w:left="539" w:hanging="539"/>
      </w:pPr>
      <w:r w:rsidRPr="00601D08">
        <w:t>Brown, J</w:t>
      </w:r>
      <w:r>
        <w:t>,</w:t>
      </w:r>
      <w:r w:rsidRPr="00601D08">
        <w:t xml:space="preserve"> Solomon, S</w:t>
      </w:r>
      <w:r>
        <w:t xml:space="preserve">, &amp; </w:t>
      </w:r>
      <w:r w:rsidRPr="00601D08">
        <w:t>Tinker, R</w:t>
      </w:r>
      <w:r>
        <w:t xml:space="preserve"> 2011, </w:t>
      </w:r>
      <w:r w:rsidRPr="00601D08">
        <w:t>Development of an energy discriminate CR-39® nuclear track etch dosimeter</w:t>
      </w:r>
      <w:r>
        <w:t xml:space="preserve"> for Radon-220 gas measurements,</w:t>
      </w:r>
      <w:r w:rsidRPr="00601D08">
        <w:t xml:space="preserve"> </w:t>
      </w:r>
      <w:r w:rsidRPr="00B04B6C">
        <w:rPr>
          <w:i/>
        </w:rPr>
        <w:t>Journal of Environmental Radioactivity</w:t>
      </w:r>
      <w:r w:rsidRPr="00601D08">
        <w:t xml:space="preserve">, </w:t>
      </w:r>
      <w:r>
        <w:t>vol. 102(10), pp. 901</w:t>
      </w:r>
      <w:r>
        <w:rPr>
          <w:rFonts w:ascii="Times New Roman" w:hAnsi="Times New Roman"/>
        </w:rPr>
        <w:t>–</w:t>
      </w:r>
      <w:r>
        <w:t>5.</w:t>
      </w:r>
    </w:p>
    <w:p w:rsidR="00F743F0" w:rsidRDefault="00F743F0" w:rsidP="00B74D0D">
      <w:pPr>
        <w:pStyle w:val="Reference"/>
      </w:pPr>
      <w:r>
        <w:t xml:space="preserve">Chambers, SD, Hong, S-B, Williams, AG, Crawford, J, Griffiths, AD &amp; Park, S-J 2014, Characterising terrestrial influences on Antarctic air masses using Radon-222 measurements at King George Island, </w:t>
      </w:r>
      <w:r w:rsidRPr="00B04B6C">
        <w:rPr>
          <w:i/>
        </w:rPr>
        <w:t>Atmos. Chem. Phys</w:t>
      </w:r>
      <w:r>
        <w:t>. vol. 14, pp. 9903</w:t>
      </w:r>
      <w:r>
        <w:rPr>
          <w:rFonts w:ascii="Times New Roman" w:hAnsi="Times New Roman"/>
        </w:rPr>
        <w:t>–</w:t>
      </w:r>
      <w:r>
        <w:t>16.</w:t>
      </w:r>
    </w:p>
    <w:p w:rsidR="00F743F0" w:rsidRDefault="00F743F0" w:rsidP="00B74D0D">
      <w:pPr>
        <w:pStyle w:val="Reference"/>
        <w:ind w:left="539" w:hanging="539"/>
      </w:pPr>
      <w:r>
        <w:t xml:space="preserve">Fairchild, R, Tjong, L &amp; Wright, T 2011, Automating radon solid state track detector measurements, </w:t>
      </w:r>
      <w:r w:rsidRPr="00B04B6C">
        <w:rPr>
          <w:i/>
        </w:rPr>
        <w:t>Radiation Measurements</w:t>
      </w:r>
      <w:r>
        <w:t>, vol. 46, pp. 1773</w:t>
      </w:r>
      <w:r>
        <w:rPr>
          <w:rFonts w:ascii="Times New Roman" w:hAnsi="Times New Roman"/>
        </w:rPr>
        <w:t>–</w:t>
      </w:r>
      <w:r>
        <w:t>7.</w:t>
      </w:r>
    </w:p>
    <w:p w:rsidR="00F743F0" w:rsidRDefault="00F743F0" w:rsidP="00B74D0D">
      <w:pPr>
        <w:pStyle w:val="Reference"/>
      </w:pPr>
      <w:proofErr w:type="spellStart"/>
      <w:proofErr w:type="gramStart"/>
      <w:r>
        <w:t>Hardcastle</w:t>
      </w:r>
      <w:proofErr w:type="spellEnd"/>
      <w:r>
        <w:t xml:space="preserve">, GD, </w:t>
      </w:r>
      <w:proofErr w:type="spellStart"/>
      <w:r>
        <w:t>Howarth</w:t>
      </w:r>
      <w:proofErr w:type="spellEnd"/>
      <w:r>
        <w:t xml:space="preserve">, CB, Naismith, SP, </w:t>
      </w:r>
      <w:proofErr w:type="spellStart"/>
      <w:r>
        <w:t>Algar</w:t>
      </w:r>
      <w:proofErr w:type="spellEnd"/>
      <w:r>
        <w:t>, RA &amp; Miles, JCH 1996, NRPB etched-track detectors for area monitoring of radon.</w:t>
      </w:r>
      <w:proofErr w:type="gramEnd"/>
      <w:r>
        <w:t xml:space="preserve"> NRPB-R283 HMSO, London.</w:t>
      </w:r>
    </w:p>
    <w:p w:rsidR="00F743F0" w:rsidRDefault="00F743F0" w:rsidP="00B74D0D">
      <w:pPr>
        <w:pStyle w:val="Reference"/>
      </w:pPr>
      <w:r>
        <w:t xml:space="preserve">Lockhart, LB, Patterson, RL &amp; Saunders, AW 1966, </w:t>
      </w:r>
      <w:proofErr w:type="gramStart"/>
      <w:r>
        <w:t>Airborne</w:t>
      </w:r>
      <w:proofErr w:type="gramEnd"/>
      <w:r>
        <w:t xml:space="preserve"> radioactivity in Antarctica, J. </w:t>
      </w:r>
      <w:proofErr w:type="spellStart"/>
      <w:r w:rsidRPr="00B04B6C">
        <w:rPr>
          <w:i/>
        </w:rPr>
        <w:t>Geophys</w:t>
      </w:r>
      <w:proofErr w:type="spellEnd"/>
      <w:r w:rsidRPr="00B04B6C">
        <w:rPr>
          <w:i/>
        </w:rPr>
        <w:t>. Res</w:t>
      </w:r>
      <w:r>
        <w:t>., vol. 71(8), pp. 1985</w:t>
      </w:r>
      <w:r>
        <w:rPr>
          <w:rFonts w:ascii="Times New Roman" w:hAnsi="Times New Roman"/>
        </w:rPr>
        <w:t>–</w:t>
      </w:r>
      <w:r>
        <w:t>91.</w:t>
      </w:r>
    </w:p>
    <w:p w:rsidR="00F743F0" w:rsidRDefault="00F743F0" w:rsidP="00B74D0D">
      <w:pPr>
        <w:pStyle w:val="Reference"/>
      </w:pPr>
      <w:proofErr w:type="spellStart"/>
      <w:r>
        <w:t>Illić</w:t>
      </w:r>
      <w:proofErr w:type="spellEnd"/>
      <w:r>
        <w:t xml:space="preserve">, R, </w:t>
      </w:r>
      <w:proofErr w:type="spellStart"/>
      <w:r>
        <w:t>Rusov</w:t>
      </w:r>
      <w:proofErr w:type="spellEnd"/>
      <w:r>
        <w:t xml:space="preserve">, VD, </w:t>
      </w:r>
      <w:proofErr w:type="spellStart"/>
      <w:r>
        <w:t>Pavlovych</w:t>
      </w:r>
      <w:proofErr w:type="spellEnd"/>
      <w:r>
        <w:t xml:space="preserve">, VN, </w:t>
      </w:r>
      <w:proofErr w:type="spellStart"/>
      <w:r>
        <w:t>Vaschenko</w:t>
      </w:r>
      <w:proofErr w:type="spellEnd"/>
      <w:r>
        <w:t xml:space="preserve">, VM, </w:t>
      </w:r>
      <w:proofErr w:type="spellStart"/>
      <w:r>
        <w:t>Hanžič</w:t>
      </w:r>
      <w:proofErr w:type="spellEnd"/>
      <w:r>
        <w:t xml:space="preserve">, L &amp; </w:t>
      </w:r>
      <w:proofErr w:type="spellStart"/>
      <w:r>
        <w:t>Bondarchuk</w:t>
      </w:r>
      <w:proofErr w:type="spellEnd"/>
      <w:r>
        <w:t xml:space="preserve">, YA 2005, Radon in Antarctica, </w:t>
      </w:r>
      <w:r w:rsidRPr="00B04B6C">
        <w:rPr>
          <w:i/>
        </w:rPr>
        <w:t xml:space="preserve">Rad. </w:t>
      </w:r>
      <w:proofErr w:type="spellStart"/>
      <w:r w:rsidRPr="00B04B6C">
        <w:rPr>
          <w:i/>
        </w:rPr>
        <w:t>Meas</w:t>
      </w:r>
      <w:proofErr w:type="spellEnd"/>
      <w:r>
        <w:t>, vol. 40, pp 415</w:t>
      </w:r>
      <w:r>
        <w:rPr>
          <w:rFonts w:ascii="Times New Roman" w:hAnsi="Times New Roman"/>
        </w:rPr>
        <w:t>–</w:t>
      </w:r>
      <w:r>
        <w:t>22.</w:t>
      </w:r>
    </w:p>
    <w:p w:rsidR="00F743F0" w:rsidRDefault="00F743F0" w:rsidP="00B74D0D">
      <w:pPr>
        <w:pStyle w:val="Reference"/>
      </w:pPr>
      <w:proofErr w:type="spellStart"/>
      <w:r>
        <w:t>Maenhaut</w:t>
      </w:r>
      <w:proofErr w:type="spellEnd"/>
      <w:r>
        <w:t xml:space="preserve">, W, </w:t>
      </w:r>
      <w:proofErr w:type="spellStart"/>
      <w:r>
        <w:t>Zoller</w:t>
      </w:r>
      <w:proofErr w:type="spellEnd"/>
      <w:r>
        <w:t xml:space="preserve">, WH &amp; Coles, DG 1979, Radionuclides in the south pole atmosphere, J. </w:t>
      </w:r>
      <w:proofErr w:type="spellStart"/>
      <w:r w:rsidRPr="00B04B6C">
        <w:rPr>
          <w:i/>
        </w:rPr>
        <w:t>Geophys</w:t>
      </w:r>
      <w:proofErr w:type="spellEnd"/>
      <w:r w:rsidRPr="00B04B6C">
        <w:rPr>
          <w:i/>
        </w:rPr>
        <w:t xml:space="preserve"> Res</w:t>
      </w:r>
      <w:r>
        <w:t>., vol. 84, pp. 3131</w:t>
      </w:r>
      <w:r>
        <w:rPr>
          <w:rFonts w:ascii="Times New Roman" w:hAnsi="Times New Roman"/>
        </w:rPr>
        <w:t>–</w:t>
      </w:r>
      <w:r>
        <w:t>8.</w:t>
      </w:r>
    </w:p>
    <w:p w:rsidR="00F743F0" w:rsidRDefault="00F743F0" w:rsidP="00B74D0D">
      <w:pPr>
        <w:pStyle w:val="Reference"/>
      </w:pPr>
      <w:r>
        <w:t xml:space="preserve">Pereira, EB 1990, Radon-222 time series measurements in the Antarctic </w:t>
      </w:r>
      <w:proofErr w:type="gramStart"/>
      <w:r>
        <w:t>peninsula</w:t>
      </w:r>
      <w:proofErr w:type="gramEnd"/>
      <w:r>
        <w:t xml:space="preserve"> (1986-1987), </w:t>
      </w:r>
      <w:proofErr w:type="spellStart"/>
      <w:r w:rsidRPr="00B04B6C">
        <w:rPr>
          <w:i/>
        </w:rPr>
        <w:t>Tellus</w:t>
      </w:r>
      <w:proofErr w:type="spellEnd"/>
      <w:r>
        <w:t>, vol. 42B, pp. 39</w:t>
      </w:r>
      <w:r>
        <w:rPr>
          <w:rFonts w:ascii="Times New Roman" w:hAnsi="Times New Roman"/>
        </w:rPr>
        <w:t>–</w:t>
      </w:r>
      <w:r>
        <w:t>45.</w:t>
      </w:r>
    </w:p>
    <w:p w:rsidR="00F743F0" w:rsidRDefault="00F743F0" w:rsidP="00B74D0D">
      <w:pPr>
        <w:pStyle w:val="Reference"/>
      </w:pPr>
      <w:proofErr w:type="spellStart"/>
      <w:proofErr w:type="gramStart"/>
      <w:r>
        <w:t>Polian</w:t>
      </w:r>
      <w:proofErr w:type="spellEnd"/>
      <w:r>
        <w:t xml:space="preserve">, G, Lambert, G, </w:t>
      </w:r>
      <w:proofErr w:type="spellStart"/>
      <w:r>
        <w:t>Ardouin</w:t>
      </w:r>
      <w:proofErr w:type="spellEnd"/>
      <w:r>
        <w:t xml:space="preserve">, B &amp; </w:t>
      </w:r>
      <w:proofErr w:type="spellStart"/>
      <w:r>
        <w:t>Jegou</w:t>
      </w:r>
      <w:proofErr w:type="spellEnd"/>
      <w:r>
        <w:t xml:space="preserve">, A 1986, Long-range transport of continental radon in subantarctic and </w:t>
      </w:r>
      <w:proofErr w:type="spellStart"/>
      <w:r>
        <w:t>antarctic</w:t>
      </w:r>
      <w:proofErr w:type="spellEnd"/>
      <w:r>
        <w:t xml:space="preserve"> areas, </w:t>
      </w:r>
      <w:proofErr w:type="spellStart"/>
      <w:r w:rsidRPr="00B04B6C">
        <w:rPr>
          <w:i/>
        </w:rPr>
        <w:t>Tellus</w:t>
      </w:r>
      <w:proofErr w:type="spellEnd"/>
      <w:r>
        <w:t>, vol. 38B, pp. 178</w:t>
      </w:r>
      <w:r>
        <w:rPr>
          <w:rFonts w:ascii="Times New Roman" w:hAnsi="Times New Roman"/>
        </w:rPr>
        <w:t>–</w:t>
      </w:r>
      <w:r>
        <w:t>9.</w:t>
      </w:r>
      <w:proofErr w:type="gramEnd"/>
    </w:p>
    <w:p w:rsidR="00F743F0" w:rsidRDefault="00F743F0" w:rsidP="00B74D0D">
      <w:pPr>
        <w:pStyle w:val="Reference"/>
      </w:pPr>
      <w:r>
        <w:t>Tate, B &amp; Long, S 2016, Acceptance Testing of the TASL Radon Dosimetry System, ARPANSA Technical Report No. 175.</w:t>
      </w:r>
    </w:p>
    <w:p w:rsidR="00F743F0" w:rsidRPr="006B6A62" w:rsidRDefault="00F743F0" w:rsidP="00F743F0">
      <w:pPr>
        <w:pStyle w:val="Reference"/>
        <w:ind w:left="0" w:firstLine="0"/>
      </w:pPr>
    </w:p>
    <w:p w:rsidR="00F743F0" w:rsidRDefault="00F743F0" w:rsidP="00F743F0"/>
    <w:p w:rsidR="00ED08A8" w:rsidRDefault="00ED08A8" w:rsidP="00D339BD"/>
    <w:sectPr w:rsidR="00ED08A8" w:rsidSect="00F54566">
      <w:headerReference w:type="default" r:id="rId48"/>
      <w:pgSz w:w="11906" w:h="16838" w:code="9"/>
      <w:pgMar w:top="1418" w:right="1418"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D2A" w:rsidRDefault="00917D2A" w:rsidP="00B77280">
      <w:pPr>
        <w:spacing w:before="0"/>
      </w:pPr>
      <w:r>
        <w:separator/>
      </w:r>
    </w:p>
    <w:p w:rsidR="00917D2A" w:rsidRDefault="00917D2A"/>
  </w:endnote>
  <w:endnote w:type="continuationSeparator" w:id="0">
    <w:p w:rsidR="00917D2A" w:rsidRDefault="00917D2A" w:rsidP="00B77280">
      <w:pPr>
        <w:spacing w:before="0"/>
      </w:pPr>
      <w:r>
        <w:continuationSeparator/>
      </w:r>
    </w:p>
    <w:p w:rsidR="00917D2A" w:rsidRDefault="00917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j-e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rsidP="00772C08">
    <w:pPr>
      <w:pStyle w:val="Footer"/>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Pr="00FC63EA" w:rsidRDefault="00917D2A" w:rsidP="005C3408">
    <w:pPr>
      <w:pStyle w:val="Footer"/>
      <w:tabs>
        <w:tab w:val="clear" w:pos="4513"/>
        <w:tab w:val="clear" w:pos="9026"/>
        <w:tab w:val="left" w:pos="3686"/>
        <w:tab w:val="right" w:pos="9356"/>
      </w:tabs>
      <w:ind w:left="-426" w:right="-286"/>
      <w:rPr>
        <w:color w:val="595959" w:themeColor="text1" w:themeTint="A6"/>
        <w:sz w:val="16"/>
        <w:szCs w:val="18"/>
      </w:rPr>
    </w:pPr>
    <w:r w:rsidRPr="005172A7">
      <w:rPr>
        <w:noProof/>
        <w:sz w:val="18"/>
        <w:lang w:eastAsia="en-AU"/>
      </w:rPr>
      <w:drawing>
        <wp:anchor distT="0" distB="0" distL="114300" distR="114300" simplePos="0" relativeHeight="251662336" behindDoc="0" locked="0" layoutInCell="1" allowOverlap="1" wp14:anchorId="03028AA5" wp14:editId="138D92DE">
          <wp:simplePos x="0" y="0"/>
          <wp:positionH relativeFrom="column">
            <wp:posOffset>-267335</wp:posOffset>
          </wp:positionH>
          <wp:positionV relativeFrom="paragraph">
            <wp:posOffset>17780</wp:posOffset>
          </wp:positionV>
          <wp:extent cx="6228000" cy="53975"/>
          <wp:effectExtent l="0" t="0" r="1905" b="3175"/>
          <wp:wrapTopAndBottom/>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28000" cy="53975"/>
                  </a:xfrm>
                  <a:prstGeom prst="rect">
                    <a:avLst/>
                  </a:prstGeom>
                </pic:spPr>
              </pic:pic>
            </a:graphicData>
          </a:graphic>
          <wp14:sizeRelH relativeFrom="page">
            <wp14:pctWidth>0</wp14:pctWidth>
          </wp14:sizeRelH>
          <wp14:sizeRelV relativeFrom="page">
            <wp14:pctHeight>0</wp14:pctHeight>
          </wp14:sizeRelV>
        </wp:anchor>
      </w:drawing>
    </w:r>
    <w:r w:rsidRPr="00197595">
      <w:rPr>
        <w:color w:val="595959" w:themeColor="text1" w:themeTint="A6"/>
        <w:sz w:val="16"/>
      </w:rPr>
      <w:t>619 Lower Plenty Road</w:t>
    </w:r>
    <w:r>
      <w:rPr>
        <w:color w:val="595959" w:themeColor="text1" w:themeTint="A6"/>
        <w:sz w:val="16"/>
      </w:rPr>
      <w:t>,</w:t>
    </w:r>
    <w:r w:rsidRPr="00197595">
      <w:rPr>
        <w:color w:val="595959" w:themeColor="text1" w:themeTint="A6"/>
        <w:sz w:val="16"/>
      </w:rPr>
      <w:t xml:space="preserve"> Yallambie VIC 3085</w:t>
    </w:r>
    <w:r w:rsidRPr="00197595">
      <w:rPr>
        <w:color w:val="595959" w:themeColor="text1" w:themeTint="A6"/>
        <w:sz w:val="16"/>
      </w:rPr>
      <w:tab/>
      <w:t>38–40 Urunga Parade</w:t>
    </w:r>
    <w:r>
      <w:rPr>
        <w:color w:val="595959" w:themeColor="text1" w:themeTint="A6"/>
        <w:sz w:val="16"/>
      </w:rPr>
      <w:t>,</w:t>
    </w:r>
    <w:r w:rsidRPr="00197595">
      <w:rPr>
        <w:color w:val="595959" w:themeColor="text1" w:themeTint="A6"/>
        <w:sz w:val="16"/>
      </w:rPr>
      <w:t xml:space="preserve"> Miranda NSW 2228</w:t>
    </w:r>
    <w:r w:rsidRPr="00197595">
      <w:rPr>
        <w:color w:val="595959" w:themeColor="text1" w:themeTint="A6"/>
        <w:sz w:val="16"/>
      </w:rPr>
      <w:tab/>
      <w:t>info@arpansa.gov.au</w:t>
    </w:r>
    <w:r w:rsidRPr="00197595">
      <w:rPr>
        <w:color w:val="595959" w:themeColor="text1" w:themeTint="A6"/>
        <w:sz w:val="16"/>
      </w:rPr>
      <w:br/>
    </w:r>
    <w:r w:rsidRPr="00197595">
      <w:rPr>
        <w:color w:val="595959" w:themeColor="text1" w:themeTint="A6"/>
        <w:sz w:val="16"/>
        <w:szCs w:val="18"/>
      </w:rPr>
      <w:t>+61 3 9433 2211</w:t>
    </w:r>
    <w:r w:rsidRPr="00197595">
      <w:rPr>
        <w:color w:val="595959" w:themeColor="text1" w:themeTint="A6"/>
        <w:sz w:val="16"/>
        <w:szCs w:val="18"/>
      </w:rPr>
      <w:tab/>
      <w:t>PO Box 655</w:t>
    </w:r>
    <w:r>
      <w:rPr>
        <w:color w:val="595959" w:themeColor="text1" w:themeTint="A6"/>
        <w:sz w:val="16"/>
        <w:szCs w:val="18"/>
      </w:rPr>
      <w:t>,</w:t>
    </w:r>
    <w:r w:rsidRPr="00197595">
      <w:rPr>
        <w:color w:val="595959" w:themeColor="text1" w:themeTint="A6"/>
        <w:sz w:val="16"/>
        <w:szCs w:val="18"/>
      </w:rPr>
      <w:t xml:space="preserve"> Miranda 2228</w:t>
    </w:r>
    <w:r w:rsidRPr="00197595">
      <w:rPr>
        <w:color w:val="595959" w:themeColor="text1" w:themeTint="A6"/>
        <w:sz w:val="16"/>
        <w:szCs w:val="18"/>
      </w:rPr>
      <w:tab/>
      <w:t>arpansa.gov.au</w:t>
    </w:r>
    <w:r w:rsidRPr="00197595">
      <w:rPr>
        <w:color w:val="595959" w:themeColor="text1" w:themeTint="A6"/>
        <w:sz w:val="16"/>
        <w:szCs w:val="18"/>
      </w:rPr>
      <w:br/>
    </w:r>
    <w:r w:rsidRPr="00197595">
      <w:rPr>
        <w:color w:val="595959" w:themeColor="text1" w:themeTint="A6"/>
        <w:sz w:val="16"/>
        <w:szCs w:val="18"/>
      </w:rPr>
      <w:tab/>
      <w:t>+61 2 9541 8333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rsidP="00030E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7D2A" w:rsidRDefault="00917D2A" w:rsidP="00030E8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Pr="00BD185B" w:rsidRDefault="00917D2A" w:rsidP="00BD18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rsidP="00030E8D">
    <w:pPr>
      <w:pStyle w:val="Footer"/>
      <w:tabs>
        <w:tab w:val="right" w:pos="7920"/>
      </w:tabs>
      <w:ind w:right="360"/>
      <w:rPr>
        <w:rFonts w:ascii="Arial" w:hAnsi="Arial" w:cs="Arial"/>
        <w:b/>
        <w:sz w:val="20"/>
        <w:szCs w:val="20"/>
      </w:rPr>
    </w:pPr>
    <w:r w:rsidRPr="00FF5CA0">
      <w:rPr>
        <w:rFonts w:ascii="Arial" w:hAnsi="Arial" w:cs="Arial"/>
        <w:b/>
        <w:sz w:val="20"/>
        <w:szCs w:val="20"/>
      </w:rPr>
      <w:t xml:space="preserve">Near Surface Disposal Of </w:t>
    </w:r>
    <w:r>
      <w:rPr>
        <w:rFonts w:ascii="Arial" w:hAnsi="Arial" w:cs="Arial"/>
        <w:b/>
        <w:sz w:val="20"/>
        <w:szCs w:val="20"/>
      </w:rPr>
      <w:t xml:space="preserve">Bulk </w:t>
    </w:r>
    <w:r w:rsidRPr="00FF5CA0">
      <w:rPr>
        <w:rFonts w:ascii="Arial" w:hAnsi="Arial" w:cs="Arial"/>
        <w:b/>
        <w:sz w:val="20"/>
        <w:szCs w:val="20"/>
      </w:rPr>
      <w:t>Radioactive Waste</w:t>
    </w:r>
    <w:r w:rsidRPr="00FF5CA0">
      <w:rPr>
        <w:b/>
      </w:rPr>
      <w:tab/>
    </w:r>
    <w:r w:rsidRPr="00FF5CA0">
      <w:rPr>
        <w:rFonts w:ascii="Arial" w:hAnsi="Arial" w:cs="Arial"/>
        <w:b/>
        <w:sz w:val="20"/>
        <w:szCs w:val="20"/>
      </w:rPr>
      <w:t>Page No.</w:t>
    </w: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noProof/>
        <w:sz w:val="20"/>
      </w:rPr>
      <w:t>9</w:t>
    </w:r>
    <w:r>
      <w:rPr>
        <w:rStyle w:val="PageNumber"/>
        <w:rFonts w:ascii="Arial" w:hAnsi="Arial"/>
        <w:b/>
        <w:sz w:val="20"/>
      </w:rPr>
      <w:fldChar w:fldCharType="end"/>
    </w:r>
  </w:p>
  <w:p w:rsidR="00917D2A" w:rsidRPr="00FF5CA0" w:rsidRDefault="00917D2A" w:rsidP="00030E8D">
    <w:pPr>
      <w:pStyle w:val="Footer"/>
      <w:ind w:right="360"/>
      <w:rPr>
        <w:rFonts w:ascii="Arial" w:hAnsi="Arial" w:cs="Arial"/>
        <w:b/>
        <w:sz w:val="20"/>
        <w:szCs w:val="20"/>
      </w:rPr>
    </w:pPr>
    <w:r>
      <w:rPr>
        <w:rFonts w:ascii="Arial" w:hAnsi="Arial" w:cs="Arial"/>
        <w:b/>
        <w:sz w:val="20"/>
        <w:szCs w:val="20"/>
      </w:rPr>
      <w:t>ARPANSA Technical Report NO. ##</w:t>
    </w:r>
  </w:p>
  <w:p w:rsidR="00917D2A" w:rsidRPr="003B7A61" w:rsidRDefault="00917D2A" w:rsidP="00030E8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Pr="00BD185B" w:rsidRDefault="00917D2A" w:rsidP="000845A1">
    <w:pPr>
      <w:tabs>
        <w:tab w:val="right" w:pos="9072"/>
      </w:tabs>
      <w:ind w:right="567"/>
      <w:rPr>
        <w:color w:val="595959" w:themeColor="text1" w:themeTint="A6"/>
        <w:sz w:val="16"/>
        <w:szCs w:val="18"/>
      </w:rPr>
    </w:pPr>
    <w:r w:rsidRPr="005172A7">
      <w:rPr>
        <w:noProof/>
        <w:sz w:val="18"/>
        <w:lang w:eastAsia="en-AU"/>
      </w:rPr>
      <w:drawing>
        <wp:anchor distT="0" distB="0" distL="114300" distR="114300" simplePos="0" relativeHeight="251676672" behindDoc="0" locked="0" layoutInCell="1" allowOverlap="1" wp14:anchorId="5739B16B" wp14:editId="5B583EFF">
          <wp:simplePos x="0" y="0"/>
          <wp:positionH relativeFrom="column">
            <wp:posOffset>-7620</wp:posOffset>
          </wp:positionH>
          <wp:positionV relativeFrom="paragraph">
            <wp:posOffset>27305</wp:posOffset>
          </wp:positionV>
          <wp:extent cx="5796000" cy="53975"/>
          <wp:effectExtent l="0" t="0" r="0" b="3175"/>
          <wp:wrapTopAndBottom/>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96000" cy="53975"/>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16"/>
        <w:szCs w:val="18"/>
      </w:rPr>
      <w:t>Radon at Australian Antarctic Stations</w:t>
    </w:r>
    <w:r w:rsidRPr="005172A7">
      <w:rPr>
        <w:noProof/>
        <w:sz w:val="18"/>
        <w:lang w:eastAsia="en-AU"/>
      </w:rPr>
      <w:t xml:space="preserve"> </w:t>
    </w:r>
    <w:r>
      <w:rPr>
        <w:color w:val="595959" w:themeColor="text1" w:themeTint="A6"/>
        <w:sz w:val="16"/>
        <w:szCs w:val="18"/>
      </w:rPr>
      <w:tab/>
    </w:r>
    <w:r w:rsidRPr="000C5545">
      <w:rPr>
        <w:color w:val="595959" w:themeColor="text1" w:themeTint="A6"/>
        <w:sz w:val="16"/>
        <w:szCs w:val="18"/>
      </w:rPr>
      <w:fldChar w:fldCharType="begin"/>
    </w:r>
    <w:r w:rsidRPr="000C5545">
      <w:rPr>
        <w:color w:val="595959" w:themeColor="text1" w:themeTint="A6"/>
        <w:sz w:val="16"/>
        <w:szCs w:val="18"/>
      </w:rPr>
      <w:instrText xml:space="preserve"> PAGE   \* MERGEFORMAT </w:instrText>
    </w:r>
    <w:r w:rsidRPr="000C5545">
      <w:rPr>
        <w:color w:val="595959" w:themeColor="text1" w:themeTint="A6"/>
        <w:sz w:val="16"/>
        <w:szCs w:val="18"/>
      </w:rPr>
      <w:fldChar w:fldCharType="separate"/>
    </w:r>
    <w:r w:rsidR="00AA2F16">
      <w:rPr>
        <w:noProof/>
        <w:color w:val="595959" w:themeColor="text1" w:themeTint="A6"/>
        <w:sz w:val="16"/>
        <w:szCs w:val="18"/>
      </w:rPr>
      <w:t>iii</w:t>
    </w:r>
    <w:r w:rsidRPr="000C5545">
      <w:rPr>
        <w:noProof/>
        <w:color w:val="595959" w:themeColor="text1" w:themeTint="A6"/>
        <w:sz w:val="16"/>
        <w:szCs w:val="18"/>
      </w:rPr>
      <w:fldChar w:fldCharType="end"/>
    </w:r>
    <w:r>
      <w:rPr>
        <w:noProof/>
        <w:color w:val="595959" w:themeColor="text1" w:themeTint="A6"/>
        <w:sz w:val="16"/>
        <w:szCs w:val="18"/>
      </w:rPr>
      <w:br/>
    </w:r>
    <w:r>
      <w:rPr>
        <w:color w:val="595959" w:themeColor="text1" w:themeTint="A6"/>
        <w:sz w:val="16"/>
        <w:szCs w:val="18"/>
      </w:rPr>
      <w:t>Technical Report 179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Pr="00A20E79" w:rsidRDefault="00917D2A" w:rsidP="00A20E7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Pr="00BD185B" w:rsidRDefault="00917D2A" w:rsidP="00E55D1D">
    <w:pPr>
      <w:tabs>
        <w:tab w:val="right" w:pos="9072"/>
      </w:tabs>
      <w:ind w:right="567"/>
      <w:rPr>
        <w:color w:val="595959" w:themeColor="text1" w:themeTint="A6"/>
        <w:sz w:val="16"/>
        <w:szCs w:val="18"/>
      </w:rPr>
    </w:pPr>
    <w:r w:rsidRPr="005172A7">
      <w:rPr>
        <w:noProof/>
        <w:sz w:val="18"/>
        <w:lang w:eastAsia="en-AU"/>
      </w:rPr>
      <w:drawing>
        <wp:anchor distT="0" distB="0" distL="114300" distR="114300" simplePos="0" relativeHeight="251678720" behindDoc="0" locked="0" layoutInCell="1" allowOverlap="1" wp14:anchorId="2B109110" wp14:editId="3599DB58">
          <wp:simplePos x="0" y="0"/>
          <wp:positionH relativeFrom="column">
            <wp:posOffset>-6985</wp:posOffset>
          </wp:positionH>
          <wp:positionV relativeFrom="paragraph">
            <wp:posOffset>29210</wp:posOffset>
          </wp:positionV>
          <wp:extent cx="5796000" cy="54000"/>
          <wp:effectExtent l="0" t="0" r="0" b="3175"/>
          <wp:wrapTopAndBottom/>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96000" cy="54000"/>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16"/>
        <w:szCs w:val="18"/>
      </w:rPr>
      <w:t>Radon at Australian Antarctic Stations</w:t>
    </w:r>
    <w:r w:rsidRPr="005172A7">
      <w:rPr>
        <w:noProof/>
        <w:sz w:val="18"/>
        <w:lang w:eastAsia="en-AU"/>
      </w:rPr>
      <w:t xml:space="preserve"> </w:t>
    </w:r>
    <w:r>
      <w:rPr>
        <w:color w:val="595959" w:themeColor="text1" w:themeTint="A6"/>
        <w:sz w:val="16"/>
        <w:szCs w:val="18"/>
      </w:rPr>
      <w:tab/>
    </w:r>
    <w:r w:rsidRPr="000C5545">
      <w:rPr>
        <w:color w:val="595959" w:themeColor="text1" w:themeTint="A6"/>
        <w:sz w:val="16"/>
        <w:szCs w:val="18"/>
      </w:rPr>
      <w:fldChar w:fldCharType="begin"/>
    </w:r>
    <w:r w:rsidRPr="000C5545">
      <w:rPr>
        <w:color w:val="595959" w:themeColor="text1" w:themeTint="A6"/>
        <w:sz w:val="16"/>
        <w:szCs w:val="18"/>
      </w:rPr>
      <w:instrText xml:space="preserve"> PAGE   \* MERGEFORMAT </w:instrText>
    </w:r>
    <w:r w:rsidRPr="000C5545">
      <w:rPr>
        <w:color w:val="595959" w:themeColor="text1" w:themeTint="A6"/>
        <w:sz w:val="16"/>
        <w:szCs w:val="18"/>
      </w:rPr>
      <w:fldChar w:fldCharType="separate"/>
    </w:r>
    <w:r w:rsidR="00AA2F16">
      <w:rPr>
        <w:noProof/>
        <w:color w:val="595959" w:themeColor="text1" w:themeTint="A6"/>
        <w:sz w:val="16"/>
        <w:szCs w:val="18"/>
      </w:rPr>
      <w:t>9</w:t>
    </w:r>
    <w:r w:rsidRPr="000C5545">
      <w:rPr>
        <w:noProof/>
        <w:color w:val="595959" w:themeColor="text1" w:themeTint="A6"/>
        <w:sz w:val="16"/>
        <w:szCs w:val="18"/>
      </w:rPr>
      <w:fldChar w:fldCharType="end"/>
    </w:r>
    <w:r>
      <w:rPr>
        <w:noProof/>
        <w:color w:val="595959" w:themeColor="text1" w:themeTint="A6"/>
        <w:sz w:val="16"/>
        <w:szCs w:val="18"/>
      </w:rPr>
      <w:br/>
    </w:r>
    <w:r>
      <w:rPr>
        <w:color w:val="595959" w:themeColor="text1" w:themeTint="A6"/>
        <w:sz w:val="16"/>
        <w:szCs w:val="18"/>
      </w:rPr>
      <w:t>Technical Report 179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D2A" w:rsidRDefault="00917D2A" w:rsidP="00B77280">
      <w:pPr>
        <w:spacing w:before="0"/>
      </w:pPr>
      <w:r>
        <w:separator/>
      </w:r>
    </w:p>
    <w:p w:rsidR="00917D2A" w:rsidRDefault="00917D2A"/>
  </w:footnote>
  <w:footnote w:type="continuationSeparator" w:id="0">
    <w:p w:rsidR="00917D2A" w:rsidRDefault="00917D2A" w:rsidP="00B77280">
      <w:pPr>
        <w:spacing w:before="0"/>
      </w:pPr>
      <w:r>
        <w:continuationSeparator/>
      </w:r>
    </w:p>
    <w:p w:rsidR="00917D2A" w:rsidRDefault="00917D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pPr>
      <w:pStyle w:val="Header"/>
    </w:pPr>
  </w:p>
  <w:p w:rsidR="00917D2A" w:rsidRDefault="00917D2A" w:rsidP="00203D01">
    <w:pPr>
      <w:pStyle w:val="Header"/>
    </w:pPr>
  </w:p>
  <w:p w:rsidR="00917D2A" w:rsidRPr="00ED2A87" w:rsidRDefault="00917D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rsidP="00203D01">
    <w:pPr>
      <w:pStyle w:val="Header"/>
    </w:pPr>
    <w:r w:rsidRPr="00FC63EA">
      <w:rPr>
        <w:noProof/>
        <w:lang w:val="en-AU" w:eastAsia="en-AU"/>
      </w:rPr>
      <w:drawing>
        <wp:anchor distT="0" distB="0" distL="114300" distR="114300" simplePos="0" relativeHeight="251660288" behindDoc="0" locked="0" layoutInCell="1" allowOverlap="1" wp14:anchorId="48F4A82D" wp14:editId="6CE4AF9F">
          <wp:simplePos x="0" y="0"/>
          <wp:positionH relativeFrom="column">
            <wp:posOffset>4715510</wp:posOffset>
          </wp:positionH>
          <wp:positionV relativeFrom="paragraph">
            <wp:posOffset>102235</wp:posOffset>
          </wp:positionV>
          <wp:extent cx="1536065" cy="454025"/>
          <wp:effectExtent l="0" t="0" r="6985" b="317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ANSA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065" cy="454025"/>
                  </a:xfrm>
                  <a:prstGeom prst="rect">
                    <a:avLst/>
                  </a:prstGeom>
                </pic:spPr>
              </pic:pic>
            </a:graphicData>
          </a:graphic>
          <wp14:sizeRelH relativeFrom="page">
            <wp14:pctWidth>0</wp14:pctWidth>
          </wp14:sizeRelH>
          <wp14:sizeRelV relativeFrom="page">
            <wp14:pctHeight>0</wp14:pctHeight>
          </wp14:sizeRelV>
        </wp:anchor>
      </w:drawing>
    </w:r>
    <w:r w:rsidRPr="00FC63EA">
      <w:rPr>
        <w:noProof/>
        <w:lang w:val="en-AU" w:eastAsia="en-AU"/>
      </w:rPr>
      <w:drawing>
        <wp:anchor distT="0" distB="0" distL="114300" distR="114300" simplePos="0" relativeHeight="251659264" behindDoc="0" locked="0" layoutInCell="1" allowOverlap="1" wp14:anchorId="1C324879" wp14:editId="5012F80A">
          <wp:simplePos x="0" y="0"/>
          <wp:positionH relativeFrom="column">
            <wp:posOffset>-404495</wp:posOffset>
          </wp:positionH>
          <wp:positionV relativeFrom="paragraph">
            <wp:posOffset>44450</wp:posOffset>
          </wp:positionV>
          <wp:extent cx="1983740" cy="528320"/>
          <wp:effectExtent l="0" t="0" r="0" b="508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NSA_in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3740" cy="528320"/>
                  </a:xfrm>
                  <a:prstGeom prst="rect">
                    <a:avLst/>
                  </a:prstGeom>
                </pic:spPr>
              </pic:pic>
            </a:graphicData>
          </a:graphic>
          <wp14:sizeRelH relativeFrom="page">
            <wp14:pctWidth>0</wp14:pctWidth>
          </wp14:sizeRelH>
          <wp14:sizeRelV relativeFrom="page">
            <wp14:pctHeight>0</wp14:pctHeight>
          </wp14:sizeRelV>
        </wp:anchor>
      </w:drawing>
    </w:r>
  </w:p>
  <w:p w:rsidR="00917D2A" w:rsidRPr="00203D01" w:rsidRDefault="00917D2A" w:rsidP="00203D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2A" w:rsidRDefault="00917D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4E280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7A948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0B81829"/>
    <w:multiLevelType w:val="multilevel"/>
    <w:tmpl w:val="BED456F4"/>
    <w:lvl w:ilvl="0">
      <w:start w:val="1"/>
      <w:numFmt w:val="decimal"/>
      <w:pStyle w:val="Heading1"/>
      <w:lvlText w:val="%1."/>
      <w:lvlJc w:val="left"/>
      <w:pPr>
        <w:tabs>
          <w:tab w:val="num" w:pos="737"/>
        </w:tabs>
        <w:ind w:left="737" w:hanging="737"/>
      </w:pPr>
      <w:rPr>
        <w:rFonts w:ascii="Calibri" w:hAnsi="Calibri" w:hint="default"/>
        <w:b/>
        <w:i w:val="0"/>
        <w:color w:val="4E1A74"/>
        <w:sz w:val="32"/>
      </w:rPr>
    </w:lvl>
    <w:lvl w:ilvl="1">
      <w:start w:val="1"/>
      <w:numFmt w:val="decimal"/>
      <w:pStyle w:val="Heading2"/>
      <w:lvlText w:val="%1.%2"/>
      <w:lvlJc w:val="left"/>
      <w:pPr>
        <w:ind w:left="737" w:hanging="737"/>
      </w:pPr>
      <w:rPr>
        <w:rFonts w:ascii="Calibri" w:hAnsi="Calibri" w:hint="default"/>
        <w:b/>
        <w:i w:val="0"/>
        <w:sz w:val="28"/>
      </w:rPr>
    </w:lvl>
    <w:lvl w:ilvl="2">
      <w:start w:val="1"/>
      <w:numFmt w:val="decimal"/>
      <w:pStyle w:val="Heading3"/>
      <w:lvlText w:val="%1.%2.%3"/>
      <w:lvlJc w:val="left"/>
      <w:pPr>
        <w:tabs>
          <w:tab w:val="num" w:pos="964"/>
        </w:tabs>
        <w:ind w:left="964" w:hanging="964"/>
      </w:pPr>
      <w:rPr>
        <w:rFonts w:cs="Times New Roman" w:hint="default"/>
        <w:b/>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18250A81"/>
    <w:multiLevelType w:val="hybridMultilevel"/>
    <w:tmpl w:val="60225BDE"/>
    <w:lvl w:ilvl="0" w:tplc="F660593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2655433D"/>
    <w:multiLevelType w:val="hybridMultilevel"/>
    <w:tmpl w:val="82349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B1749F3"/>
    <w:multiLevelType w:val="multilevel"/>
    <w:tmpl w:val="866C54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D957A82"/>
    <w:multiLevelType w:val="multilevel"/>
    <w:tmpl w:val="94F4E32C"/>
    <w:lvl w:ilvl="0">
      <w:start w:val="1"/>
      <w:numFmt w:val="decimal"/>
      <w:pStyle w:val="AppendixHeading"/>
      <w:lvlText w:val="Appendix %1"/>
      <w:lvlJc w:val="left"/>
      <w:pPr>
        <w:ind w:left="432" w:hanging="432"/>
      </w:pPr>
      <w:rPr>
        <w:rFonts w:hint="default"/>
      </w:rPr>
    </w:lvl>
    <w:lvl w:ilvl="1">
      <w:start w:val="1"/>
      <w:numFmt w:val="decimal"/>
      <w:pStyle w:val="Appendixheading2"/>
      <w:lvlText w:val="A%1.%2"/>
      <w:lvlJc w:val="left"/>
      <w:pPr>
        <w:ind w:left="213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30F4A42"/>
    <w:multiLevelType w:val="hybridMultilevel"/>
    <w:tmpl w:val="5B3C8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33D50B7"/>
    <w:multiLevelType w:val="hybridMultilevel"/>
    <w:tmpl w:val="1A1CEFC0"/>
    <w:lvl w:ilvl="0" w:tplc="3770167A">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1A4379C"/>
    <w:multiLevelType w:val="hybridMultilevel"/>
    <w:tmpl w:val="2DE64884"/>
    <w:lvl w:ilvl="0" w:tplc="5E541350">
      <w:start w:val="1"/>
      <w:numFmt w:val="bullet"/>
      <w:lvlText w:val=""/>
      <w:lvlJc w:val="left"/>
      <w:pPr>
        <w:ind w:left="360" w:hanging="360"/>
      </w:pPr>
      <w:rPr>
        <w:rFonts w:ascii="Symbol" w:hAnsi="Symbol" w:hint="default"/>
      </w:rPr>
    </w:lvl>
    <w:lvl w:ilvl="1" w:tplc="28CED5F0" w:tentative="1">
      <w:start w:val="1"/>
      <w:numFmt w:val="bullet"/>
      <w:lvlText w:val="o"/>
      <w:lvlJc w:val="left"/>
      <w:pPr>
        <w:ind w:left="1080" w:hanging="360"/>
      </w:pPr>
      <w:rPr>
        <w:rFonts w:ascii="Courier New" w:hAnsi="Courier New" w:cs="Courier New" w:hint="default"/>
      </w:rPr>
    </w:lvl>
    <w:lvl w:ilvl="2" w:tplc="E99A4ADC" w:tentative="1">
      <w:start w:val="1"/>
      <w:numFmt w:val="bullet"/>
      <w:lvlText w:val=""/>
      <w:lvlJc w:val="left"/>
      <w:pPr>
        <w:ind w:left="1800" w:hanging="360"/>
      </w:pPr>
      <w:rPr>
        <w:rFonts w:ascii="Wingdings" w:hAnsi="Wingdings" w:hint="default"/>
      </w:rPr>
    </w:lvl>
    <w:lvl w:ilvl="3" w:tplc="6F22CDB0" w:tentative="1">
      <w:start w:val="1"/>
      <w:numFmt w:val="bullet"/>
      <w:lvlText w:val=""/>
      <w:lvlJc w:val="left"/>
      <w:pPr>
        <w:ind w:left="2520" w:hanging="360"/>
      </w:pPr>
      <w:rPr>
        <w:rFonts w:ascii="Symbol" w:hAnsi="Symbol" w:hint="default"/>
      </w:rPr>
    </w:lvl>
    <w:lvl w:ilvl="4" w:tplc="504E2AEC" w:tentative="1">
      <w:start w:val="1"/>
      <w:numFmt w:val="bullet"/>
      <w:lvlText w:val="o"/>
      <w:lvlJc w:val="left"/>
      <w:pPr>
        <w:ind w:left="3240" w:hanging="360"/>
      </w:pPr>
      <w:rPr>
        <w:rFonts w:ascii="Courier New" w:hAnsi="Courier New" w:cs="Courier New" w:hint="default"/>
      </w:rPr>
    </w:lvl>
    <w:lvl w:ilvl="5" w:tplc="0CDCD7C4" w:tentative="1">
      <w:start w:val="1"/>
      <w:numFmt w:val="bullet"/>
      <w:lvlText w:val=""/>
      <w:lvlJc w:val="left"/>
      <w:pPr>
        <w:ind w:left="3960" w:hanging="360"/>
      </w:pPr>
      <w:rPr>
        <w:rFonts w:ascii="Wingdings" w:hAnsi="Wingdings" w:hint="default"/>
      </w:rPr>
    </w:lvl>
    <w:lvl w:ilvl="6" w:tplc="311A3246" w:tentative="1">
      <w:start w:val="1"/>
      <w:numFmt w:val="bullet"/>
      <w:lvlText w:val=""/>
      <w:lvlJc w:val="left"/>
      <w:pPr>
        <w:ind w:left="4680" w:hanging="360"/>
      </w:pPr>
      <w:rPr>
        <w:rFonts w:ascii="Symbol" w:hAnsi="Symbol" w:hint="default"/>
      </w:rPr>
    </w:lvl>
    <w:lvl w:ilvl="7" w:tplc="26169DCA" w:tentative="1">
      <w:start w:val="1"/>
      <w:numFmt w:val="bullet"/>
      <w:lvlText w:val="o"/>
      <w:lvlJc w:val="left"/>
      <w:pPr>
        <w:ind w:left="5400" w:hanging="360"/>
      </w:pPr>
      <w:rPr>
        <w:rFonts w:ascii="Courier New" w:hAnsi="Courier New" w:cs="Courier New" w:hint="default"/>
      </w:rPr>
    </w:lvl>
    <w:lvl w:ilvl="8" w:tplc="F1887BAE" w:tentative="1">
      <w:start w:val="1"/>
      <w:numFmt w:val="bullet"/>
      <w:lvlText w:val=""/>
      <w:lvlJc w:val="left"/>
      <w:pPr>
        <w:ind w:left="6120" w:hanging="360"/>
      </w:pPr>
      <w:rPr>
        <w:rFonts w:ascii="Wingdings" w:hAnsi="Wingdings" w:hint="default"/>
      </w:rPr>
    </w:lvl>
  </w:abstractNum>
  <w:abstractNum w:abstractNumId="10">
    <w:nsid w:val="59414912"/>
    <w:multiLevelType w:val="multilevel"/>
    <w:tmpl w:val="46D60CEA"/>
    <w:lvl w:ilvl="0">
      <w:start w:val="1"/>
      <w:numFmt w:val="decimal"/>
      <w:pStyle w:val="StyleReferenceLeft0cmFirstline0cm"/>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AB6526E"/>
    <w:multiLevelType w:val="hybridMultilevel"/>
    <w:tmpl w:val="C2DE3EA2"/>
    <w:lvl w:ilvl="0" w:tplc="DD42B224">
      <w:start w:val="1"/>
      <w:numFmt w:val="bullet"/>
      <w:lvlText w:val=""/>
      <w:lvlJc w:val="left"/>
      <w:pPr>
        <w:ind w:left="720" w:hanging="360"/>
      </w:pPr>
      <w:rPr>
        <w:rFonts w:ascii="Symbol" w:hAnsi="Symbol"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9"/>
  </w:num>
  <w:num w:numId="5">
    <w:abstractNumId w:val="10"/>
  </w:num>
  <w:num w:numId="6">
    <w:abstractNumId w:val="2"/>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7"/>
  </w:num>
  <w:num w:numId="25">
    <w:abstractNumId w:val="11"/>
  </w:num>
  <w:num w:numId="26">
    <w:abstractNumId w:val="8"/>
  </w:num>
  <w:num w:numId="27">
    <w:abstractNumId w:val="8"/>
  </w:num>
  <w:num w:numId="2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1D1"/>
    <w:rsid w:val="0000289B"/>
    <w:rsid w:val="000035F9"/>
    <w:rsid w:val="00004A95"/>
    <w:rsid w:val="00005B25"/>
    <w:rsid w:val="000072C5"/>
    <w:rsid w:val="000111FC"/>
    <w:rsid w:val="00013618"/>
    <w:rsid w:val="00013C2D"/>
    <w:rsid w:val="00013F9D"/>
    <w:rsid w:val="00014C71"/>
    <w:rsid w:val="00024398"/>
    <w:rsid w:val="00024E26"/>
    <w:rsid w:val="00025B49"/>
    <w:rsid w:val="000264D1"/>
    <w:rsid w:val="00030E8D"/>
    <w:rsid w:val="00030EBA"/>
    <w:rsid w:val="0003145C"/>
    <w:rsid w:val="00032738"/>
    <w:rsid w:val="00035576"/>
    <w:rsid w:val="00037BE1"/>
    <w:rsid w:val="00040133"/>
    <w:rsid w:val="00040D5F"/>
    <w:rsid w:val="000439CD"/>
    <w:rsid w:val="00044B75"/>
    <w:rsid w:val="00044E2B"/>
    <w:rsid w:val="00047BD0"/>
    <w:rsid w:val="00051D4E"/>
    <w:rsid w:val="000525D7"/>
    <w:rsid w:val="00056C77"/>
    <w:rsid w:val="00056F72"/>
    <w:rsid w:val="00057C27"/>
    <w:rsid w:val="0006091A"/>
    <w:rsid w:val="00063537"/>
    <w:rsid w:val="00063B10"/>
    <w:rsid w:val="000663CF"/>
    <w:rsid w:val="00066A68"/>
    <w:rsid w:val="0007321D"/>
    <w:rsid w:val="00073758"/>
    <w:rsid w:val="00073F02"/>
    <w:rsid w:val="0007424A"/>
    <w:rsid w:val="000746B4"/>
    <w:rsid w:val="00076127"/>
    <w:rsid w:val="00076768"/>
    <w:rsid w:val="000822E9"/>
    <w:rsid w:val="00082925"/>
    <w:rsid w:val="000838D6"/>
    <w:rsid w:val="000845A1"/>
    <w:rsid w:val="00085106"/>
    <w:rsid w:val="000921C8"/>
    <w:rsid w:val="000927A2"/>
    <w:rsid w:val="00093CCF"/>
    <w:rsid w:val="00093D9E"/>
    <w:rsid w:val="0009537B"/>
    <w:rsid w:val="000958F6"/>
    <w:rsid w:val="000968A2"/>
    <w:rsid w:val="00097175"/>
    <w:rsid w:val="000A07E1"/>
    <w:rsid w:val="000A1D78"/>
    <w:rsid w:val="000A4908"/>
    <w:rsid w:val="000B0142"/>
    <w:rsid w:val="000B043C"/>
    <w:rsid w:val="000B4238"/>
    <w:rsid w:val="000B7988"/>
    <w:rsid w:val="000B7F70"/>
    <w:rsid w:val="000C11CD"/>
    <w:rsid w:val="000C302A"/>
    <w:rsid w:val="000D0858"/>
    <w:rsid w:val="000D17D9"/>
    <w:rsid w:val="000D2591"/>
    <w:rsid w:val="000D45F5"/>
    <w:rsid w:val="000D54A6"/>
    <w:rsid w:val="000D6CD3"/>
    <w:rsid w:val="000E0C4E"/>
    <w:rsid w:val="000E6DDA"/>
    <w:rsid w:val="000F040E"/>
    <w:rsid w:val="000F4229"/>
    <w:rsid w:val="000F64FA"/>
    <w:rsid w:val="00100E3F"/>
    <w:rsid w:val="00104A6A"/>
    <w:rsid w:val="001061EC"/>
    <w:rsid w:val="001068B9"/>
    <w:rsid w:val="00112E7E"/>
    <w:rsid w:val="0011346A"/>
    <w:rsid w:val="00113D75"/>
    <w:rsid w:val="00114099"/>
    <w:rsid w:val="00116EBF"/>
    <w:rsid w:val="00117EF5"/>
    <w:rsid w:val="00120FC0"/>
    <w:rsid w:val="001212D9"/>
    <w:rsid w:val="00123DEF"/>
    <w:rsid w:val="00124093"/>
    <w:rsid w:val="0012453F"/>
    <w:rsid w:val="00125427"/>
    <w:rsid w:val="001264B4"/>
    <w:rsid w:val="00127534"/>
    <w:rsid w:val="00130FC2"/>
    <w:rsid w:val="00131A0B"/>
    <w:rsid w:val="00134044"/>
    <w:rsid w:val="001340DF"/>
    <w:rsid w:val="001353AC"/>
    <w:rsid w:val="00135525"/>
    <w:rsid w:val="00135FD9"/>
    <w:rsid w:val="001360B3"/>
    <w:rsid w:val="00136214"/>
    <w:rsid w:val="001419FB"/>
    <w:rsid w:val="00141CB8"/>
    <w:rsid w:val="00142A7E"/>
    <w:rsid w:val="00144016"/>
    <w:rsid w:val="0014639D"/>
    <w:rsid w:val="00151009"/>
    <w:rsid w:val="001514EA"/>
    <w:rsid w:val="001516A2"/>
    <w:rsid w:val="00152EB0"/>
    <w:rsid w:val="00153CB3"/>
    <w:rsid w:val="00156278"/>
    <w:rsid w:val="0015667E"/>
    <w:rsid w:val="00157CB8"/>
    <w:rsid w:val="001603A7"/>
    <w:rsid w:val="0016115D"/>
    <w:rsid w:val="00161409"/>
    <w:rsid w:val="00161D97"/>
    <w:rsid w:val="00165B55"/>
    <w:rsid w:val="00166ECF"/>
    <w:rsid w:val="00167EAD"/>
    <w:rsid w:val="001742D8"/>
    <w:rsid w:val="00176586"/>
    <w:rsid w:val="0017737F"/>
    <w:rsid w:val="00180106"/>
    <w:rsid w:val="001806ED"/>
    <w:rsid w:val="00183700"/>
    <w:rsid w:val="0018453A"/>
    <w:rsid w:val="0018687D"/>
    <w:rsid w:val="001904FF"/>
    <w:rsid w:val="00190E74"/>
    <w:rsid w:val="00195ADB"/>
    <w:rsid w:val="00197CC3"/>
    <w:rsid w:val="001A1344"/>
    <w:rsid w:val="001A1D48"/>
    <w:rsid w:val="001A309B"/>
    <w:rsid w:val="001A3D32"/>
    <w:rsid w:val="001A62AA"/>
    <w:rsid w:val="001A6758"/>
    <w:rsid w:val="001A7613"/>
    <w:rsid w:val="001B0339"/>
    <w:rsid w:val="001B0FBD"/>
    <w:rsid w:val="001B3490"/>
    <w:rsid w:val="001B40FA"/>
    <w:rsid w:val="001B7924"/>
    <w:rsid w:val="001B79DC"/>
    <w:rsid w:val="001C16DA"/>
    <w:rsid w:val="001C18BF"/>
    <w:rsid w:val="001C2672"/>
    <w:rsid w:val="001C2F62"/>
    <w:rsid w:val="001C46BD"/>
    <w:rsid w:val="001C5A47"/>
    <w:rsid w:val="001C76C4"/>
    <w:rsid w:val="001C7A4B"/>
    <w:rsid w:val="001D2434"/>
    <w:rsid w:val="001D3F42"/>
    <w:rsid w:val="001D6977"/>
    <w:rsid w:val="001D7512"/>
    <w:rsid w:val="001E2BFF"/>
    <w:rsid w:val="001E4EFE"/>
    <w:rsid w:val="001E5D5A"/>
    <w:rsid w:val="001E6925"/>
    <w:rsid w:val="001E7846"/>
    <w:rsid w:val="001E7A4B"/>
    <w:rsid w:val="001F10F1"/>
    <w:rsid w:val="001F3050"/>
    <w:rsid w:val="001F6FCC"/>
    <w:rsid w:val="00200056"/>
    <w:rsid w:val="00200C51"/>
    <w:rsid w:val="00203300"/>
    <w:rsid w:val="00203D01"/>
    <w:rsid w:val="002079F2"/>
    <w:rsid w:val="00210141"/>
    <w:rsid w:val="002101BC"/>
    <w:rsid w:val="00217F25"/>
    <w:rsid w:val="0022224A"/>
    <w:rsid w:val="002227E1"/>
    <w:rsid w:val="00222D1C"/>
    <w:rsid w:val="00222D45"/>
    <w:rsid w:val="002233B7"/>
    <w:rsid w:val="00223819"/>
    <w:rsid w:val="00223D32"/>
    <w:rsid w:val="00224030"/>
    <w:rsid w:val="00224096"/>
    <w:rsid w:val="00224EF3"/>
    <w:rsid w:val="002265CE"/>
    <w:rsid w:val="002267F2"/>
    <w:rsid w:val="00226C38"/>
    <w:rsid w:val="002277DC"/>
    <w:rsid w:val="002305E8"/>
    <w:rsid w:val="00231CF1"/>
    <w:rsid w:val="00231F53"/>
    <w:rsid w:val="00232274"/>
    <w:rsid w:val="00232BEE"/>
    <w:rsid w:val="00232E9D"/>
    <w:rsid w:val="002349C3"/>
    <w:rsid w:val="0024305F"/>
    <w:rsid w:val="002431F2"/>
    <w:rsid w:val="00243D98"/>
    <w:rsid w:val="00244B68"/>
    <w:rsid w:val="002458CF"/>
    <w:rsid w:val="0024708F"/>
    <w:rsid w:val="002478EA"/>
    <w:rsid w:val="002514D4"/>
    <w:rsid w:val="00254567"/>
    <w:rsid w:val="0025548D"/>
    <w:rsid w:val="00256881"/>
    <w:rsid w:val="0025779C"/>
    <w:rsid w:val="00263CBF"/>
    <w:rsid w:val="00265247"/>
    <w:rsid w:val="0026701C"/>
    <w:rsid w:val="00267C73"/>
    <w:rsid w:val="002708E8"/>
    <w:rsid w:val="002711EC"/>
    <w:rsid w:val="00274689"/>
    <w:rsid w:val="0027688B"/>
    <w:rsid w:val="0027748F"/>
    <w:rsid w:val="0028183E"/>
    <w:rsid w:val="0028397B"/>
    <w:rsid w:val="002840D8"/>
    <w:rsid w:val="002901DE"/>
    <w:rsid w:val="00290FD7"/>
    <w:rsid w:val="00291F62"/>
    <w:rsid w:val="00292C61"/>
    <w:rsid w:val="0029330B"/>
    <w:rsid w:val="00293807"/>
    <w:rsid w:val="00293864"/>
    <w:rsid w:val="00293996"/>
    <w:rsid w:val="00295E9C"/>
    <w:rsid w:val="002A0278"/>
    <w:rsid w:val="002A2BC5"/>
    <w:rsid w:val="002A36DC"/>
    <w:rsid w:val="002B3603"/>
    <w:rsid w:val="002B5BF3"/>
    <w:rsid w:val="002B609B"/>
    <w:rsid w:val="002B76E8"/>
    <w:rsid w:val="002C3356"/>
    <w:rsid w:val="002C7D7D"/>
    <w:rsid w:val="002D01AE"/>
    <w:rsid w:val="002D5AD1"/>
    <w:rsid w:val="002E098E"/>
    <w:rsid w:val="002E319A"/>
    <w:rsid w:val="002F046A"/>
    <w:rsid w:val="002F0CC2"/>
    <w:rsid w:val="002F0FCF"/>
    <w:rsid w:val="002F277A"/>
    <w:rsid w:val="002F2E27"/>
    <w:rsid w:val="002F6C27"/>
    <w:rsid w:val="002F7361"/>
    <w:rsid w:val="002F7BE6"/>
    <w:rsid w:val="003004C8"/>
    <w:rsid w:val="00303CB2"/>
    <w:rsid w:val="003055D7"/>
    <w:rsid w:val="0030658D"/>
    <w:rsid w:val="003073EF"/>
    <w:rsid w:val="00311419"/>
    <w:rsid w:val="00311C8E"/>
    <w:rsid w:val="00311CE9"/>
    <w:rsid w:val="00312963"/>
    <w:rsid w:val="00313B7F"/>
    <w:rsid w:val="00314566"/>
    <w:rsid w:val="00314D73"/>
    <w:rsid w:val="00320909"/>
    <w:rsid w:val="00320A91"/>
    <w:rsid w:val="003228EB"/>
    <w:rsid w:val="003246D4"/>
    <w:rsid w:val="00324F13"/>
    <w:rsid w:val="003260C6"/>
    <w:rsid w:val="00332860"/>
    <w:rsid w:val="00333249"/>
    <w:rsid w:val="00337D21"/>
    <w:rsid w:val="00340513"/>
    <w:rsid w:val="003428CD"/>
    <w:rsid w:val="00344B44"/>
    <w:rsid w:val="00344E2D"/>
    <w:rsid w:val="0034517F"/>
    <w:rsid w:val="00345547"/>
    <w:rsid w:val="00345D0C"/>
    <w:rsid w:val="00346CA9"/>
    <w:rsid w:val="003475E5"/>
    <w:rsid w:val="00350979"/>
    <w:rsid w:val="003514F9"/>
    <w:rsid w:val="00351728"/>
    <w:rsid w:val="00351DAF"/>
    <w:rsid w:val="00353D01"/>
    <w:rsid w:val="003546DD"/>
    <w:rsid w:val="0035534F"/>
    <w:rsid w:val="0035767F"/>
    <w:rsid w:val="003612F0"/>
    <w:rsid w:val="003612F6"/>
    <w:rsid w:val="00361CA2"/>
    <w:rsid w:val="00361EC3"/>
    <w:rsid w:val="00362DC3"/>
    <w:rsid w:val="00363422"/>
    <w:rsid w:val="00364DA9"/>
    <w:rsid w:val="00365EDF"/>
    <w:rsid w:val="00365F5B"/>
    <w:rsid w:val="00370448"/>
    <w:rsid w:val="00370A5F"/>
    <w:rsid w:val="003716FA"/>
    <w:rsid w:val="0037218F"/>
    <w:rsid w:val="003752C0"/>
    <w:rsid w:val="0037530D"/>
    <w:rsid w:val="00376D0F"/>
    <w:rsid w:val="00383650"/>
    <w:rsid w:val="00386883"/>
    <w:rsid w:val="0038699B"/>
    <w:rsid w:val="00387879"/>
    <w:rsid w:val="003923E0"/>
    <w:rsid w:val="0039284F"/>
    <w:rsid w:val="00393096"/>
    <w:rsid w:val="0039403A"/>
    <w:rsid w:val="00394318"/>
    <w:rsid w:val="0039649A"/>
    <w:rsid w:val="003977EB"/>
    <w:rsid w:val="00397DE5"/>
    <w:rsid w:val="003A1D61"/>
    <w:rsid w:val="003A256E"/>
    <w:rsid w:val="003A47B5"/>
    <w:rsid w:val="003A51A8"/>
    <w:rsid w:val="003A71B5"/>
    <w:rsid w:val="003A7A1D"/>
    <w:rsid w:val="003A7F5F"/>
    <w:rsid w:val="003B1C99"/>
    <w:rsid w:val="003B2A49"/>
    <w:rsid w:val="003B3373"/>
    <w:rsid w:val="003B3B97"/>
    <w:rsid w:val="003B7B2E"/>
    <w:rsid w:val="003C2078"/>
    <w:rsid w:val="003C4674"/>
    <w:rsid w:val="003C7792"/>
    <w:rsid w:val="003C783E"/>
    <w:rsid w:val="003C7891"/>
    <w:rsid w:val="003C7E5A"/>
    <w:rsid w:val="003D019D"/>
    <w:rsid w:val="003D1412"/>
    <w:rsid w:val="003D1A1D"/>
    <w:rsid w:val="003D4676"/>
    <w:rsid w:val="003D51FA"/>
    <w:rsid w:val="003D7B4F"/>
    <w:rsid w:val="003E278F"/>
    <w:rsid w:val="003E3C93"/>
    <w:rsid w:val="003F0453"/>
    <w:rsid w:val="003F0F93"/>
    <w:rsid w:val="003F195D"/>
    <w:rsid w:val="003F41D1"/>
    <w:rsid w:val="003F5FC7"/>
    <w:rsid w:val="003F7636"/>
    <w:rsid w:val="0040287B"/>
    <w:rsid w:val="00403E30"/>
    <w:rsid w:val="00406B35"/>
    <w:rsid w:val="00407CB5"/>
    <w:rsid w:val="00411468"/>
    <w:rsid w:val="004114E0"/>
    <w:rsid w:val="0041280E"/>
    <w:rsid w:val="00413EFD"/>
    <w:rsid w:val="00415434"/>
    <w:rsid w:val="004157F4"/>
    <w:rsid w:val="0041672B"/>
    <w:rsid w:val="00417DE3"/>
    <w:rsid w:val="00417FA3"/>
    <w:rsid w:val="00417FA6"/>
    <w:rsid w:val="004228D1"/>
    <w:rsid w:val="00423FF2"/>
    <w:rsid w:val="004249AF"/>
    <w:rsid w:val="00425062"/>
    <w:rsid w:val="004310CF"/>
    <w:rsid w:val="0043147C"/>
    <w:rsid w:val="004353C3"/>
    <w:rsid w:val="00436354"/>
    <w:rsid w:val="00436BA0"/>
    <w:rsid w:val="00440033"/>
    <w:rsid w:val="00440D31"/>
    <w:rsid w:val="00442B9C"/>
    <w:rsid w:val="0044354C"/>
    <w:rsid w:val="00444A3C"/>
    <w:rsid w:val="00444D1E"/>
    <w:rsid w:val="00447651"/>
    <w:rsid w:val="0044765F"/>
    <w:rsid w:val="0045540A"/>
    <w:rsid w:val="00455AB9"/>
    <w:rsid w:val="004569B8"/>
    <w:rsid w:val="00457653"/>
    <w:rsid w:val="00460B4E"/>
    <w:rsid w:val="004648DD"/>
    <w:rsid w:val="00465AE2"/>
    <w:rsid w:val="004669DF"/>
    <w:rsid w:val="0047141A"/>
    <w:rsid w:val="004720F3"/>
    <w:rsid w:val="004807D3"/>
    <w:rsid w:val="00480AF1"/>
    <w:rsid w:val="00485C95"/>
    <w:rsid w:val="00486BEE"/>
    <w:rsid w:val="00490899"/>
    <w:rsid w:val="00493411"/>
    <w:rsid w:val="004938E4"/>
    <w:rsid w:val="004949B4"/>
    <w:rsid w:val="004A25C0"/>
    <w:rsid w:val="004A2A11"/>
    <w:rsid w:val="004A4946"/>
    <w:rsid w:val="004A6DF9"/>
    <w:rsid w:val="004B388F"/>
    <w:rsid w:val="004B55D6"/>
    <w:rsid w:val="004B5A75"/>
    <w:rsid w:val="004B6188"/>
    <w:rsid w:val="004C026F"/>
    <w:rsid w:val="004C196D"/>
    <w:rsid w:val="004C27F8"/>
    <w:rsid w:val="004C29B9"/>
    <w:rsid w:val="004C3908"/>
    <w:rsid w:val="004C4DB4"/>
    <w:rsid w:val="004C5D8F"/>
    <w:rsid w:val="004C5E39"/>
    <w:rsid w:val="004C7DB6"/>
    <w:rsid w:val="004D3711"/>
    <w:rsid w:val="004D5AB8"/>
    <w:rsid w:val="004D745F"/>
    <w:rsid w:val="004D76D0"/>
    <w:rsid w:val="004E0196"/>
    <w:rsid w:val="004E2E48"/>
    <w:rsid w:val="004E5428"/>
    <w:rsid w:val="004F0D76"/>
    <w:rsid w:val="004F16BD"/>
    <w:rsid w:val="004F5F5C"/>
    <w:rsid w:val="004F72AD"/>
    <w:rsid w:val="0050153E"/>
    <w:rsid w:val="00502436"/>
    <w:rsid w:val="005075E9"/>
    <w:rsid w:val="00514478"/>
    <w:rsid w:val="0051759E"/>
    <w:rsid w:val="00517745"/>
    <w:rsid w:val="00521A55"/>
    <w:rsid w:val="00521B67"/>
    <w:rsid w:val="005248E1"/>
    <w:rsid w:val="00524C07"/>
    <w:rsid w:val="005274BA"/>
    <w:rsid w:val="0052777B"/>
    <w:rsid w:val="0053103C"/>
    <w:rsid w:val="00531D39"/>
    <w:rsid w:val="0053224B"/>
    <w:rsid w:val="005323FA"/>
    <w:rsid w:val="00534041"/>
    <w:rsid w:val="00535934"/>
    <w:rsid w:val="0053628F"/>
    <w:rsid w:val="00536D47"/>
    <w:rsid w:val="00540AFD"/>
    <w:rsid w:val="005420D5"/>
    <w:rsid w:val="0054277F"/>
    <w:rsid w:val="00543737"/>
    <w:rsid w:val="00545F12"/>
    <w:rsid w:val="00546B0C"/>
    <w:rsid w:val="005523D2"/>
    <w:rsid w:val="0055489B"/>
    <w:rsid w:val="00556E4C"/>
    <w:rsid w:val="00557D9A"/>
    <w:rsid w:val="00560327"/>
    <w:rsid w:val="00561B35"/>
    <w:rsid w:val="005627F6"/>
    <w:rsid w:val="00562DBF"/>
    <w:rsid w:val="00563BCE"/>
    <w:rsid w:val="00565102"/>
    <w:rsid w:val="0056548A"/>
    <w:rsid w:val="00567C33"/>
    <w:rsid w:val="00570C8C"/>
    <w:rsid w:val="00570EB2"/>
    <w:rsid w:val="00571474"/>
    <w:rsid w:val="00572604"/>
    <w:rsid w:val="00573040"/>
    <w:rsid w:val="00573B8D"/>
    <w:rsid w:val="005743F6"/>
    <w:rsid w:val="00576253"/>
    <w:rsid w:val="00576809"/>
    <w:rsid w:val="00577B74"/>
    <w:rsid w:val="00577BFA"/>
    <w:rsid w:val="00580D13"/>
    <w:rsid w:val="00582026"/>
    <w:rsid w:val="00590D18"/>
    <w:rsid w:val="005948F1"/>
    <w:rsid w:val="00594FE2"/>
    <w:rsid w:val="0059639E"/>
    <w:rsid w:val="005A01EC"/>
    <w:rsid w:val="005A0772"/>
    <w:rsid w:val="005A0F37"/>
    <w:rsid w:val="005A116C"/>
    <w:rsid w:val="005A1551"/>
    <w:rsid w:val="005A1AD8"/>
    <w:rsid w:val="005A20E0"/>
    <w:rsid w:val="005A3572"/>
    <w:rsid w:val="005A5D80"/>
    <w:rsid w:val="005A5F6C"/>
    <w:rsid w:val="005A74B5"/>
    <w:rsid w:val="005B1C16"/>
    <w:rsid w:val="005B2075"/>
    <w:rsid w:val="005B30EE"/>
    <w:rsid w:val="005C0EE8"/>
    <w:rsid w:val="005C2340"/>
    <w:rsid w:val="005C3408"/>
    <w:rsid w:val="005C6E2B"/>
    <w:rsid w:val="005C72BB"/>
    <w:rsid w:val="005D54AA"/>
    <w:rsid w:val="005D6FAE"/>
    <w:rsid w:val="005D6FCC"/>
    <w:rsid w:val="005E18AF"/>
    <w:rsid w:val="005E39C5"/>
    <w:rsid w:val="005E5E32"/>
    <w:rsid w:val="005F03A6"/>
    <w:rsid w:val="005F1018"/>
    <w:rsid w:val="005F2C6D"/>
    <w:rsid w:val="005F6062"/>
    <w:rsid w:val="005F654E"/>
    <w:rsid w:val="005F69E1"/>
    <w:rsid w:val="00600087"/>
    <w:rsid w:val="00600DA5"/>
    <w:rsid w:val="0060173C"/>
    <w:rsid w:val="00604818"/>
    <w:rsid w:val="006048EF"/>
    <w:rsid w:val="00604B29"/>
    <w:rsid w:val="00605049"/>
    <w:rsid w:val="00607667"/>
    <w:rsid w:val="00607FB8"/>
    <w:rsid w:val="00612E76"/>
    <w:rsid w:val="00613985"/>
    <w:rsid w:val="00614DAF"/>
    <w:rsid w:val="00615473"/>
    <w:rsid w:val="006173CB"/>
    <w:rsid w:val="00620535"/>
    <w:rsid w:val="006216F2"/>
    <w:rsid w:val="006223D0"/>
    <w:rsid w:val="00624EBC"/>
    <w:rsid w:val="006264D5"/>
    <w:rsid w:val="00627488"/>
    <w:rsid w:val="00627660"/>
    <w:rsid w:val="00627B0D"/>
    <w:rsid w:val="00631219"/>
    <w:rsid w:val="00633A64"/>
    <w:rsid w:val="00634AB5"/>
    <w:rsid w:val="00635DC5"/>
    <w:rsid w:val="00636201"/>
    <w:rsid w:val="00636C25"/>
    <w:rsid w:val="00637EEF"/>
    <w:rsid w:val="006418C0"/>
    <w:rsid w:val="00642815"/>
    <w:rsid w:val="00642EB0"/>
    <w:rsid w:val="006468F6"/>
    <w:rsid w:val="006508A5"/>
    <w:rsid w:val="00650EDB"/>
    <w:rsid w:val="006539CD"/>
    <w:rsid w:val="006545F1"/>
    <w:rsid w:val="00660A76"/>
    <w:rsid w:val="00662C7F"/>
    <w:rsid w:val="006649A8"/>
    <w:rsid w:val="00664C09"/>
    <w:rsid w:val="00664D53"/>
    <w:rsid w:val="0066513A"/>
    <w:rsid w:val="00665439"/>
    <w:rsid w:val="006669AF"/>
    <w:rsid w:val="0066792C"/>
    <w:rsid w:val="006711E4"/>
    <w:rsid w:val="00671C94"/>
    <w:rsid w:val="00672097"/>
    <w:rsid w:val="006727F8"/>
    <w:rsid w:val="00672CA9"/>
    <w:rsid w:val="0067351D"/>
    <w:rsid w:val="00674808"/>
    <w:rsid w:val="00675113"/>
    <w:rsid w:val="00680025"/>
    <w:rsid w:val="006807FB"/>
    <w:rsid w:val="00691BF9"/>
    <w:rsid w:val="00692952"/>
    <w:rsid w:val="00692AB9"/>
    <w:rsid w:val="0069548D"/>
    <w:rsid w:val="00695798"/>
    <w:rsid w:val="006967B8"/>
    <w:rsid w:val="00696A0E"/>
    <w:rsid w:val="0069746D"/>
    <w:rsid w:val="006979D5"/>
    <w:rsid w:val="006A1213"/>
    <w:rsid w:val="006A173D"/>
    <w:rsid w:val="006A3C81"/>
    <w:rsid w:val="006A4805"/>
    <w:rsid w:val="006B0C3E"/>
    <w:rsid w:val="006B0EA8"/>
    <w:rsid w:val="006B1505"/>
    <w:rsid w:val="006B1943"/>
    <w:rsid w:val="006B1AED"/>
    <w:rsid w:val="006B4A2E"/>
    <w:rsid w:val="006B4E73"/>
    <w:rsid w:val="006B4F75"/>
    <w:rsid w:val="006B5C91"/>
    <w:rsid w:val="006B6A62"/>
    <w:rsid w:val="006C4310"/>
    <w:rsid w:val="006C538E"/>
    <w:rsid w:val="006C7776"/>
    <w:rsid w:val="006D1C7B"/>
    <w:rsid w:val="006D30CD"/>
    <w:rsid w:val="006D3688"/>
    <w:rsid w:val="006D36C1"/>
    <w:rsid w:val="006D389F"/>
    <w:rsid w:val="006D44FF"/>
    <w:rsid w:val="006D497F"/>
    <w:rsid w:val="006D51B1"/>
    <w:rsid w:val="006D51F9"/>
    <w:rsid w:val="006D6218"/>
    <w:rsid w:val="006D6368"/>
    <w:rsid w:val="006D6CEC"/>
    <w:rsid w:val="006D7995"/>
    <w:rsid w:val="006D7A32"/>
    <w:rsid w:val="006E2BF2"/>
    <w:rsid w:val="006E5E5F"/>
    <w:rsid w:val="006E6AE2"/>
    <w:rsid w:val="006F17A4"/>
    <w:rsid w:val="006F2AD0"/>
    <w:rsid w:val="006F2F5E"/>
    <w:rsid w:val="006F2F9E"/>
    <w:rsid w:val="006F4C3C"/>
    <w:rsid w:val="006F4DDC"/>
    <w:rsid w:val="006F7A86"/>
    <w:rsid w:val="0070153F"/>
    <w:rsid w:val="00702AC1"/>
    <w:rsid w:val="00702C27"/>
    <w:rsid w:val="00703397"/>
    <w:rsid w:val="007039B1"/>
    <w:rsid w:val="00704B34"/>
    <w:rsid w:val="007055BF"/>
    <w:rsid w:val="007117B2"/>
    <w:rsid w:val="00712535"/>
    <w:rsid w:val="0072052F"/>
    <w:rsid w:val="00722D56"/>
    <w:rsid w:val="007242AF"/>
    <w:rsid w:val="0072512E"/>
    <w:rsid w:val="0072720F"/>
    <w:rsid w:val="007277CC"/>
    <w:rsid w:val="00732407"/>
    <w:rsid w:val="00732538"/>
    <w:rsid w:val="0073288C"/>
    <w:rsid w:val="0073627D"/>
    <w:rsid w:val="007378EE"/>
    <w:rsid w:val="00737D1D"/>
    <w:rsid w:val="0074235F"/>
    <w:rsid w:val="00742810"/>
    <w:rsid w:val="00742ED1"/>
    <w:rsid w:val="00743C26"/>
    <w:rsid w:val="00744BCD"/>
    <w:rsid w:val="00746587"/>
    <w:rsid w:val="00746FBC"/>
    <w:rsid w:val="00751EAB"/>
    <w:rsid w:val="00752233"/>
    <w:rsid w:val="00754F46"/>
    <w:rsid w:val="007559E4"/>
    <w:rsid w:val="00756400"/>
    <w:rsid w:val="00760E1F"/>
    <w:rsid w:val="00762FD1"/>
    <w:rsid w:val="007639EC"/>
    <w:rsid w:val="00764715"/>
    <w:rsid w:val="00765634"/>
    <w:rsid w:val="007669CD"/>
    <w:rsid w:val="007671E5"/>
    <w:rsid w:val="00770400"/>
    <w:rsid w:val="0077044A"/>
    <w:rsid w:val="00772C08"/>
    <w:rsid w:val="00773EED"/>
    <w:rsid w:val="00774B36"/>
    <w:rsid w:val="00776588"/>
    <w:rsid w:val="00776666"/>
    <w:rsid w:val="007777F4"/>
    <w:rsid w:val="00780035"/>
    <w:rsid w:val="00780784"/>
    <w:rsid w:val="00781D04"/>
    <w:rsid w:val="007826BC"/>
    <w:rsid w:val="00783B4C"/>
    <w:rsid w:val="00786B6D"/>
    <w:rsid w:val="00787F87"/>
    <w:rsid w:val="007914F1"/>
    <w:rsid w:val="00792CC0"/>
    <w:rsid w:val="007935C8"/>
    <w:rsid w:val="00797F00"/>
    <w:rsid w:val="007A0C52"/>
    <w:rsid w:val="007A3BD2"/>
    <w:rsid w:val="007A5F48"/>
    <w:rsid w:val="007A70E0"/>
    <w:rsid w:val="007B107F"/>
    <w:rsid w:val="007B18B6"/>
    <w:rsid w:val="007B4449"/>
    <w:rsid w:val="007B67A3"/>
    <w:rsid w:val="007B6A36"/>
    <w:rsid w:val="007C0192"/>
    <w:rsid w:val="007C10AF"/>
    <w:rsid w:val="007C1637"/>
    <w:rsid w:val="007C26AD"/>
    <w:rsid w:val="007C3F58"/>
    <w:rsid w:val="007C4B06"/>
    <w:rsid w:val="007C56BC"/>
    <w:rsid w:val="007C6271"/>
    <w:rsid w:val="007D138A"/>
    <w:rsid w:val="007D3454"/>
    <w:rsid w:val="007D4932"/>
    <w:rsid w:val="007D4973"/>
    <w:rsid w:val="007D5F5C"/>
    <w:rsid w:val="007E031C"/>
    <w:rsid w:val="007E04BB"/>
    <w:rsid w:val="007E12A2"/>
    <w:rsid w:val="007E5191"/>
    <w:rsid w:val="007E6F43"/>
    <w:rsid w:val="007E7425"/>
    <w:rsid w:val="007E7EFA"/>
    <w:rsid w:val="007F1D25"/>
    <w:rsid w:val="007F2154"/>
    <w:rsid w:val="007F25F5"/>
    <w:rsid w:val="007F51B3"/>
    <w:rsid w:val="00801333"/>
    <w:rsid w:val="00801E75"/>
    <w:rsid w:val="00801E95"/>
    <w:rsid w:val="008024DE"/>
    <w:rsid w:val="00802FBB"/>
    <w:rsid w:val="0080399B"/>
    <w:rsid w:val="00804449"/>
    <w:rsid w:val="00805FAB"/>
    <w:rsid w:val="0080621C"/>
    <w:rsid w:val="00806315"/>
    <w:rsid w:val="00806FFE"/>
    <w:rsid w:val="008105BA"/>
    <w:rsid w:val="0081122B"/>
    <w:rsid w:val="00813E39"/>
    <w:rsid w:val="00814F4F"/>
    <w:rsid w:val="00815A39"/>
    <w:rsid w:val="00816FA2"/>
    <w:rsid w:val="00817506"/>
    <w:rsid w:val="00820ADE"/>
    <w:rsid w:val="00822288"/>
    <w:rsid w:val="00822465"/>
    <w:rsid w:val="00823009"/>
    <w:rsid w:val="00823C77"/>
    <w:rsid w:val="0082448F"/>
    <w:rsid w:val="0082450E"/>
    <w:rsid w:val="00824A9A"/>
    <w:rsid w:val="00824FE4"/>
    <w:rsid w:val="00831292"/>
    <w:rsid w:val="00836853"/>
    <w:rsid w:val="0083710A"/>
    <w:rsid w:val="00837614"/>
    <w:rsid w:val="008405AC"/>
    <w:rsid w:val="00840CCE"/>
    <w:rsid w:val="00840EA7"/>
    <w:rsid w:val="00841055"/>
    <w:rsid w:val="008412A4"/>
    <w:rsid w:val="008419C1"/>
    <w:rsid w:val="00842A1B"/>
    <w:rsid w:val="00845704"/>
    <w:rsid w:val="00845C8E"/>
    <w:rsid w:val="00845ED0"/>
    <w:rsid w:val="00846EDB"/>
    <w:rsid w:val="008508E2"/>
    <w:rsid w:val="00852B1E"/>
    <w:rsid w:val="00855B1D"/>
    <w:rsid w:val="00857988"/>
    <w:rsid w:val="00860935"/>
    <w:rsid w:val="00863A0E"/>
    <w:rsid w:val="0086410C"/>
    <w:rsid w:val="008641A6"/>
    <w:rsid w:val="00864904"/>
    <w:rsid w:val="00864A87"/>
    <w:rsid w:val="00864C34"/>
    <w:rsid w:val="0086775B"/>
    <w:rsid w:val="00867FE8"/>
    <w:rsid w:val="00871EBD"/>
    <w:rsid w:val="00871F34"/>
    <w:rsid w:val="008728A4"/>
    <w:rsid w:val="008750AB"/>
    <w:rsid w:val="00875D5A"/>
    <w:rsid w:val="00880433"/>
    <w:rsid w:val="00880B5F"/>
    <w:rsid w:val="00882D39"/>
    <w:rsid w:val="008837B0"/>
    <w:rsid w:val="00884022"/>
    <w:rsid w:val="008847ED"/>
    <w:rsid w:val="00884AAD"/>
    <w:rsid w:val="00884C09"/>
    <w:rsid w:val="008850CC"/>
    <w:rsid w:val="00885DF1"/>
    <w:rsid w:val="0088703D"/>
    <w:rsid w:val="0088719C"/>
    <w:rsid w:val="00887E09"/>
    <w:rsid w:val="00887FFD"/>
    <w:rsid w:val="0089167A"/>
    <w:rsid w:val="00892875"/>
    <w:rsid w:val="00895483"/>
    <w:rsid w:val="0089688B"/>
    <w:rsid w:val="00897E31"/>
    <w:rsid w:val="008A0809"/>
    <w:rsid w:val="008A0886"/>
    <w:rsid w:val="008A150C"/>
    <w:rsid w:val="008A398C"/>
    <w:rsid w:val="008A3B03"/>
    <w:rsid w:val="008A4C8C"/>
    <w:rsid w:val="008A55F6"/>
    <w:rsid w:val="008A6259"/>
    <w:rsid w:val="008B14FE"/>
    <w:rsid w:val="008B3AFF"/>
    <w:rsid w:val="008B4222"/>
    <w:rsid w:val="008B47E5"/>
    <w:rsid w:val="008B4BA7"/>
    <w:rsid w:val="008B5FC7"/>
    <w:rsid w:val="008C04E1"/>
    <w:rsid w:val="008C1253"/>
    <w:rsid w:val="008C146C"/>
    <w:rsid w:val="008C4A85"/>
    <w:rsid w:val="008C7E1A"/>
    <w:rsid w:val="008D6856"/>
    <w:rsid w:val="008D7024"/>
    <w:rsid w:val="008D7532"/>
    <w:rsid w:val="008E00B8"/>
    <w:rsid w:val="008E1264"/>
    <w:rsid w:val="008E1287"/>
    <w:rsid w:val="008E2CBA"/>
    <w:rsid w:val="008E3765"/>
    <w:rsid w:val="008E7461"/>
    <w:rsid w:val="008E7B3F"/>
    <w:rsid w:val="008F010B"/>
    <w:rsid w:val="008F0DCA"/>
    <w:rsid w:val="008F1688"/>
    <w:rsid w:val="008F1CCD"/>
    <w:rsid w:val="008F25D3"/>
    <w:rsid w:val="008F31B5"/>
    <w:rsid w:val="008F732E"/>
    <w:rsid w:val="008F77DF"/>
    <w:rsid w:val="00901F73"/>
    <w:rsid w:val="00905032"/>
    <w:rsid w:val="0091005C"/>
    <w:rsid w:val="00912611"/>
    <w:rsid w:val="00912BD1"/>
    <w:rsid w:val="00915D1B"/>
    <w:rsid w:val="00916707"/>
    <w:rsid w:val="00917D2A"/>
    <w:rsid w:val="00920F70"/>
    <w:rsid w:val="0092398F"/>
    <w:rsid w:val="00923F82"/>
    <w:rsid w:val="00926812"/>
    <w:rsid w:val="00927FBA"/>
    <w:rsid w:val="00930837"/>
    <w:rsid w:val="00933353"/>
    <w:rsid w:val="00933A73"/>
    <w:rsid w:val="009359D0"/>
    <w:rsid w:val="00936F5E"/>
    <w:rsid w:val="00943F5E"/>
    <w:rsid w:val="009445ED"/>
    <w:rsid w:val="0094474B"/>
    <w:rsid w:val="00944A9B"/>
    <w:rsid w:val="00946C47"/>
    <w:rsid w:val="009471C2"/>
    <w:rsid w:val="009471FC"/>
    <w:rsid w:val="009514A8"/>
    <w:rsid w:val="00951EE4"/>
    <w:rsid w:val="00952596"/>
    <w:rsid w:val="0095277F"/>
    <w:rsid w:val="00952EA6"/>
    <w:rsid w:val="009539D0"/>
    <w:rsid w:val="00955771"/>
    <w:rsid w:val="00955873"/>
    <w:rsid w:val="0095603F"/>
    <w:rsid w:val="00957F27"/>
    <w:rsid w:val="00960850"/>
    <w:rsid w:val="009625A3"/>
    <w:rsid w:val="00964F56"/>
    <w:rsid w:val="0096668E"/>
    <w:rsid w:val="00966ED6"/>
    <w:rsid w:val="009700FE"/>
    <w:rsid w:val="00971ECA"/>
    <w:rsid w:val="009721F3"/>
    <w:rsid w:val="009739A7"/>
    <w:rsid w:val="009767B6"/>
    <w:rsid w:val="009773E3"/>
    <w:rsid w:val="00980B74"/>
    <w:rsid w:val="009815A6"/>
    <w:rsid w:val="00981F81"/>
    <w:rsid w:val="00982F23"/>
    <w:rsid w:val="0098583E"/>
    <w:rsid w:val="00986013"/>
    <w:rsid w:val="009867CC"/>
    <w:rsid w:val="00986D40"/>
    <w:rsid w:val="00990451"/>
    <w:rsid w:val="00990F6F"/>
    <w:rsid w:val="00992695"/>
    <w:rsid w:val="00993AD4"/>
    <w:rsid w:val="00993B0F"/>
    <w:rsid w:val="00994EE2"/>
    <w:rsid w:val="009954CB"/>
    <w:rsid w:val="00996C71"/>
    <w:rsid w:val="009976BB"/>
    <w:rsid w:val="00997D51"/>
    <w:rsid w:val="009A1C2F"/>
    <w:rsid w:val="009A3B60"/>
    <w:rsid w:val="009A6046"/>
    <w:rsid w:val="009B1376"/>
    <w:rsid w:val="009B1438"/>
    <w:rsid w:val="009B2178"/>
    <w:rsid w:val="009B252E"/>
    <w:rsid w:val="009B2F7C"/>
    <w:rsid w:val="009B590C"/>
    <w:rsid w:val="009B67EA"/>
    <w:rsid w:val="009B77D4"/>
    <w:rsid w:val="009B7E36"/>
    <w:rsid w:val="009C281F"/>
    <w:rsid w:val="009C2B3A"/>
    <w:rsid w:val="009C4798"/>
    <w:rsid w:val="009C4AA8"/>
    <w:rsid w:val="009C5FB8"/>
    <w:rsid w:val="009D0761"/>
    <w:rsid w:val="009D31A5"/>
    <w:rsid w:val="009D50A6"/>
    <w:rsid w:val="009D57F6"/>
    <w:rsid w:val="009D7CFC"/>
    <w:rsid w:val="009E1A43"/>
    <w:rsid w:val="009E5E66"/>
    <w:rsid w:val="009E66C6"/>
    <w:rsid w:val="009E6B6B"/>
    <w:rsid w:val="009E6FD2"/>
    <w:rsid w:val="009F0642"/>
    <w:rsid w:val="009F11C9"/>
    <w:rsid w:val="009F1425"/>
    <w:rsid w:val="009F45FD"/>
    <w:rsid w:val="009F59CD"/>
    <w:rsid w:val="009F616D"/>
    <w:rsid w:val="009F7B5B"/>
    <w:rsid w:val="00A00C91"/>
    <w:rsid w:val="00A0180A"/>
    <w:rsid w:val="00A0218E"/>
    <w:rsid w:val="00A033B8"/>
    <w:rsid w:val="00A04C47"/>
    <w:rsid w:val="00A10BD4"/>
    <w:rsid w:val="00A10DE7"/>
    <w:rsid w:val="00A12755"/>
    <w:rsid w:val="00A141AF"/>
    <w:rsid w:val="00A17D98"/>
    <w:rsid w:val="00A20E79"/>
    <w:rsid w:val="00A22095"/>
    <w:rsid w:val="00A244A4"/>
    <w:rsid w:val="00A25D47"/>
    <w:rsid w:val="00A261DE"/>
    <w:rsid w:val="00A2715A"/>
    <w:rsid w:val="00A308D5"/>
    <w:rsid w:val="00A34561"/>
    <w:rsid w:val="00A3623A"/>
    <w:rsid w:val="00A366E7"/>
    <w:rsid w:val="00A36DF6"/>
    <w:rsid w:val="00A37CB3"/>
    <w:rsid w:val="00A4051B"/>
    <w:rsid w:val="00A41103"/>
    <w:rsid w:val="00A41824"/>
    <w:rsid w:val="00A42A6D"/>
    <w:rsid w:val="00A42F9A"/>
    <w:rsid w:val="00A430BB"/>
    <w:rsid w:val="00A43389"/>
    <w:rsid w:val="00A44EBB"/>
    <w:rsid w:val="00A46025"/>
    <w:rsid w:val="00A47805"/>
    <w:rsid w:val="00A50213"/>
    <w:rsid w:val="00A51F91"/>
    <w:rsid w:val="00A53731"/>
    <w:rsid w:val="00A558E3"/>
    <w:rsid w:val="00A57964"/>
    <w:rsid w:val="00A607CF"/>
    <w:rsid w:val="00A67932"/>
    <w:rsid w:val="00A7076D"/>
    <w:rsid w:val="00A73ACC"/>
    <w:rsid w:val="00A77471"/>
    <w:rsid w:val="00A80E0C"/>
    <w:rsid w:val="00A817AA"/>
    <w:rsid w:val="00A870CC"/>
    <w:rsid w:val="00A90C45"/>
    <w:rsid w:val="00A92E24"/>
    <w:rsid w:val="00A93530"/>
    <w:rsid w:val="00A939FA"/>
    <w:rsid w:val="00A94DC9"/>
    <w:rsid w:val="00A95599"/>
    <w:rsid w:val="00A95ACD"/>
    <w:rsid w:val="00A95F86"/>
    <w:rsid w:val="00A97BFC"/>
    <w:rsid w:val="00AA0A51"/>
    <w:rsid w:val="00AA2F16"/>
    <w:rsid w:val="00AA3028"/>
    <w:rsid w:val="00AA377B"/>
    <w:rsid w:val="00AA4A4E"/>
    <w:rsid w:val="00AA618A"/>
    <w:rsid w:val="00AA64E5"/>
    <w:rsid w:val="00AB083D"/>
    <w:rsid w:val="00AB0A71"/>
    <w:rsid w:val="00AB14F7"/>
    <w:rsid w:val="00AB17FE"/>
    <w:rsid w:val="00AB1F19"/>
    <w:rsid w:val="00AB3234"/>
    <w:rsid w:val="00AB3502"/>
    <w:rsid w:val="00AB4E14"/>
    <w:rsid w:val="00AB55C6"/>
    <w:rsid w:val="00AB5BE5"/>
    <w:rsid w:val="00AB62A2"/>
    <w:rsid w:val="00AC0E90"/>
    <w:rsid w:val="00AC1357"/>
    <w:rsid w:val="00AC1F98"/>
    <w:rsid w:val="00AC4CD2"/>
    <w:rsid w:val="00AC5472"/>
    <w:rsid w:val="00AC5860"/>
    <w:rsid w:val="00AC5E10"/>
    <w:rsid w:val="00AC7D50"/>
    <w:rsid w:val="00AD41FF"/>
    <w:rsid w:val="00AE5983"/>
    <w:rsid w:val="00AE6BAC"/>
    <w:rsid w:val="00AF1470"/>
    <w:rsid w:val="00AF403C"/>
    <w:rsid w:val="00AF6E10"/>
    <w:rsid w:val="00B02250"/>
    <w:rsid w:val="00B023E2"/>
    <w:rsid w:val="00B03213"/>
    <w:rsid w:val="00B042F7"/>
    <w:rsid w:val="00B04B6C"/>
    <w:rsid w:val="00B06E24"/>
    <w:rsid w:val="00B07CC8"/>
    <w:rsid w:val="00B07E28"/>
    <w:rsid w:val="00B11418"/>
    <w:rsid w:val="00B12A71"/>
    <w:rsid w:val="00B149E3"/>
    <w:rsid w:val="00B172B8"/>
    <w:rsid w:val="00B1765B"/>
    <w:rsid w:val="00B24DCB"/>
    <w:rsid w:val="00B341D9"/>
    <w:rsid w:val="00B345EF"/>
    <w:rsid w:val="00B352D6"/>
    <w:rsid w:val="00B3539B"/>
    <w:rsid w:val="00B355E3"/>
    <w:rsid w:val="00B357A9"/>
    <w:rsid w:val="00B36947"/>
    <w:rsid w:val="00B3698F"/>
    <w:rsid w:val="00B36C37"/>
    <w:rsid w:val="00B36EDA"/>
    <w:rsid w:val="00B37847"/>
    <w:rsid w:val="00B43084"/>
    <w:rsid w:val="00B432D3"/>
    <w:rsid w:val="00B4389C"/>
    <w:rsid w:val="00B52191"/>
    <w:rsid w:val="00B522F5"/>
    <w:rsid w:val="00B53994"/>
    <w:rsid w:val="00B5534E"/>
    <w:rsid w:val="00B5580C"/>
    <w:rsid w:val="00B570B8"/>
    <w:rsid w:val="00B57ED9"/>
    <w:rsid w:val="00B61701"/>
    <w:rsid w:val="00B63D16"/>
    <w:rsid w:val="00B64AC2"/>
    <w:rsid w:val="00B655B9"/>
    <w:rsid w:val="00B65C28"/>
    <w:rsid w:val="00B7174B"/>
    <w:rsid w:val="00B736F3"/>
    <w:rsid w:val="00B7488B"/>
    <w:rsid w:val="00B74D0D"/>
    <w:rsid w:val="00B75061"/>
    <w:rsid w:val="00B75A08"/>
    <w:rsid w:val="00B77280"/>
    <w:rsid w:val="00B772D1"/>
    <w:rsid w:val="00B80755"/>
    <w:rsid w:val="00B8114E"/>
    <w:rsid w:val="00B81748"/>
    <w:rsid w:val="00B81E0F"/>
    <w:rsid w:val="00B838EC"/>
    <w:rsid w:val="00B83E0D"/>
    <w:rsid w:val="00B85665"/>
    <w:rsid w:val="00B85B18"/>
    <w:rsid w:val="00B85EE0"/>
    <w:rsid w:val="00B86369"/>
    <w:rsid w:val="00B90C35"/>
    <w:rsid w:val="00B9135A"/>
    <w:rsid w:val="00B926B6"/>
    <w:rsid w:val="00B930F0"/>
    <w:rsid w:val="00B9379D"/>
    <w:rsid w:val="00B94965"/>
    <w:rsid w:val="00BA05A8"/>
    <w:rsid w:val="00BA1878"/>
    <w:rsid w:val="00BA3434"/>
    <w:rsid w:val="00BA4A9D"/>
    <w:rsid w:val="00BA4EBC"/>
    <w:rsid w:val="00BA6B65"/>
    <w:rsid w:val="00BB014A"/>
    <w:rsid w:val="00BB1862"/>
    <w:rsid w:val="00BB21E5"/>
    <w:rsid w:val="00BB2A8E"/>
    <w:rsid w:val="00BB331C"/>
    <w:rsid w:val="00BB6816"/>
    <w:rsid w:val="00BC00BC"/>
    <w:rsid w:val="00BC0AEA"/>
    <w:rsid w:val="00BC11E8"/>
    <w:rsid w:val="00BC15CC"/>
    <w:rsid w:val="00BC16E5"/>
    <w:rsid w:val="00BC5B05"/>
    <w:rsid w:val="00BC6BFA"/>
    <w:rsid w:val="00BD185B"/>
    <w:rsid w:val="00BD2A05"/>
    <w:rsid w:val="00BD2C45"/>
    <w:rsid w:val="00BD325D"/>
    <w:rsid w:val="00BD4177"/>
    <w:rsid w:val="00BE08B1"/>
    <w:rsid w:val="00BE441C"/>
    <w:rsid w:val="00BE686D"/>
    <w:rsid w:val="00BE7E57"/>
    <w:rsid w:val="00BF684D"/>
    <w:rsid w:val="00BF73A9"/>
    <w:rsid w:val="00BF7E19"/>
    <w:rsid w:val="00C00256"/>
    <w:rsid w:val="00C01F82"/>
    <w:rsid w:val="00C021C8"/>
    <w:rsid w:val="00C04115"/>
    <w:rsid w:val="00C04D8E"/>
    <w:rsid w:val="00C061D0"/>
    <w:rsid w:val="00C07F0F"/>
    <w:rsid w:val="00C10A88"/>
    <w:rsid w:val="00C12181"/>
    <w:rsid w:val="00C128B6"/>
    <w:rsid w:val="00C16AE3"/>
    <w:rsid w:val="00C17157"/>
    <w:rsid w:val="00C2145A"/>
    <w:rsid w:val="00C22107"/>
    <w:rsid w:val="00C22693"/>
    <w:rsid w:val="00C22AC8"/>
    <w:rsid w:val="00C24DE7"/>
    <w:rsid w:val="00C25841"/>
    <w:rsid w:val="00C26C05"/>
    <w:rsid w:val="00C26D71"/>
    <w:rsid w:val="00C27AA1"/>
    <w:rsid w:val="00C30D18"/>
    <w:rsid w:val="00C31E12"/>
    <w:rsid w:val="00C3296C"/>
    <w:rsid w:val="00C3336E"/>
    <w:rsid w:val="00C351EA"/>
    <w:rsid w:val="00C368E7"/>
    <w:rsid w:val="00C41D0E"/>
    <w:rsid w:val="00C42EE6"/>
    <w:rsid w:val="00C43020"/>
    <w:rsid w:val="00C43A17"/>
    <w:rsid w:val="00C442CE"/>
    <w:rsid w:val="00C4542B"/>
    <w:rsid w:val="00C4607E"/>
    <w:rsid w:val="00C516FD"/>
    <w:rsid w:val="00C5328C"/>
    <w:rsid w:val="00C55A6D"/>
    <w:rsid w:val="00C604CB"/>
    <w:rsid w:val="00C70223"/>
    <w:rsid w:val="00C707E5"/>
    <w:rsid w:val="00C71AEB"/>
    <w:rsid w:val="00C730CF"/>
    <w:rsid w:val="00C74E2C"/>
    <w:rsid w:val="00C81289"/>
    <w:rsid w:val="00C8209B"/>
    <w:rsid w:val="00C8236D"/>
    <w:rsid w:val="00C83139"/>
    <w:rsid w:val="00C84397"/>
    <w:rsid w:val="00C84FFB"/>
    <w:rsid w:val="00C85ABF"/>
    <w:rsid w:val="00C865E9"/>
    <w:rsid w:val="00C86981"/>
    <w:rsid w:val="00C90FEC"/>
    <w:rsid w:val="00C91201"/>
    <w:rsid w:val="00C9194A"/>
    <w:rsid w:val="00C92DD4"/>
    <w:rsid w:val="00C94A59"/>
    <w:rsid w:val="00C953DC"/>
    <w:rsid w:val="00CA0201"/>
    <w:rsid w:val="00CA1CC2"/>
    <w:rsid w:val="00CA33B0"/>
    <w:rsid w:val="00CA4B1A"/>
    <w:rsid w:val="00CA61EB"/>
    <w:rsid w:val="00CA64E3"/>
    <w:rsid w:val="00CA7B2B"/>
    <w:rsid w:val="00CB1DEB"/>
    <w:rsid w:val="00CB2348"/>
    <w:rsid w:val="00CB26F4"/>
    <w:rsid w:val="00CB2FDE"/>
    <w:rsid w:val="00CB3BCB"/>
    <w:rsid w:val="00CB4190"/>
    <w:rsid w:val="00CB5F7B"/>
    <w:rsid w:val="00CC0A26"/>
    <w:rsid w:val="00CC1A81"/>
    <w:rsid w:val="00CC50C6"/>
    <w:rsid w:val="00CC5B0E"/>
    <w:rsid w:val="00CC5F5F"/>
    <w:rsid w:val="00CC672C"/>
    <w:rsid w:val="00CC708D"/>
    <w:rsid w:val="00CC7B01"/>
    <w:rsid w:val="00CD2080"/>
    <w:rsid w:val="00CD2C0A"/>
    <w:rsid w:val="00CD4B68"/>
    <w:rsid w:val="00CD5AE0"/>
    <w:rsid w:val="00CD60B6"/>
    <w:rsid w:val="00CD6A0B"/>
    <w:rsid w:val="00CD6F8C"/>
    <w:rsid w:val="00CE130F"/>
    <w:rsid w:val="00CE25C0"/>
    <w:rsid w:val="00CE27B4"/>
    <w:rsid w:val="00CE5793"/>
    <w:rsid w:val="00CE7C8D"/>
    <w:rsid w:val="00CF0920"/>
    <w:rsid w:val="00CF109E"/>
    <w:rsid w:val="00CF16C3"/>
    <w:rsid w:val="00CF5F71"/>
    <w:rsid w:val="00CF72CF"/>
    <w:rsid w:val="00D029BE"/>
    <w:rsid w:val="00D029F3"/>
    <w:rsid w:val="00D0403B"/>
    <w:rsid w:val="00D05366"/>
    <w:rsid w:val="00D05FBD"/>
    <w:rsid w:val="00D077D0"/>
    <w:rsid w:val="00D10A4A"/>
    <w:rsid w:val="00D12153"/>
    <w:rsid w:val="00D1252E"/>
    <w:rsid w:val="00D125D0"/>
    <w:rsid w:val="00D12945"/>
    <w:rsid w:val="00D13C60"/>
    <w:rsid w:val="00D15D0D"/>
    <w:rsid w:val="00D1729D"/>
    <w:rsid w:val="00D17877"/>
    <w:rsid w:val="00D20D03"/>
    <w:rsid w:val="00D22C52"/>
    <w:rsid w:val="00D24F96"/>
    <w:rsid w:val="00D24F98"/>
    <w:rsid w:val="00D24FB9"/>
    <w:rsid w:val="00D2727C"/>
    <w:rsid w:val="00D27DD5"/>
    <w:rsid w:val="00D30192"/>
    <w:rsid w:val="00D3235A"/>
    <w:rsid w:val="00D32882"/>
    <w:rsid w:val="00D339BD"/>
    <w:rsid w:val="00D357B7"/>
    <w:rsid w:val="00D36E5E"/>
    <w:rsid w:val="00D37906"/>
    <w:rsid w:val="00D37F06"/>
    <w:rsid w:val="00D406F3"/>
    <w:rsid w:val="00D408D5"/>
    <w:rsid w:val="00D40CA1"/>
    <w:rsid w:val="00D41C24"/>
    <w:rsid w:val="00D426B3"/>
    <w:rsid w:val="00D43D6B"/>
    <w:rsid w:val="00D43E7C"/>
    <w:rsid w:val="00D441AD"/>
    <w:rsid w:val="00D442A7"/>
    <w:rsid w:val="00D45643"/>
    <w:rsid w:val="00D5018D"/>
    <w:rsid w:val="00D52365"/>
    <w:rsid w:val="00D52F94"/>
    <w:rsid w:val="00D539D1"/>
    <w:rsid w:val="00D55030"/>
    <w:rsid w:val="00D6001D"/>
    <w:rsid w:val="00D60510"/>
    <w:rsid w:val="00D60697"/>
    <w:rsid w:val="00D61500"/>
    <w:rsid w:val="00D64A15"/>
    <w:rsid w:val="00D65204"/>
    <w:rsid w:val="00D67115"/>
    <w:rsid w:val="00D679C9"/>
    <w:rsid w:val="00D71AD5"/>
    <w:rsid w:val="00D746A5"/>
    <w:rsid w:val="00D76E5C"/>
    <w:rsid w:val="00D806CC"/>
    <w:rsid w:val="00D81698"/>
    <w:rsid w:val="00D82216"/>
    <w:rsid w:val="00D82665"/>
    <w:rsid w:val="00D8299F"/>
    <w:rsid w:val="00D82BC9"/>
    <w:rsid w:val="00D834EF"/>
    <w:rsid w:val="00D84571"/>
    <w:rsid w:val="00D8530C"/>
    <w:rsid w:val="00D85DC0"/>
    <w:rsid w:val="00D92D26"/>
    <w:rsid w:val="00D92E59"/>
    <w:rsid w:val="00D95AD8"/>
    <w:rsid w:val="00D9636D"/>
    <w:rsid w:val="00DA0275"/>
    <w:rsid w:val="00DA344D"/>
    <w:rsid w:val="00DA3729"/>
    <w:rsid w:val="00DA4A05"/>
    <w:rsid w:val="00DB0363"/>
    <w:rsid w:val="00DB04E2"/>
    <w:rsid w:val="00DB1998"/>
    <w:rsid w:val="00DB2848"/>
    <w:rsid w:val="00DB4D74"/>
    <w:rsid w:val="00DB541F"/>
    <w:rsid w:val="00DB784F"/>
    <w:rsid w:val="00DC2E1E"/>
    <w:rsid w:val="00DC3847"/>
    <w:rsid w:val="00DC38BB"/>
    <w:rsid w:val="00DC3BF6"/>
    <w:rsid w:val="00DC49C8"/>
    <w:rsid w:val="00DC73A9"/>
    <w:rsid w:val="00DC7860"/>
    <w:rsid w:val="00DD0C56"/>
    <w:rsid w:val="00DD0FF8"/>
    <w:rsid w:val="00DD2382"/>
    <w:rsid w:val="00DD39F9"/>
    <w:rsid w:val="00DD5995"/>
    <w:rsid w:val="00DE2901"/>
    <w:rsid w:val="00DE4D45"/>
    <w:rsid w:val="00DE5808"/>
    <w:rsid w:val="00DE66D2"/>
    <w:rsid w:val="00DE6D8F"/>
    <w:rsid w:val="00DE7211"/>
    <w:rsid w:val="00DE7B29"/>
    <w:rsid w:val="00DF092F"/>
    <w:rsid w:val="00DF3076"/>
    <w:rsid w:val="00DF3FBF"/>
    <w:rsid w:val="00DF4025"/>
    <w:rsid w:val="00DF5B91"/>
    <w:rsid w:val="00DF6FF5"/>
    <w:rsid w:val="00E00069"/>
    <w:rsid w:val="00E01323"/>
    <w:rsid w:val="00E015CE"/>
    <w:rsid w:val="00E0475B"/>
    <w:rsid w:val="00E05D1A"/>
    <w:rsid w:val="00E05F1E"/>
    <w:rsid w:val="00E068D9"/>
    <w:rsid w:val="00E11A2E"/>
    <w:rsid w:val="00E126D8"/>
    <w:rsid w:val="00E13051"/>
    <w:rsid w:val="00E13FBA"/>
    <w:rsid w:val="00E14D68"/>
    <w:rsid w:val="00E150F1"/>
    <w:rsid w:val="00E16C1E"/>
    <w:rsid w:val="00E1751D"/>
    <w:rsid w:val="00E20CF5"/>
    <w:rsid w:val="00E21659"/>
    <w:rsid w:val="00E2321E"/>
    <w:rsid w:val="00E24770"/>
    <w:rsid w:val="00E24E0B"/>
    <w:rsid w:val="00E25302"/>
    <w:rsid w:val="00E276BF"/>
    <w:rsid w:val="00E32D4E"/>
    <w:rsid w:val="00E33154"/>
    <w:rsid w:val="00E35105"/>
    <w:rsid w:val="00E37CAA"/>
    <w:rsid w:val="00E40B30"/>
    <w:rsid w:val="00E4215A"/>
    <w:rsid w:val="00E430AE"/>
    <w:rsid w:val="00E43D58"/>
    <w:rsid w:val="00E4542E"/>
    <w:rsid w:val="00E4587D"/>
    <w:rsid w:val="00E47446"/>
    <w:rsid w:val="00E502A6"/>
    <w:rsid w:val="00E51D5A"/>
    <w:rsid w:val="00E53998"/>
    <w:rsid w:val="00E54FCE"/>
    <w:rsid w:val="00E5529D"/>
    <w:rsid w:val="00E55D1D"/>
    <w:rsid w:val="00E55EA4"/>
    <w:rsid w:val="00E56EB5"/>
    <w:rsid w:val="00E573E2"/>
    <w:rsid w:val="00E606B8"/>
    <w:rsid w:val="00E61889"/>
    <w:rsid w:val="00E62336"/>
    <w:rsid w:val="00E62D19"/>
    <w:rsid w:val="00E63F1B"/>
    <w:rsid w:val="00E652C3"/>
    <w:rsid w:val="00E65B27"/>
    <w:rsid w:val="00E6635F"/>
    <w:rsid w:val="00E67B2C"/>
    <w:rsid w:val="00E70F06"/>
    <w:rsid w:val="00E72245"/>
    <w:rsid w:val="00E73494"/>
    <w:rsid w:val="00E82574"/>
    <w:rsid w:val="00E8618F"/>
    <w:rsid w:val="00E86F4D"/>
    <w:rsid w:val="00E86FDC"/>
    <w:rsid w:val="00E90E23"/>
    <w:rsid w:val="00E9296F"/>
    <w:rsid w:val="00E95F35"/>
    <w:rsid w:val="00E96014"/>
    <w:rsid w:val="00E97CFB"/>
    <w:rsid w:val="00E97E3C"/>
    <w:rsid w:val="00EA10CE"/>
    <w:rsid w:val="00EA38B9"/>
    <w:rsid w:val="00EA4214"/>
    <w:rsid w:val="00EA489F"/>
    <w:rsid w:val="00EA49E7"/>
    <w:rsid w:val="00EA5D4F"/>
    <w:rsid w:val="00EA645C"/>
    <w:rsid w:val="00EA71D5"/>
    <w:rsid w:val="00EB103A"/>
    <w:rsid w:val="00EB1046"/>
    <w:rsid w:val="00EB2B99"/>
    <w:rsid w:val="00EB2D2D"/>
    <w:rsid w:val="00EB59B4"/>
    <w:rsid w:val="00EB5FF1"/>
    <w:rsid w:val="00EB7227"/>
    <w:rsid w:val="00EC2BE2"/>
    <w:rsid w:val="00EC31AC"/>
    <w:rsid w:val="00EC4B53"/>
    <w:rsid w:val="00EC53D8"/>
    <w:rsid w:val="00EC5B79"/>
    <w:rsid w:val="00ED08A8"/>
    <w:rsid w:val="00ED2179"/>
    <w:rsid w:val="00ED2A87"/>
    <w:rsid w:val="00ED3DDA"/>
    <w:rsid w:val="00ED74DA"/>
    <w:rsid w:val="00EE025B"/>
    <w:rsid w:val="00EE0862"/>
    <w:rsid w:val="00EE1446"/>
    <w:rsid w:val="00EE1A2A"/>
    <w:rsid w:val="00EE1AEC"/>
    <w:rsid w:val="00EE2195"/>
    <w:rsid w:val="00EE2E88"/>
    <w:rsid w:val="00EE3806"/>
    <w:rsid w:val="00EE398D"/>
    <w:rsid w:val="00EE504E"/>
    <w:rsid w:val="00EE51B4"/>
    <w:rsid w:val="00EE5AE9"/>
    <w:rsid w:val="00EE645B"/>
    <w:rsid w:val="00EE66A2"/>
    <w:rsid w:val="00EE70B7"/>
    <w:rsid w:val="00EE73FF"/>
    <w:rsid w:val="00EE77EA"/>
    <w:rsid w:val="00EF1C09"/>
    <w:rsid w:val="00EF3121"/>
    <w:rsid w:val="00EF3777"/>
    <w:rsid w:val="00EF3CF3"/>
    <w:rsid w:val="00EF3D9A"/>
    <w:rsid w:val="00EF3DB0"/>
    <w:rsid w:val="00EF48EA"/>
    <w:rsid w:val="00EF5AC1"/>
    <w:rsid w:val="00EF5D1B"/>
    <w:rsid w:val="00F00AA8"/>
    <w:rsid w:val="00F00F1A"/>
    <w:rsid w:val="00F046DA"/>
    <w:rsid w:val="00F04E6A"/>
    <w:rsid w:val="00F14002"/>
    <w:rsid w:val="00F1490C"/>
    <w:rsid w:val="00F14FB5"/>
    <w:rsid w:val="00F1521B"/>
    <w:rsid w:val="00F1635E"/>
    <w:rsid w:val="00F16839"/>
    <w:rsid w:val="00F17152"/>
    <w:rsid w:val="00F27133"/>
    <w:rsid w:val="00F2713E"/>
    <w:rsid w:val="00F30265"/>
    <w:rsid w:val="00F30A51"/>
    <w:rsid w:val="00F32423"/>
    <w:rsid w:val="00F33D30"/>
    <w:rsid w:val="00F34151"/>
    <w:rsid w:val="00F35175"/>
    <w:rsid w:val="00F35C66"/>
    <w:rsid w:val="00F43BB0"/>
    <w:rsid w:val="00F44270"/>
    <w:rsid w:val="00F45424"/>
    <w:rsid w:val="00F45EEC"/>
    <w:rsid w:val="00F50243"/>
    <w:rsid w:val="00F51E1F"/>
    <w:rsid w:val="00F52703"/>
    <w:rsid w:val="00F53CE1"/>
    <w:rsid w:val="00F54566"/>
    <w:rsid w:val="00F549DF"/>
    <w:rsid w:val="00F559A2"/>
    <w:rsid w:val="00F56B7F"/>
    <w:rsid w:val="00F56F5E"/>
    <w:rsid w:val="00F60AEF"/>
    <w:rsid w:val="00F64381"/>
    <w:rsid w:val="00F64B52"/>
    <w:rsid w:val="00F67E7B"/>
    <w:rsid w:val="00F706BA"/>
    <w:rsid w:val="00F73A66"/>
    <w:rsid w:val="00F743F0"/>
    <w:rsid w:val="00F80DD8"/>
    <w:rsid w:val="00F8354E"/>
    <w:rsid w:val="00F91317"/>
    <w:rsid w:val="00F9318A"/>
    <w:rsid w:val="00F93D7C"/>
    <w:rsid w:val="00F958E6"/>
    <w:rsid w:val="00F964AD"/>
    <w:rsid w:val="00F9655C"/>
    <w:rsid w:val="00FA2011"/>
    <w:rsid w:val="00FA2E47"/>
    <w:rsid w:val="00FA31FE"/>
    <w:rsid w:val="00FA4A35"/>
    <w:rsid w:val="00FB00FD"/>
    <w:rsid w:val="00FB05EE"/>
    <w:rsid w:val="00FB0682"/>
    <w:rsid w:val="00FB0E79"/>
    <w:rsid w:val="00FB31EB"/>
    <w:rsid w:val="00FB37C1"/>
    <w:rsid w:val="00FB3D15"/>
    <w:rsid w:val="00FB3D8F"/>
    <w:rsid w:val="00FB52E1"/>
    <w:rsid w:val="00FB56C4"/>
    <w:rsid w:val="00FB6EA4"/>
    <w:rsid w:val="00FB78C7"/>
    <w:rsid w:val="00FC12E9"/>
    <w:rsid w:val="00FC34D3"/>
    <w:rsid w:val="00FC3FD3"/>
    <w:rsid w:val="00FC70EF"/>
    <w:rsid w:val="00FC7B62"/>
    <w:rsid w:val="00FC7CAB"/>
    <w:rsid w:val="00FC7F39"/>
    <w:rsid w:val="00FD1C4A"/>
    <w:rsid w:val="00FD300A"/>
    <w:rsid w:val="00FD67B7"/>
    <w:rsid w:val="00FD7591"/>
    <w:rsid w:val="00FE0C85"/>
    <w:rsid w:val="00FE14E1"/>
    <w:rsid w:val="00FE2FC7"/>
    <w:rsid w:val="00FE6DAF"/>
    <w:rsid w:val="00FE6EE0"/>
    <w:rsid w:val="00FF2380"/>
    <w:rsid w:val="00FF3830"/>
    <w:rsid w:val="00FF3B8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4B"/>
    <w:pPr>
      <w:spacing w:before="200" w:line="276" w:lineRule="auto"/>
    </w:pPr>
    <w:rPr>
      <w:rFonts w:asciiTheme="minorHAnsi" w:hAnsiTheme="minorHAnsi"/>
      <w:color w:val="444448"/>
      <w:sz w:val="22"/>
      <w:szCs w:val="22"/>
      <w:lang w:eastAsia="en-US"/>
    </w:rPr>
  </w:style>
  <w:style w:type="paragraph" w:styleId="Heading1">
    <w:name w:val="heading 1"/>
    <w:basedOn w:val="Normal"/>
    <w:next w:val="Normal"/>
    <w:link w:val="Heading1Char"/>
    <w:uiPriority w:val="9"/>
    <w:qFormat/>
    <w:rsid w:val="00986013"/>
    <w:pPr>
      <w:keepNext/>
      <w:numPr>
        <w:numId w:val="6"/>
      </w:numPr>
      <w:tabs>
        <w:tab w:val="left" w:pos="709"/>
      </w:tabs>
      <w:spacing w:before="0" w:after="60"/>
      <w:outlineLvl w:val="0"/>
    </w:pPr>
    <w:rPr>
      <w:rFonts w:eastAsia="Times New Roman"/>
      <w:b/>
      <w:bCs/>
      <w:color w:val="4E1A74"/>
      <w:kern w:val="32"/>
      <w:sz w:val="32"/>
      <w:szCs w:val="32"/>
    </w:rPr>
  </w:style>
  <w:style w:type="paragraph" w:styleId="Heading2">
    <w:name w:val="heading 2"/>
    <w:basedOn w:val="Normal"/>
    <w:next w:val="Normal"/>
    <w:link w:val="Heading2Char"/>
    <w:uiPriority w:val="9"/>
    <w:unhideWhenUsed/>
    <w:qFormat/>
    <w:rsid w:val="001E7A4B"/>
    <w:pPr>
      <w:keepNext/>
      <w:numPr>
        <w:ilvl w:val="1"/>
        <w:numId w:val="6"/>
      </w:numPr>
      <w:spacing w:before="240" w:after="60"/>
      <w:outlineLvl w:val="1"/>
    </w:pPr>
    <w:rPr>
      <w:rFonts w:eastAsia="Times New Roman"/>
      <w:b/>
      <w:bCs/>
      <w:iCs/>
      <w:snapToGrid w:val="0"/>
      <w:color w:val="4E1A74"/>
      <w:sz w:val="28"/>
      <w:szCs w:val="28"/>
    </w:rPr>
  </w:style>
  <w:style w:type="paragraph" w:styleId="Heading3">
    <w:name w:val="heading 3"/>
    <w:basedOn w:val="Normal"/>
    <w:next w:val="Normal"/>
    <w:link w:val="Heading3Char"/>
    <w:uiPriority w:val="9"/>
    <w:unhideWhenUsed/>
    <w:qFormat/>
    <w:rsid w:val="00176586"/>
    <w:pPr>
      <w:keepNext/>
      <w:numPr>
        <w:ilvl w:val="2"/>
        <w:numId w:val="6"/>
      </w:numPr>
      <w:outlineLvl w:val="2"/>
    </w:pPr>
    <w:rPr>
      <w:rFonts w:eastAsia="+mj-ea"/>
      <w:b/>
      <w:bCs/>
      <w:i/>
      <w:sz w:val="28"/>
      <w:szCs w:val="26"/>
    </w:rPr>
  </w:style>
  <w:style w:type="paragraph" w:styleId="Heading4">
    <w:name w:val="heading 4"/>
    <w:basedOn w:val="Normal"/>
    <w:next w:val="Normal"/>
    <w:link w:val="Heading4Char"/>
    <w:uiPriority w:val="9"/>
    <w:unhideWhenUsed/>
    <w:qFormat/>
    <w:rsid w:val="00AC5860"/>
    <w:pPr>
      <w:keepNext/>
      <w:numPr>
        <w:ilvl w:val="3"/>
        <w:numId w:val="6"/>
      </w:numPr>
      <w:tabs>
        <w:tab w:val="left" w:pos="993"/>
      </w:tabs>
      <w:spacing w:after="60"/>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2D01AE"/>
    <w:pPr>
      <w:numPr>
        <w:ilvl w:val="4"/>
        <w:numId w:val="6"/>
      </w:numPr>
      <w:spacing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2D01AE"/>
    <w:pPr>
      <w:numPr>
        <w:ilvl w:val="5"/>
        <w:numId w:val="6"/>
      </w:numPr>
      <w:spacing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2D01AE"/>
    <w:pPr>
      <w:numPr>
        <w:ilvl w:val="6"/>
        <w:numId w:val="6"/>
      </w:numPr>
      <w:spacing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2D01AE"/>
    <w:pPr>
      <w:numPr>
        <w:ilvl w:val="7"/>
        <w:numId w:val="6"/>
      </w:numPr>
      <w:spacing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2D01AE"/>
    <w:pPr>
      <w:numPr>
        <w:ilvl w:val="8"/>
        <w:numId w:val="6"/>
      </w:numPr>
      <w:spacing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08F"/>
    <w:pPr>
      <w:numPr>
        <w:numId w:val="3"/>
      </w:numPr>
      <w:ind w:left="357" w:hanging="357"/>
      <w:contextualSpacing/>
    </w:pPr>
  </w:style>
  <w:style w:type="paragraph" w:styleId="Title">
    <w:name w:val="Title"/>
    <w:basedOn w:val="Normal"/>
    <w:next w:val="Normal"/>
    <w:link w:val="TitleChar"/>
    <w:uiPriority w:val="10"/>
    <w:qFormat/>
    <w:rsid w:val="00887FFD"/>
    <w:pPr>
      <w:spacing w:after="60"/>
      <w:jc w:val="center"/>
      <w:outlineLvl w:val="0"/>
    </w:pPr>
    <w:rPr>
      <w:rFonts w:eastAsia="Times New Roman"/>
      <w:b/>
      <w:bCs/>
      <w:kern w:val="28"/>
      <w:sz w:val="44"/>
      <w:szCs w:val="32"/>
    </w:rPr>
  </w:style>
  <w:style w:type="character" w:customStyle="1" w:styleId="TitleChar">
    <w:name w:val="Title Char"/>
    <w:basedOn w:val="DefaultParagraphFont"/>
    <w:link w:val="Title"/>
    <w:uiPriority w:val="10"/>
    <w:rsid w:val="00887FFD"/>
    <w:rPr>
      <w:rFonts w:asciiTheme="minorHAnsi" w:eastAsia="Times New Roman" w:hAnsiTheme="minorHAnsi"/>
      <w:b/>
      <w:bCs/>
      <w:color w:val="444448"/>
      <w:kern w:val="28"/>
      <w:sz w:val="44"/>
      <w:szCs w:val="32"/>
      <w:lang w:eastAsia="en-US"/>
    </w:rPr>
  </w:style>
  <w:style w:type="character" w:customStyle="1" w:styleId="Heading1Char">
    <w:name w:val="Heading 1 Char"/>
    <w:basedOn w:val="DefaultParagraphFont"/>
    <w:link w:val="Heading1"/>
    <w:uiPriority w:val="9"/>
    <w:rsid w:val="00986013"/>
    <w:rPr>
      <w:rFonts w:asciiTheme="minorHAnsi" w:eastAsia="Times New Roman" w:hAnsiTheme="minorHAnsi"/>
      <w:b/>
      <w:bCs/>
      <w:color w:val="4E1A74"/>
      <w:kern w:val="32"/>
      <w:sz w:val="32"/>
      <w:szCs w:val="32"/>
      <w:lang w:eastAsia="en-US"/>
    </w:rPr>
  </w:style>
  <w:style w:type="character" w:customStyle="1" w:styleId="Heading2Char">
    <w:name w:val="Heading 2 Char"/>
    <w:basedOn w:val="DefaultParagraphFont"/>
    <w:link w:val="Heading2"/>
    <w:uiPriority w:val="9"/>
    <w:rsid w:val="001E7A4B"/>
    <w:rPr>
      <w:rFonts w:asciiTheme="minorHAnsi" w:eastAsia="Times New Roman" w:hAnsiTheme="minorHAnsi"/>
      <w:b/>
      <w:bCs/>
      <w:iCs/>
      <w:snapToGrid w:val="0"/>
      <w:color w:val="4E1A74"/>
      <w:sz w:val="28"/>
      <w:szCs w:val="28"/>
      <w:lang w:eastAsia="en-US"/>
    </w:rPr>
  </w:style>
  <w:style w:type="character" w:customStyle="1" w:styleId="Heading3Char">
    <w:name w:val="Heading 3 Char"/>
    <w:basedOn w:val="DefaultParagraphFont"/>
    <w:link w:val="Heading3"/>
    <w:uiPriority w:val="9"/>
    <w:rsid w:val="00176586"/>
    <w:rPr>
      <w:rFonts w:asciiTheme="minorHAnsi" w:eastAsia="+mj-ea" w:hAnsiTheme="minorHAnsi"/>
      <w:b/>
      <w:bCs/>
      <w:i/>
      <w:sz w:val="28"/>
      <w:szCs w:val="26"/>
      <w:lang w:eastAsia="en-US"/>
    </w:rPr>
  </w:style>
  <w:style w:type="character" w:customStyle="1" w:styleId="Heading4Char">
    <w:name w:val="Heading 4 Char"/>
    <w:basedOn w:val="DefaultParagraphFont"/>
    <w:link w:val="Heading4"/>
    <w:uiPriority w:val="9"/>
    <w:rsid w:val="00AC5860"/>
    <w:rPr>
      <w:rFonts w:asciiTheme="minorHAnsi" w:eastAsia="Times New Roman" w:hAnsiTheme="minorHAnsi"/>
      <w:b/>
      <w:bCs/>
      <w:sz w:val="22"/>
      <w:szCs w:val="28"/>
      <w:lang w:eastAsia="en-US"/>
    </w:rPr>
  </w:style>
  <w:style w:type="character" w:customStyle="1" w:styleId="Heading5Char">
    <w:name w:val="Heading 5 Char"/>
    <w:basedOn w:val="DefaultParagraphFont"/>
    <w:link w:val="Heading5"/>
    <w:uiPriority w:val="9"/>
    <w:semiHidden/>
    <w:rsid w:val="002D01AE"/>
    <w:rPr>
      <w:rFonts w:eastAsia="Times New Roman"/>
      <w:b/>
      <w:bCs/>
      <w:i/>
      <w:iCs/>
      <w:sz w:val="26"/>
      <w:szCs w:val="26"/>
      <w:lang w:eastAsia="en-US"/>
    </w:rPr>
  </w:style>
  <w:style w:type="character" w:customStyle="1" w:styleId="Heading6Char">
    <w:name w:val="Heading 6 Char"/>
    <w:basedOn w:val="DefaultParagraphFont"/>
    <w:link w:val="Heading6"/>
    <w:uiPriority w:val="9"/>
    <w:semiHidden/>
    <w:rsid w:val="002D01AE"/>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2D01AE"/>
    <w:rPr>
      <w:rFonts w:eastAsia="Times New Roman"/>
      <w:sz w:val="22"/>
      <w:szCs w:val="24"/>
      <w:lang w:eastAsia="en-US"/>
    </w:rPr>
  </w:style>
  <w:style w:type="character" w:customStyle="1" w:styleId="Heading8Char">
    <w:name w:val="Heading 8 Char"/>
    <w:basedOn w:val="DefaultParagraphFont"/>
    <w:link w:val="Heading8"/>
    <w:uiPriority w:val="9"/>
    <w:semiHidden/>
    <w:rsid w:val="002D01AE"/>
    <w:rPr>
      <w:rFonts w:eastAsia="Times New Roman"/>
      <w:i/>
      <w:iCs/>
      <w:sz w:val="22"/>
      <w:szCs w:val="24"/>
      <w:lang w:eastAsia="en-US"/>
    </w:rPr>
  </w:style>
  <w:style w:type="character" w:customStyle="1" w:styleId="Heading9Char">
    <w:name w:val="Heading 9 Char"/>
    <w:basedOn w:val="DefaultParagraphFont"/>
    <w:link w:val="Heading9"/>
    <w:uiPriority w:val="9"/>
    <w:semiHidden/>
    <w:rsid w:val="002D01AE"/>
    <w:rPr>
      <w:rFonts w:ascii="Cambria" w:eastAsia="Times New Roman" w:hAnsi="Cambria"/>
      <w:sz w:val="22"/>
      <w:szCs w:val="22"/>
      <w:lang w:eastAsia="en-US"/>
    </w:rPr>
  </w:style>
  <w:style w:type="paragraph" w:styleId="TOCHeading">
    <w:name w:val="TOC Heading"/>
    <w:basedOn w:val="Heading1"/>
    <w:next w:val="Normal"/>
    <w:uiPriority w:val="39"/>
    <w:unhideWhenUsed/>
    <w:qFormat/>
    <w:rsid w:val="00CF72CF"/>
    <w:pPr>
      <w:keepLines/>
      <w:numPr>
        <w:numId w:val="0"/>
      </w:numPr>
      <w:spacing w:before="480" w:after="0"/>
      <w:outlineLvl w:val="9"/>
    </w:pPr>
    <w:rPr>
      <w:color w:val="365F91"/>
      <w:kern w:val="0"/>
      <w:sz w:val="28"/>
      <w:szCs w:val="28"/>
      <w:lang w:val="en-US"/>
    </w:rPr>
  </w:style>
  <w:style w:type="paragraph" w:styleId="TOC1">
    <w:name w:val="toc 1"/>
    <w:basedOn w:val="Normal"/>
    <w:next w:val="Normal"/>
    <w:autoRedefine/>
    <w:uiPriority w:val="39"/>
    <w:unhideWhenUsed/>
    <w:rsid w:val="00756400"/>
    <w:pPr>
      <w:tabs>
        <w:tab w:val="right" w:leader="dot" w:pos="9072"/>
      </w:tabs>
      <w:ind w:left="567" w:hanging="567"/>
    </w:pPr>
    <w:rPr>
      <w:b/>
      <w:color w:val="4E1A74"/>
    </w:rPr>
  </w:style>
  <w:style w:type="paragraph" w:styleId="TOC2">
    <w:name w:val="toc 2"/>
    <w:basedOn w:val="Normal"/>
    <w:next w:val="Normal"/>
    <w:autoRedefine/>
    <w:uiPriority w:val="39"/>
    <w:unhideWhenUsed/>
    <w:rsid w:val="00756400"/>
    <w:pPr>
      <w:tabs>
        <w:tab w:val="left" w:pos="1320"/>
        <w:tab w:val="right" w:leader="dot" w:pos="9072"/>
      </w:tabs>
      <w:spacing w:before="120"/>
      <w:ind w:left="567"/>
    </w:pPr>
  </w:style>
  <w:style w:type="paragraph" w:styleId="TOC3">
    <w:name w:val="toc 3"/>
    <w:basedOn w:val="Normal"/>
    <w:next w:val="Normal"/>
    <w:autoRedefine/>
    <w:uiPriority w:val="39"/>
    <w:unhideWhenUsed/>
    <w:rsid w:val="00756400"/>
    <w:pPr>
      <w:tabs>
        <w:tab w:val="left" w:pos="1276"/>
        <w:tab w:val="right" w:leader="dot" w:pos="9072"/>
      </w:tabs>
      <w:ind w:left="1276" w:right="851" w:hanging="1276"/>
    </w:pPr>
    <w:rPr>
      <w:rFonts w:eastAsiaTheme="minorEastAsia" w:cstheme="minorBidi"/>
      <w:b/>
      <w:noProof/>
      <w:color w:val="4E1A74"/>
      <w:lang w:eastAsia="en-AU"/>
    </w:rPr>
  </w:style>
  <w:style w:type="character" w:styleId="Hyperlink">
    <w:name w:val="Hyperlink"/>
    <w:basedOn w:val="DefaultParagraphFont"/>
    <w:uiPriority w:val="99"/>
    <w:unhideWhenUsed/>
    <w:rsid w:val="00CF72CF"/>
    <w:rPr>
      <w:color w:val="0000FF"/>
      <w:u w:val="single"/>
    </w:rPr>
  </w:style>
  <w:style w:type="paragraph" w:styleId="TOC4">
    <w:name w:val="toc 4"/>
    <w:basedOn w:val="Normal"/>
    <w:next w:val="Normal"/>
    <w:autoRedefine/>
    <w:uiPriority w:val="39"/>
    <w:unhideWhenUsed/>
    <w:rsid w:val="00756400"/>
    <w:pPr>
      <w:tabs>
        <w:tab w:val="left" w:pos="1985"/>
        <w:tab w:val="right" w:leader="dot" w:pos="9072"/>
      </w:tabs>
      <w:spacing w:before="120"/>
      <w:ind w:left="1985" w:hanging="709"/>
    </w:pPr>
    <w:rPr>
      <w:noProof/>
    </w:rPr>
  </w:style>
  <w:style w:type="paragraph" w:styleId="Header">
    <w:name w:val="header"/>
    <w:basedOn w:val="Normal"/>
    <w:link w:val="HeaderChar"/>
    <w:rsid w:val="00773EED"/>
    <w:pPr>
      <w:widowControl w:val="0"/>
      <w:tabs>
        <w:tab w:val="center" w:pos="4153"/>
        <w:tab w:val="right" w:pos="8306"/>
      </w:tabs>
      <w:spacing w:before="0"/>
    </w:pPr>
    <w:rPr>
      <w:rFonts w:eastAsia="Times New Roman"/>
      <w:snapToGrid w:val="0"/>
      <w:szCs w:val="20"/>
      <w:lang w:val="en-US"/>
    </w:rPr>
  </w:style>
  <w:style w:type="character" w:customStyle="1" w:styleId="HeaderChar">
    <w:name w:val="Header Char"/>
    <w:basedOn w:val="DefaultParagraphFont"/>
    <w:link w:val="Header"/>
    <w:uiPriority w:val="99"/>
    <w:rsid w:val="00773EED"/>
    <w:rPr>
      <w:rFonts w:ascii="Times New Roman" w:eastAsia="Times New Roman" w:hAnsi="Times New Roman"/>
      <w:snapToGrid w:val="0"/>
      <w:sz w:val="24"/>
      <w:lang w:val="en-US" w:eastAsia="en-US"/>
    </w:rPr>
  </w:style>
  <w:style w:type="paragraph" w:styleId="Caption">
    <w:name w:val="caption"/>
    <w:basedOn w:val="Normal"/>
    <w:next w:val="Normal"/>
    <w:uiPriority w:val="35"/>
    <w:unhideWhenUsed/>
    <w:qFormat/>
    <w:rsid w:val="00C84397"/>
    <w:pPr>
      <w:keepNext/>
      <w:ind w:left="1134" w:hanging="1134"/>
    </w:pPr>
    <w:rPr>
      <w:bCs/>
      <w:i/>
    </w:rPr>
  </w:style>
  <w:style w:type="paragraph" w:styleId="BalloonText">
    <w:name w:val="Balloon Text"/>
    <w:basedOn w:val="Normal"/>
    <w:link w:val="BalloonTextChar"/>
    <w:uiPriority w:val="99"/>
    <w:semiHidden/>
    <w:unhideWhenUsed/>
    <w:rsid w:val="005F69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E1"/>
    <w:rPr>
      <w:rFonts w:ascii="Tahoma" w:hAnsi="Tahoma" w:cs="Tahoma"/>
      <w:sz w:val="16"/>
      <w:szCs w:val="16"/>
      <w:lang w:eastAsia="en-US"/>
    </w:rPr>
  </w:style>
  <w:style w:type="paragraph" w:styleId="ListBullet">
    <w:name w:val="List Bullet"/>
    <w:basedOn w:val="Normal"/>
    <w:uiPriority w:val="99"/>
    <w:unhideWhenUsed/>
    <w:rsid w:val="00176586"/>
    <w:pPr>
      <w:numPr>
        <w:numId w:val="1"/>
      </w:numPr>
      <w:spacing w:before="120"/>
      <w:ind w:left="357" w:hanging="357"/>
    </w:pPr>
  </w:style>
  <w:style w:type="paragraph" w:styleId="ListBullet2">
    <w:name w:val="List Bullet 2"/>
    <w:basedOn w:val="Normal"/>
    <w:uiPriority w:val="99"/>
    <w:unhideWhenUsed/>
    <w:rsid w:val="007039B1"/>
    <w:pPr>
      <w:numPr>
        <w:numId w:val="2"/>
      </w:numPr>
      <w:spacing w:before="120" w:after="100" w:afterAutospacing="1"/>
    </w:pPr>
  </w:style>
  <w:style w:type="paragraph" w:customStyle="1" w:styleId="Reference">
    <w:name w:val="Reference"/>
    <w:basedOn w:val="Normal"/>
    <w:qFormat/>
    <w:rsid w:val="00C9194A"/>
    <w:pPr>
      <w:ind w:left="540" w:hanging="540"/>
    </w:pPr>
    <w:rPr>
      <w:rFonts w:eastAsia="Times New Roman"/>
      <w:szCs w:val="24"/>
      <w:lang w:eastAsia="en-AU"/>
    </w:rPr>
  </w:style>
  <w:style w:type="character" w:styleId="CommentReference">
    <w:name w:val="annotation reference"/>
    <w:basedOn w:val="DefaultParagraphFont"/>
    <w:uiPriority w:val="99"/>
    <w:semiHidden/>
    <w:unhideWhenUsed/>
    <w:rsid w:val="00EA49E7"/>
    <w:rPr>
      <w:sz w:val="16"/>
      <w:szCs w:val="16"/>
    </w:rPr>
  </w:style>
  <w:style w:type="paragraph" w:styleId="CommentText">
    <w:name w:val="annotation text"/>
    <w:basedOn w:val="Normal"/>
    <w:link w:val="CommentTextChar"/>
    <w:uiPriority w:val="99"/>
    <w:semiHidden/>
    <w:unhideWhenUsed/>
    <w:rsid w:val="00EA49E7"/>
    <w:rPr>
      <w:sz w:val="20"/>
      <w:szCs w:val="20"/>
    </w:rPr>
  </w:style>
  <w:style w:type="character" w:customStyle="1" w:styleId="CommentTextChar">
    <w:name w:val="Comment Text Char"/>
    <w:basedOn w:val="DefaultParagraphFont"/>
    <w:link w:val="CommentText"/>
    <w:uiPriority w:val="99"/>
    <w:semiHidden/>
    <w:rsid w:val="00EA49E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A49E7"/>
    <w:rPr>
      <w:b/>
      <w:bCs/>
    </w:rPr>
  </w:style>
  <w:style w:type="character" w:customStyle="1" w:styleId="CommentSubjectChar">
    <w:name w:val="Comment Subject Char"/>
    <w:basedOn w:val="CommentTextChar"/>
    <w:link w:val="CommentSubject"/>
    <w:uiPriority w:val="99"/>
    <w:semiHidden/>
    <w:rsid w:val="00EA49E7"/>
    <w:rPr>
      <w:rFonts w:ascii="Times New Roman" w:hAnsi="Times New Roman"/>
      <w:b/>
      <w:bCs/>
      <w:lang w:eastAsia="en-US"/>
    </w:rPr>
  </w:style>
  <w:style w:type="paragraph" w:styleId="Footer">
    <w:name w:val="footer"/>
    <w:basedOn w:val="Normal"/>
    <w:link w:val="FooterChar"/>
    <w:uiPriority w:val="99"/>
    <w:unhideWhenUsed/>
    <w:rsid w:val="00B77280"/>
    <w:pPr>
      <w:tabs>
        <w:tab w:val="center" w:pos="4513"/>
        <w:tab w:val="right" w:pos="9026"/>
      </w:tabs>
    </w:pPr>
  </w:style>
  <w:style w:type="character" w:customStyle="1" w:styleId="FooterChar">
    <w:name w:val="Footer Char"/>
    <w:basedOn w:val="DefaultParagraphFont"/>
    <w:link w:val="Footer"/>
    <w:uiPriority w:val="99"/>
    <w:rsid w:val="00B77280"/>
    <w:rPr>
      <w:rFonts w:ascii="Times New Roman" w:hAnsi="Times New Roman"/>
      <w:sz w:val="24"/>
      <w:szCs w:val="22"/>
      <w:lang w:eastAsia="en-US"/>
    </w:rPr>
  </w:style>
  <w:style w:type="table" w:styleId="TableGrid">
    <w:name w:val="Table Grid"/>
    <w:basedOn w:val="TableNormal"/>
    <w:uiPriority w:val="59"/>
    <w:rsid w:val="00B77280"/>
    <w:rPr>
      <w:rFonts w:ascii="Georgia" w:hAnsi="Georgia"/>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030E8D"/>
  </w:style>
  <w:style w:type="paragraph" w:styleId="FootnoteText">
    <w:name w:val="footnote text"/>
    <w:basedOn w:val="Normal"/>
    <w:link w:val="FootnoteTextChar"/>
    <w:uiPriority w:val="99"/>
    <w:semiHidden/>
    <w:unhideWhenUsed/>
    <w:rsid w:val="004648DD"/>
    <w:rPr>
      <w:sz w:val="20"/>
      <w:szCs w:val="20"/>
    </w:rPr>
  </w:style>
  <w:style w:type="character" w:customStyle="1" w:styleId="FootnoteTextChar">
    <w:name w:val="Footnote Text Char"/>
    <w:basedOn w:val="DefaultParagraphFont"/>
    <w:link w:val="FootnoteText"/>
    <w:uiPriority w:val="99"/>
    <w:semiHidden/>
    <w:rsid w:val="004648DD"/>
    <w:rPr>
      <w:rFonts w:ascii="Times New Roman" w:hAnsi="Times New Roman"/>
      <w:lang w:eastAsia="en-US"/>
    </w:rPr>
  </w:style>
  <w:style w:type="character" w:styleId="FootnoteReference">
    <w:name w:val="footnote reference"/>
    <w:basedOn w:val="DefaultParagraphFont"/>
    <w:uiPriority w:val="99"/>
    <w:semiHidden/>
    <w:unhideWhenUsed/>
    <w:rsid w:val="004648DD"/>
    <w:rPr>
      <w:vertAlign w:val="superscript"/>
    </w:rPr>
  </w:style>
  <w:style w:type="paragraph" w:customStyle="1" w:styleId="Default">
    <w:name w:val="Default"/>
    <w:rsid w:val="000927A2"/>
    <w:pPr>
      <w:autoSpaceDE w:val="0"/>
      <w:autoSpaceDN w:val="0"/>
      <w:adjustRightInd w:val="0"/>
    </w:pPr>
    <w:rPr>
      <w:rFonts w:ascii="Aparajita" w:hAnsi="Aparajita" w:cs="Aparajita"/>
      <w:color w:val="000000"/>
      <w:sz w:val="24"/>
      <w:szCs w:val="24"/>
    </w:rPr>
  </w:style>
  <w:style w:type="paragraph" w:customStyle="1" w:styleId="TableNormal1">
    <w:name w:val="Table Normal1"/>
    <w:basedOn w:val="Normal"/>
    <w:qFormat/>
    <w:rsid w:val="00082925"/>
    <w:pPr>
      <w:keepNext/>
      <w:spacing w:before="60" w:after="60"/>
    </w:pPr>
    <w:rPr>
      <w:sz w:val="20"/>
    </w:rPr>
  </w:style>
  <w:style w:type="paragraph" w:customStyle="1" w:styleId="StyleReferenceLeft0cmFirstline0cm">
    <w:name w:val="Style Reference + Left:  0 cm First line:  0 cm"/>
    <w:basedOn w:val="Normal"/>
    <w:rsid w:val="009A3B60"/>
    <w:pPr>
      <w:numPr>
        <w:numId w:val="5"/>
      </w:numPr>
      <w:spacing w:before="0"/>
    </w:pPr>
    <w:rPr>
      <w:rFonts w:eastAsia="Times New Roman"/>
      <w:szCs w:val="24"/>
      <w:lang w:eastAsia="en-AU"/>
    </w:rPr>
  </w:style>
  <w:style w:type="paragraph" w:styleId="ListNumber">
    <w:name w:val="List Number"/>
    <w:basedOn w:val="Normal"/>
    <w:rsid w:val="009A3B60"/>
    <w:pPr>
      <w:tabs>
        <w:tab w:val="num" w:pos="360"/>
      </w:tabs>
      <w:spacing w:before="0" w:after="240"/>
      <w:ind w:left="360" w:hanging="360"/>
    </w:pPr>
    <w:rPr>
      <w:rFonts w:eastAsia="Times New Roman"/>
      <w:szCs w:val="24"/>
      <w:lang w:eastAsia="en-AU"/>
    </w:rPr>
  </w:style>
  <w:style w:type="paragraph" w:customStyle="1" w:styleId="CM25">
    <w:name w:val="CM25"/>
    <w:basedOn w:val="Default"/>
    <w:next w:val="Default"/>
    <w:uiPriority w:val="99"/>
    <w:rsid w:val="00F50243"/>
    <w:pPr>
      <w:widowControl w:val="0"/>
    </w:pPr>
    <w:rPr>
      <w:rFonts w:ascii="Arial" w:eastAsia="Times New Roman" w:hAnsi="Arial" w:cs="Arial"/>
      <w:color w:val="auto"/>
    </w:rPr>
  </w:style>
  <w:style w:type="paragraph" w:customStyle="1" w:styleId="CM19">
    <w:name w:val="CM19"/>
    <w:basedOn w:val="Default"/>
    <w:next w:val="Default"/>
    <w:uiPriority w:val="99"/>
    <w:rsid w:val="006B1AED"/>
    <w:pPr>
      <w:widowControl w:val="0"/>
    </w:pPr>
    <w:rPr>
      <w:rFonts w:ascii="Arial" w:eastAsia="Times New Roman" w:hAnsi="Arial" w:cs="Arial"/>
      <w:color w:val="auto"/>
    </w:rPr>
  </w:style>
  <w:style w:type="paragraph" w:customStyle="1" w:styleId="CM21">
    <w:name w:val="CM21"/>
    <w:basedOn w:val="Default"/>
    <w:next w:val="Default"/>
    <w:uiPriority w:val="99"/>
    <w:rsid w:val="006B1AED"/>
    <w:pPr>
      <w:widowControl w:val="0"/>
    </w:pPr>
    <w:rPr>
      <w:rFonts w:ascii="Arial" w:eastAsia="Times New Roman" w:hAnsi="Arial" w:cs="Arial"/>
      <w:color w:val="auto"/>
    </w:rPr>
  </w:style>
  <w:style w:type="paragraph" w:customStyle="1" w:styleId="CM10">
    <w:name w:val="CM10"/>
    <w:basedOn w:val="Default"/>
    <w:next w:val="Default"/>
    <w:uiPriority w:val="99"/>
    <w:rsid w:val="008F77DF"/>
    <w:pPr>
      <w:spacing w:line="206" w:lineRule="atLeast"/>
    </w:pPr>
    <w:rPr>
      <w:rFonts w:ascii="Times New Roman" w:hAnsi="Times New Roman" w:cs="Times New Roman"/>
      <w:color w:val="auto"/>
    </w:rPr>
  </w:style>
  <w:style w:type="paragraph" w:customStyle="1" w:styleId="Glossarydefinition">
    <w:name w:val="Glossary definition"/>
    <w:basedOn w:val="Normal"/>
    <w:qFormat/>
    <w:rsid w:val="00D6001D"/>
    <w:pPr>
      <w:spacing w:after="240"/>
      <w:ind w:left="357"/>
    </w:pPr>
  </w:style>
  <w:style w:type="paragraph" w:customStyle="1" w:styleId="NOTINUSE">
    <w:name w:val="NOT IN USE"/>
    <w:basedOn w:val="Heading1"/>
    <w:rsid w:val="005A1551"/>
    <w:pPr>
      <w:numPr>
        <w:numId w:val="0"/>
      </w:numPr>
      <w:spacing w:after="240"/>
      <w:ind w:left="567" w:hanging="567"/>
    </w:pPr>
  </w:style>
  <w:style w:type="paragraph" w:customStyle="1" w:styleId="AppendixHeading">
    <w:name w:val="Appendix Heading"/>
    <w:basedOn w:val="Heading1"/>
    <w:next w:val="Normal"/>
    <w:qFormat/>
    <w:rsid w:val="00C3296C"/>
    <w:pPr>
      <w:numPr>
        <w:numId w:val="7"/>
      </w:numPr>
      <w:tabs>
        <w:tab w:val="clear" w:pos="709"/>
        <w:tab w:val="left" w:pos="1985"/>
      </w:tabs>
    </w:pPr>
  </w:style>
  <w:style w:type="paragraph" w:customStyle="1" w:styleId="Appendixheading2">
    <w:name w:val="Appendix heading 2"/>
    <w:basedOn w:val="Heading2"/>
    <w:next w:val="Normal"/>
    <w:autoRedefine/>
    <w:rsid w:val="008A4C8C"/>
    <w:pPr>
      <w:numPr>
        <w:numId w:val="7"/>
      </w:numPr>
      <w:tabs>
        <w:tab w:val="left" w:pos="851"/>
      </w:tabs>
      <w:ind w:left="851" w:hanging="851"/>
    </w:pPr>
  </w:style>
  <w:style w:type="paragraph" w:customStyle="1" w:styleId="normalreference">
    <w:name w:val="normal reference"/>
    <w:basedOn w:val="Normal"/>
    <w:qFormat/>
    <w:rsid w:val="006048EF"/>
    <w:pPr>
      <w:widowControl w:val="0"/>
      <w:autoSpaceDE w:val="0"/>
      <w:autoSpaceDN w:val="0"/>
      <w:ind w:left="397" w:hanging="397"/>
    </w:pPr>
    <w:rPr>
      <w:rFonts w:ascii="Times New Roman" w:eastAsia="Times New Roman" w:hAnsi="Times New Roman"/>
      <w:szCs w:val="24"/>
      <w:lang w:eastAsia="en-AU"/>
    </w:rPr>
  </w:style>
  <w:style w:type="paragraph" w:styleId="EndnoteText">
    <w:name w:val="endnote text"/>
    <w:basedOn w:val="Normal"/>
    <w:link w:val="EndnoteTextChar"/>
    <w:uiPriority w:val="99"/>
    <w:semiHidden/>
    <w:unhideWhenUsed/>
    <w:rsid w:val="00D357B7"/>
    <w:rPr>
      <w:sz w:val="20"/>
      <w:szCs w:val="20"/>
    </w:rPr>
  </w:style>
  <w:style w:type="character" w:customStyle="1" w:styleId="EndnoteTextChar">
    <w:name w:val="Endnote Text Char"/>
    <w:basedOn w:val="DefaultParagraphFont"/>
    <w:link w:val="EndnoteText"/>
    <w:uiPriority w:val="99"/>
    <w:semiHidden/>
    <w:rsid w:val="00D357B7"/>
    <w:rPr>
      <w:rFonts w:ascii="Georgia" w:hAnsi="Georgia"/>
      <w:lang w:eastAsia="en-US"/>
    </w:rPr>
  </w:style>
  <w:style w:type="character" w:styleId="EndnoteReference">
    <w:name w:val="endnote reference"/>
    <w:basedOn w:val="DefaultParagraphFont"/>
    <w:uiPriority w:val="99"/>
    <w:semiHidden/>
    <w:unhideWhenUsed/>
    <w:rsid w:val="00D357B7"/>
    <w:rPr>
      <w:vertAlign w:val="superscript"/>
    </w:rPr>
  </w:style>
  <w:style w:type="paragraph" w:customStyle="1" w:styleId="Style1">
    <w:name w:val="Style1"/>
    <w:basedOn w:val="Heading2"/>
    <w:link w:val="Style1Char"/>
    <w:qFormat/>
    <w:rsid w:val="00D76E5C"/>
  </w:style>
  <w:style w:type="character" w:customStyle="1" w:styleId="Style1Char">
    <w:name w:val="Style1 Char"/>
    <w:basedOn w:val="Heading2Char"/>
    <w:link w:val="Style1"/>
    <w:rsid w:val="00D76E5C"/>
    <w:rPr>
      <w:rFonts w:ascii="Georgia" w:eastAsia="Times New Roman" w:hAnsi="Georgia"/>
      <w:b/>
      <w:bCs/>
      <w:iCs/>
      <w:snapToGrid w:val="0"/>
      <w:color w:val="1F497D" w:themeColor="text2"/>
      <w:sz w:val="28"/>
      <w:szCs w:val="28"/>
      <w:lang w:eastAsia="en-US"/>
    </w:rPr>
  </w:style>
  <w:style w:type="paragraph" w:styleId="Revision">
    <w:name w:val="Revision"/>
    <w:hidden/>
    <w:uiPriority w:val="99"/>
    <w:semiHidden/>
    <w:rsid w:val="00BD2A05"/>
    <w:rPr>
      <w:rFonts w:ascii="Georgia" w:hAnsi="Georgia"/>
      <w:sz w:val="24"/>
      <w:szCs w:val="22"/>
      <w:lang w:eastAsia="en-US"/>
    </w:rPr>
  </w:style>
  <w:style w:type="paragraph" w:customStyle="1" w:styleId="Text">
    <w:name w:val="Text"/>
    <w:basedOn w:val="Normal"/>
    <w:uiPriority w:val="99"/>
    <w:rsid w:val="00D442A7"/>
    <w:pPr>
      <w:suppressAutoHyphens/>
      <w:autoSpaceDE w:val="0"/>
      <w:autoSpaceDN w:val="0"/>
      <w:adjustRightInd w:val="0"/>
      <w:spacing w:before="0" w:after="113" w:line="340" w:lineRule="atLeast"/>
      <w:textAlignment w:val="center"/>
    </w:pPr>
    <w:rPr>
      <w:rFonts w:ascii="Calibri" w:hAnsi="Calibri" w:cs="Calibri"/>
      <w:color w:val="000000"/>
      <w:szCs w:val="24"/>
      <w:lang w:val="en-US"/>
    </w:rPr>
  </w:style>
  <w:style w:type="paragraph" w:customStyle="1" w:styleId="Figure">
    <w:name w:val="Figure"/>
    <w:basedOn w:val="Caption"/>
    <w:qFormat/>
    <w:rsid w:val="001D3F42"/>
    <w:pPr>
      <w:keepNext w:val="0"/>
      <w:spacing w:before="0"/>
      <w:ind w:left="992" w:hanging="992"/>
    </w:pPr>
    <w:rPr>
      <w:b/>
      <w:color w:val="4E1A74"/>
      <w:sz w:val="20"/>
    </w:rPr>
  </w:style>
  <w:style w:type="paragraph" w:customStyle="1" w:styleId="Table">
    <w:name w:val="Table"/>
    <w:basedOn w:val="Figure"/>
    <w:qFormat/>
    <w:rsid w:val="001D3F42"/>
    <w:pPr>
      <w:spacing w:before="240" w:after="120"/>
    </w:pPr>
  </w:style>
  <w:style w:type="paragraph" w:customStyle="1" w:styleId="TableNormal2">
    <w:name w:val="Table Normal2"/>
    <w:basedOn w:val="Normal"/>
    <w:qFormat/>
    <w:rsid w:val="00CC672C"/>
    <w:pPr>
      <w:keepNext/>
      <w:spacing w:before="60" w:after="60"/>
    </w:pPr>
    <w:rPr>
      <w:sz w:val="20"/>
    </w:rPr>
  </w:style>
  <w:style w:type="paragraph" w:styleId="PlainText">
    <w:name w:val="Plain Text"/>
    <w:basedOn w:val="Normal"/>
    <w:link w:val="PlainTextChar"/>
    <w:uiPriority w:val="99"/>
    <w:semiHidden/>
    <w:unhideWhenUsed/>
    <w:rsid w:val="00425062"/>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425062"/>
    <w:rPr>
      <w:rFonts w:ascii="Consolas" w:eastAsia="Calibri" w:hAnsi="Consolas" w:cs="Times New Roman"/>
      <w:sz w:val="21"/>
      <w:szCs w:val="21"/>
      <w:lang w:eastAsia="en-US"/>
    </w:rPr>
  </w:style>
  <w:style w:type="paragraph" w:styleId="TOC5">
    <w:name w:val="toc 5"/>
    <w:basedOn w:val="Normal"/>
    <w:next w:val="Normal"/>
    <w:autoRedefine/>
    <w:uiPriority w:val="39"/>
    <w:unhideWhenUsed/>
    <w:rsid w:val="006F4DDC"/>
    <w:pPr>
      <w:tabs>
        <w:tab w:val="left" w:pos="2273"/>
        <w:tab w:val="right" w:leader="dot" w:pos="9628"/>
      </w:tabs>
      <w:spacing w:before="120"/>
      <w:ind w:left="709"/>
    </w:pPr>
  </w:style>
  <w:style w:type="paragraph" w:customStyle="1" w:styleId="GlossaryTerm">
    <w:name w:val="Glossary Term"/>
    <w:basedOn w:val="Normal"/>
    <w:qFormat/>
    <w:rsid w:val="008A4C8C"/>
    <w:pPr>
      <w:tabs>
        <w:tab w:val="left" w:pos="2280"/>
      </w:tabs>
      <w:ind w:left="2280" w:hanging="2280"/>
    </w:pPr>
    <w:rPr>
      <w:b/>
    </w:rPr>
  </w:style>
  <w:style w:type="paragraph" w:customStyle="1" w:styleId="TechRep">
    <w:name w:val="Tech Rep"/>
    <w:basedOn w:val="Normal"/>
    <w:link w:val="TechRepChar"/>
    <w:qFormat/>
    <w:rsid w:val="00772C08"/>
    <w:pPr>
      <w:spacing w:before="0" w:after="240"/>
    </w:pPr>
    <w:rPr>
      <w:rFonts w:ascii="Calibri" w:hAnsi="Calibri"/>
      <w:szCs w:val="24"/>
    </w:rPr>
  </w:style>
  <w:style w:type="character" w:customStyle="1" w:styleId="TechRepChar">
    <w:name w:val="Tech Rep Char"/>
    <w:link w:val="TechRep"/>
    <w:rsid w:val="00772C08"/>
    <w:rPr>
      <w:sz w:val="22"/>
      <w:szCs w:val="24"/>
      <w:lang w:eastAsia="en-US"/>
    </w:rPr>
  </w:style>
  <w:style w:type="table" w:styleId="LightShading">
    <w:name w:val="Light Shading"/>
    <w:basedOn w:val="TableNormal"/>
    <w:uiPriority w:val="60"/>
    <w:rsid w:val="008B4B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B4B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2">
    <w:name w:val="Style2"/>
    <w:basedOn w:val="TableNormal"/>
    <w:uiPriority w:val="99"/>
    <w:rsid w:val="00524C07"/>
    <w:tblPr/>
  </w:style>
  <w:style w:type="table" w:customStyle="1" w:styleId="Style3">
    <w:name w:val="Style3"/>
    <w:basedOn w:val="TableNormal"/>
    <w:uiPriority w:val="99"/>
    <w:rsid w:val="00524C07"/>
    <w:tblPr/>
  </w:style>
  <w:style w:type="table" w:styleId="MediumShading1-Accent4">
    <w:name w:val="Medium Shading 1 Accent 4"/>
    <w:basedOn w:val="TableNormal"/>
    <w:uiPriority w:val="63"/>
    <w:rsid w:val="00524C0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524C07"/>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524C0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A4B"/>
    <w:pPr>
      <w:spacing w:before="200" w:line="276" w:lineRule="auto"/>
    </w:pPr>
    <w:rPr>
      <w:rFonts w:asciiTheme="minorHAnsi" w:hAnsiTheme="minorHAnsi"/>
      <w:color w:val="444448"/>
      <w:sz w:val="22"/>
      <w:szCs w:val="22"/>
      <w:lang w:eastAsia="en-US"/>
    </w:rPr>
  </w:style>
  <w:style w:type="paragraph" w:styleId="Heading1">
    <w:name w:val="heading 1"/>
    <w:basedOn w:val="Normal"/>
    <w:next w:val="Normal"/>
    <w:link w:val="Heading1Char"/>
    <w:uiPriority w:val="9"/>
    <w:qFormat/>
    <w:rsid w:val="00986013"/>
    <w:pPr>
      <w:keepNext/>
      <w:numPr>
        <w:numId w:val="6"/>
      </w:numPr>
      <w:tabs>
        <w:tab w:val="left" w:pos="709"/>
      </w:tabs>
      <w:spacing w:before="0" w:after="60"/>
      <w:outlineLvl w:val="0"/>
    </w:pPr>
    <w:rPr>
      <w:rFonts w:eastAsia="Times New Roman"/>
      <w:b/>
      <w:bCs/>
      <w:color w:val="4E1A74"/>
      <w:kern w:val="32"/>
      <w:sz w:val="32"/>
      <w:szCs w:val="32"/>
    </w:rPr>
  </w:style>
  <w:style w:type="paragraph" w:styleId="Heading2">
    <w:name w:val="heading 2"/>
    <w:basedOn w:val="Normal"/>
    <w:next w:val="Normal"/>
    <w:link w:val="Heading2Char"/>
    <w:uiPriority w:val="9"/>
    <w:unhideWhenUsed/>
    <w:qFormat/>
    <w:rsid w:val="001E7A4B"/>
    <w:pPr>
      <w:keepNext/>
      <w:numPr>
        <w:ilvl w:val="1"/>
        <w:numId w:val="6"/>
      </w:numPr>
      <w:spacing w:before="240" w:after="60"/>
      <w:outlineLvl w:val="1"/>
    </w:pPr>
    <w:rPr>
      <w:rFonts w:eastAsia="Times New Roman"/>
      <w:b/>
      <w:bCs/>
      <w:iCs/>
      <w:snapToGrid w:val="0"/>
      <w:color w:val="4E1A74"/>
      <w:sz w:val="28"/>
      <w:szCs w:val="28"/>
    </w:rPr>
  </w:style>
  <w:style w:type="paragraph" w:styleId="Heading3">
    <w:name w:val="heading 3"/>
    <w:basedOn w:val="Normal"/>
    <w:next w:val="Normal"/>
    <w:link w:val="Heading3Char"/>
    <w:uiPriority w:val="9"/>
    <w:unhideWhenUsed/>
    <w:qFormat/>
    <w:rsid w:val="00176586"/>
    <w:pPr>
      <w:keepNext/>
      <w:numPr>
        <w:ilvl w:val="2"/>
        <w:numId w:val="6"/>
      </w:numPr>
      <w:outlineLvl w:val="2"/>
    </w:pPr>
    <w:rPr>
      <w:rFonts w:eastAsia="+mj-ea"/>
      <w:b/>
      <w:bCs/>
      <w:i/>
      <w:sz w:val="28"/>
      <w:szCs w:val="26"/>
    </w:rPr>
  </w:style>
  <w:style w:type="paragraph" w:styleId="Heading4">
    <w:name w:val="heading 4"/>
    <w:basedOn w:val="Normal"/>
    <w:next w:val="Normal"/>
    <w:link w:val="Heading4Char"/>
    <w:uiPriority w:val="9"/>
    <w:unhideWhenUsed/>
    <w:qFormat/>
    <w:rsid w:val="00AC5860"/>
    <w:pPr>
      <w:keepNext/>
      <w:numPr>
        <w:ilvl w:val="3"/>
        <w:numId w:val="6"/>
      </w:numPr>
      <w:tabs>
        <w:tab w:val="left" w:pos="993"/>
      </w:tabs>
      <w:spacing w:after="60"/>
      <w:outlineLvl w:val="3"/>
    </w:pPr>
    <w:rPr>
      <w:rFonts w:eastAsia="Times New Roman"/>
      <w:b/>
      <w:bCs/>
      <w:szCs w:val="28"/>
    </w:rPr>
  </w:style>
  <w:style w:type="paragraph" w:styleId="Heading5">
    <w:name w:val="heading 5"/>
    <w:basedOn w:val="Normal"/>
    <w:next w:val="Normal"/>
    <w:link w:val="Heading5Char"/>
    <w:uiPriority w:val="9"/>
    <w:semiHidden/>
    <w:unhideWhenUsed/>
    <w:qFormat/>
    <w:rsid w:val="002D01AE"/>
    <w:pPr>
      <w:numPr>
        <w:ilvl w:val="4"/>
        <w:numId w:val="6"/>
      </w:numPr>
      <w:spacing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2D01AE"/>
    <w:pPr>
      <w:numPr>
        <w:ilvl w:val="5"/>
        <w:numId w:val="6"/>
      </w:numPr>
      <w:spacing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2D01AE"/>
    <w:pPr>
      <w:numPr>
        <w:ilvl w:val="6"/>
        <w:numId w:val="6"/>
      </w:numPr>
      <w:spacing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2D01AE"/>
    <w:pPr>
      <w:numPr>
        <w:ilvl w:val="7"/>
        <w:numId w:val="6"/>
      </w:numPr>
      <w:spacing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2D01AE"/>
    <w:pPr>
      <w:numPr>
        <w:ilvl w:val="8"/>
        <w:numId w:val="6"/>
      </w:numPr>
      <w:spacing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08F"/>
    <w:pPr>
      <w:numPr>
        <w:numId w:val="3"/>
      </w:numPr>
      <w:ind w:left="357" w:hanging="357"/>
      <w:contextualSpacing/>
    </w:pPr>
  </w:style>
  <w:style w:type="paragraph" w:styleId="Title">
    <w:name w:val="Title"/>
    <w:basedOn w:val="Normal"/>
    <w:next w:val="Normal"/>
    <w:link w:val="TitleChar"/>
    <w:uiPriority w:val="10"/>
    <w:qFormat/>
    <w:rsid w:val="00887FFD"/>
    <w:pPr>
      <w:spacing w:after="60"/>
      <w:jc w:val="center"/>
      <w:outlineLvl w:val="0"/>
    </w:pPr>
    <w:rPr>
      <w:rFonts w:eastAsia="Times New Roman"/>
      <w:b/>
      <w:bCs/>
      <w:kern w:val="28"/>
      <w:sz w:val="44"/>
      <w:szCs w:val="32"/>
    </w:rPr>
  </w:style>
  <w:style w:type="character" w:customStyle="1" w:styleId="TitleChar">
    <w:name w:val="Title Char"/>
    <w:basedOn w:val="DefaultParagraphFont"/>
    <w:link w:val="Title"/>
    <w:uiPriority w:val="10"/>
    <w:rsid w:val="00887FFD"/>
    <w:rPr>
      <w:rFonts w:asciiTheme="minorHAnsi" w:eastAsia="Times New Roman" w:hAnsiTheme="minorHAnsi"/>
      <w:b/>
      <w:bCs/>
      <w:color w:val="444448"/>
      <w:kern w:val="28"/>
      <w:sz w:val="44"/>
      <w:szCs w:val="32"/>
      <w:lang w:eastAsia="en-US"/>
    </w:rPr>
  </w:style>
  <w:style w:type="character" w:customStyle="1" w:styleId="Heading1Char">
    <w:name w:val="Heading 1 Char"/>
    <w:basedOn w:val="DefaultParagraphFont"/>
    <w:link w:val="Heading1"/>
    <w:uiPriority w:val="9"/>
    <w:rsid w:val="00986013"/>
    <w:rPr>
      <w:rFonts w:asciiTheme="minorHAnsi" w:eastAsia="Times New Roman" w:hAnsiTheme="minorHAnsi"/>
      <w:b/>
      <w:bCs/>
      <w:color w:val="4E1A74"/>
      <w:kern w:val="32"/>
      <w:sz w:val="32"/>
      <w:szCs w:val="32"/>
      <w:lang w:eastAsia="en-US"/>
    </w:rPr>
  </w:style>
  <w:style w:type="character" w:customStyle="1" w:styleId="Heading2Char">
    <w:name w:val="Heading 2 Char"/>
    <w:basedOn w:val="DefaultParagraphFont"/>
    <w:link w:val="Heading2"/>
    <w:uiPriority w:val="9"/>
    <w:rsid w:val="001E7A4B"/>
    <w:rPr>
      <w:rFonts w:asciiTheme="minorHAnsi" w:eastAsia="Times New Roman" w:hAnsiTheme="minorHAnsi"/>
      <w:b/>
      <w:bCs/>
      <w:iCs/>
      <w:snapToGrid w:val="0"/>
      <w:color w:val="4E1A74"/>
      <w:sz w:val="28"/>
      <w:szCs w:val="28"/>
      <w:lang w:eastAsia="en-US"/>
    </w:rPr>
  </w:style>
  <w:style w:type="character" w:customStyle="1" w:styleId="Heading3Char">
    <w:name w:val="Heading 3 Char"/>
    <w:basedOn w:val="DefaultParagraphFont"/>
    <w:link w:val="Heading3"/>
    <w:uiPriority w:val="9"/>
    <w:rsid w:val="00176586"/>
    <w:rPr>
      <w:rFonts w:asciiTheme="minorHAnsi" w:eastAsia="+mj-ea" w:hAnsiTheme="minorHAnsi"/>
      <w:b/>
      <w:bCs/>
      <w:i/>
      <w:sz w:val="28"/>
      <w:szCs w:val="26"/>
      <w:lang w:eastAsia="en-US"/>
    </w:rPr>
  </w:style>
  <w:style w:type="character" w:customStyle="1" w:styleId="Heading4Char">
    <w:name w:val="Heading 4 Char"/>
    <w:basedOn w:val="DefaultParagraphFont"/>
    <w:link w:val="Heading4"/>
    <w:uiPriority w:val="9"/>
    <w:rsid w:val="00AC5860"/>
    <w:rPr>
      <w:rFonts w:asciiTheme="minorHAnsi" w:eastAsia="Times New Roman" w:hAnsiTheme="minorHAnsi"/>
      <w:b/>
      <w:bCs/>
      <w:sz w:val="22"/>
      <w:szCs w:val="28"/>
      <w:lang w:eastAsia="en-US"/>
    </w:rPr>
  </w:style>
  <w:style w:type="character" w:customStyle="1" w:styleId="Heading5Char">
    <w:name w:val="Heading 5 Char"/>
    <w:basedOn w:val="DefaultParagraphFont"/>
    <w:link w:val="Heading5"/>
    <w:uiPriority w:val="9"/>
    <w:semiHidden/>
    <w:rsid w:val="002D01AE"/>
    <w:rPr>
      <w:rFonts w:eastAsia="Times New Roman"/>
      <w:b/>
      <w:bCs/>
      <w:i/>
      <w:iCs/>
      <w:sz w:val="26"/>
      <w:szCs w:val="26"/>
      <w:lang w:eastAsia="en-US"/>
    </w:rPr>
  </w:style>
  <w:style w:type="character" w:customStyle="1" w:styleId="Heading6Char">
    <w:name w:val="Heading 6 Char"/>
    <w:basedOn w:val="DefaultParagraphFont"/>
    <w:link w:val="Heading6"/>
    <w:uiPriority w:val="9"/>
    <w:semiHidden/>
    <w:rsid w:val="002D01AE"/>
    <w:rPr>
      <w:rFonts w:eastAsia="Times New Roman"/>
      <w:b/>
      <w:bCs/>
      <w:sz w:val="22"/>
      <w:szCs w:val="22"/>
      <w:lang w:eastAsia="en-US"/>
    </w:rPr>
  </w:style>
  <w:style w:type="character" w:customStyle="1" w:styleId="Heading7Char">
    <w:name w:val="Heading 7 Char"/>
    <w:basedOn w:val="DefaultParagraphFont"/>
    <w:link w:val="Heading7"/>
    <w:uiPriority w:val="9"/>
    <w:semiHidden/>
    <w:rsid w:val="002D01AE"/>
    <w:rPr>
      <w:rFonts w:eastAsia="Times New Roman"/>
      <w:sz w:val="22"/>
      <w:szCs w:val="24"/>
      <w:lang w:eastAsia="en-US"/>
    </w:rPr>
  </w:style>
  <w:style w:type="character" w:customStyle="1" w:styleId="Heading8Char">
    <w:name w:val="Heading 8 Char"/>
    <w:basedOn w:val="DefaultParagraphFont"/>
    <w:link w:val="Heading8"/>
    <w:uiPriority w:val="9"/>
    <w:semiHidden/>
    <w:rsid w:val="002D01AE"/>
    <w:rPr>
      <w:rFonts w:eastAsia="Times New Roman"/>
      <w:i/>
      <w:iCs/>
      <w:sz w:val="22"/>
      <w:szCs w:val="24"/>
      <w:lang w:eastAsia="en-US"/>
    </w:rPr>
  </w:style>
  <w:style w:type="character" w:customStyle="1" w:styleId="Heading9Char">
    <w:name w:val="Heading 9 Char"/>
    <w:basedOn w:val="DefaultParagraphFont"/>
    <w:link w:val="Heading9"/>
    <w:uiPriority w:val="9"/>
    <w:semiHidden/>
    <w:rsid w:val="002D01AE"/>
    <w:rPr>
      <w:rFonts w:ascii="Cambria" w:eastAsia="Times New Roman" w:hAnsi="Cambria"/>
      <w:sz w:val="22"/>
      <w:szCs w:val="22"/>
      <w:lang w:eastAsia="en-US"/>
    </w:rPr>
  </w:style>
  <w:style w:type="paragraph" w:styleId="TOCHeading">
    <w:name w:val="TOC Heading"/>
    <w:basedOn w:val="Heading1"/>
    <w:next w:val="Normal"/>
    <w:uiPriority w:val="39"/>
    <w:unhideWhenUsed/>
    <w:qFormat/>
    <w:rsid w:val="00CF72CF"/>
    <w:pPr>
      <w:keepLines/>
      <w:numPr>
        <w:numId w:val="0"/>
      </w:numPr>
      <w:spacing w:before="480" w:after="0"/>
      <w:outlineLvl w:val="9"/>
    </w:pPr>
    <w:rPr>
      <w:color w:val="365F91"/>
      <w:kern w:val="0"/>
      <w:sz w:val="28"/>
      <w:szCs w:val="28"/>
      <w:lang w:val="en-US"/>
    </w:rPr>
  </w:style>
  <w:style w:type="paragraph" w:styleId="TOC1">
    <w:name w:val="toc 1"/>
    <w:basedOn w:val="Normal"/>
    <w:next w:val="Normal"/>
    <w:autoRedefine/>
    <w:uiPriority w:val="39"/>
    <w:unhideWhenUsed/>
    <w:rsid w:val="00756400"/>
    <w:pPr>
      <w:tabs>
        <w:tab w:val="right" w:leader="dot" w:pos="9072"/>
      </w:tabs>
      <w:ind w:left="567" w:hanging="567"/>
    </w:pPr>
    <w:rPr>
      <w:b/>
      <w:color w:val="4E1A74"/>
    </w:rPr>
  </w:style>
  <w:style w:type="paragraph" w:styleId="TOC2">
    <w:name w:val="toc 2"/>
    <w:basedOn w:val="Normal"/>
    <w:next w:val="Normal"/>
    <w:autoRedefine/>
    <w:uiPriority w:val="39"/>
    <w:unhideWhenUsed/>
    <w:rsid w:val="00756400"/>
    <w:pPr>
      <w:tabs>
        <w:tab w:val="left" w:pos="1320"/>
        <w:tab w:val="right" w:leader="dot" w:pos="9072"/>
      </w:tabs>
      <w:spacing w:before="120"/>
      <w:ind w:left="567"/>
    </w:pPr>
  </w:style>
  <w:style w:type="paragraph" w:styleId="TOC3">
    <w:name w:val="toc 3"/>
    <w:basedOn w:val="Normal"/>
    <w:next w:val="Normal"/>
    <w:autoRedefine/>
    <w:uiPriority w:val="39"/>
    <w:unhideWhenUsed/>
    <w:rsid w:val="00756400"/>
    <w:pPr>
      <w:tabs>
        <w:tab w:val="left" w:pos="1276"/>
        <w:tab w:val="right" w:leader="dot" w:pos="9072"/>
      </w:tabs>
      <w:ind w:left="1276" w:right="851" w:hanging="1276"/>
    </w:pPr>
    <w:rPr>
      <w:rFonts w:eastAsiaTheme="minorEastAsia" w:cstheme="minorBidi"/>
      <w:b/>
      <w:noProof/>
      <w:color w:val="4E1A74"/>
      <w:lang w:eastAsia="en-AU"/>
    </w:rPr>
  </w:style>
  <w:style w:type="character" w:styleId="Hyperlink">
    <w:name w:val="Hyperlink"/>
    <w:basedOn w:val="DefaultParagraphFont"/>
    <w:uiPriority w:val="99"/>
    <w:unhideWhenUsed/>
    <w:rsid w:val="00CF72CF"/>
    <w:rPr>
      <w:color w:val="0000FF"/>
      <w:u w:val="single"/>
    </w:rPr>
  </w:style>
  <w:style w:type="paragraph" w:styleId="TOC4">
    <w:name w:val="toc 4"/>
    <w:basedOn w:val="Normal"/>
    <w:next w:val="Normal"/>
    <w:autoRedefine/>
    <w:uiPriority w:val="39"/>
    <w:unhideWhenUsed/>
    <w:rsid w:val="00756400"/>
    <w:pPr>
      <w:tabs>
        <w:tab w:val="left" w:pos="1985"/>
        <w:tab w:val="right" w:leader="dot" w:pos="9072"/>
      </w:tabs>
      <w:spacing w:before="120"/>
      <w:ind w:left="1985" w:hanging="709"/>
    </w:pPr>
    <w:rPr>
      <w:noProof/>
    </w:rPr>
  </w:style>
  <w:style w:type="paragraph" w:styleId="Header">
    <w:name w:val="header"/>
    <w:basedOn w:val="Normal"/>
    <w:link w:val="HeaderChar"/>
    <w:rsid w:val="00773EED"/>
    <w:pPr>
      <w:widowControl w:val="0"/>
      <w:tabs>
        <w:tab w:val="center" w:pos="4153"/>
        <w:tab w:val="right" w:pos="8306"/>
      </w:tabs>
      <w:spacing w:before="0"/>
    </w:pPr>
    <w:rPr>
      <w:rFonts w:eastAsia="Times New Roman"/>
      <w:snapToGrid w:val="0"/>
      <w:szCs w:val="20"/>
      <w:lang w:val="en-US"/>
    </w:rPr>
  </w:style>
  <w:style w:type="character" w:customStyle="1" w:styleId="HeaderChar">
    <w:name w:val="Header Char"/>
    <w:basedOn w:val="DefaultParagraphFont"/>
    <w:link w:val="Header"/>
    <w:uiPriority w:val="99"/>
    <w:rsid w:val="00773EED"/>
    <w:rPr>
      <w:rFonts w:ascii="Times New Roman" w:eastAsia="Times New Roman" w:hAnsi="Times New Roman"/>
      <w:snapToGrid w:val="0"/>
      <w:sz w:val="24"/>
      <w:lang w:val="en-US" w:eastAsia="en-US"/>
    </w:rPr>
  </w:style>
  <w:style w:type="paragraph" w:styleId="Caption">
    <w:name w:val="caption"/>
    <w:basedOn w:val="Normal"/>
    <w:next w:val="Normal"/>
    <w:uiPriority w:val="35"/>
    <w:unhideWhenUsed/>
    <w:qFormat/>
    <w:rsid w:val="00C84397"/>
    <w:pPr>
      <w:keepNext/>
      <w:ind w:left="1134" w:hanging="1134"/>
    </w:pPr>
    <w:rPr>
      <w:bCs/>
      <w:i/>
    </w:rPr>
  </w:style>
  <w:style w:type="paragraph" w:styleId="BalloonText">
    <w:name w:val="Balloon Text"/>
    <w:basedOn w:val="Normal"/>
    <w:link w:val="BalloonTextChar"/>
    <w:uiPriority w:val="99"/>
    <w:semiHidden/>
    <w:unhideWhenUsed/>
    <w:rsid w:val="005F69E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E1"/>
    <w:rPr>
      <w:rFonts w:ascii="Tahoma" w:hAnsi="Tahoma" w:cs="Tahoma"/>
      <w:sz w:val="16"/>
      <w:szCs w:val="16"/>
      <w:lang w:eastAsia="en-US"/>
    </w:rPr>
  </w:style>
  <w:style w:type="paragraph" w:styleId="ListBullet">
    <w:name w:val="List Bullet"/>
    <w:basedOn w:val="Normal"/>
    <w:uiPriority w:val="99"/>
    <w:unhideWhenUsed/>
    <w:rsid w:val="00176586"/>
    <w:pPr>
      <w:numPr>
        <w:numId w:val="1"/>
      </w:numPr>
      <w:spacing w:before="120"/>
      <w:ind w:left="357" w:hanging="357"/>
    </w:pPr>
  </w:style>
  <w:style w:type="paragraph" w:styleId="ListBullet2">
    <w:name w:val="List Bullet 2"/>
    <w:basedOn w:val="Normal"/>
    <w:uiPriority w:val="99"/>
    <w:unhideWhenUsed/>
    <w:rsid w:val="007039B1"/>
    <w:pPr>
      <w:numPr>
        <w:numId w:val="2"/>
      </w:numPr>
      <w:spacing w:before="120" w:after="100" w:afterAutospacing="1"/>
    </w:pPr>
  </w:style>
  <w:style w:type="paragraph" w:customStyle="1" w:styleId="Reference">
    <w:name w:val="Reference"/>
    <w:basedOn w:val="Normal"/>
    <w:qFormat/>
    <w:rsid w:val="00C9194A"/>
    <w:pPr>
      <w:ind w:left="540" w:hanging="540"/>
    </w:pPr>
    <w:rPr>
      <w:rFonts w:eastAsia="Times New Roman"/>
      <w:szCs w:val="24"/>
      <w:lang w:eastAsia="en-AU"/>
    </w:rPr>
  </w:style>
  <w:style w:type="character" w:styleId="CommentReference">
    <w:name w:val="annotation reference"/>
    <w:basedOn w:val="DefaultParagraphFont"/>
    <w:uiPriority w:val="99"/>
    <w:semiHidden/>
    <w:unhideWhenUsed/>
    <w:rsid w:val="00EA49E7"/>
    <w:rPr>
      <w:sz w:val="16"/>
      <w:szCs w:val="16"/>
    </w:rPr>
  </w:style>
  <w:style w:type="paragraph" w:styleId="CommentText">
    <w:name w:val="annotation text"/>
    <w:basedOn w:val="Normal"/>
    <w:link w:val="CommentTextChar"/>
    <w:uiPriority w:val="99"/>
    <w:semiHidden/>
    <w:unhideWhenUsed/>
    <w:rsid w:val="00EA49E7"/>
    <w:rPr>
      <w:sz w:val="20"/>
      <w:szCs w:val="20"/>
    </w:rPr>
  </w:style>
  <w:style w:type="character" w:customStyle="1" w:styleId="CommentTextChar">
    <w:name w:val="Comment Text Char"/>
    <w:basedOn w:val="DefaultParagraphFont"/>
    <w:link w:val="CommentText"/>
    <w:uiPriority w:val="99"/>
    <w:semiHidden/>
    <w:rsid w:val="00EA49E7"/>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A49E7"/>
    <w:rPr>
      <w:b/>
      <w:bCs/>
    </w:rPr>
  </w:style>
  <w:style w:type="character" w:customStyle="1" w:styleId="CommentSubjectChar">
    <w:name w:val="Comment Subject Char"/>
    <w:basedOn w:val="CommentTextChar"/>
    <w:link w:val="CommentSubject"/>
    <w:uiPriority w:val="99"/>
    <w:semiHidden/>
    <w:rsid w:val="00EA49E7"/>
    <w:rPr>
      <w:rFonts w:ascii="Times New Roman" w:hAnsi="Times New Roman"/>
      <w:b/>
      <w:bCs/>
      <w:lang w:eastAsia="en-US"/>
    </w:rPr>
  </w:style>
  <w:style w:type="paragraph" w:styleId="Footer">
    <w:name w:val="footer"/>
    <w:basedOn w:val="Normal"/>
    <w:link w:val="FooterChar"/>
    <w:uiPriority w:val="99"/>
    <w:unhideWhenUsed/>
    <w:rsid w:val="00B77280"/>
    <w:pPr>
      <w:tabs>
        <w:tab w:val="center" w:pos="4513"/>
        <w:tab w:val="right" w:pos="9026"/>
      </w:tabs>
    </w:pPr>
  </w:style>
  <w:style w:type="character" w:customStyle="1" w:styleId="FooterChar">
    <w:name w:val="Footer Char"/>
    <w:basedOn w:val="DefaultParagraphFont"/>
    <w:link w:val="Footer"/>
    <w:uiPriority w:val="99"/>
    <w:rsid w:val="00B77280"/>
    <w:rPr>
      <w:rFonts w:ascii="Times New Roman" w:hAnsi="Times New Roman"/>
      <w:sz w:val="24"/>
      <w:szCs w:val="22"/>
      <w:lang w:eastAsia="en-US"/>
    </w:rPr>
  </w:style>
  <w:style w:type="table" w:styleId="TableGrid">
    <w:name w:val="Table Grid"/>
    <w:basedOn w:val="TableNormal"/>
    <w:uiPriority w:val="59"/>
    <w:rsid w:val="00B77280"/>
    <w:rPr>
      <w:rFonts w:ascii="Georgia" w:hAnsi="Georgia"/>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030E8D"/>
  </w:style>
  <w:style w:type="paragraph" w:styleId="FootnoteText">
    <w:name w:val="footnote text"/>
    <w:basedOn w:val="Normal"/>
    <w:link w:val="FootnoteTextChar"/>
    <w:uiPriority w:val="99"/>
    <w:semiHidden/>
    <w:unhideWhenUsed/>
    <w:rsid w:val="004648DD"/>
    <w:rPr>
      <w:sz w:val="20"/>
      <w:szCs w:val="20"/>
    </w:rPr>
  </w:style>
  <w:style w:type="character" w:customStyle="1" w:styleId="FootnoteTextChar">
    <w:name w:val="Footnote Text Char"/>
    <w:basedOn w:val="DefaultParagraphFont"/>
    <w:link w:val="FootnoteText"/>
    <w:uiPriority w:val="99"/>
    <w:semiHidden/>
    <w:rsid w:val="004648DD"/>
    <w:rPr>
      <w:rFonts w:ascii="Times New Roman" w:hAnsi="Times New Roman"/>
      <w:lang w:eastAsia="en-US"/>
    </w:rPr>
  </w:style>
  <w:style w:type="character" w:styleId="FootnoteReference">
    <w:name w:val="footnote reference"/>
    <w:basedOn w:val="DefaultParagraphFont"/>
    <w:uiPriority w:val="99"/>
    <w:semiHidden/>
    <w:unhideWhenUsed/>
    <w:rsid w:val="004648DD"/>
    <w:rPr>
      <w:vertAlign w:val="superscript"/>
    </w:rPr>
  </w:style>
  <w:style w:type="paragraph" w:customStyle="1" w:styleId="Default">
    <w:name w:val="Default"/>
    <w:rsid w:val="000927A2"/>
    <w:pPr>
      <w:autoSpaceDE w:val="0"/>
      <w:autoSpaceDN w:val="0"/>
      <w:adjustRightInd w:val="0"/>
    </w:pPr>
    <w:rPr>
      <w:rFonts w:ascii="Aparajita" w:hAnsi="Aparajita" w:cs="Aparajita"/>
      <w:color w:val="000000"/>
      <w:sz w:val="24"/>
      <w:szCs w:val="24"/>
    </w:rPr>
  </w:style>
  <w:style w:type="paragraph" w:customStyle="1" w:styleId="TableNormal1">
    <w:name w:val="Table Normal1"/>
    <w:basedOn w:val="Normal"/>
    <w:qFormat/>
    <w:rsid w:val="00082925"/>
    <w:pPr>
      <w:keepNext/>
      <w:spacing w:before="60" w:after="60"/>
    </w:pPr>
    <w:rPr>
      <w:sz w:val="20"/>
    </w:rPr>
  </w:style>
  <w:style w:type="paragraph" w:customStyle="1" w:styleId="StyleReferenceLeft0cmFirstline0cm">
    <w:name w:val="Style Reference + Left:  0 cm First line:  0 cm"/>
    <w:basedOn w:val="Normal"/>
    <w:rsid w:val="009A3B60"/>
    <w:pPr>
      <w:numPr>
        <w:numId w:val="5"/>
      </w:numPr>
      <w:spacing w:before="0"/>
    </w:pPr>
    <w:rPr>
      <w:rFonts w:eastAsia="Times New Roman"/>
      <w:szCs w:val="24"/>
      <w:lang w:eastAsia="en-AU"/>
    </w:rPr>
  </w:style>
  <w:style w:type="paragraph" w:styleId="ListNumber">
    <w:name w:val="List Number"/>
    <w:basedOn w:val="Normal"/>
    <w:rsid w:val="009A3B60"/>
    <w:pPr>
      <w:tabs>
        <w:tab w:val="num" w:pos="360"/>
      </w:tabs>
      <w:spacing w:before="0" w:after="240"/>
      <w:ind w:left="360" w:hanging="360"/>
    </w:pPr>
    <w:rPr>
      <w:rFonts w:eastAsia="Times New Roman"/>
      <w:szCs w:val="24"/>
      <w:lang w:eastAsia="en-AU"/>
    </w:rPr>
  </w:style>
  <w:style w:type="paragraph" w:customStyle="1" w:styleId="CM25">
    <w:name w:val="CM25"/>
    <w:basedOn w:val="Default"/>
    <w:next w:val="Default"/>
    <w:uiPriority w:val="99"/>
    <w:rsid w:val="00F50243"/>
    <w:pPr>
      <w:widowControl w:val="0"/>
    </w:pPr>
    <w:rPr>
      <w:rFonts w:ascii="Arial" w:eastAsia="Times New Roman" w:hAnsi="Arial" w:cs="Arial"/>
      <w:color w:val="auto"/>
    </w:rPr>
  </w:style>
  <w:style w:type="paragraph" w:customStyle="1" w:styleId="CM19">
    <w:name w:val="CM19"/>
    <w:basedOn w:val="Default"/>
    <w:next w:val="Default"/>
    <w:uiPriority w:val="99"/>
    <w:rsid w:val="006B1AED"/>
    <w:pPr>
      <w:widowControl w:val="0"/>
    </w:pPr>
    <w:rPr>
      <w:rFonts w:ascii="Arial" w:eastAsia="Times New Roman" w:hAnsi="Arial" w:cs="Arial"/>
      <w:color w:val="auto"/>
    </w:rPr>
  </w:style>
  <w:style w:type="paragraph" w:customStyle="1" w:styleId="CM21">
    <w:name w:val="CM21"/>
    <w:basedOn w:val="Default"/>
    <w:next w:val="Default"/>
    <w:uiPriority w:val="99"/>
    <w:rsid w:val="006B1AED"/>
    <w:pPr>
      <w:widowControl w:val="0"/>
    </w:pPr>
    <w:rPr>
      <w:rFonts w:ascii="Arial" w:eastAsia="Times New Roman" w:hAnsi="Arial" w:cs="Arial"/>
      <w:color w:val="auto"/>
    </w:rPr>
  </w:style>
  <w:style w:type="paragraph" w:customStyle="1" w:styleId="CM10">
    <w:name w:val="CM10"/>
    <w:basedOn w:val="Default"/>
    <w:next w:val="Default"/>
    <w:uiPriority w:val="99"/>
    <w:rsid w:val="008F77DF"/>
    <w:pPr>
      <w:spacing w:line="206" w:lineRule="atLeast"/>
    </w:pPr>
    <w:rPr>
      <w:rFonts w:ascii="Times New Roman" w:hAnsi="Times New Roman" w:cs="Times New Roman"/>
      <w:color w:val="auto"/>
    </w:rPr>
  </w:style>
  <w:style w:type="paragraph" w:customStyle="1" w:styleId="Glossarydefinition">
    <w:name w:val="Glossary definition"/>
    <w:basedOn w:val="Normal"/>
    <w:qFormat/>
    <w:rsid w:val="00D6001D"/>
    <w:pPr>
      <w:spacing w:after="240"/>
      <w:ind w:left="357"/>
    </w:pPr>
  </w:style>
  <w:style w:type="paragraph" w:customStyle="1" w:styleId="NOTINUSE">
    <w:name w:val="NOT IN USE"/>
    <w:basedOn w:val="Heading1"/>
    <w:rsid w:val="005A1551"/>
    <w:pPr>
      <w:numPr>
        <w:numId w:val="0"/>
      </w:numPr>
      <w:spacing w:after="240"/>
      <w:ind w:left="567" w:hanging="567"/>
    </w:pPr>
  </w:style>
  <w:style w:type="paragraph" w:customStyle="1" w:styleId="AppendixHeading">
    <w:name w:val="Appendix Heading"/>
    <w:basedOn w:val="Heading1"/>
    <w:next w:val="Normal"/>
    <w:qFormat/>
    <w:rsid w:val="00C3296C"/>
    <w:pPr>
      <w:numPr>
        <w:numId w:val="7"/>
      </w:numPr>
      <w:tabs>
        <w:tab w:val="clear" w:pos="709"/>
        <w:tab w:val="left" w:pos="1985"/>
      </w:tabs>
    </w:pPr>
  </w:style>
  <w:style w:type="paragraph" w:customStyle="1" w:styleId="Appendixheading2">
    <w:name w:val="Appendix heading 2"/>
    <w:basedOn w:val="Heading2"/>
    <w:next w:val="Normal"/>
    <w:autoRedefine/>
    <w:rsid w:val="008A4C8C"/>
    <w:pPr>
      <w:numPr>
        <w:numId w:val="7"/>
      </w:numPr>
      <w:tabs>
        <w:tab w:val="left" w:pos="851"/>
      </w:tabs>
      <w:ind w:left="851" w:hanging="851"/>
    </w:pPr>
  </w:style>
  <w:style w:type="paragraph" w:customStyle="1" w:styleId="normalreference">
    <w:name w:val="normal reference"/>
    <w:basedOn w:val="Normal"/>
    <w:qFormat/>
    <w:rsid w:val="006048EF"/>
    <w:pPr>
      <w:widowControl w:val="0"/>
      <w:autoSpaceDE w:val="0"/>
      <w:autoSpaceDN w:val="0"/>
      <w:ind w:left="397" w:hanging="397"/>
    </w:pPr>
    <w:rPr>
      <w:rFonts w:ascii="Times New Roman" w:eastAsia="Times New Roman" w:hAnsi="Times New Roman"/>
      <w:szCs w:val="24"/>
      <w:lang w:eastAsia="en-AU"/>
    </w:rPr>
  </w:style>
  <w:style w:type="paragraph" w:styleId="EndnoteText">
    <w:name w:val="endnote text"/>
    <w:basedOn w:val="Normal"/>
    <w:link w:val="EndnoteTextChar"/>
    <w:uiPriority w:val="99"/>
    <w:semiHidden/>
    <w:unhideWhenUsed/>
    <w:rsid w:val="00D357B7"/>
    <w:rPr>
      <w:sz w:val="20"/>
      <w:szCs w:val="20"/>
    </w:rPr>
  </w:style>
  <w:style w:type="character" w:customStyle="1" w:styleId="EndnoteTextChar">
    <w:name w:val="Endnote Text Char"/>
    <w:basedOn w:val="DefaultParagraphFont"/>
    <w:link w:val="EndnoteText"/>
    <w:uiPriority w:val="99"/>
    <w:semiHidden/>
    <w:rsid w:val="00D357B7"/>
    <w:rPr>
      <w:rFonts w:ascii="Georgia" w:hAnsi="Georgia"/>
      <w:lang w:eastAsia="en-US"/>
    </w:rPr>
  </w:style>
  <w:style w:type="character" w:styleId="EndnoteReference">
    <w:name w:val="endnote reference"/>
    <w:basedOn w:val="DefaultParagraphFont"/>
    <w:uiPriority w:val="99"/>
    <w:semiHidden/>
    <w:unhideWhenUsed/>
    <w:rsid w:val="00D357B7"/>
    <w:rPr>
      <w:vertAlign w:val="superscript"/>
    </w:rPr>
  </w:style>
  <w:style w:type="paragraph" w:customStyle="1" w:styleId="Style1">
    <w:name w:val="Style1"/>
    <w:basedOn w:val="Heading2"/>
    <w:link w:val="Style1Char"/>
    <w:qFormat/>
    <w:rsid w:val="00D76E5C"/>
  </w:style>
  <w:style w:type="character" w:customStyle="1" w:styleId="Style1Char">
    <w:name w:val="Style1 Char"/>
    <w:basedOn w:val="Heading2Char"/>
    <w:link w:val="Style1"/>
    <w:rsid w:val="00D76E5C"/>
    <w:rPr>
      <w:rFonts w:ascii="Georgia" w:eastAsia="Times New Roman" w:hAnsi="Georgia"/>
      <w:b/>
      <w:bCs/>
      <w:iCs/>
      <w:snapToGrid w:val="0"/>
      <w:color w:val="1F497D" w:themeColor="text2"/>
      <w:sz w:val="28"/>
      <w:szCs w:val="28"/>
      <w:lang w:eastAsia="en-US"/>
    </w:rPr>
  </w:style>
  <w:style w:type="paragraph" w:styleId="Revision">
    <w:name w:val="Revision"/>
    <w:hidden/>
    <w:uiPriority w:val="99"/>
    <w:semiHidden/>
    <w:rsid w:val="00BD2A05"/>
    <w:rPr>
      <w:rFonts w:ascii="Georgia" w:hAnsi="Georgia"/>
      <w:sz w:val="24"/>
      <w:szCs w:val="22"/>
      <w:lang w:eastAsia="en-US"/>
    </w:rPr>
  </w:style>
  <w:style w:type="paragraph" w:customStyle="1" w:styleId="Text">
    <w:name w:val="Text"/>
    <w:basedOn w:val="Normal"/>
    <w:uiPriority w:val="99"/>
    <w:rsid w:val="00D442A7"/>
    <w:pPr>
      <w:suppressAutoHyphens/>
      <w:autoSpaceDE w:val="0"/>
      <w:autoSpaceDN w:val="0"/>
      <w:adjustRightInd w:val="0"/>
      <w:spacing w:before="0" w:after="113" w:line="340" w:lineRule="atLeast"/>
      <w:textAlignment w:val="center"/>
    </w:pPr>
    <w:rPr>
      <w:rFonts w:ascii="Calibri" w:hAnsi="Calibri" w:cs="Calibri"/>
      <w:color w:val="000000"/>
      <w:szCs w:val="24"/>
      <w:lang w:val="en-US"/>
    </w:rPr>
  </w:style>
  <w:style w:type="paragraph" w:customStyle="1" w:styleId="Figure">
    <w:name w:val="Figure"/>
    <w:basedOn w:val="Caption"/>
    <w:qFormat/>
    <w:rsid w:val="001D3F42"/>
    <w:pPr>
      <w:keepNext w:val="0"/>
      <w:spacing w:before="0"/>
      <w:ind w:left="992" w:hanging="992"/>
    </w:pPr>
    <w:rPr>
      <w:b/>
      <w:color w:val="4E1A74"/>
      <w:sz w:val="20"/>
    </w:rPr>
  </w:style>
  <w:style w:type="paragraph" w:customStyle="1" w:styleId="Table">
    <w:name w:val="Table"/>
    <w:basedOn w:val="Figure"/>
    <w:qFormat/>
    <w:rsid w:val="001D3F42"/>
    <w:pPr>
      <w:spacing w:before="240" w:after="120"/>
    </w:pPr>
  </w:style>
  <w:style w:type="paragraph" w:customStyle="1" w:styleId="TableNormal2">
    <w:name w:val="Table Normal2"/>
    <w:basedOn w:val="Normal"/>
    <w:qFormat/>
    <w:rsid w:val="00CC672C"/>
    <w:pPr>
      <w:keepNext/>
      <w:spacing w:before="60" w:after="60"/>
    </w:pPr>
    <w:rPr>
      <w:sz w:val="20"/>
    </w:rPr>
  </w:style>
  <w:style w:type="paragraph" w:styleId="PlainText">
    <w:name w:val="Plain Text"/>
    <w:basedOn w:val="Normal"/>
    <w:link w:val="PlainTextChar"/>
    <w:uiPriority w:val="99"/>
    <w:semiHidden/>
    <w:unhideWhenUsed/>
    <w:rsid w:val="00425062"/>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425062"/>
    <w:rPr>
      <w:rFonts w:ascii="Consolas" w:eastAsia="Calibri" w:hAnsi="Consolas" w:cs="Times New Roman"/>
      <w:sz w:val="21"/>
      <w:szCs w:val="21"/>
      <w:lang w:eastAsia="en-US"/>
    </w:rPr>
  </w:style>
  <w:style w:type="paragraph" w:styleId="TOC5">
    <w:name w:val="toc 5"/>
    <w:basedOn w:val="Normal"/>
    <w:next w:val="Normal"/>
    <w:autoRedefine/>
    <w:uiPriority w:val="39"/>
    <w:unhideWhenUsed/>
    <w:rsid w:val="006F4DDC"/>
    <w:pPr>
      <w:tabs>
        <w:tab w:val="left" w:pos="2273"/>
        <w:tab w:val="right" w:leader="dot" w:pos="9628"/>
      </w:tabs>
      <w:spacing w:before="120"/>
      <w:ind w:left="709"/>
    </w:pPr>
  </w:style>
  <w:style w:type="paragraph" w:customStyle="1" w:styleId="GlossaryTerm">
    <w:name w:val="Glossary Term"/>
    <w:basedOn w:val="Normal"/>
    <w:qFormat/>
    <w:rsid w:val="008A4C8C"/>
    <w:pPr>
      <w:tabs>
        <w:tab w:val="left" w:pos="2280"/>
      </w:tabs>
      <w:ind w:left="2280" w:hanging="2280"/>
    </w:pPr>
    <w:rPr>
      <w:b/>
    </w:rPr>
  </w:style>
  <w:style w:type="paragraph" w:customStyle="1" w:styleId="TechRep">
    <w:name w:val="Tech Rep"/>
    <w:basedOn w:val="Normal"/>
    <w:link w:val="TechRepChar"/>
    <w:qFormat/>
    <w:rsid w:val="00772C08"/>
    <w:pPr>
      <w:spacing w:before="0" w:after="240"/>
    </w:pPr>
    <w:rPr>
      <w:rFonts w:ascii="Calibri" w:hAnsi="Calibri"/>
      <w:szCs w:val="24"/>
    </w:rPr>
  </w:style>
  <w:style w:type="character" w:customStyle="1" w:styleId="TechRepChar">
    <w:name w:val="Tech Rep Char"/>
    <w:link w:val="TechRep"/>
    <w:rsid w:val="00772C08"/>
    <w:rPr>
      <w:sz w:val="22"/>
      <w:szCs w:val="24"/>
      <w:lang w:eastAsia="en-US"/>
    </w:rPr>
  </w:style>
  <w:style w:type="table" w:styleId="LightShading">
    <w:name w:val="Light Shading"/>
    <w:basedOn w:val="TableNormal"/>
    <w:uiPriority w:val="60"/>
    <w:rsid w:val="008B4BA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B4B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2">
    <w:name w:val="Style2"/>
    <w:basedOn w:val="TableNormal"/>
    <w:uiPriority w:val="99"/>
    <w:rsid w:val="00524C07"/>
    <w:tblPr/>
  </w:style>
  <w:style w:type="table" w:customStyle="1" w:styleId="Style3">
    <w:name w:val="Style3"/>
    <w:basedOn w:val="TableNormal"/>
    <w:uiPriority w:val="99"/>
    <w:rsid w:val="00524C07"/>
    <w:tblPr/>
  </w:style>
  <w:style w:type="table" w:styleId="MediumShading1-Accent4">
    <w:name w:val="Medium Shading 1 Accent 4"/>
    <w:basedOn w:val="TableNormal"/>
    <w:uiPriority w:val="63"/>
    <w:rsid w:val="00524C0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Accent4">
    <w:name w:val="Light Shading Accent 4"/>
    <w:basedOn w:val="TableNormal"/>
    <w:uiPriority w:val="60"/>
    <w:rsid w:val="00524C07"/>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524C0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1151">
      <w:bodyDiv w:val="1"/>
      <w:marLeft w:val="0"/>
      <w:marRight w:val="0"/>
      <w:marTop w:val="0"/>
      <w:marBottom w:val="0"/>
      <w:divBdr>
        <w:top w:val="none" w:sz="0" w:space="0" w:color="auto"/>
        <w:left w:val="none" w:sz="0" w:space="0" w:color="auto"/>
        <w:bottom w:val="none" w:sz="0" w:space="0" w:color="auto"/>
        <w:right w:val="none" w:sz="0" w:space="0" w:color="auto"/>
      </w:divBdr>
      <w:divsChild>
        <w:div w:id="17515676">
          <w:marLeft w:val="1166"/>
          <w:marRight w:val="0"/>
          <w:marTop w:val="96"/>
          <w:marBottom w:val="0"/>
          <w:divBdr>
            <w:top w:val="none" w:sz="0" w:space="0" w:color="auto"/>
            <w:left w:val="none" w:sz="0" w:space="0" w:color="auto"/>
            <w:bottom w:val="none" w:sz="0" w:space="0" w:color="auto"/>
            <w:right w:val="none" w:sz="0" w:space="0" w:color="auto"/>
          </w:divBdr>
        </w:div>
        <w:div w:id="943419159">
          <w:marLeft w:val="1166"/>
          <w:marRight w:val="0"/>
          <w:marTop w:val="96"/>
          <w:marBottom w:val="0"/>
          <w:divBdr>
            <w:top w:val="none" w:sz="0" w:space="0" w:color="auto"/>
            <w:left w:val="none" w:sz="0" w:space="0" w:color="auto"/>
            <w:bottom w:val="none" w:sz="0" w:space="0" w:color="auto"/>
            <w:right w:val="none" w:sz="0" w:space="0" w:color="auto"/>
          </w:divBdr>
        </w:div>
        <w:div w:id="1440836806">
          <w:marLeft w:val="547"/>
          <w:marRight w:val="0"/>
          <w:marTop w:val="106"/>
          <w:marBottom w:val="0"/>
          <w:divBdr>
            <w:top w:val="none" w:sz="0" w:space="0" w:color="auto"/>
            <w:left w:val="none" w:sz="0" w:space="0" w:color="auto"/>
            <w:bottom w:val="none" w:sz="0" w:space="0" w:color="auto"/>
            <w:right w:val="none" w:sz="0" w:space="0" w:color="auto"/>
          </w:divBdr>
        </w:div>
        <w:div w:id="1725447442">
          <w:marLeft w:val="547"/>
          <w:marRight w:val="0"/>
          <w:marTop w:val="106"/>
          <w:marBottom w:val="0"/>
          <w:divBdr>
            <w:top w:val="none" w:sz="0" w:space="0" w:color="auto"/>
            <w:left w:val="none" w:sz="0" w:space="0" w:color="auto"/>
            <w:bottom w:val="none" w:sz="0" w:space="0" w:color="auto"/>
            <w:right w:val="none" w:sz="0" w:space="0" w:color="auto"/>
          </w:divBdr>
        </w:div>
        <w:div w:id="2090423511">
          <w:marLeft w:val="547"/>
          <w:marRight w:val="0"/>
          <w:marTop w:val="106"/>
          <w:marBottom w:val="0"/>
          <w:divBdr>
            <w:top w:val="none" w:sz="0" w:space="0" w:color="auto"/>
            <w:left w:val="none" w:sz="0" w:space="0" w:color="auto"/>
            <w:bottom w:val="none" w:sz="0" w:space="0" w:color="auto"/>
            <w:right w:val="none" w:sz="0" w:space="0" w:color="auto"/>
          </w:divBdr>
        </w:div>
      </w:divsChild>
    </w:div>
    <w:div w:id="96292383">
      <w:bodyDiv w:val="1"/>
      <w:marLeft w:val="0"/>
      <w:marRight w:val="0"/>
      <w:marTop w:val="0"/>
      <w:marBottom w:val="0"/>
      <w:divBdr>
        <w:top w:val="none" w:sz="0" w:space="0" w:color="auto"/>
        <w:left w:val="none" w:sz="0" w:space="0" w:color="auto"/>
        <w:bottom w:val="none" w:sz="0" w:space="0" w:color="auto"/>
        <w:right w:val="none" w:sz="0" w:space="0" w:color="auto"/>
      </w:divBdr>
    </w:div>
    <w:div w:id="182282057">
      <w:bodyDiv w:val="1"/>
      <w:marLeft w:val="0"/>
      <w:marRight w:val="0"/>
      <w:marTop w:val="0"/>
      <w:marBottom w:val="0"/>
      <w:divBdr>
        <w:top w:val="none" w:sz="0" w:space="0" w:color="auto"/>
        <w:left w:val="none" w:sz="0" w:space="0" w:color="auto"/>
        <w:bottom w:val="none" w:sz="0" w:space="0" w:color="auto"/>
        <w:right w:val="none" w:sz="0" w:space="0" w:color="auto"/>
      </w:divBdr>
      <w:divsChild>
        <w:div w:id="1420102180">
          <w:marLeft w:val="547"/>
          <w:marRight w:val="0"/>
          <w:marTop w:val="120"/>
          <w:marBottom w:val="0"/>
          <w:divBdr>
            <w:top w:val="none" w:sz="0" w:space="0" w:color="auto"/>
            <w:left w:val="none" w:sz="0" w:space="0" w:color="auto"/>
            <w:bottom w:val="none" w:sz="0" w:space="0" w:color="auto"/>
            <w:right w:val="none" w:sz="0" w:space="0" w:color="auto"/>
          </w:divBdr>
        </w:div>
        <w:div w:id="1894999967">
          <w:marLeft w:val="547"/>
          <w:marRight w:val="0"/>
          <w:marTop w:val="120"/>
          <w:marBottom w:val="0"/>
          <w:divBdr>
            <w:top w:val="none" w:sz="0" w:space="0" w:color="auto"/>
            <w:left w:val="none" w:sz="0" w:space="0" w:color="auto"/>
            <w:bottom w:val="none" w:sz="0" w:space="0" w:color="auto"/>
            <w:right w:val="none" w:sz="0" w:space="0" w:color="auto"/>
          </w:divBdr>
        </w:div>
        <w:div w:id="2115051338">
          <w:marLeft w:val="547"/>
          <w:marRight w:val="0"/>
          <w:marTop w:val="120"/>
          <w:marBottom w:val="0"/>
          <w:divBdr>
            <w:top w:val="none" w:sz="0" w:space="0" w:color="auto"/>
            <w:left w:val="none" w:sz="0" w:space="0" w:color="auto"/>
            <w:bottom w:val="none" w:sz="0" w:space="0" w:color="auto"/>
            <w:right w:val="none" w:sz="0" w:space="0" w:color="auto"/>
          </w:divBdr>
        </w:div>
      </w:divsChild>
    </w:div>
    <w:div w:id="204876121">
      <w:bodyDiv w:val="1"/>
      <w:marLeft w:val="0"/>
      <w:marRight w:val="0"/>
      <w:marTop w:val="0"/>
      <w:marBottom w:val="0"/>
      <w:divBdr>
        <w:top w:val="none" w:sz="0" w:space="0" w:color="auto"/>
        <w:left w:val="none" w:sz="0" w:space="0" w:color="auto"/>
        <w:bottom w:val="none" w:sz="0" w:space="0" w:color="auto"/>
        <w:right w:val="none" w:sz="0" w:space="0" w:color="auto"/>
      </w:divBdr>
    </w:div>
    <w:div w:id="234316056">
      <w:bodyDiv w:val="1"/>
      <w:marLeft w:val="0"/>
      <w:marRight w:val="0"/>
      <w:marTop w:val="0"/>
      <w:marBottom w:val="0"/>
      <w:divBdr>
        <w:top w:val="none" w:sz="0" w:space="0" w:color="auto"/>
        <w:left w:val="none" w:sz="0" w:space="0" w:color="auto"/>
        <w:bottom w:val="none" w:sz="0" w:space="0" w:color="auto"/>
        <w:right w:val="none" w:sz="0" w:space="0" w:color="auto"/>
      </w:divBdr>
    </w:div>
    <w:div w:id="239294757">
      <w:bodyDiv w:val="1"/>
      <w:marLeft w:val="0"/>
      <w:marRight w:val="0"/>
      <w:marTop w:val="0"/>
      <w:marBottom w:val="0"/>
      <w:divBdr>
        <w:top w:val="none" w:sz="0" w:space="0" w:color="auto"/>
        <w:left w:val="none" w:sz="0" w:space="0" w:color="auto"/>
        <w:bottom w:val="none" w:sz="0" w:space="0" w:color="auto"/>
        <w:right w:val="none" w:sz="0" w:space="0" w:color="auto"/>
      </w:divBdr>
      <w:divsChild>
        <w:div w:id="206070734">
          <w:marLeft w:val="547"/>
          <w:marRight w:val="0"/>
          <w:marTop w:val="144"/>
          <w:marBottom w:val="0"/>
          <w:divBdr>
            <w:top w:val="none" w:sz="0" w:space="0" w:color="auto"/>
            <w:left w:val="none" w:sz="0" w:space="0" w:color="auto"/>
            <w:bottom w:val="none" w:sz="0" w:space="0" w:color="auto"/>
            <w:right w:val="none" w:sz="0" w:space="0" w:color="auto"/>
          </w:divBdr>
        </w:div>
        <w:div w:id="1816799582">
          <w:marLeft w:val="547"/>
          <w:marRight w:val="0"/>
          <w:marTop w:val="144"/>
          <w:marBottom w:val="0"/>
          <w:divBdr>
            <w:top w:val="none" w:sz="0" w:space="0" w:color="auto"/>
            <w:left w:val="none" w:sz="0" w:space="0" w:color="auto"/>
            <w:bottom w:val="none" w:sz="0" w:space="0" w:color="auto"/>
            <w:right w:val="none" w:sz="0" w:space="0" w:color="auto"/>
          </w:divBdr>
        </w:div>
      </w:divsChild>
    </w:div>
    <w:div w:id="282150521">
      <w:bodyDiv w:val="1"/>
      <w:marLeft w:val="0"/>
      <w:marRight w:val="0"/>
      <w:marTop w:val="0"/>
      <w:marBottom w:val="0"/>
      <w:divBdr>
        <w:top w:val="none" w:sz="0" w:space="0" w:color="auto"/>
        <w:left w:val="none" w:sz="0" w:space="0" w:color="auto"/>
        <w:bottom w:val="none" w:sz="0" w:space="0" w:color="auto"/>
        <w:right w:val="none" w:sz="0" w:space="0" w:color="auto"/>
      </w:divBdr>
    </w:div>
    <w:div w:id="340738310">
      <w:bodyDiv w:val="1"/>
      <w:marLeft w:val="0"/>
      <w:marRight w:val="0"/>
      <w:marTop w:val="0"/>
      <w:marBottom w:val="0"/>
      <w:divBdr>
        <w:top w:val="none" w:sz="0" w:space="0" w:color="auto"/>
        <w:left w:val="none" w:sz="0" w:space="0" w:color="auto"/>
        <w:bottom w:val="none" w:sz="0" w:space="0" w:color="auto"/>
        <w:right w:val="none" w:sz="0" w:space="0" w:color="auto"/>
      </w:divBdr>
    </w:div>
    <w:div w:id="352150884">
      <w:bodyDiv w:val="1"/>
      <w:marLeft w:val="0"/>
      <w:marRight w:val="0"/>
      <w:marTop w:val="0"/>
      <w:marBottom w:val="0"/>
      <w:divBdr>
        <w:top w:val="none" w:sz="0" w:space="0" w:color="auto"/>
        <w:left w:val="none" w:sz="0" w:space="0" w:color="auto"/>
        <w:bottom w:val="none" w:sz="0" w:space="0" w:color="auto"/>
        <w:right w:val="none" w:sz="0" w:space="0" w:color="auto"/>
      </w:divBdr>
    </w:div>
    <w:div w:id="401104095">
      <w:bodyDiv w:val="1"/>
      <w:marLeft w:val="0"/>
      <w:marRight w:val="0"/>
      <w:marTop w:val="0"/>
      <w:marBottom w:val="0"/>
      <w:divBdr>
        <w:top w:val="none" w:sz="0" w:space="0" w:color="auto"/>
        <w:left w:val="none" w:sz="0" w:space="0" w:color="auto"/>
        <w:bottom w:val="none" w:sz="0" w:space="0" w:color="auto"/>
        <w:right w:val="none" w:sz="0" w:space="0" w:color="auto"/>
      </w:divBdr>
    </w:div>
    <w:div w:id="498008150">
      <w:bodyDiv w:val="1"/>
      <w:marLeft w:val="0"/>
      <w:marRight w:val="0"/>
      <w:marTop w:val="0"/>
      <w:marBottom w:val="0"/>
      <w:divBdr>
        <w:top w:val="none" w:sz="0" w:space="0" w:color="auto"/>
        <w:left w:val="none" w:sz="0" w:space="0" w:color="auto"/>
        <w:bottom w:val="none" w:sz="0" w:space="0" w:color="auto"/>
        <w:right w:val="none" w:sz="0" w:space="0" w:color="auto"/>
      </w:divBdr>
    </w:div>
    <w:div w:id="694313213">
      <w:bodyDiv w:val="1"/>
      <w:marLeft w:val="0"/>
      <w:marRight w:val="0"/>
      <w:marTop w:val="0"/>
      <w:marBottom w:val="0"/>
      <w:divBdr>
        <w:top w:val="none" w:sz="0" w:space="0" w:color="auto"/>
        <w:left w:val="none" w:sz="0" w:space="0" w:color="auto"/>
        <w:bottom w:val="none" w:sz="0" w:space="0" w:color="auto"/>
        <w:right w:val="none" w:sz="0" w:space="0" w:color="auto"/>
      </w:divBdr>
      <w:divsChild>
        <w:div w:id="472403930">
          <w:marLeft w:val="547"/>
          <w:marRight w:val="0"/>
          <w:marTop w:val="106"/>
          <w:marBottom w:val="0"/>
          <w:divBdr>
            <w:top w:val="none" w:sz="0" w:space="0" w:color="auto"/>
            <w:left w:val="none" w:sz="0" w:space="0" w:color="auto"/>
            <w:bottom w:val="none" w:sz="0" w:space="0" w:color="auto"/>
            <w:right w:val="none" w:sz="0" w:space="0" w:color="auto"/>
          </w:divBdr>
        </w:div>
        <w:div w:id="804859071">
          <w:marLeft w:val="1166"/>
          <w:marRight w:val="0"/>
          <w:marTop w:val="96"/>
          <w:marBottom w:val="0"/>
          <w:divBdr>
            <w:top w:val="none" w:sz="0" w:space="0" w:color="auto"/>
            <w:left w:val="none" w:sz="0" w:space="0" w:color="auto"/>
            <w:bottom w:val="none" w:sz="0" w:space="0" w:color="auto"/>
            <w:right w:val="none" w:sz="0" w:space="0" w:color="auto"/>
          </w:divBdr>
        </w:div>
        <w:div w:id="906887933">
          <w:marLeft w:val="547"/>
          <w:marRight w:val="0"/>
          <w:marTop w:val="106"/>
          <w:marBottom w:val="0"/>
          <w:divBdr>
            <w:top w:val="none" w:sz="0" w:space="0" w:color="auto"/>
            <w:left w:val="none" w:sz="0" w:space="0" w:color="auto"/>
            <w:bottom w:val="none" w:sz="0" w:space="0" w:color="auto"/>
            <w:right w:val="none" w:sz="0" w:space="0" w:color="auto"/>
          </w:divBdr>
        </w:div>
        <w:div w:id="1124689868">
          <w:marLeft w:val="1166"/>
          <w:marRight w:val="0"/>
          <w:marTop w:val="96"/>
          <w:marBottom w:val="0"/>
          <w:divBdr>
            <w:top w:val="none" w:sz="0" w:space="0" w:color="auto"/>
            <w:left w:val="none" w:sz="0" w:space="0" w:color="auto"/>
            <w:bottom w:val="none" w:sz="0" w:space="0" w:color="auto"/>
            <w:right w:val="none" w:sz="0" w:space="0" w:color="auto"/>
          </w:divBdr>
        </w:div>
        <w:div w:id="2064449658">
          <w:marLeft w:val="1166"/>
          <w:marRight w:val="0"/>
          <w:marTop w:val="96"/>
          <w:marBottom w:val="0"/>
          <w:divBdr>
            <w:top w:val="none" w:sz="0" w:space="0" w:color="auto"/>
            <w:left w:val="none" w:sz="0" w:space="0" w:color="auto"/>
            <w:bottom w:val="none" w:sz="0" w:space="0" w:color="auto"/>
            <w:right w:val="none" w:sz="0" w:space="0" w:color="auto"/>
          </w:divBdr>
        </w:div>
      </w:divsChild>
    </w:div>
    <w:div w:id="728303190">
      <w:bodyDiv w:val="1"/>
      <w:marLeft w:val="0"/>
      <w:marRight w:val="0"/>
      <w:marTop w:val="0"/>
      <w:marBottom w:val="0"/>
      <w:divBdr>
        <w:top w:val="none" w:sz="0" w:space="0" w:color="auto"/>
        <w:left w:val="none" w:sz="0" w:space="0" w:color="auto"/>
        <w:bottom w:val="none" w:sz="0" w:space="0" w:color="auto"/>
        <w:right w:val="none" w:sz="0" w:space="0" w:color="auto"/>
      </w:divBdr>
    </w:div>
    <w:div w:id="832645062">
      <w:bodyDiv w:val="1"/>
      <w:marLeft w:val="0"/>
      <w:marRight w:val="0"/>
      <w:marTop w:val="0"/>
      <w:marBottom w:val="0"/>
      <w:divBdr>
        <w:top w:val="none" w:sz="0" w:space="0" w:color="auto"/>
        <w:left w:val="none" w:sz="0" w:space="0" w:color="auto"/>
        <w:bottom w:val="none" w:sz="0" w:space="0" w:color="auto"/>
        <w:right w:val="none" w:sz="0" w:space="0" w:color="auto"/>
      </w:divBdr>
      <w:divsChild>
        <w:div w:id="452986408">
          <w:marLeft w:val="0"/>
          <w:marRight w:val="0"/>
          <w:marTop w:val="0"/>
          <w:marBottom w:val="0"/>
          <w:divBdr>
            <w:top w:val="none" w:sz="0" w:space="0" w:color="auto"/>
            <w:left w:val="none" w:sz="0" w:space="0" w:color="auto"/>
            <w:bottom w:val="none" w:sz="0" w:space="0" w:color="auto"/>
            <w:right w:val="none" w:sz="0" w:space="0" w:color="auto"/>
          </w:divBdr>
          <w:divsChild>
            <w:div w:id="326176713">
              <w:marLeft w:val="0"/>
              <w:marRight w:val="0"/>
              <w:marTop w:val="0"/>
              <w:marBottom w:val="0"/>
              <w:divBdr>
                <w:top w:val="none" w:sz="0" w:space="0" w:color="auto"/>
                <w:left w:val="none" w:sz="0" w:space="0" w:color="auto"/>
                <w:bottom w:val="none" w:sz="0" w:space="0" w:color="auto"/>
                <w:right w:val="none" w:sz="0" w:space="0" w:color="auto"/>
              </w:divBdr>
              <w:divsChild>
                <w:div w:id="680740589">
                  <w:marLeft w:val="0"/>
                  <w:marRight w:val="0"/>
                  <w:marTop w:val="0"/>
                  <w:marBottom w:val="159"/>
                  <w:divBdr>
                    <w:top w:val="none" w:sz="0" w:space="0" w:color="auto"/>
                    <w:left w:val="none" w:sz="0" w:space="0" w:color="auto"/>
                    <w:bottom w:val="none" w:sz="0" w:space="0" w:color="auto"/>
                    <w:right w:val="none" w:sz="0" w:space="0" w:color="auto"/>
                  </w:divBdr>
                  <w:divsChild>
                    <w:div w:id="13449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3926">
      <w:bodyDiv w:val="1"/>
      <w:marLeft w:val="0"/>
      <w:marRight w:val="0"/>
      <w:marTop w:val="0"/>
      <w:marBottom w:val="0"/>
      <w:divBdr>
        <w:top w:val="none" w:sz="0" w:space="0" w:color="auto"/>
        <w:left w:val="none" w:sz="0" w:space="0" w:color="auto"/>
        <w:bottom w:val="none" w:sz="0" w:space="0" w:color="auto"/>
        <w:right w:val="none" w:sz="0" w:space="0" w:color="auto"/>
      </w:divBdr>
    </w:div>
    <w:div w:id="932931232">
      <w:bodyDiv w:val="1"/>
      <w:marLeft w:val="0"/>
      <w:marRight w:val="0"/>
      <w:marTop w:val="0"/>
      <w:marBottom w:val="0"/>
      <w:divBdr>
        <w:top w:val="none" w:sz="0" w:space="0" w:color="auto"/>
        <w:left w:val="none" w:sz="0" w:space="0" w:color="auto"/>
        <w:bottom w:val="none" w:sz="0" w:space="0" w:color="auto"/>
        <w:right w:val="none" w:sz="0" w:space="0" w:color="auto"/>
      </w:divBdr>
    </w:div>
    <w:div w:id="1178811063">
      <w:bodyDiv w:val="1"/>
      <w:marLeft w:val="0"/>
      <w:marRight w:val="0"/>
      <w:marTop w:val="0"/>
      <w:marBottom w:val="0"/>
      <w:divBdr>
        <w:top w:val="none" w:sz="0" w:space="0" w:color="auto"/>
        <w:left w:val="none" w:sz="0" w:space="0" w:color="auto"/>
        <w:bottom w:val="none" w:sz="0" w:space="0" w:color="auto"/>
        <w:right w:val="none" w:sz="0" w:space="0" w:color="auto"/>
      </w:divBdr>
    </w:div>
    <w:div w:id="1639139778">
      <w:bodyDiv w:val="1"/>
      <w:marLeft w:val="0"/>
      <w:marRight w:val="0"/>
      <w:marTop w:val="0"/>
      <w:marBottom w:val="0"/>
      <w:divBdr>
        <w:top w:val="none" w:sz="0" w:space="0" w:color="auto"/>
        <w:left w:val="none" w:sz="0" w:space="0" w:color="auto"/>
        <w:bottom w:val="none" w:sz="0" w:space="0" w:color="auto"/>
        <w:right w:val="none" w:sz="0" w:space="0" w:color="auto"/>
      </w:divBdr>
    </w:div>
    <w:div w:id="1717729566">
      <w:bodyDiv w:val="1"/>
      <w:marLeft w:val="0"/>
      <w:marRight w:val="0"/>
      <w:marTop w:val="0"/>
      <w:marBottom w:val="0"/>
      <w:divBdr>
        <w:top w:val="none" w:sz="0" w:space="0" w:color="auto"/>
        <w:left w:val="none" w:sz="0" w:space="0" w:color="auto"/>
        <w:bottom w:val="none" w:sz="0" w:space="0" w:color="auto"/>
        <w:right w:val="none" w:sz="0" w:space="0" w:color="auto"/>
      </w:divBdr>
    </w:div>
    <w:div w:id="1766227170">
      <w:bodyDiv w:val="1"/>
      <w:marLeft w:val="0"/>
      <w:marRight w:val="0"/>
      <w:marTop w:val="0"/>
      <w:marBottom w:val="0"/>
      <w:divBdr>
        <w:top w:val="none" w:sz="0" w:space="0" w:color="auto"/>
        <w:left w:val="none" w:sz="0" w:space="0" w:color="auto"/>
        <w:bottom w:val="none" w:sz="0" w:space="0" w:color="auto"/>
        <w:right w:val="none" w:sz="0" w:space="0" w:color="auto"/>
      </w:divBdr>
      <w:divsChild>
        <w:div w:id="798837671">
          <w:marLeft w:val="547"/>
          <w:marRight w:val="0"/>
          <w:marTop w:val="144"/>
          <w:marBottom w:val="0"/>
          <w:divBdr>
            <w:top w:val="none" w:sz="0" w:space="0" w:color="auto"/>
            <w:left w:val="none" w:sz="0" w:space="0" w:color="auto"/>
            <w:bottom w:val="none" w:sz="0" w:space="0" w:color="auto"/>
            <w:right w:val="none" w:sz="0" w:space="0" w:color="auto"/>
          </w:divBdr>
        </w:div>
        <w:div w:id="893738999">
          <w:marLeft w:val="547"/>
          <w:marRight w:val="0"/>
          <w:marTop w:val="144"/>
          <w:marBottom w:val="0"/>
          <w:divBdr>
            <w:top w:val="none" w:sz="0" w:space="0" w:color="auto"/>
            <w:left w:val="none" w:sz="0" w:space="0" w:color="auto"/>
            <w:bottom w:val="none" w:sz="0" w:space="0" w:color="auto"/>
            <w:right w:val="none" w:sz="0" w:space="0" w:color="auto"/>
          </w:divBdr>
        </w:div>
        <w:div w:id="1090662838">
          <w:marLeft w:val="547"/>
          <w:marRight w:val="0"/>
          <w:marTop w:val="144"/>
          <w:marBottom w:val="0"/>
          <w:divBdr>
            <w:top w:val="none" w:sz="0" w:space="0" w:color="auto"/>
            <w:left w:val="none" w:sz="0" w:space="0" w:color="auto"/>
            <w:bottom w:val="none" w:sz="0" w:space="0" w:color="auto"/>
            <w:right w:val="none" w:sz="0" w:space="0" w:color="auto"/>
          </w:divBdr>
        </w:div>
        <w:div w:id="1583177966">
          <w:marLeft w:val="547"/>
          <w:marRight w:val="0"/>
          <w:marTop w:val="144"/>
          <w:marBottom w:val="0"/>
          <w:divBdr>
            <w:top w:val="none" w:sz="0" w:space="0" w:color="auto"/>
            <w:left w:val="none" w:sz="0" w:space="0" w:color="auto"/>
            <w:bottom w:val="none" w:sz="0" w:space="0" w:color="auto"/>
            <w:right w:val="none" w:sz="0" w:space="0" w:color="auto"/>
          </w:divBdr>
        </w:div>
      </w:divsChild>
    </w:div>
    <w:div w:id="1839224138">
      <w:bodyDiv w:val="1"/>
      <w:marLeft w:val="0"/>
      <w:marRight w:val="0"/>
      <w:marTop w:val="0"/>
      <w:marBottom w:val="0"/>
      <w:divBdr>
        <w:top w:val="none" w:sz="0" w:space="0" w:color="auto"/>
        <w:left w:val="none" w:sz="0" w:space="0" w:color="auto"/>
        <w:bottom w:val="none" w:sz="0" w:space="0" w:color="auto"/>
        <w:right w:val="none" w:sz="0" w:space="0" w:color="auto"/>
      </w:divBdr>
      <w:divsChild>
        <w:div w:id="95174757">
          <w:marLeft w:val="547"/>
          <w:marRight w:val="0"/>
          <w:marTop w:val="86"/>
          <w:marBottom w:val="0"/>
          <w:divBdr>
            <w:top w:val="none" w:sz="0" w:space="0" w:color="auto"/>
            <w:left w:val="none" w:sz="0" w:space="0" w:color="auto"/>
            <w:bottom w:val="none" w:sz="0" w:space="0" w:color="auto"/>
            <w:right w:val="none" w:sz="0" w:space="0" w:color="auto"/>
          </w:divBdr>
        </w:div>
        <w:div w:id="614555905">
          <w:marLeft w:val="547"/>
          <w:marRight w:val="0"/>
          <w:marTop w:val="86"/>
          <w:marBottom w:val="0"/>
          <w:divBdr>
            <w:top w:val="none" w:sz="0" w:space="0" w:color="auto"/>
            <w:left w:val="none" w:sz="0" w:space="0" w:color="auto"/>
            <w:bottom w:val="none" w:sz="0" w:space="0" w:color="auto"/>
            <w:right w:val="none" w:sz="0" w:space="0" w:color="auto"/>
          </w:divBdr>
        </w:div>
        <w:div w:id="874001921">
          <w:marLeft w:val="547"/>
          <w:marRight w:val="0"/>
          <w:marTop w:val="86"/>
          <w:marBottom w:val="0"/>
          <w:divBdr>
            <w:top w:val="none" w:sz="0" w:space="0" w:color="auto"/>
            <w:left w:val="none" w:sz="0" w:space="0" w:color="auto"/>
            <w:bottom w:val="none" w:sz="0" w:space="0" w:color="auto"/>
            <w:right w:val="none" w:sz="0" w:space="0" w:color="auto"/>
          </w:divBdr>
        </w:div>
        <w:div w:id="1203862605">
          <w:marLeft w:val="547"/>
          <w:marRight w:val="0"/>
          <w:marTop w:val="86"/>
          <w:marBottom w:val="0"/>
          <w:divBdr>
            <w:top w:val="none" w:sz="0" w:space="0" w:color="auto"/>
            <w:left w:val="none" w:sz="0" w:space="0" w:color="auto"/>
            <w:bottom w:val="none" w:sz="0" w:space="0" w:color="auto"/>
            <w:right w:val="none" w:sz="0" w:space="0" w:color="auto"/>
          </w:divBdr>
        </w:div>
        <w:div w:id="1926181249">
          <w:marLeft w:val="547"/>
          <w:marRight w:val="0"/>
          <w:marTop w:val="86"/>
          <w:marBottom w:val="0"/>
          <w:divBdr>
            <w:top w:val="none" w:sz="0" w:space="0" w:color="auto"/>
            <w:left w:val="none" w:sz="0" w:space="0" w:color="auto"/>
            <w:bottom w:val="none" w:sz="0" w:space="0" w:color="auto"/>
            <w:right w:val="none" w:sz="0" w:space="0" w:color="auto"/>
          </w:divBdr>
        </w:div>
      </w:divsChild>
    </w:div>
    <w:div w:id="1851140054">
      <w:bodyDiv w:val="1"/>
      <w:marLeft w:val="0"/>
      <w:marRight w:val="0"/>
      <w:marTop w:val="0"/>
      <w:marBottom w:val="0"/>
      <w:divBdr>
        <w:top w:val="none" w:sz="0" w:space="0" w:color="auto"/>
        <w:left w:val="none" w:sz="0" w:space="0" w:color="auto"/>
        <w:bottom w:val="none" w:sz="0" w:space="0" w:color="auto"/>
        <w:right w:val="none" w:sz="0" w:space="0" w:color="auto"/>
      </w:divBdr>
      <w:divsChild>
        <w:div w:id="27217058">
          <w:marLeft w:val="547"/>
          <w:marRight w:val="0"/>
          <w:marTop w:val="106"/>
          <w:marBottom w:val="0"/>
          <w:divBdr>
            <w:top w:val="none" w:sz="0" w:space="0" w:color="auto"/>
            <w:left w:val="none" w:sz="0" w:space="0" w:color="auto"/>
            <w:bottom w:val="none" w:sz="0" w:space="0" w:color="auto"/>
            <w:right w:val="none" w:sz="0" w:space="0" w:color="auto"/>
          </w:divBdr>
        </w:div>
        <w:div w:id="118645209">
          <w:marLeft w:val="547"/>
          <w:marRight w:val="0"/>
          <w:marTop w:val="106"/>
          <w:marBottom w:val="0"/>
          <w:divBdr>
            <w:top w:val="none" w:sz="0" w:space="0" w:color="auto"/>
            <w:left w:val="none" w:sz="0" w:space="0" w:color="auto"/>
            <w:bottom w:val="none" w:sz="0" w:space="0" w:color="auto"/>
            <w:right w:val="none" w:sz="0" w:space="0" w:color="auto"/>
          </w:divBdr>
        </w:div>
        <w:div w:id="872496012">
          <w:marLeft w:val="547"/>
          <w:marRight w:val="0"/>
          <w:marTop w:val="106"/>
          <w:marBottom w:val="0"/>
          <w:divBdr>
            <w:top w:val="none" w:sz="0" w:space="0" w:color="auto"/>
            <w:left w:val="none" w:sz="0" w:space="0" w:color="auto"/>
            <w:bottom w:val="none" w:sz="0" w:space="0" w:color="auto"/>
            <w:right w:val="none" w:sz="0" w:space="0" w:color="auto"/>
          </w:divBdr>
        </w:div>
        <w:div w:id="1464346741">
          <w:marLeft w:val="547"/>
          <w:marRight w:val="0"/>
          <w:marTop w:val="106"/>
          <w:marBottom w:val="0"/>
          <w:divBdr>
            <w:top w:val="none" w:sz="0" w:space="0" w:color="auto"/>
            <w:left w:val="none" w:sz="0" w:space="0" w:color="auto"/>
            <w:bottom w:val="none" w:sz="0" w:space="0" w:color="auto"/>
            <w:right w:val="none" w:sz="0" w:space="0" w:color="auto"/>
          </w:divBdr>
        </w:div>
      </w:divsChild>
    </w:div>
    <w:div w:id="1875654241">
      <w:bodyDiv w:val="1"/>
      <w:marLeft w:val="0"/>
      <w:marRight w:val="0"/>
      <w:marTop w:val="0"/>
      <w:marBottom w:val="0"/>
      <w:divBdr>
        <w:top w:val="none" w:sz="0" w:space="0" w:color="auto"/>
        <w:left w:val="none" w:sz="0" w:space="0" w:color="auto"/>
        <w:bottom w:val="none" w:sz="0" w:space="0" w:color="auto"/>
        <w:right w:val="none" w:sz="0" w:space="0" w:color="auto"/>
      </w:divBdr>
      <w:divsChild>
        <w:div w:id="654795022">
          <w:marLeft w:val="0"/>
          <w:marRight w:val="0"/>
          <w:marTop w:val="0"/>
          <w:marBottom w:val="0"/>
          <w:divBdr>
            <w:top w:val="none" w:sz="0" w:space="0" w:color="auto"/>
            <w:left w:val="none" w:sz="0" w:space="0" w:color="auto"/>
            <w:bottom w:val="none" w:sz="0" w:space="0" w:color="auto"/>
            <w:right w:val="none" w:sz="0" w:space="0" w:color="auto"/>
          </w:divBdr>
          <w:divsChild>
            <w:div w:id="2080664237">
              <w:marLeft w:val="0"/>
              <w:marRight w:val="0"/>
              <w:marTop w:val="0"/>
              <w:marBottom w:val="0"/>
              <w:divBdr>
                <w:top w:val="none" w:sz="0" w:space="0" w:color="auto"/>
                <w:left w:val="none" w:sz="0" w:space="0" w:color="auto"/>
                <w:bottom w:val="none" w:sz="0" w:space="0" w:color="auto"/>
                <w:right w:val="none" w:sz="0" w:space="0" w:color="auto"/>
              </w:divBdr>
              <w:divsChild>
                <w:div w:id="4330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47775">
      <w:bodyDiv w:val="1"/>
      <w:marLeft w:val="0"/>
      <w:marRight w:val="0"/>
      <w:marTop w:val="0"/>
      <w:marBottom w:val="0"/>
      <w:divBdr>
        <w:top w:val="none" w:sz="0" w:space="0" w:color="auto"/>
        <w:left w:val="none" w:sz="0" w:space="0" w:color="auto"/>
        <w:bottom w:val="none" w:sz="0" w:space="0" w:color="auto"/>
        <w:right w:val="none" w:sz="0" w:space="0" w:color="auto"/>
      </w:divBdr>
      <w:divsChild>
        <w:div w:id="505294638">
          <w:marLeft w:val="547"/>
          <w:marRight w:val="0"/>
          <w:marTop w:val="144"/>
          <w:marBottom w:val="0"/>
          <w:divBdr>
            <w:top w:val="none" w:sz="0" w:space="0" w:color="auto"/>
            <w:left w:val="none" w:sz="0" w:space="0" w:color="auto"/>
            <w:bottom w:val="none" w:sz="0" w:space="0" w:color="auto"/>
            <w:right w:val="none" w:sz="0" w:space="0" w:color="auto"/>
          </w:divBdr>
        </w:div>
        <w:div w:id="508914755">
          <w:marLeft w:val="547"/>
          <w:marRight w:val="0"/>
          <w:marTop w:val="144"/>
          <w:marBottom w:val="0"/>
          <w:divBdr>
            <w:top w:val="none" w:sz="0" w:space="0" w:color="auto"/>
            <w:left w:val="none" w:sz="0" w:space="0" w:color="auto"/>
            <w:bottom w:val="none" w:sz="0" w:space="0" w:color="auto"/>
            <w:right w:val="none" w:sz="0" w:space="0" w:color="auto"/>
          </w:divBdr>
        </w:div>
        <w:div w:id="1789666367">
          <w:marLeft w:val="547"/>
          <w:marRight w:val="0"/>
          <w:marTop w:val="144"/>
          <w:marBottom w:val="0"/>
          <w:divBdr>
            <w:top w:val="none" w:sz="0" w:space="0" w:color="auto"/>
            <w:left w:val="none" w:sz="0" w:space="0" w:color="auto"/>
            <w:bottom w:val="none" w:sz="0" w:space="0" w:color="auto"/>
            <w:right w:val="none" w:sz="0" w:space="0" w:color="auto"/>
          </w:divBdr>
        </w:div>
      </w:divsChild>
    </w:div>
    <w:div w:id="1958490858">
      <w:bodyDiv w:val="1"/>
      <w:marLeft w:val="0"/>
      <w:marRight w:val="0"/>
      <w:marTop w:val="0"/>
      <w:marBottom w:val="0"/>
      <w:divBdr>
        <w:top w:val="none" w:sz="0" w:space="0" w:color="auto"/>
        <w:left w:val="none" w:sz="0" w:space="0" w:color="auto"/>
        <w:bottom w:val="none" w:sz="0" w:space="0" w:color="auto"/>
        <w:right w:val="none" w:sz="0" w:space="0" w:color="auto"/>
      </w:divBdr>
    </w:div>
    <w:div w:id="2054378840">
      <w:bodyDiv w:val="1"/>
      <w:marLeft w:val="0"/>
      <w:marRight w:val="0"/>
      <w:marTop w:val="0"/>
      <w:marBottom w:val="0"/>
      <w:divBdr>
        <w:top w:val="none" w:sz="0" w:space="0" w:color="auto"/>
        <w:left w:val="none" w:sz="0" w:space="0" w:color="auto"/>
        <w:bottom w:val="none" w:sz="0" w:space="0" w:color="auto"/>
        <w:right w:val="none" w:sz="0" w:space="0" w:color="auto"/>
      </w:divBdr>
      <w:divsChild>
        <w:div w:id="486826331">
          <w:marLeft w:val="547"/>
          <w:marRight w:val="0"/>
          <w:marTop w:val="96"/>
          <w:marBottom w:val="0"/>
          <w:divBdr>
            <w:top w:val="none" w:sz="0" w:space="0" w:color="auto"/>
            <w:left w:val="none" w:sz="0" w:space="0" w:color="auto"/>
            <w:bottom w:val="none" w:sz="0" w:space="0" w:color="auto"/>
            <w:right w:val="none" w:sz="0" w:space="0" w:color="auto"/>
          </w:divBdr>
        </w:div>
        <w:div w:id="892733471">
          <w:marLeft w:val="547"/>
          <w:marRight w:val="0"/>
          <w:marTop w:val="96"/>
          <w:marBottom w:val="0"/>
          <w:divBdr>
            <w:top w:val="none" w:sz="0" w:space="0" w:color="auto"/>
            <w:left w:val="none" w:sz="0" w:space="0" w:color="auto"/>
            <w:bottom w:val="none" w:sz="0" w:space="0" w:color="auto"/>
            <w:right w:val="none" w:sz="0" w:space="0" w:color="auto"/>
          </w:divBdr>
        </w:div>
        <w:div w:id="1954900662">
          <w:marLeft w:val="547"/>
          <w:marRight w:val="0"/>
          <w:marTop w:val="96"/>
          <w:marBottom w:val="0"/>
          <w:divBdr>
            <w:top w:val="none" w:sz="0" w:space="0" w:color="auto"/>
            <w:left w:val="none" w:sz="0" w:space="0" w:color="auto"/>
            <w:bottom w:val="none" w:sz="0" w:space="0" w:color="auto"/>
            <w:right w:val="none" w:sz="0" w:space="0" w:color="auto"/>
          </w:divBdr>
        </w:div>
        <w:div w:id="1974023850">
          <w:marLeft w:val="547"/>
          <w:marRight w:val="0"/>
          <w:marTop w:val="96"/>
          <w:marBottom w:val="0"/>
          <w:divBdr>
            <w:top w:val="none" w:sz="0" w:space="0" w:color="auto"/>
            <w:left w:val="none" w:sz="0" w:space="0" w:color="auto"/>
            <w:bottom w:val="none" w:sz="0" w:space="0" w:color="auto"/>
            <w:right w:val="none" w:sz="0" w:space="0" w:color="auto"/>
          </w:divBdr>
        </w:div>
      </w:divsChild>
    </w:div>
    <w:div w:id="2144035758">
      <w:bodyDiv w:val="1"/>
      <w:marLeft w:val="0"/>
      <w:marRight w:val="0"/>
      <w:marTop w:val="0"/>
      <w:marBottom w:val="0"/>
      <w:divBdr>
        <w:top w:val="none" w:sz="0" w:space="0" w:color="auto"/>
        <w:left w:val="none" w:sz="0" w:space="0" w:color="auto"/>
        <w:bottom w:val="none" w:sz="0" w:space="0" w:color="auto"/>
        <w:right w:val="none" w:sz="0" w:space="0" w:color="auto"/>
      </w:divBdr>
      <w:divsChild>
        <w:div w:id="329060413">
          <w:marLeft w:val="1541"/>
          <w:marRight w:val="0"/>
          <w:marTop w:val="115"/>
          <w:marBottom w:val="0"/>
          <w:divBdr>
            <w:top w:val="none" w:sz="0" w:space="0" w:color="auto"/>
            <w:left w:val="none" w:sz="0" w:space="0" w:color="auto"/>
            <w:bottom w:val="none" w:sz="0" w:space="0" w:color="auto"/>
            <w:right w:val="none" w:sz="0" w:space="0" w:color="auto"/>
          </w:divBdr>
        </w:div>
        <w:div w:id="1147278998">
          <w:marLeft w:val="1541"/>
          <w:marRight w:val="0"/>
          <w:marTop w:val="115"/>
          <w:marBottom w:val="0"/>
          <w:divBdr>
            <w:top w:val="none" w:sz="0" w:space="0" w:color="auto"/>
            <w:left w:val="none" w:sz="0" w:space="0" w:color="auto"/>
            <w:bottom w:val="none" w:sz="0" w:space="0" w:color="auto"/>
            <w:right w:val="none" w:sz="0" w:space="0" w:color="auto"/>
          </w:divBdr>
        </w:div>
        <w:div w:id="1167093470">
          <w:marLeft w:val="547"/>
          <w:marRight w:val="0"/>
          <w:marTop w:val="134"/>
          <w:marBottom w:val="0"/>
          <w:divBdr>
            <w:top w:val="none" w:sz="0" w:space="0" w:color="auto"/>
            <w:left w:val="none" w:sz="0" w:space="0" w:color="auto"/>
            <w:bottom w:val="none" w:sz="0" w:space="0" w:color="auto"/>
            <w:right w:val="none" w:sz="0" w:space="0" w:color="auto"/>
          </w:divBdr>
        </w:div>
        <w:div w:id="1259169761">
          <w:marLeft w:val="547"/>
          <w:marRight w:val="0"/>
          <w:marTop w:val="134"/>
          <w:marBottom w:val="0"/>
          <w:divBdr>
            <w:top w:val="none" w:sz="0" w:space="0" w:color="auto"/>
            <w:left w:val="none" w:sz="0" w:space="0" w:color="auto"/>
            <w:bottom w:val="none" w:sz="0" w:space="0" w:color="auto"/>
            <w:right w:val="none" w:sz="0" w:space="0" w:color="auto"/>
          </w:divBdr>
        </w:div>
        <w:div w:id="1270704207">
          <w:marLeft w:val="1541"/>
          <w:marRight w:val="0"/>
          <w:marTop w:val="115"/>
          <w:marBottom w:val="0"/>
          <w:divBdr>
            <w:top w:val="none" w:sz="0" w:space="0" w:color="auto"/>
            <w:left w:val="none" w:sz="0" w:space="0" w:color="auto"/>
            <w:bottom w:val="none" w:sz="0" w:space="0" w:color="auto"/>
            <w:right w:val="none" w:sz="0" w:space="0" w:color="auto"/>
          </w:divBdr>
        </w:div>
        <w:div w:id="1571962106">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info@arpansa.gov.au" TargetMode="External"/><Relationship Id="rId26" Type="http://schemas.openxmlformats.org/officeDocument/2006/relationships/header" Target="header4.xml"/><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hyperlink" Target="http://creativecommons.org/licenses/by/3.0/au/" TargetMode="External"/><Relationship Id="rId34" Type="http://schemas.openxmlformats.org/officeDocument/2006/relationships/image" Target="media/image7.jpeg"/><Relationship Id="rId42" Type="http://schemas.openxmlformats.org/officeDocument/2006/relationships/chart" Target="charts/chart4.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dpmc.gov.au/government/commonwealth-coat-arms" TargetMode="External"/><Relationship Id="rId25" Type="http://schemas.openxmlformats.org/officeDocument/2006/relationships/header" Target="header3.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image" Target="media/image50.png"/><Relationship Id="rId29" Type="http://schemas.openxmlformats.org/officeDocument/2006/relationships/header" Target="header5.xm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arpansa.gov.au" TargetMode="External"/><Relationship Id="rId32" Type="http://schemas.openxmlformats.org/officeDocument/2006/relationships/footer" Target="footer7.xml"/><Relationship Id="rId37" Type="http://schemas.openxmlformats.org/officeDocument/2006/relationships/image" Target="media/image10.jpeg"/><Relationship Id="rId40" Type="http://schemas.openxmlformats.org/officeDocument/2006/relationships/chart" Target="charts/chart2.xml"/><Relationship Id="rId45" Type="http://schemas.openxmlformats.org/officeDocument/2006/relationships/chart" Target="charts/chart7.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mailto:info@arpansa.gov.au" TargetMode="External"/><Relationship Id="rId28" Type="http://schemas.openxmlformats.org/officeDocument/2006/relationships/footer" Target="footer4.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www.arpansa.gov.au" TargetMode="External"/><Relationship Id="rId31" Type="http://schemas.openxmlformats.org/officeDocument/2006/relationships/footer" Target="footer6.xml"/><Relationship Id="rId44"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dpmc.gov.au/government/commonwealth-coat-arms"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8.jpeg"/><Relationship Id="rId43" Type="http://schemas.openxmlformats.org/officeDocument/2006/relationships/chart" Target="charts/chart5.xml"/><Relationship Id="rId48" Type="http://schemas.openxmlformats.org/officeDocument/2006/relationships/header" Target="header7.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ad_Health\M_and_ER\11%20Radon\07%20Radon%20Surveys\2012-AAD%20Antarctic%20Radon%20Survey\Technical%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rpansa.local\VicData\Rad_Health\M_and_ER\11%20Radon\07%20Radon%20Surveys\2012-AAD%20Antarctic%20Radon%20Survey\AAD%20Radon%20Monitor%20Detail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Overall winter measurements </a:t>
            </a:r>
            <a:endParaRPr lang="en-US"/>
          </a:p>
        </c:rich>
      </c:tx>
      <c:layout/>
      <c:overlay val="0"/>
    </c:title>
    <c:autoTitleDeleted val="0"/>
    <c:plotArea>
      <c:layout/>
      <c:barChart>
        <c:barDir val="col"/>
        <c:grouping val="clustered"/>
        <c:varyColors val="0"/>
        <c:ser>
          <c:idx val="0"/>
          <c:order val="0"/>
          <c:tx>
            <c:v>Macq Is</c:v>
          </c:tx>
          <c:spPr>
            <a:solidFill>
              <a:schemeClr val="accent1"/>
            </a:solidFill>
          </c:spPr>
          <c:invertIfNegative val="0"/>
          <c:val>
            <c:numRef>
              <c:f>Plots!$C$2:$C$16</c:f>
              <c:numCache>
                <c:formatCode>General</c:formatCode>
                <c:ptCount val="15"/>
                <c:pt idx="0">
                  <c:v>17.583561643835615</c:v>
                </c:pt>
                <c:pt idx="1">
                  <c:v>20.308196721311475</c:v>
                </c:pt>
                <c:pt idx="2">
                  <c:v>16.796721311475409</c:v>
                </c:pt>
                <c:pt idx="3">
                  <c:v>17.210958904109589</c:v>
                </c:pt>
                <c:pt idx="4">
                  <c:v>8.0490196078431371</c:v>
                </c:pt>
                <c:pt idx="5">
                  <c:v>9.1651651651651651</c:v>
                </c:pt>
                <c:pt idx="6">
                  <c:v>23.740983606557378</c:v>
                </c:pt>
                <c:pt idx="8">
                  <c:v>19.413114754098359</c:v>
                </c:pt>
                <c:pt idx="9">
                  <c:v>7.5639344262295083</c:v>
                </c:pt>
                <c:pt idx="10">
                  <c:v>17.881967213114756</c:v>
                </c:pt>
                <c:pt idx="11">
                  <c:v>6.2393442622950817</c:v>
                </c:pt>
                <c:pt idx="12">
                  <c:v>2.0229508196721313</c:v>
                </c:pt>
                <c:pt idx="13">
                  <c:v>14.688524590163935</c:v>
                </c:pt>
                <c:pt idx="14">
                  <c:v>13.170491803278688</c:v>
                </c:pt>
              </c:numCache>
            </c:numRef>
          </c:val>
        </c:ser>
        <c:ser>
          <c:idx val="1"/>
          <c:order val="1"/>
          <c:tx>
            <c:v>Davis</c:v>
          </c:tx>
          <c:invertIfNegative val="0"/>
          <c:val>
            <c:numRef>
              <c:f>Plots!$C$22:$C$36</c:f>
              <c:numCache>
                <c:formatCode>General</c:formatCode>
                <c:ptCount val="15"/>
                <c:pt idx="2">
                  <c:v>13.845352487796445</c:v>
                </c:pt>
                <c:pt idx="3">
                  <c:v>6.2925044400100152</c:v>
                </c:pt>
                <c:pt idx="6">
                  <c:v>23.835616438356166</c:v>
                </c:pt>
                <c:pt idx="7">
                  <c:v>18.328767123287673</c:v>
                </c:pt>
                <c:pt idx="8">
                  <c:v>40.799999999999997</c:v>
                </c:pt>
                <c:pt idx="10">
                  <c:v>20.945762711864408</c:v>
                </c:pt>
                <c:pt idx="11">
                  <c:v>17.19322033898305</c:v>
                </c:pt>
                <c:pt idx="12">
                  <c:v>17.850847457627118</c:v>
                </c:pt>
                <c:pt idx="13">
                  <c:v>8.2474576271186439</c:v>
                </c:pt>
                <c:pt idx="14">
                  <c:v>18.335593220338982</c:v>
                </c:pt>
              </c:numCache>
            </c:numRef>
          </c:val>
        </c:ser>
        <c:ser>
          <c:idx val="2"/>
          <c:order val="2"/>
          <c:tx>
            <c:v>Mawson</c:v>
          </c:tx>
          <c:invertIfNegative val="0"/>
          <c:val>
            <c:numRef>
              <c:f>Plots!$C$42:$C$56</c:f>
              <c:numCache>
                <c:formatCode>General</c:formatCode>
                <c:ptCount val="15"/>
                <c:pt idx="0">
                  <c:v>5.1322033898305088</c:v>
                </c:pt>
                <c:pt idx="8">
                  <c:v>15.594308268930977</c:v>
                </c:pt>
                <c:pt idx="9">
                  <c:v>10.113091101834327</c:v>
                </c:pt>
                <c:pt idx="11">
                  <c:v>15.594308268930977</c:v>
                </c:pt>
                <c:pt idx="12">
                  <c:v>10.113091101834327</c:v>
                </c:pt>
                <c:pt idx="14">
                  <c:v>20.259374999999999</c:v>
                </c:pt>
              </c:numCache>
            </c:numRef>
          </c:val>
        </c:ser>
        <c:ser>
          <c:idx val="3"/>
          <c:order val="3"/>
          <c:tx>
            <c:v>Casey</c:v>
          </c:tx>
          <c:invertIfNegative val="0"/>
          <c:val>
            <c:numRef>
              <c:f>Plots!$C$62:$C$76</c:f>
              <c:numCache>
                <c:formatCode>General</c:formatCode>
                <c:ptCount val="15"/>
                <c:pt idx="0">
                  <c:v>11.884375</c:v>
                </c:pt>
                <c:pt idx="1">
                  <c:v>24.643750000000001</c:v>
                </c:pt>
                <c:pt idx="2">
                  <c:v>19.246874999999999</c:v>
                </c:pt>
                <c:pt idx="3">
                  <c:v>21.043835616438358</c:v>
                </c:pt>
                <c:pt idx="4">
                  <c:v>18.09375</c:v>
                </c:pt>
                <c:pt idx="5">
                  <c:v>29.615625000000001</c:v>
                </c:pt>
                <c:pt idx="6">
                  <c:v>15.978056426332289</c:v>
                </c:pt>
                <c:pt idx="7">
                  <c:v>14.780564263322884</c:v>
                </c:pt>
                <c:pt idx="8">
                  <c:v>24.006269592476489</c:v>
                </c:pt>
              </c:numCache>
            </c:numRef>
          </c:val>
        </c:ser>
        <c:dLbls>
          <c:showLegendKey val="0"/>
          <c:showVal val="0"/>
          <c:showCatName val="0"/>
          <c:showSerName val="0"/>
          <c:showPercent val="0"/>
          <c:showBubbleSize val="0"/>
        </c:dLbls>
        <c:gapWidth val="150"/>
        <c:axId val="127287296"/>
        <c:axId val="127289600"/>
      </c:barChart>
      <c:catAx>
        <c:axId val="127287296"/>
        <c:scaling>
          <c:orientation val="minMax"/>
        </c:scaling>
        <c:delete val="0"/>
        <c:axPos val="b"/>
        <c:title>
          <c:tx>
            <c:rich>
              <a:bodyPr/>
              <a:lstStyle/>
              <a:p>
                <a:pPr>
                  <a:defRPr/>
                </a:pPr>
                <a:r>
                  <a:rPr lang="en-US"/>
                  <a:t>Monitor Number</a:t>
                </a:r>
              </a:p>
            </c:rich>
          </c:tx>
          <c:layout/>
          <c:overlay val="0"/>
        </c:title>
        <c:majorTickMark val="out"/>
        <c:minorTickMark val="none"/>
        <c:tickLblPos val="nextTo"/>
        <c:crossAx val="127289600"/>
        <c:crosses val="autoZero"/>
        <c:auto val="1"/>
        <c:lblAlgn val="ctr"/>
        <c:lblOffset val="100"/>
        <c:noMultiLvlLbl val="0"/>
      </c:catAx>
      <c:valAx>
        <c:axId val="127289600"/>
        <c:scaling>
          <c:orientation val="minMax"/>
        </c:scaling>
        <c:delete val="0"/>
        <c:axPos val="l"/>
        <c:title>
          <c:tx>
            <c:rich>
              <a:bodyPr rot="-5400000" vert="horz"/>
              <a:lstStyle/>
              <a:p>
                <a:pPr>
                  <a:defRPr/>
                </a:pPr>
                <a:r>
                  <a:rPr lang="en-US"/>
                  <a:t>Radon Concentration</a:t>
                </a:r>
                <a:r>
                  <a:rPr lang="en-US" sz="1000" b="1" i="0" u="none" strike="noStrike" kern="1200" baseline="0">
                    <a:solidFill>
                      <a:sysClr val="windowText" lastClr="000000"/>
                    </a:solidFill>
                    <a:latin typeface="+mn-lt"/>
                    <a:ea typeface="+mn-ea"/>
                    <a:cs typeface="+mn-cs"/>
                  </a:rPr>
                  <a:t> </a:t>
                </a:r>
                <a:r>
                  <a:rPr lang="en-US"/>
                  <a:t>(Bq.m</a:t>
                </a:r>
                <a:r>
                  <a:rPr lang="en-US" baseline="30000"/>
                  <a:t>-3</a:t>
                </a:r>
                <a:r>
                  <a:rPr lang="en-US"/>
                  <a:t>)</a:t>
                </a:r>
              </a:p>
            </c:rich>
          </c:tx>
          <c:layout/>
          <c:overlay val="0"/>
        </c:title>
        <c:numFmt formatCode="General" sourceLinked="1"/>
        <c:majorTickMark val="out"/>
        <c:minorTickMark val="none"/>
        <c:tickLblPos val="nextTo"/>
        <c:crossAx val="12728729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Overall s</a:t>
            </a:r>
            <a:r>
              <a:rPr lang="en-US" baseline="0"/>
              <a:t>ummer measurements</a:t>
            </a:r>
            <a:endParaRPr lang="en-US"/>
          </a:p>
        </c:rich>
      </c:tx>
      <c:overlay val="0"/>
    </c:title>
    <c:autoTitleDeleted val="0"/>
    <c:plotArea>
      <c:layout/>
      <c:barChart>
        <c:barDir val="col"/>
        <c:grouping val="clustered"/>
        <c:varyColors val="0"/>
        <c:ser>
          <c:idx val="0"/>
          <c:order val="0"/>
          <c:tx>
            <c:v>Macq Is</c:v>
          </c:tx>
          <c:spPr>
            <a:solidFill>
              <a:schemeClr val="accent1"/>
            </a:solidFill>
          </c:spPr>
          <c:invertIfNegative val="0"/>
          <c:cat>
            <c:numRef>
              <c:f>Plots!$B$105:$B$110</c:f>
              <c:numCache>
                <c:formatCode>General</c:formatCode>
                <c:ptCount val="6"/>
                <c:pt idx="0">
                  <c:v>16</c:v>
                </c:pt>
                <c:pt idx="1">
                  <c:v>17</c:v>
                </c:pt>
                <c:pt idx="2">
                  <c:v>18</c:v>
                </c:pt>
                <c:pt idx="3">
                  <c:v>19</c:v>
                </c:pt>
                <c:pt idx="4">
                  <c:v>20</c:v>
                </c:pt>
                <c:pt idx="5">
                  <c:v>21</c:v>
                </c:pt>
              </c:numCache>
            </c:numRef>
          </c:cat>
          <c:val>
            <c:numRef>
              <c:f>Plots!$E$17:$E$22</c:f>
              <c:numCache>
                <c:formatCode>General</c:formatCode>
                <c:ptCount val="6"/>
                <c:pt idx="0">
                  <c:v>28.239130434782609</c:v>
                </c:pt>
                <c:pt idx="1">
                  <c:v>35.326086956521742</c:v>
                </c:pt>
                <c:pt idx="2">
                  <c:v>33.630434782608695</c:v>
                </c:pt>
                <c:pt idx="3">
                  <c:v>33</c:v>
                </c:pt>
                <c:pt idx="4">
                  <c:v>5.0434782608695654</c:v>
                </c:pt>
                <c:pt idx="5">
                  <c:v>3.0217391304347827</c:v>
                </c:pt>
              </c:numCache>
            </c:numRef>
          </c:val>
        </c:ser>
        <c:ser>
          <c:idx val="1"/>
          <c:order val="1"/>
          <c:tx>
            <c:v>Davis</c:v>
          </c:tx>
          <c:invertIfNegative val="0"/>
          <c:cat>
            <c:numRef>
              <c:f>Plots!$B$105:$B$110</c:f>
              <c:numCache>
                <c:formatCode>General</c:formatCode>
                <c:ptCount val="6"/>
                <c:pt idx="0">
                  <c:v>16</c:v>
                </c:pt>
                <c:pt idx="1">
                  <c:v>17</c:v>
                </c:pt>
                <c:pt idx="2">
                  <c:v>18</c:v>
                </c:pt>
                <c:pt idx="3">
                  <c:v>19</c:v>
                </c:pt>
                <c:pt idx="4">
                  <c:v>20</c:v>
                </c:pt>
                <c:pt idx="5">
                  <c:v>21</c:v>
                </c:pt>
              </c:numCache>
            </c:numRef>
          </c:cat>
          <c:val>
            <c:numRef>
              <c:f>Plots!$E$43:$E$48</c:f>
              <c:numCache>
                <c:formatCode>General</c:formatCode>
                <c:ptCount val="6"/>
                <c:pt idx="0">
                  <c:v>137</c:v>
                </c:pt>
                <c:pt idx="1">
                  <c:v>39.518518518518519</c:v>
                </c:pt>
                <c:pt idx="2">
                  <c:v>17.518518518518519</c:v>
                </c:pt>
                <c:pt idx="3">
                  <c:v>217.40740740740742</c:v>
                </c:pt>
                <c:pt idx="4">
                  <c:v>72.481481481481481</c:v>
                </c:pt>
                <c:pt idx="5">
                  <c:v>31.333333333333332</c:v>
                </c:pt>
              </c:numCache>
            </c:numRef>
          </c:val>
        </c:ser>
        <c:ser>
          <c:idx val="2"/>
          <c:order val="2"/>
          <c:tx>
            <c:v>Mawson</c:v>
          </c:tx>
          <c:invertIfNegative val="0"/>
          <c:cat>
            <c:numRef>
              <c:f>Plots!$B$105:$B$110</c:f>
              <c:numCache>
                <c:formatCode>General</c:formatCode>
                <c:ptCount val="6"/>
                <c:pt idx="0">
                  <c:v>16</c:v>
                </c:pt>
                <c:pt idx="1">
                  <c:v>17</c:v>
                </c:pt>
                <c:pt idx="2">
                  <c:v>18</c:v>
                </c:pt>
                <c:pt idx="3">
                  <c:v>19</c:v>
                </c:pt>
                <c:pt idx="4">
                  <c:v>20</c:v>
                </c:pt>
                <c:pt idx="5">
                  <c:v>21</c:v>
                </c:pt>
              </c:numCache>
            </c:numRef>
          </c:cat>
          <c:val>
            <c:numRef>
              <c:f>Plots!$E$69:$E$74</c:f>
              <c:numCache>
                <c:formatCode>General</c:formatCode>
                <c:ptCount val="6"/>
                <c:pt idx="0">
                  <c:v>33.479166666666664</c:v>
                </c:pt>
                <c:pt idx="1">
                  <c:v>131.72916666666666</c:v>
                </c:pt>
                <c:pt idx="2">
                  <c:v>101.72916666666667</c:v>
                </c:pt>
                <c:pt idx="3">
                  <c:v>66.520833333333329</c:v>
                </c:pt>
                <c:pt idx="4">
                  <c:v>22.9375</c:v>
                </c:pt>
                <c:pt idx="5">
                  <c:v>13.8125</c:v>
                </c:pt>
              </c:numCache>
            </c:numRef>
          </c:val>
        </c:ser>
        <c:ser>
          <c:idx val="3"/>
          <c:order val="3"/>
          <c:tx>
            <c:v>Casey</c:v>
          </c:tx>
          <c:invertIfNegative val="0"/>
          <c:cat>
            <c:numRef>
              <c:f>Plots!$B$105:$B$110</c:f>
              <c:numCache>
                <c:formatCode>General</c:formatCode>
                <c:ptCount val="6"/>
                <c:pt idx="0">
                  <c:v>16</c:v>
                </c:pt>
                <c:pt idx="1">
                  <c:v>17</c:v>
                </c:pt>
                <c:pt idx="2">
                  <c:v>18</c:v>
                </c:pt>
                <c:pt idx="3">
                  <c:v>19</c:v>
                </c:pt>
                <c:pt idx="4">
                  <c:v>20</c:v>
                </c:pt>
                <c:pt idx="5">
                  <c:v>21</c:v>
                </c:pt>
              </c:numCache>
            </c:numRef>
          </c:cat>
          <c:val>
            <c:numRef>
              <c:f>Plots!$E$95:$E$100</c:f>
              <c:numCache>
                <c:formatCode>General</c:formatCode>
                <c:ptCount val="6"/>
                <c:pt idx="0">
                  <c:v>101.58928571428571</c:v>
                </c:pt>
                <c:pt idx="1">
                  <c:v>61.285714285714285</c:v>
                </c:pt>
                <c:pt idx="2">
                  <c:v>34.571428571428569</c:v>
                </c:pt>
                <c:pt idx="3">
                  <c:v>70.642857142857139</c:v>
                </c:pt>
                <c:pt idx="4">
                  <c:v>18.375</c:v>
                </c:pt>
                <c:pt idx="5">
                  <c:v>12.517857142857142</c:v>
                </c:pt>
              </c:numCache>
            </c:numRef>
          </c:val>
        </c:ser>
        <c:dLbls>
          <c:showLegendKey val="0"/>
          <c:showVal val="0"/>
          <c:showCatName val="0"/>
          <c:showSerName val="0"/>
          <c:showPercent val="0"/>
          <c:showBubbleSize val="0"/>
        </c:dLbls>
        <c:gapWidth val="150"/>
        <c:axId val="155330816"/>
        <c:axId val="159791744"/>
      </c:barChart>
      <c:catAx>
        <c:axId val="155330816"/>
        <c:scaling>
          <c:orientation val="minMax"/>
        </c:scaling>
        <c:delete val="0"/>
        <c:axPos val="b"/>
        <c:title>
          <c:tx>
            <c:rich>
              <a:bodyPr/>
              <a:lstStyle/>
              <a:p>
                <a:pPr>
                  <a:defRPr/>
                </a:pPr>
                <a:r>
                  <a:rPr lang="en-US"/>
                  <a:t>Monitor number</a:t>
                </a:r>
              </a:p>
            </c:rich>
          </c:tx>
          <c:overlay val="0"/>
        </c:title>
        <c:numFmt formatCode="General" sourceLinked="1"/>
        <c:majorTickMark val="out"/>
        <c:minorTickMark val="none"/>
        <c:tickLblPos val="nextTo"/>
        <c:crossAx val="159791744"/>
        <c:crosses val="autoZero"/>
        <c:auto val="1"/>
        <c:lblAlgn val="ctr"/>
        <c:lblOffset val="100"/>
        <c:noMultiLvlLbl val="0"/>
      </c:catAx>
      <c:valAx>
        <c:axId val="159791744"/>
        <c:scaling>
          <c:orientation val="minMax"/>
        </c:scaling>
        <c:delete val="0"/>
        <c:axPos val="l"/>
        <c:title>
          <c:tx>
            <c:rich>
              <a:bodyPr rot="-5400000" vert="horz"/>
              <a:lstStyle/>
              <a:p>
                <a:pPr>
                  <a:defRPr/>
                </a:pPr>
                <a:r>
                  <a:rPr lang="en-US"/>
                  <a:t>Radon (Bq.m</a:t>
                </a:r>
                <a:r>
                  <a:rPr lang="en-US" baseline="30000"/>
                  <a:t>-3</a:t>
                </a:r>
                <a:r>
                  <a:rPr lang="en-US"/>
                  <a:t>)</a:t>
                </a:r>
              </a:p>
            </c:rich>
          </c:tx>
          <c:overlay val="0"/>
        </c:title>
        <c:numFmt formatCode="General" sourceLinked="1"/>
        <c:majorTickMark val="out"/>
        <c:minorTickMark val="none"/>
        <c:tickLblPos val="nextTo"/>
        <c:crossAx val="1553308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Summer/winter increase</a:t>
            </a:r>
            <a:endParaRPr lang="en-US"/>
          </a:p>
        </c:rich>
      </c:tx>
      <c:overlay val="0"/>
    </c:title>
    <c:autoTitleDeleted val="0"/>
    <c:plotArea>
      <c:layout/>
      <c:barChart>
        <c:barDir val="col"/>
        <c:grouping val="clustered"/>
        <c:varyColors val="0"/>
        <c:ser>
          <c:idx val="0"/>
          <c:order val="0"/>
          <c:tx>
            <c:v>Macq Is</c:v>
          </c:tx>
          <c:spPr>
            <a:solidFill>
              <a:schemeClr val="accent1"/>
            </a:solidFill>
          </c:spPr>
          <c:invertIfNegative val="0"/>
          <c:cat>
            <c:numRef>
              <c:f>Plots!$B$107:$B$112</c:f>
              <c:numCache>
                <c:formatCode>General</c:formatCode>
                <c:ptCount val="6"/>
                <c:pt idx="0">
                  <c:v>16</c:v>
                </c:pt>
                <c:pt idx="1">
                  <c:v>17</c:v>
                </c:pt>
                <c:pt idx="2">
                  <c:v>18</c:v>
                </c:pt>
                <c:pt idx="3">
                  <c:v>19</c:v>
                </c:pt>
                <c:pt idx="4">
                  <c:v>20</c:v>
                </c:pt>
                <c:pt idx="5">
                  <c:v>21</c:v>
                </c:pt>
              </c:numCache>
            </c:numRef>
          </c:cat>
          <c:val>
            <c:numRef>
              <c:f>Plots!$C$168:$C$173</c:f>
              <c:numCache>
                <c:formatCode>General</c:formatCode>
                <c:ptCount val="6"/>
                <c:pt idx="0">
                  <c:v>1.3905287023908131</c:v>
                </c:pt>
                <c:pt idx="1">
                  <c:v>4.6703322590980196</c:v>
                </c:pt>
                <c:pt idx="2">
                  <c:v>1.8806898805822609</c:v>
                </c:pt>
                <c:pt idx="3">
                  <c:v>1.9646691391762641</c:v>
                </c:pt>
                <c:pt idx="4">
                  <c:v>0.38293773203017617</c:v>
                </c:pt>
                <c:pt idx="5">
                  <c:v>1.4937284194207594</c:v>
                </c:pt>
              </c:numCache>
            </c:numRef>
          </c:val>
        </c:ser>
        <c:ser>
          <c:idx val="1"/>
          <c:order val="1"/>
          <c:tx>
            <c:v>Davis</c:v>
          </c:tx>
          <c:invertIfNegative val="0"/>
          <c:cat>
            <c:numRef>
              <c:f>Plots!$B$107:$B$112</c:f>
              <c:numCache>
                <c:formatCode>General</c:formatCode>
                <c:ptCount val="6"/>
                <c:pt idx="0">
                  <c:v>16</c:v>
                </c:pt>
                <c:pt idx="1">
                  <c:v>17</c:v>
                </c:pt>
                <c:pt idx="2">
                  <c:v>18</c:v>
                </c:pt>
                <c:pt idx="3">
                  <c:v>19</c:v>
                </c:pt>
                <c:pt idx="4">
                  <c:v>20</c:v>
                </c:pt>
                <c:pt idx="5">
                  <c:v>21</c:v>
                </c:pt>
              </c:numCache>
            </c:numRef>
          </c:cat>
          <c:val>
            <c:numRef>
              <c:f>Plots!$C$174:$C$179</c:f>
              <c:numCache>
                <c:formatCode>General</c:formatCode>
                <c:ptCount val="6"/>
                <c:pt idx="0">
                  <c:v>3.357843137254902</c:v>
                </c:pt>
                <c:pt idx="1">
                  <c:v>1.8867070663477847</c:v>
                </c:pt>
                <c:pt idx="2">
                  <c:v>1.0189201425400165</c:v>
                </c:pt>
                <c:pt idx="3">
                  <c:v>42.36141689906551</c:v>
                </c:pt>
                <c:pt idx="4">
                  <c:v>33.93974132863022</c:v>
                </c:pt>
              </c:numCache>
            </c:numRef>
          </c:val>
        </c:ser>
        <c:ser>
          <c:idx val="2"/>
          <c:order val="2"/>
          <c:tx>
            <c:v>Mawson</c:v>
          </c:tx>
          <c:invertIfNegative val="0"/>
          <c:cat>
            <c:numRef>
              <c:f>Plots!$B$107:$B$112</c:f>
              <c:numCache>
                <c:formatCode>General</c:formatCode>
                <c:ptCount val="6"/>
                <c:pt idx="0">
                  <c:v>16</c:v>
                </c:pt>
                <c:pt idx="1">
                  <c:v>17</c:v>
                </c:pt>
                <c:pt idx="2">
                  <c:v>18</c:v>
                </c:pt>
                <c:pt idx="3">
                  <c:v>19</c:v>
                </c:pt>
                <c:pt idx="4">
                  <c:v>20</c:v>
                </c:pt>
                <c:pt idx="5">
                  <c:v>21</c:v>
                </c:pt>
              </c:numCache>
            </c:numRef>
          </c:cat>
          <c:val>
            <c:numRef>
              <c:f>Plots!$C$180:$C$185</c:f>
              <c:numCache>
                <c:formatCode>General</c:formatCode>
                <c:ptCount val="6"/>
                <c:pt idx="0">
                  <c:v>1.6525271222170808</c:v>
                </c:pt>
                <c:pt idx="1">
                  <c:v>13.433184618653069</c:v>
                </c:pt>
                <c:pt idx="2">
                  <c:v>4.3071359266119797</c:v>
                </c:pt>
                <c:pt idx="3">
                  <c:v>2.6992983346014028</c:v>
                </c:pt>
                <c:pt idx="4">
                  <c:v>1.2677029360967185</c:v>
                </c:pt>
                <c:pt idx="5">
                  <c:v>0.86446684324112222</c:v>
                </c:pt>
              </c:numCache>
            </c:numRef>
          </c:val>
        </c:ser>
        <c:ser>
          <c:idx val="3"/>
          <c:order val="3"/>
          <c:tx>
            <c:v>Casey</c:v>
          </c:tx>
          <c:invertIfNegative val="0"/>
          <c:cat>
            <c:numRef>
              <c:f>Plots!$B$107:$B$112</c:f>
              <c:numCache>
                <c:formatCode>General</c:formatCode>
                <c:ptCount val="6"/>
                <c:pt idx="0">
                  <c:v>16</c:v>
                </c:pt>
                <c:pt idx="1">
                  <c:v>17</c:v>
                </c:pt>
                <c:pt idx="2">
                  <c:v>18</c:v>
                </c:pt>
                <c:pt idx="3">
                  <c:v>19</c:v>
                </c:pt>
                <c:pt idx="4">
                  <c:v>20</c:v>
                </c:pt>
                <c:pt idx="5">
                  <c:v>21</c:v>
                </c:pt>
              </c:numCache>
            </c:numRef>
          </c:cat>
          <c:val>
            <c:numRef>
              <c:f>Plots!$C$186:$C$191</c:f>
              <c:numCache>
                <c:formatCode>General</c:formatCode>
                <c:ptCount val="6"/>
                <c:pt idx="0">
                  <c:v>7.0193383664394435</c:v>
                </c:pt>
                <c:pt idx="1">
                  <c:v>2.902969700015074</c:v>
                </c:pt>
                <c:pt idx="2">
                  <c:v>3.7145896656534956</c:v>
                </c:pt>
                <c:pt idx="3">
                  <c:v>8.1379282251822875</c:v>
                </c:pt>
                <c:pt idx="5">
                  <c:v>1.671806375442739</c:v>
                </c:pt>
              </c:numCache>
            </c:numRef>
          </c:val>
        </c:ser>
        <c:dLbls>
          <c:showLegendKey val="0"/>
          <c:showVal val="0"/>
          <c:showCatName val="0"/>
          <c:showSerName val="0"/>
          <c:showPercent val="0"/>
          <c:showBubbleSize val="0"/>
        </c:dLbls>
        <c:gapWidth val="150"/>
        <c:axId val="204703616"/>
        <c:axId val="206684160"/>
      </c:barChart>
      <c:catAx>
        <c:axId val="204703616"/>
        <c:scaling>
          <c:orientation val="minMax"/>
        </c:scaling>
        <c:delete val="0"/>
        <c:axPos val="b"/>
        <c:title>
          <c:tx>
            <c:rich>
              <a:bodyPr/>
              <a:lstStyle/>
              <a:p>
                <a:pPr>
                  <a:defRPr/>
                </a:pPr>
                <a:r>
                  <a:rPr lang="en-US"/>
                  <a:t>Monitor number</a:t>
                </a:r>
              </a:p>
            </c:rich>
          </c:tx>
          <c:overlay val="0"/>
        </c:title>
        <c:numFmt formatCode="General" sourceLinked="1"/>
        <c:majorTickMark val="out"/>
        <c:minorTickMark val="none"/>
        <c:tickLblPos val="nextTo"/>
        <c:crossAx val="206684160"/>
        <c:crossesAt val="0.1"/>
        <c:auto val="1"/>
        <c:lblAlgn val="ctr"/>
        <c:lblOffset val="100"/>
        <c:noMultiLvlLbl val="0"/>
      </c:catAx>
      <c:valAx>
        <c:axId val="206684160"/>
        <c:scaling>
          <c:logBase val="10"/>
          <c:orientation val="minMax"/>
          <c:max val="100"/>
          <c:min val="0.1"/>
        </c:scaling>
        <c:delete val="0"/>
        <c:axPos val="l"/>
        <c:majorGridlines/>
        <c:minorGridlines>
          <c:spPr>
            <a:ln>
              <a:noFill/>
            </a:ln>
          </c:spPr>
        </c:minorGridlines>
        <c:title>
          <c:tx>
            <c:rich>
              <a:bodyPr rot="-5400000" vert="horz"/>
              <a:lstStyle/>
              <a:p>
                <a:pPr>
                  <a:defRPr/>
                </a:pPr>
                <a:r>
                  <a:rPr lang="en-US"/>
                  <a:t>Increase</a:t>
                </a:r>
                <a:r>
                  <a:rPr lang="en-US" baseline="0"/>
                  <a:t> factor</a:t>
                </a:r>
                <a:endParaRPr lang="en-US"/>
              </a:p>
            </c:rich>
          </c:tx>
          <c:overlay val="0"/>
        </c:title>
        <c:numFmt formatCode="General" sourceLinked="1"/>
        <c:majorTickMark val="out"/>
        <c:minorTickMark val="in"/>
        <c:tickLblPos val="nextTo"/>
        <c:crossAx val="20470361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station averages</a:t>
            </a:r>
          </a:p>
        </c:rich>
      </c:tx>
      <c:overlay val="0"/>
    </c:title>
    <c:autoTitleDeleted val="0"/>
    <c:plotArea>
      <c:layout/>
      <c:barChart>
        <c:barDir val="col"/>
        <c:grouping val="clustered"/>
        <c:varyColors val="0"/>
        <c:ser>
          <c:idx val="0"/>
          <c:order val="0"/>
          <c:tx>
            <c:strRef>
              <c:f>Plots!$C$128</c:f>
              <c:strCache>
                <c:ptCount val="1"/>
                <c:pt idx="0">
                  <c:v>Winter</c:v>
                </c:pt>
              </c:strCache>
            </c:strRef>
          </c:tx>
          <c:invertIfNegative val="0"/>
          <c:cat>
            <c:strRef>
              <c:f>Plots!$A$129:$A$132</c:f>
              <c:strCache>
                <c:ptCount val="4"/>
                <c:pt idx="0">
                  <c:v>Macq Is</c:v>
                </c:pt>
                <c:pt idx="1">
                  <c:v>Davis</c:v>
                </c:pt>
                <c:pt idx="2">
                  <c:v>Mawson</c:v>
                </c:pt>
                <c:pt idx="3">
                  <c:v>Casey</c:v>
                </c:pt>
              </c:strCache>
            </c:strRef>
          </c:cat>
          <c:val>
            <c:numRef>
              <c:f>Plots!$C$129:$C$132</c:f>
              <c:numCache>
                <c:formatCode>General</c:formatCode>
                <c:ptCount val="4"/>
                <c:pt idx="0">
                  <c:v>13.845352487796445</c:v>
                </c:pt>
                <c:pt idx="1">
                  <c:v>15.594308268931</c:v>
                </c:pt>
                <c:pt idx="2">
                  <c:v>20.279631384105581</c:v>
                </c:pt>
                <c:pt idx="3">
                  <c:v>14.075952033142425</c:v>
                </c:pt>
              </c:numCache>
            </c:numRef>
          </c:val>
        </c:ser>
        <c:ser>
          <c:idx val="1"/>
          <c:order val="1"/>
          <c:tx>
            <c:strRef>
              <c:f>Plots!$D$128</c:f>
              <c:strCache>
                <c:ptCount val="1"/>
                <c:pt idx="0">
                  <c:v>Summer</c:v>
                </c:pt>
              </c:strCache>
            </c:strRef>
          </c:tx>
          <c:invertIfNegative val="0"/>
          <c:cat>
            <c:strRef>
              <c:f>Plots!$A$129:$A$132</c:f>
              <c:strCache>
                <c:ptCount val="4"/>
                <c:pt idx="0">
                  <c:v>Macq Is</c:v>
                </c:pt>
                <c:pt idx="1">
                  <c:v>Davis</c:v>
                </c:pt>
                <c:pt idx="2">
                  <c:v>Mawson</c:v>
                </c:pt>
                <c:pt idx="3">
                  <c:v>Casey</c:v>
                </c:pt>
              </c:strCache>
            </c:strRef>
          </c:cat>
          <c:val>
            <c:numRef>
              <c:f>Plots!$D$129:$D$132</c:f>
              <c:numCache>
                <c:formatCode>General</c:formatCode>
                <c:ptCount val="4"/>
                <c:pt idx="0">
                  <c:v>23.043478260869563</c:v>
                </c:pt>
                <c:pt idx="1">
                  <c:v>59.57037037037037</c:v>
                </c:pt>
                <c:pt idx="2">
                  <c:v>61.701388888888886</c:v>
                </c:pt>
                <c:pt idx="3">
                  <c:v>49.830357142857139</c:v>
                </c:pt>
              </c:numCache>
            </c:numRef>
          </c:val>
        </c:ser>
        <c:dLbls>
          <c:showLegendKey val="0"/>
          <c:showVal val="0"/>
          <c:showCatName val="0"/>
          <c:showSerName val="0"/>
          <c:showPercent val="0"/>
          <c:showBubbleSize val="0"/>
        </c:dLbls>
        <c:gapWidth val="150"/>
        <c:axId val="270359552"/>
        <c:axId val="119001856"/>
      </c:barChart>
      <c:catAx>
        <c:axId val="270359552"/>
        <c:scaling>
          <c:orientation val="minMax"/>
        </c:scaling>
        <c:delete val="0"/>
        <c:axPos val="b"/>
        <c:majorTickMark val="out"/>
        <c:minorTickMark val="none"/>
        <c:tickLblPos val="nextTo"/>
        <c:crossAx val="119001856"/>
        <c:crosses val="autoZero"/>
        <c:auto val="1"/>
        <c:lblAlgn val="ctr"/>
        <c:lblOffset val="100"/>
        <c:noMultiLvlLbl val="0"/>
      </c:catAx>
      <c:valAx>
        <c:axId val="119001856"/>
        <c:scaling>
          <c:orientation val="minMax"/>
        </c:scaling>
        <c:delete val="0"/>
        <c:axPos val="l"/>
        <c:title>
          <c:tx>
            <c:rich>
              <a:bodyPr rot="-5400000" vert="horz"/>
              <a:lstStyle/>
              <a:p>
                <a:pPr>
                  <a:defRPr/>
                </a:pPr>
                <a:r>
                  <a:rPr lang="en-US"/>
                  <a:t>Radon Concentration</a:t>
                </a:r>
                <a:r>
                  <a:rPr lang="en-US" sz="1000" b="1" i="0" u="none" strike="noStrike" kern="1200" baseline="0">
                    <a:solidFill>
                      <a:sysClr val="windowText" lastClr="000000"/>
                    </a:solidFill>
                    <a:latin typeface="+mn-lt"/>
                    <a:ea typeface="+mn-ea"/>
                    <a:cs typeface="+mn-cs"/>
                  </a:rPr>
                  <a:t> </a:t>
                </a:r>
                <a:r>
                  <a:rPr lang="en-US"/>
                  <a:t>(Bq.m</a:t>
                </a:r>
                <a:r>
                  <a:rPr lang="en-US" baseline="30000"/>
                  <a:t>-3</a:t>
                </a:r>
                <a:r>
                  <a:rPr lang="en-US"/>
                  <a:t>)</a:t>
                </a:r>
              </a:p>
            </c:rich>
          </c:tx>
          <c:overlay val="0"/>
        </c:title>
        <c:numFmt formatCode="General" sourceLinked="1"/>
        <c:majorTickMark val="out"/>
        <c:minorTickMark val="none"/>
        <c:tickLblPos val="nextTo"/>
        <c:crossAx val="2703595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Winter radon</a:t>
            </a:r>
            <a:r>
              <a:rPr lang="en-US" baseline="0"/>
              <a:t> concentrations</a:t>
            </a:r>
            <a:endParaRPr lang="en-US"/>
          </a:p>
        </c:rich>
      </c:tx>
      <c:overlay val="0"/>
    </c:title>
    <c:autoTitleDeleted val="0"/>
    <c:plotArea>
      <c:layout/>
      <c:scatterChart>
        <c:scatterStyle val="lineMarker"/>
        <c:varyColors val="0"/>
        <c:ser>
          <c:idx val="0"/>
          <c:order val="0"/>
          <c:tx>
            <c:v>Macq Is</c:v>
          </c:tx>
          <c:spPr>
            <a:ln w="28575">
              <a:noFill/>
            </a:ln>
          </c:spPr>
          <c:marker>
            <c:symbol val="circle"/>
            <c:size val="4"/>
          </c:marker>
          <c:xVal>
            <c:numRef>
              <c:f>Sheet1!$G$5:$G$16</c:f>
              <c:numCache>
                <c:formatCode>General</c:formatCode>
                <c:ptCount val="12"/>
                <c:pt idx="0">
                  <c:v>305</c:v>
                </c:pt>
                <c:pt idx="1">
                  <c:v>305</c:v>
                </c:pt>
                <c:pt idx="2">
                  <c:v>306</c:v>
                </c:pt>
                <c:pt idx="3">
                  <c:v>305</c:v>
                </c:pt>
                <c:pt idx="4">
                  <c:v>305</c:v>
                </c:pt>
                <c:pt idx="5">
                  <c:v>305</c:v>
                </c:pt>
                <c:pt idx="6">
                  <c:v>305</c:v>
                </c:pt>
                <c:pt idx="7">
                  <c:v>305</c:v>
                </c:pt>
                <c:pt idx="8">
                  <c:v>305</c:v>
                </c:pt>
                <c:pt idx="9">
                  <c:v>305</c:v>
                </c:pt>
                <c:pt idx="10">
                  <c:v>305</c:v>
                </c:pt>
                <c:pt idx="11">
                  <c:v>305</c:v>
                </c:pt>
              </c:numCache>
            </c:numRef>
          </c:xVal>
          <c:yVal>
            <c:numRef>
              <c:f>Sheet1!$I$5:$I$16</c:f>
              <c:numCache>
                <c:formatCode>General</c:formatCode>
                <c:ptCount val="12"/>
                <c:pt idx="0">
                  <c:v>20.308196721311475</c:v>
                </c:pt>
                <c:pt idx="1">
                  <c:v>16.796721311475409</c:v>
                </c:pt>
                <c:pt idx="2">
                  <c:v>8.0490196078431371</c:v>
                </c:pt>
                <c:pt idx="3">
                  <c:v>10.00655737704918</c:v>
                </c:pt>
                <c:pt idx="4">
                  <c:v>23.740983606557378</c:v>
                </c:pt>
                <c:pt idx="5">
                  <c:v>19.413114754098359</c:v>
                </c:pt>
                <c:pt idx="6">
                  <c:v>7.5639344262295083</c:v>
                </c:pt>
                <c:pt idx="7">
                  <c:v>17.881967213114756</c:v>
                </c:pt>
                <c:pt idx="8">
                  <c:v>6.2393442622950817</c:v>
                </c:pt>
                <c:pt idx="9">
                  <c:v>2.0229508196721313</c:v>
                </c:pt>
                <c:pt idx="10">
                  <c:v>14.688524590163935</c:v>
                </c:pt>
                <c:pt idx="11">
                  <c:v>13.170491803278688</c:v>
                </c:pt>
              </c:numCache>
            </c:numRef>
          </c:yVal>
          <c:smooth val="0"/>
        </c:ser>
        <c:ser>
          <c:idx val="1"/>
          <c:order val="1"/>
          <c:tx>
            <c:v>Davis</c:v>
          </c:tx>
          <c:spPr>
            <a:ln w="28575">
              <a:noFill/>
            </a:ln>
          </c:spPr>
          <c:marker>
            <c:symbol val="square"/>
            <c:size val="4"/>
          </c:marker>
          <c:xVal>
            <c:numRef>
              <c:f>Sheet1!$G$17:$G$29</c:f>
              <c:numCache>
                <c:formatCode>General</c:formatCode>
                <c:ptCount val="13"/>
                <c:pt idx="0">
                  <c:v>295</c:v>
                </c:pt>
                <c:pt idx="1">
                  <c:v>295</c:v>
                </c:pt>
                <c:pt idx="2">
                  <c:v>295</c:v>
                </c:pt>
                <c:pt idx="3">
                  <c:v>295</c:v>
                </c:pt>
                <c:pt idx="4">
                  <c:v>295</c:v>
                </c:pt>
                <c:pt idx="5">
                  <c:v>295</c:v>
                </c:pt>
                <c:pt idx="6">
                  <c:v>295</c:v>
                </c:pt>
                <c:pt idx="7">
                  <c:v>295</c:v>
                </c:pt>
                <c:pt idx="8">
                  <c:v>295</c:v>
                </c:pt>
                <c:pt idx="9">
                  <c:v>295</c:v>
                </c:pt>
                <c:pt idx="10">
                  <c:v>295</c:v>
                </c:pt>
                <c:pt idx="11">
                  <c:v>295</c:v>
                </c:pt>
                <c:pt idx="12">
                  <c:v>295</c:v>
                </c:pt>
              </c:numCache>
            </c:numRef>
          </c:xVal>
          <c:yVal>
            <c:numRef>
              <c:f>Sheet1!$I$17:$I$29</c:f>
              <c:numCache>
                <c:formatCode>General</c:formatCode>
                <c:ptCount val="13"/>
                <c:pt idx="0">
                  <c:v>40.799999999999997</c:v>
                </c:pt>
                <c:pt idx="2">
                  <c:v>20.945762711864408</c:v>
                </c:pt>
                <c:pt idx="3">
                  <c:v>17.19322033898305</c:v>
                </c:pt>
                <c:pt idx="4">
                  <c:v>17.850847457627118</c:v>
                </c:pt>
                <c:pt idx="5">
                  <c:v>8.2474576271186439</c:v>
                </c:pt>
                <c:pt idx="6">
                  <c:v>18.335593220338982</c:v>
                </c:pt>
                <c:pt idx="7">
                  <c:v>6.3355932203389829</c:v>
                </c:pt>
                <c:pt idx="8">
                  <c:v>22.19322033898305</c:v>
                </c:pt>
                <c:pt idx="9">
                  <c:v>8.0711864406779661</c:v>
                </c:pt>
                <c:pt idx="10">
                  <c:v>8.9152542372881349</c:v>
                </c:pt>
                <c:pt idx="11">
                  <c:v>2.1355932203389831</c:v>
                </c:pt>
                <c:pt idx="12">
                  <c:v>5.1322033898305088</c:v>
                </c:pt>
              </c:numCache>
            </c:numRef>
          </c:yVal>
          <c:smooth val="0"/>
        </c:ser>
        <c:ser>
          <c:idx val="2"/>
          <c:order val="2"/>
          <c:tx>
            <c:v>Mawson</c:v>
          </c:tx>
          <c:spPr>
            <a:ln w="28575">
              <a:noFill/>
            </a:ln>
          </c:spPr>
          <c:marker>
            <c:symbol val="diamond"/>
            <c:size val="5"/>
          </c:marker>
          <c:xVal>
            <c:numRef>
              <c:f>Sheet1!$G$30:$G$42</c:f>
              <c:numCache>
                <c:formatCode>General</c:formatCode>
                <c:ptCount val="13"/>
                <c:pt idx="0">
                  <c:v>320</c:v>
                </c:pt>
                <c:pt idx="1">
                  <c:v>320</c:v>
                </c:pt>
                <c:pt idx="2">
                  <c:v>320</c:v>
                </c:pt>
                <c:pt idx="3">
                  <c:v>320</c:v>
                </c:pt>
                <c:pt idx="4">
                  <c:v>320</c:v>
                </c:pt>
                <c:pt idx="5">
                  <c:v>320</c:v>
                </c:pt>
                <c:pt idx="6">
                  <c:v>320</c:v>
                </c:pt>
                <c:pt idx="7">
                  <c:v>320</c:v>
                </c:pt>
                <c:pt idx="8">
                  <c:v>320</c:v>
                </c:pt>
                <c:pt idx="9">
                  <c:v>320</c:v>
                </c:pt>
                <c:pt idx="10">
                  <c:v>319</c:v>
                </c:pt>
                <c:pt idx="11">
                  <c:v>319</c:v>
                </c:pt>
                <c:pt idx="12">
                  <c:v>319</c:v>
                </c:pt>
              </c:numCache>
            </c:numRef>
          </c:xVal>
          <c:yVal>
            <c:numRef>
              <c:f>Sheet1!$I$30:$I$42</c:f>
              <c:numCache>
                <c:formatCode>General</c:formatCode>
                <c:ptCount val="13"/>
                <c:pt idx="0">
                  <c:v>20.259374999999999</c:v>
                </c:pt>
                <c:pt idx="1">
                  <c:v>26.4375</c:v>
                </c:pt>
                <c:pt idx="2">
                  <c:v>9.8062500000000004</c:v>
                </c:pt>
                <c:pt idx="3">
                  <c:v>9.8781250000000007</c:v>
                </c:pt>
                <c:pt idx="4">
                  <c:v>23.618749999999999</c:v>
                </c:pt>
                <c:pt idx="5">
                  <c:v>11.884375</c:v>
                </c:pt>
                <c:pt idx="6">
                  <c:v>24.643750000000001</c:v>
                </c:pt>
                <c:pt idx="7">
                  <c:v>19.246874999999999</c:v>
                </c:pt>
                <c:pt idx="8">
                  <c:v>18.09375</c:v>
                </c:pt>
                <c:pt idx="9">
                  <c:v>29.615625000000001</c:v>
                </c:pt>
                <c:pt idx="10">
                  <c:v>15.978056426332289</c:v>
                </c:pt>
                <c:pt idx="11">
                  <c:v>14.780564263322884</c:v>
                </c:pt>
                <c:pt idx="12">
                  <c:v>24.006269592476489</c:v>
                </c:pt>
              </c:numCache>
            </c:numRef>
          </c:yVal>
          <c:smooth val="0"/>
        </c:ser>
        <c:ser>
          <c:idx val="3"/>
          <c:order val="3"/>
          <c:tx>
            <c:v>Casey</c:v>
          </c:tx>
          <c:spPr>
            <a:ln w="28575">
              <a:noFill/>
            </a:ln>
          </c:spPr>
          <c:marker>
            <c:symbol val="triangle"/>
            <c:size val="4"/>
          </c:marker>
          <c:xVal>
            <c:numRef>
              <c:f>Sheet1!$G$43:$G$54</c:f>
              <c:numCache>
                <c:formatCode>General</c:formatCode>
                <c:ptCount val="12"/>
                <c:pt idx="0">
                  <c:v>404</c:v>
                </c:pt>
                <c:pt idx="1">
                  <c:v>404</c:v>
                </c:pt>
                <c:pt idx="2">
                  <c:v>404</c:v>
                </c:pt>
                <c:pt idx="3">
                  <c:v>404</c:v>
                </c:pt>
                <c:pt idx="4">
                  <c:v>404</c:v>
                </c:pt>
                <c:pt idx="5">
                  <c:v>404</c:v>
                </c:pt>
                <c:pt idx="6">
                  <c:v>404</c:v>
                </c:pt>
                <c:pt idx="7">
                  <c:v>404</c:v>
                </c:pt>
                <c:pt idx="8">
                  <c:v>404</c:v>
                </c:pt>
                <c:pt idx="9">
                  <c:v>404</c:v>
                </c:pt>
                <c:pt idx="10">
                  <c:v>404</c:v>
                </c:pt>
                <c:pt idx="11">
                  <c:v>404</c:v>
                </c:pt>
              </c:numCache>
            </c:numRef>
          </c:xVal>
          <c:yVal>
            <c:numRef>
              <c:f>Sheet1!$I$43:$I$54</c:f>
              <c:numCache>
                <c:formatCode>General</c:formatCode>
                <c:ptCount val="12"/>
                <c:pt idx="0">
                  <c:v>18.445544554455445</c:v>
                </c:pt>
                <c:pt idx="1">
                  <c:v>9.3069306930693063</c:v>
                </c:pt>
                <c:pt idx="2">
                  <c:v>7.4876237623762378</c:v>
                </c:pt>
                <c:pt idx="3">
                  <c:v>8.6806930693069315</c:v>
                </c:pt>
                <c:pt idx="4">
                  <c:v>12.745049504950495</c:v>
                </c:pt>
                <c:pt idx="5">
                  <c:v>19.022277227722771</c:v>
                </c:pt>
                <c:pt idx="6">
                  <c:v>21.111386138613863</c:v>
                </c:pt>
                <c:pt idx="7">
                  <c:v>14.472772277227723</c:v>
                </c:pt>
                <c:pt idx="8">
                  <c:v>15.492574257425742</c:v>
                </c:pt>
                <c:pt idx="9">
                  <c:v>20.574257425742573</c:v>
                </c:pt>
                <c:pt idx="10">
                  <c:v>11.438118811881187</c:v>
                </c:pt>
                <c:pt idx="11">
                  <c:v>9.2970297029702973</c:v>
                </c:pt>
              </c:numCache>
            </c:numRef>
          </c:yVal>
          <c:smooth val="0"/>
        </c:ser>
        <c:dLbls>
          <c:showLegendKey val="0"/>
          <c:showVal val="0"/>
          <c:showCatName val="0"/>
          <c:showSerName val="0"/>
          <c:showPercent val="0"/>
          <c:showBubbleSize val="0"/>
        </c:dLbls>
        <c:axId val="119156096"/>
        <c:axId val="119186944"/>
      </c:scatterChart>
      <c:valAx>
        <c:axId val="119156096"/>
        <c:scaling>
          <c:orientation val="minMax"/>
          <c:min val="250"/>
        </c:scaling>
        <c:delete val="0"/>
        <c:axPos val="b"/>
        <c:title>
          <c:tx>
            <c:rich>
              <a:bodyPr/>
              <a:lstStyle/>
              <a:p>
                <a:pPr>
                  <a:defRPr/>
                </a:pPr>
                <a:r>
                  <a:rPr lang="en-US"/>
                  <a:t>Emplacement days</a:t>
                </a:r>
              </a:p>
            </c:rich>
          </c:tx>
          <c:overlay val="0"/>
        </c:title>
        <c:numFmt formatCode="General" sourceLinked="1"/>
        <c:majorTickMark val="out"/>
        <c:minorTickMark val="none"/>
        <c:tickLblPos val="nextTo"/>
        <c:crossAx val="119186944"/>
        <c:crosses val="autoZero"/>
        <c:crossBetween val="midCat"/>
      </c:valAx>
      <c:valAx>
        <c:axId val="119186944"/>
        <c:scaling>
          <c:orientation val="minMax"/>
        </c:scaling>
        <c:delete val="0"/>
        <c:axPos val="l"/>
        <c:title>
          <c:tx>
            <c:rich>
              <a:bodyPr rot="-5400000" vert="horz"/>
              <a:lstStyle/>
              <a:p>
                <a:pPr>
                  <a:defRPr/>
                </a:pPr>
                <a:r>
                  <a:rPr lang="en-AU"/>
                  <a:t>Radon (Bq.m</a:t>
                </a:r>
                <a:r>
                  <a:rPr lang="en-AU" baseline="30000"/>
                  <a:t>-3</a:t>
                </a:r>
                <a:r>
                  <a:rPr lang="en-AU"/>
                  <a:t>)</a:t>
                </a:r>
              </a:p>
            </c:rich>
          </c:tx>
          <c:overlay val="0"/>
        </c:title>
        <c:numFmt formatCode="General" sourceLinked="1"/>
        <c:majorTickMark val="out"/>
        <c:minorTickMark val="none"/>
        <c:tickLblPos val="nextTo"/>
        <c:crossAx val="119156096"/>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Summer radon</a:t>
            </a:r>
            <a:r>
              <a:rPr lang="en-US" baseline="0"/>
              <a:t> concentrations</a:t>
            </a:r>
            <a:endParaRPr lang="en-US"/>
          </a:p>
        </c:rich>
      </c:tx>
      <c:overlay val="0"/>
    </c:title>
    <c:autoTitleDeleted val="0"/>
    <c:plotArea>
      <c:layout/>
      <c:scatterChart>
        <c:scatterStyle val="lineMarker"/>
        <c:varyColors val="0"/>
        <c:ser>
          <c:idx val="0"/>
          <c:order val="0"/>
          <c:tx>
            <c:v>Macq Is</c:v>
          </c:tx>
          <c:spPr>
            <a:ln w="28575">
              <a:noFill/>
            </a:ln>
          </c:spPr>
          <c:marker>
            <c:symbol val="circle"/>
            <c:size val="4"/>
          </c:marker>
          <c:xVal>
            <c:numRef>
              <c:f>Sheet1!$B$5:$B$16</c:f>
              <c:numCache>
                <c:formatCode>General</c:formatCode>
                <c:ptCount val="12"/>
                <c:pt idx="0">
                  <c:v>46</c:v>
                </c:pt>
                <c:pt idx="1">
                  <c:v>46</c:v>
                </c:pt>
                <c:pt idx="2">
                  <c:v>46</c:v>
                </c:pt>
                <c:pt idx="3">
                  <c:v>46</c:v>
                </c:pt>
                <c:pt idx="4">
                  <c:v>46</c:v>
                </c:pt>
                <c:pt idx="5">
                  <c:v>46</c:v>
                </c:pt>
                <c:pt idx="6">
                  <c:v>305</c:v>
                </c:pt>
                <c:pt idx="7">
                  <c:v>305</c:v>
                </c:pt>
                <c:pt idx="8">
                  <c:v>305</c:v>
                </c:pt>
                <c:pt idx="9">
                  <c:v>305</c:v>
                </c:pt>
                <c:pt idx="10">
                  <c:v>305</c:v>
                </c:pt>
                <c:pt idx="11">
                  <c:v>305</c:v>
                </c:pt>
              </c:numCache>
            </c:numRef>
          </c:xVal>
          <c:yVal>
            <c:numRef>
              <c:f>Sheet1!$D$5:$D$16</c:f>
              <c:numCache>
                <c:formatCode>General</c:formatCode>
                <c:ptCount val="12"/>
                <c:pt idx="0">
                  <c:v>28.239130434782609</c:v>
                </c:pt>
                <c:pt idx="1">
                  <c:v>35.326086956521742</c:v>
                </c:pt>
                <c:pt idx="2">
                  <c:v>33.630434782608695</c:v>
                </c:pt>
                <c:pt idx="3">
                  <c:v>33</c:v>
                </c:pt>
                <c:pt idx="4">
                  <c:v>5.0434782608695654</c:v>
                </c:pt>
                <c:pt idx="5">
                  <c:v>3.0217391304347827</c:v>
                </c:pt>
                <c:pt idx="6">
                  <c:v>20.308196721311475</c:v>
                </c:pt>
                <c:pt idx="7">
                  <c:v>7.5639344262295083</c:v>
                </c:pt>
                <c:pt idx="8">
                  <c:v>17.881967213114756</c:v>
                </c:pt>
                <c:pt idx="9">
                  <c:v>16.796721311475409</c:v>
                </c:pt>
                <c:pt idx="10">
                  <c:v>13.170491803278688</c:v>
                </c:pt>
                <c:pt idx="11">
                  <c:v>2.0229508196721313</c:v>
                </c:pt>
              </c:numCache>
            </c:numRef>
          </c:yVal>
          <c:smooth val="0"/>
        </c:ser>
        <c:ser>
          <c:idx val="1"/>
          <c:order val="1"/>
          <c:tx>
            <c:v>Davis</c:v>
          </c:tx>
          <c:spPr>
            <a:ln w="28575">
              <a:noFill/>
            </a:ln>
          </c:spPr>
          <c:marker>
            <c:symbol val="square"/>
            <c:size val="4"/>
          </c:marker>
          <c:xVal>
            <c:numRef>
              <c:f>Sheet1!$B$17:$B$28</c:f>
              <c:numCache>
                <c:formatCode>General</c:formatCode>
                <c:ptCount val="12"/>
                <c:pt idx="0">
                  <c:v>27</c:v>
                </c:pt>
                <c:pt idx="1">
                  <c:v>27</c:v>
                </c:pt>
                <c:pt idx="2">
                  <c:v>27</c:v>
                </c:pt>
                <c:pt idx="3">
                  <c:v>27</c:v>
                </c:pt>
                <c:pt idx="4">
                  <c:v>27</c:v>
                </c:pt>
                <c:pt idx="5">
                  <c:v>27</c:v>
                </c:pt>
                <c:pt idx="6">
                  <c:v>295</c:v>
                </c:pt>
                <c:pt idx="7">
                  <c:v>295</c:v>
                </c:pt>
                <c:pt idx="8">
                  <c:v>295</c:v>
                </c:pt>
                <c:pt idx="9">
                  <c:v>295</c:v>
                </c:pt>
                <c:pt idx="10">
                  <c:v>295</c:v>
                </c:pt>
                <c:pt idx="11">
                  <c:v>295</c:v>
                </c:pt>
              </c:numCache>
            </c:numRef>
          </c:xVal>
          <c:yVal>
            <c:numRef>
              <c:f>Sheet1!$D$17:$D$28</c:f>
              <c:numCache>
                <c:formatCode>General</c:formatCode>
                <c:ptCount val="12"/>
                <c:pt idx="0">
                  <c:v>137</c:v>
                </c:pt>
                <c:pt idx="1">
                  <c:v>39.518518518518519</c:v>
                </c:pt>
                <c:pt idx="2">
                  <c:v>17.518518518518519</c:v>
                </c:pt>
                <c:pt idx="3">
                  <c:v>217.40740740740742</c:v>
                </c:pt>
                <c:pt idx="4">
                  <c:v>72.481481481481481</c:v>
                </c:pt>
                <c:pt idx="5">
                  <c:v>31.333333333333332</c:v>
                </c:pt>
                <c:pt idx="6">
                  <c:v>40.799999999999997</c:v>
                </c:pt>
                <c:pt idx="7">
                  <c:v>20.945762711864408</c:v>
                </c:pt>
                <c:pt idx="8">
                  <c:v>17.19322033898305</c:v>
                </c:pt>
                <c:pt idx="9">
                  <c:v>5.1322033898305088</c:v>
                </c:pt>
                <c:pt idx="10">
                  <c:v>2.1355932203389831</c:v>
                </c:pt>
                <c:pt idx="11">
                  <c:v>0</c:v>
                </c:pt>
              </c:numCache>
            </c:numRef>
          </c:yVal>
          <c:smooth val="0"/>
        </c:ser>
        <c:ser>
          <c:idx val="2"/>
          <c:order val="2"/>
          <c:tx>
            <c:v>Mawson</c:v>
          </c:tx>
          <c:spPr>
            <a:ln w="28575">
              <a:noFill/>
            </a:ln>
          </c:spPr>
          <c:marker>
            <c:symbol val="diamond"/>
            <c:size val="5"/>
          </c:marker>
          <c:xVal>
            <c:numRef>
              <c:f>Sheet1!$B$29:$B$40</c:f>
              <c:numCache>
                <c:formatCode>General</c:formatCode>
                <c:ptCount val="12"/>
                <c:pt idx="0">
                  <c:v>48</c:v>
                </c:pt>
                <c:pt idx="1">
                  <c:v>48</c:v>
                </c:pt>
                <c:pt idx="2">
                  <c:v>48</c:v>
                </c:pt>
                <c:pt idx="3">
                  <c:v>48</c:v>
                </c:pt>
                <c:pt idx="4">
                  <c:v>48</c:v>
                </c:pt>
                <c:pt idx="5">
                  <c:v>48</c:v>
                </c:pt>
                <c:pt idx="6">
                  <c:v>320</c:v>
                </c:pt>
                <c:pt idx="7">
                  <c:v>320</c:v>
                </c:pt>
                <c:pt idx="8">
                  <c:v>320</c:v>
                </c:pt>
                <c:pt idx="9">
                  <c:v>320</c:v>
                </c:pt>
                <c:pt idx="10">
                  <c:v>320</c:v>
                </c:pt>
                <c:pt idx="11">
                  <c:v>319</c:v>
                </c:pt>
              </c:numCache>
            </c:numRef>
          </c:xVal>
          <c:yVal>
            <c:numRef>
              <c:f>Sheet1!$D$29:$D$40</c:f>
              <c:numCache>
                <c:formatCode>General</c:formatCode>
                <c:ptCount val="12"/>
                <c:pt idx="0">
                  <c:v>33.479166666666664</c:v>
                </c:pt>
                <c:pt idx="1">
                  <c:v>131.72916666666666</c:v>
                </c:pt>
                <c:pt idx="2">
                  <c:v>101.72916666666667</c:v>
                </c:pt>
                <c:pt idx="3">
                  <c:v>66.520833333333329</c:v>
                </c:pt>
                <c:pt idx="4">
                  <c:v>22.9375</c:v>
                </c:pt>
                <c:pt idx="5">
                  <c:v>13.8125</c:v>
                </c:pt>
                <c:pt idx="6">
                  <c:v>20.259374999999999</c:v>
                </c:pt>
                <c:pt idx="7">
                  <c:v>9.8062500000000004</c:v>
                </c:pt>
                <c:pt idx="8">
                  <c:v>23.618749999999999</c:v>
                </c:pt>
                <c:pt idx="9">
                  <c:v>24.643750000000001</c:v>
                </c:pt>
                <c:pt idx="10">
                  <c:v>18.09375</c:v>
                </c:pt>
                <c:pt idx="11">
                  <c:v>15.978056426332289</c:v>
                </c:pt>
              </c:numCache>
            </c:numRef>
          </c:yVal>
          <c:smooth val="0"/>
        </c:ser>
        <c:ser>
          <c:idx val="3"/>
          <c:order val="3"/>
          <c:tx>
            <c:v>Casey</c:v>
          </c:tx>
          <c:spPr>
            <a:ln w="28575">
              <a:noFill/>
            </a:ln>
          </c:spPr>
          <c:marker>
            <c:symbol val="triangle"/>
            <c:size val="4"/>
          </c:marker>
          <c:xVal>
            <c:numRef>
              <c:f>Sheet1!$B$41:$B$51</c:f>
              <c:numCache>
                <c:formatCode>General</c:formatCode>
                <c:ptCount val="11"/>
                <c:pt idx="0">
                  <c:v>56</c:v>
                </c:pt>
                <c:pt idx="1">
                  <c:v>56</c:v>
                </c:pt>
                <c:pt idx="2">
                  <c:v>56</c:v>
                </c:pt>
                <c:pt idx="3">
                  <c:v>56</c:v>
                </c:pt>
                <c:pt idx="4">
                  <c:v>56</c:v>
                </c:pt>
                <c:pt idx="5">
                  <c:v>56</c:v>
                </c:pt>
                <c:pt idx="6">
                  <c:v>404</c:v>
                </c:pt>
                <c:pt idx="7">
                  <c:v>404</c:v>
                </c:pt>
                <c:pt idx="8">
                  <c:v>404</c:v>
                </c:pt>
                <c:pt idx="9">
                  <c:v>404</c:v>
                </c:pt>
                <c:pt idx="10">
                  <c:v>404</c:v>
                </c:pt>
              </c:numCache>
            </c:numRef>
          </c:xVal>
          <c:yVal>
            <c:numRef>
              <c:f>Sheet1!$D$41:$D$51</c:f>
              <c:numCache>
                <c:formatCode>General</c:formatCode>
                <c:ptCount val="11"/>
                <c:pt idx="0">
                  <c:v>101.58928571428571</c:v>
                </c:pt>
                <c:pt idx="1">
                  <c:v>61.285714285714285</c:v>
                </c:pt>
                <c:pt idx="2">
                  <c:v>34.571428571428569</c:v>
                </c:pt>
                <c:pt idx="3">
                  <c:v>70.642857142857139</c:v>
                </c:pt>
                <c:pt idx="4">
                  <c:v>18.375</c:v>
                </c:pt>
                <c:pt idx="5">
                  <c:v>12.517857142857142</c:v>
                </c:pt>
                <c:pt idx="6">
                  <c:v>14.472772277227723</c:v>
                </c:pt>
                <c:pt idx="7">
                  <c:v>21.111386138613863</c:v>
                </c:pt>
                <c:pt idx="8">
                  <c:v>9.3069306930693063</c:v>
                </c:pt>
                <c:pt idx="9">
                  <c:v>8.6806930693069315</c:v>
                </c:pt>
                <c:pt idx="10">
                  <c:v>7.4876237623762378</c:v>
                </c:pt>
              </c:numCache>
            </c:numRef>
          </c:yVal>
          <c:smooth val="0"/>
        </c:ser>
        <c:dLbls>
          <c:showLegendKey val="0"/>
          <c:showVal val="0"/>
          <c:showCatName val="0"/>
          <c:showSerName val="0"/>
          <c:showPercent val="0"/>
          <c:showBubbleSize val="0"/>
        </c:dLbls>
        <c:axId val="119288192"/>
        <c:axId val="119290112"/>
      </c:scatterChart>
      <c:valAx>
        <c:axId val="119288192"/>
        <c:scaling>
          <c:orientation val="minMax"/>
          <c:max val="100"/>
        </c:scaling>
        <c:delete val="0"/>
        <c:axPos val="b"/>
        <c:title>
          <c:tx>
            <c:rich>
              <a:bodyPr/>
              <a:lstStyle/>
              <a:p>
                <a:pPr>
                  <a:defRPr/>
                </a:pPr>
                <a:r>
                  <a:rPr lang="en-US"/>
                  <a:t>Emplacement days</a:t>
                </a:r>
              </a:p>
            </c:rich>
          </c:tx>
          <c:overlay val="0"/>
        </c:title>
        <c:numFmt formatCode="General" sourceLinked="1"/>
        <c:majorTickMark val="out"/>
        <c:minorTickMark val="none"/>
        <c:tickLblPos val="nextTo"/>
        <c:crossAx val="119290112"/>
        <c:crosses val="autoZero"/>
        <c:crossBetween val="midCat"/>
      </c:valAx>
      <c:valAx>
        <c:axId val="119290112"/>
        <c:scaling>
          <c:orientation val="minMax"/>
          <c:max val="250"/>
        </c:scaling>
        <c:delete val="0"/>
        <c:axPos val="l"/>
        <c:title>
          <c:tx>
            <c:rich>
              <a:bodyPr rot="-5400000" vert="horz"/>
              <a:lstStyle/>
              <a:p>
                <a:pPr>
                  <a:defRPr/>
                </a:pPr>
                <a:r>
                  <a:rPr lang="en-US"/>
                  <a:t>Radon (Bq.m</a:t>
                </a:r>
                <a:r>
                  <a:rPr lang="en-US" baseline="30000"/>
                  <a:t>-3</a:t>
                </a:r>
                <a:r>
                  <a:rPr lang="en-US"/>
                  <a:t>)</a:t>
                </a:r>
              </a:p>
            </c:rich>
          </c:tx>
          <c:overlay val="0"/>
        </c:title>
        <c:numFmt formatCode="General" sourceLinked="1"/>
        <c:majorTickMark val="out"/>
        <c:minorTickMark val="none"/>
        <c:tickLblPos val="nextTo"/>
        <c:crossAx val="119288192"/>
        <c:crosses val="autoZero"/>
        <c:crossBetween val="midCat"/>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Mean station concentration</a:t>
            </a:r>
            <a:endParaRPr lang="en-US"/>
          </a:p>
        </c:rich>
      </c:tx>
      <c:layout/>
      <c:overlay val="0"/>
    </c:title>
    <c:autoTitleDeleted val="0"/>
    <c:plotArea>
      <c:layout/>
      <c:scatterChart>
        <c:scatterStyle val="lineMarker"/>
        <c:varyColors val="0"/>
        <c:ser>
          <c:idx val="0"/>
          <c:order val="0"/>
          <c:tx>
            <c:v>Macq Is</c:v>
          </c:tx>
          <c:spPr>
            <a:ln w="28575">
              <a:noFill/>
            </a:ln>
          </c:spPr>
          <c:marker>
            <c:symbol val="circle"/>
            <c:size val="4"/>
          </c:marker>
          <c:errBars>
            <c:errDir val="y"/>
            <c:errBarType val="both"/>
            <c:errValType val="cust"/>
            <c:noEndCap val="0"/>
            <c:plus>
              <c:numRef>
                <c:f>Spread!$H$89:$I$89</c:f>
                <c:numCache>
                  <c:formatCode>General</c:formatCode>
                  <c:ptCount val="2"/>
                  <c:pt idx="0">
                    <c:v>3.6329791323166978</c:v>
                  </c:pt>
                  <c:pt idx="1">
                    <c:v>12.187114994807448</c:v>
                  </c:pt>
                </c:numCache>
              </c:numRef>
            </c:plus>
            <c:minus>
              <c:numRef>
                <c:f>Spread!$H$89:$I$89</c:f>
                <c:numCache>
                  <c:formatCode>General</c:formatCode>
                  <c:ptCount val="2"/>
                  <c:pt idx="0">
                    <c:v>3.6329791323166978</c:v>
                  </c:pt>
                  <c:pt idx="1">
                    <c:v>12.187114994807448</c:v>
                  </c:pt>
                </c:numCache>
              </c:numRef>
            </c:minus>
          </c:errBars>
          <c:errBars>
            <c:errDir val="x"/>
            <c:errBarType val="both"/>
            <c:errValType val="fixedVal"/>
            <c:noEndCap val="0"/>
            <c:val val="1"/>
          </c:errBars>
          <c:xVal>
            <c:numRef>
              <c:f>Spread!$K$87:$L$87</c:f>
              <c:numCache>
                <c:formatCode>General</c:formatCode>
                <c:ptCount val="2"/>
                <c:pt idx="0">
                  <c:v>305</c:v>
                </c:pt>
                <c:pt idx="1">
                  <c:v>46</c:v>
                </c:pt>
              </c:numCache>
            </c:numRef>
          </c:xVal>
          <c:yVal>
            <c:numRef>
              <c:f>Spread!$H$87:$I$87</c:f>
              <c:numCache>
                <c:formatCode>0</c:formatCode>
                <c:ptCount val="2"/>
                <c:pt idx="0">
                  <c:v>13.845352487796445</c:v>
                </c:pt>
                <c:pt idx="1">
                  <c:v>23.043478260869563</c:v>
                </c:pt>
              </c:numCache>
            </c:numRef>
          </c:yVal>
          <c:smooth val="0"/>
        </c:ser>
        <c:ser>
          <c:idx val="1"/>
          <c:order val="1"/>
          <c:tx>
            <c:v>Davis</c:v>
          </c:tx>
          <c:spPr>
            <a:ln w="28575">
              <a:noFill/>
            </a:ln>
          </c:spPr>
          <c:marker>
            <c:symbol val="square"/>
            <c:size val="4"/>
          </c:marker>
          <c:errBars>
            <c:errDir val="y"/>
            <c:errBarType val="both"/>
            <c:errValType val="cust"/>
            <c:noEndCap val="0"/>
            <c:plus>
              <c:numRef>
                <c:f>Spread!$H$93:$I$93</c:f>
                <c:numCache>
                  <c:formatCode>General</c:formatCode>
                  <c:ptCount val="2"/>
                  <c:pt idx="0">
                    <c:v>5.8387958699832581</c:v>
                  </c:pt>
                  <c:pt idx="1">
                    <c:v>63.129762115876829</c:v>
                  </c:pt>
                </c:numCache>
              </c:numRef>
            </c:plus>
            <c:minus>
              <c:numRef>
                <c:f>Spread!$H$93:$I$93</c:f>
                <c:numCache>
                  <c:formatCode>General</c:formatCode>
                  <c:ptCount val="2"/>
                  <c:pt idx="0">
                    <c:v>5.8387958699832581</c:v>
                  </c:pt>
                  <c:pt idx="1">
                    <c:v>63.129762115876829</c:v>
                  </c:pt>
                </c:numCache>
              </c:numRef>
            </c:minus>
          </c:errBars>
          <c:errBars>
            <c:errDir val="x"/>
            <c:errBarType val="both"/>
            <c:errValType val="fixedVal"/>
            <c:noEndCap val="0"/>
            <c:val val="1"/>
          </c:errBars>
          <c:xVal>
            <c:numRef>
              <c:f>Spread!$K$91:$L$91</c:f>
              <c:numCache>
                <c:formatCode>General</c:formatCode>
                <c:ptCount val="2"/>
                <c:pt idx="0">
                  <c:v>295</c:v>
                </c:pt>
                <c:pt idx="1">
                  <c:v>27</c:v>
                </c:pt>
              </c:numCache>
            </c:numRef>
          </c:xVal>
          <c:yVal>
            <c:numRef>
              <c:f>Spread!$H$91:$I$91</c:f>
              <c:numCache>
                <c:formatCode>0</c:formatCode>
                <c:ptCount val="2"/>
                <c:pt idx="0">
                  <c:v>15.594308268930977</c:v>
                </c:pt>
                <c:pt idx="1">
                  <c:v>85.876543209876544</c:v>
                </c:pt>
              </c:numCache>
            </c:numRef>
          </c:yVal>
          <c:smooth val="0"/>
        </c:ser>
        <c:ser>
          <c:idx val="2"/>
          <c:order val="2"/>
          <c:tx>
            <c:v>Mawson</c:v>
          </c:tx>
          <c:spPr>
            <a:ln w="28575">
              <a:noFill/>
            </a:ln>
          </c:spPr>
          <c:marker>
            <c:symbol val="diamond"/>
            <c:size val="5"/>
          </c:marker>
          <c:errBars>
            <c:errDir val="y"/>
            <c:errBarType val="both"/>
            <c:errValType val="cust"/>
            <c:noEndCap val="0"/>
            <c:plus>
              <c:numRef>
                <c:f>Spread!$H$97:$I$97</c:f>
                <c:numCache>
                  <c:formatCode>General</c:formatCode>
                  <c:ptCount val="2"/>
                  <c:pt idx="0">
                    <c:v>4.1590239982122359</c:v>
                  </c:pt>
                  <c:pt idx="1">
                    <c:v>38.508558853042949</c:v>
                  </c:pt>
                </c:numCache>
              </c:numRef>
            </c:plus>
            <c:minus>
              <c:numRef>
                <c:f>Spread!$H$97:$I$97</c:f>
                <c:numCache>
                  <c:formatCode>General</c:formatCode>
                  <c:ptCount val="2"/>
                  <c:pt idx="0">
                    <c:v>4.1590239982122359</c:v>
                  </c:pt>
                  <c:pt idx="1">
                    <c:v>38.508558853042949</c:v>
                  </c:pt>
                </c:numCache>
              </c:numRef>
            </c:minus>
          </c:errBars>
          <c:errBars>
            <c:errDir val="x"/>
            <c:errBarType val="both"/>
            <c:errValType val="fixedVal"/>
            <c:noEndCap val="0"/>
            <c:val val="1"/>
          </c:errBars>
          <c:xVal>
            <c:numRef>
              <c:f>Spread!$K$95:$L$95</c:f>
              <c:numCache>
                <c:formatCode>General</c:formatCode>
                <c:ptCount val="2"/>
                <c:pt idx="0">
                  <c:v>320</c:v>
                </c:pt>
                <c:pt idx="1">
                  <c:v>48</c:v>
                </c:pt>
              </c:numCache>
            </c:numRef>
          </c:xVal>
          <c:yVal>
            <c:numRef>
              <c:f>Spread!$H$95:$I$95</c:f>
              <c:numCache>
                <c:formatCode>0</c:formatCode>
                <c:ptCount val="2"/>
                <c:pt idx="0">
                  <c:v>20.279631384105581</c:v>
                </c:pt>
                <c:pt idx="1">
                  <c:v>61.701388888888886</c:v>
                </c:pt>
              </c:numCache>
            </c:numRef>
          </c:yVal>
          <c:smooth val="0"/>
        </c:ser>
        <c:ser>
          <c:idx val="3"/>
          <c:order val="3"/>
          <c:tx>
            <c:v>Casey</c:v>
          </c:tx>
          <c:spPr>
            <a:ln w="28575">
              <a:noFill/>
            </a:ln>
          </c:spPr>
          <c:marker>
            <c:symbol val="triangle"/>
            <c:size val="4"/>
          </c:marker>
          <c:errBars>
            <c:errDir val="y"/>
            <c:errBarType val="both"/>
            <c:errValType val="cust"/>
            <c:noEndCap val="0"/>
            <c:plus>
              <c:numRef>
                <c:f>Spread!$H$101:$I$101</c:f>
                <c:numCache>
                  <c:formatCode>General</c:formatCode>
                  <c:ptCount val="2"/>
                  <c:pt idx="0">
                    <c:v>3.1225475209042459</c:v>
                  </c:pt>
                  <c:pt idx="1">
                    <c:v>27.947257708680013</c:v>
                  </c:pt>
                </c:numCache>
              </c:numRef>
            </c:plus>
            <c:minus>
              <c:numRef>
                <c:f>Spread!$H$101:$I$101</c:f>
                <c:numCache>
                  <c:formatCode>General</c:formatCode>
                  <c:ptCount val="2"/>
                  <c:pt idx="0">
                    <c:v>3.1225475209042459</c:v>
                  </c:pt>
                  <c:pt idx="1">
                    <c:v>27.947257708680013</c:v>
                  </c:pt>
                </c:numCache>
              </c:numRef>
            </c:minus>
          </c:errBars>
          <c:errBars>
            <c:errDir val="x"/>
            <c:errBarType val="both"/>
            <c:errValType val="fixedVal"/>
            <c:noEndCap val="0"/>
            <c:val val="1"/>
          </c:errBars>
          <c:xVal>
            <c:numRef>
              <c:f>Spread!$K$99:$L$99</c:f>
              <c:numCache>
                <c:formatCode>General</c:formatCode>
                <c:ptCount val="2"/>
                <c:pt idx="0">
                  <c:v>404</c:v>
                </c:pt>
                <c:pt idx="1">
                  <c:v>56</c:v>
                </c:pt>
              </c:numCache>
            </c:numRef>
          </c:xVal>
          <c:yVal>
            <c:numRef>
              <c:f>Spread!$H$99:$I$99</c:f>
              <c:numCache>
                <c:formatCode>0</c:formatCode>
                <c:ptCount val="2"/>
                <c:pt idx="0">
                  <c:v>14.075952033142425</c:v>
                </c:pt>
                <c:pt idx="1">
                  <c:v>49.830357142857139</c:v>
                </c:pt>
              </c:numCache>
            </c:numRef>
          </c:yVal>
          <c:smooth val="0"/>
        </c:ser>
        <c:dLbls>
          <c:showLegendKey val="0"/>
          <c:showVal val="0"/>
          <c:showCatName val="0"/>
          <c:showSerName val="0"/>
          <c:showPercent val="0"/>
          <c:showBubbleSize val="0"/>
        </c:dLbls>
        <c:axId val="119632640"/>
        <c:axId val="119634560"/>
      </c:scatterChart>
      <c:valAx>
        <c:axId val="119632640"/>
        <c:scaling>
          <c:orientation val="minMax"/>
          <c:max val="500"/>
        </c:scaling>
        <c:delete val="0"/>
        <c:axPos val="b"/>
        <c:title>
          <c:tx>
            <c:rich>
              <a:bodyPr/>
              <a:lstStyle/>
              <a:p>
                <a:pPr>
                  <a:defRPr/>
                </a:pPr>
                <a:r>
                  <a:rPr lang="en-US"/>
                  <a:t>Days</a:t>
                </a:r>
              </a:p>
            </c:rich>
          </c:tx>
          <c:layout/>
          <c:overlay val="0"/>
        </c:title>
        <c:numFmt formatCode="General" sourceLinked="1"/>
        <c:majorTickMark val="out"/>
        <c:minorTickMark val="none"/>
        <c:tickLblPos val="nextTo"/>
        <c:crossAx val="119634560"/>
        <c:crosses val="autoZero"/>
        <c:crossBetween val="midCat"/>
      </c:valAx>
      <c:valAx>
        <c:axId val="119634560"/>
        <c:scaling>
          <c:orientation val="minMax"/>
          <c:max val="160"/>
        </c:scaling>
        <c:delete val="0"/>
        <c:axPos val="l"/>
        <c:title>
          <c:tx>
            <c:rich>
              <a:bodyPr rot="-5400000" vert="horz"/>
              <a:lstStyle/>
              <a:p>
                <a:pPr>
                  <a:defRPr/>
                </a:pPr>
                <a:r>
                  <a:rPr lang="en-US"/>
                  <a:t>Radon (Bq.m</a:t>
                </a:r>
                <a:r>
                  <a:rPr lang="en-US" baseline="30000"/>
                  <a:t>-3</a:t>
                </a:r>
                <a:r>
                  <a:rPr lang="en-US"/>
                  <a:t>)</a:t>
                </a:r>
              </a:p>
            </c:rich>
          </c:tx>
          <c:layout/>
          <c:overlay val="0"/>
        </c:title>
        <c:numFmt formatCode="0" sourceLinked="1"/>
        <c:majorTickMark val="out"/>
        <c:minorTickMark val="none"/>
        <c:tickLblPos val="nextTo"/>
        <c:crossAx val="119632640"/>
        <c:crosses val="autoZero"/>
        <c:crossBetween val="midCat"/>
      </c:valAx>
    </c:plotArea>
    <c:legend>
      <c:legendPos val="b"/>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71724-A4C1-4268-9C38-65F536F7ED57}">
  <ds:schemaRefs>
    <ds:schemaRef ds:uri="http://schemas.openxmlformats.org/officeDocument/2006/bibliography"/>
  </ds:schemaRefs>
</ds:datastoreItem>
</file>

<file path=customXml/itemProps2.xml><?xml version="1.0" encoding="utf-8"?>
<ds:datastoreItem xmlns:ds="http://schemas.openxmlformats.org/officeDocument/2006/customXml" ds:itemID="{CDB44413-8839-4866-8B1E-AE08B6E3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template.dotx</Template>
  <TotalTime>107</TotalTime>
  <Pages>32</Pages>
  <Words>7253</Words>
  <Characters>37721</Characters>
  <Application>Microsoft Office Word</Application>
  <DocSecurity>0</DocSecurity>
  <Lines>1714</Lines>
  <Paragraphs>775</Paragraphs>
  <ScaleCrop>false</ScaleCrop>
  <HeadingPairs>
    <vt:vector size="2" baseType="variant">
      <vt:variant>
        <vt:lpstr>Title</vt:lpstr>
      </vt:variant>
      <vt:variant>
        <vt:i4>1</vt:i4>
      </vt:variant>
    </vt:vector>
  </HeadingPairs>
  <TitlesOfParts>
    <vt:vector size="1" baseType="lpstr">
      <vt:lpstr>Radon at Australian Antarctic Stations - 2012/13</vt:lpstr>
    </vt:vector>
  </TitlesOfParts>
  <Company>ARPANSA</Company>
  <LinksUpToDate>false</LinksUpToDate>
  <CharactersWithSpaces>44199</CharactersWithSpaces>
  <SharedDoc>false</SharedDoc>
  <HLinks>
    <vt:vector size="18" baseType="variant">
      <vt:variant>
        <vt:i4>6946858</vt:i4>
      </vt:variant>
      <vt:variant>
        <vt:i4>6</vt:i4>
      </vt:variant>
      <vt:variant>
        <vt:i4>0</vt:i4>
      </vt:variant>
      <vt:variant>
        <vt:i4>5</vt:i4>
      </vt:variant>
      <vt:variant>
        <vt:lpwstr>http://www.arpansa.gov.au/</vt:lpwstr>
      </vt:variant>
      <vt:variant>
        <vt:lpwstr/>
      </vt:variant>
      <vt:variant>
        <vt:i4>5701669</vt:i4>
      </vt:variant>
      <vt:variant>
        <vt:i4>3</vt:i4>
      </vt:variant>
      <vt:variant>
        <vt:i4>0</vt:i4>
      </vt:variant>
      <vt:variant>
        <vt:i4>5</vt:i4>
      </vt:variant>
      <vt:variant>
        <vt:lpwstr>mailto:info@arpansa.gov.au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Radon at Australian Antarctic Stations - 2012/13</dc:title>
  <dc:subject>Technical Report No. 158</dc:subject>
  <dc:creator>tatebr</dc:creator>
  <cp:lastModifiedBy>sforcl</cp:lastModifiedBy>
  <cp:revision>9</cp:revision>
  <cp:lastPrinted>2017-02-14T04:25:00Z</cp:lastPrinted>
  <dcterms:created xsi:type="dcterms:W3CDTF">2017-02-21T05:08:00Z</dcterms:created>
  <dcterms:modified xsi:type="dcterms:W3CDTF">2017-02-23T01:38:00Z</dcterms:modified>
</cp:coreProperties>
</file>