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71972" w14:textId="3180CFE9" w:rsidR="00301FE6" w:rsidRPr="00EC7E2F" w:rsidRDefault="0081701B" w:rsidP="00301FE6">
      <w:pPr>
        <w:pStyle w:val="Title"/>
        <w:rPr>
          <w:b/>
          <w:color w:val="auto"/>
        </w:rPr>
      </w:pPr>
      <w:r>
        <w:rPr>
          <w:b/>
          <w:noProof/>
          <w:color w:val="auto"/>
        </w:rPr>
        <w:drawing>
          <wp:anchor distT="0" distB="0" distL="114300" distR="114300" simplePos="0" relativeHeight="251661312" behindDoc="1" locked="0" layoutInCell="1" allowOverlap="1" wp14:anchorId="35B4F9E2" wp14:editId="2AD7B29E">
            <wp:simplePos x="0" y="0"/>
            <wp:positionH relativeFrom="column">
              <wp:posOffset>-914400</wp:posOffset>
            </wp:positionH>
            <wp:positionV relativeFrom="paragraph">
              <wp:posOffset>-540276</wp:posOffset>
            </wp:positionV>
            <wp:extent cx="7559017" cy="10692000"/>
            <wp:effectExtent l="0" t="0" r="4445" b="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7" cy="10692000"/>
                    </a:xfrm>
                    <a:prstGeom prst="rect">
                      <a:avLst/>
                    </a:prstGeom>
                  </pic:spPr>
                </pic:pic>
              </a:graphicData>
            </a:graphic>
            <wp14:sizeRelH relativeFrom="page">
              <wp14:pctWidth>0</wp14:pctWidth>
            </wp14:sizeRelH>
            <wp14:sizeRelV relativeFrom="page">
              <wp14:pctHeight>0</wp14:pctHeight>
            </wp14:sizeRelV>
          </wp:anchor>
        </w:drawing>
      </w:r>
    </w:p>
    <w:p w14:paraId="0B4308B1" w14:textId="77777777" w:rsidR="005E3E9F" w:rsidRPr="00EC7E2F" w:rsidRDefault="005E3E9F" w:rsidP="00275BDD">
      <w:pPr>
        <w:pStyle w:val="Title"/>
        <w:jc w:val="left"/>
        <w:rPr>
          <w:b/>
          <w:color w:val="auto"/>
        </w:rPr>
        <w:sectPr w:rsidR="005E3E9F" w:rsidRPr="00EC7E2F" w:rsidSect="00301FE6">
          <w:footerReference w:type="default" r:id="rId9"/>
          <w:pgSz w:w="11906" w:h="16838"/>
          <w:pgMar w:top="851" w:right="1440" w:bottom="1440" w:left="1440" w:header="708" w:footer="708" w:gutter="0"/>
          <w:cols w:space="708"/>
          <w:docGrid w:linePitch="360"/>
        </w:sectPr>
      </w:pPr>
    </w:p>
    <w:p w14:paraId="1DCF19E7" w14:textId="77777777" w:rsidR="00886E35" w:rsidRDefault="00886E35" w:rsidP="00730F7F">
      <w:pPr>
        <w:rPr>
          <w:rFonts w:eastAsia="Calibri"/>
          <w:color w:val="auto"/>
        </w:rPr>
      </w:pPr>
    </w:p>
    <w:p w14:paraId="26058F35" w14:textId="6C0072C8" w:rsidR="00730F7F" w:rsidRPr="00EC7E2F" w:rsidRDefault="00275BDD" w:rsidP="00730F7F">
      <w:pPr>
        <w:rPr>
          <w:rFonts w:eastAsia="Calibri"/>
          <w:color w:val="auto"/>
        </w:rPr>
      </w:pPr>
      <w:r w:rsidRPr="00EC7E2F">
        <w:rPr>
          <w:rFonts w:eastAsia="Calibri"/>
          <w:noProof/>
          <w:color w:val="auto"/>
        </w:rPr>
        <mc:AlternateContent>
          <mc:Choice Requires="wps">
            <w:drawing>
              <wp:anchor distT="0" distB="0" distL="114300" distR="114300" simplePos="0" relativeHeight="251660288" behindDoc="0" locked="0" layoutInCell="1" allowOverlap="1" wp14:anchorId="1D552B0D" wp14:editId="4D4D35CA">
                <wp:simplePos x="0" y="0"/>
                <wp:positionH relativeFrom="margin">
                  <wp:posOffset>3810</wp:posOffset>
                </wp:positionH>
                <wp:positionV relativeFrom="paragraph">
                  <wp:posOffset>118110</wp:posOffset>
                </wp:positionV>
                <wp:extent cx="6119495" cy="5791200"/>
                <wp:effectExtent l="0" t="0" r="14605" b="1905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791200"/>
                        </a:xfrm>
                        <a:prstGeom prst="rect">
                          <a:avLst/>
                        </a:prstGeom>
                        <a:solidFill>
                          <a:srgbClr val="FFFFFF"/>
                        </a:solidFill>
                        <a:ln w="9525">
                          <a:solidFill>
                            <a:srgbClr val="000000"/>
                          </a:solidFill>
                          <a:miter lim="800000"/>
                          <a:headEnd/>
                          <a:tailEnd/>
                        </a:ln>
                      </wps:spPr>
                      <wps:txbx>
                        <w:txbxContent>
                          <w:p w14:paraId="5920B0AD" w14:textId="2B33F0E9" w:rsidR="002A43EC" w:rsidRPr="00EC7E2F" w:rsidRDefault="002A43EC" w:rsidP="00730F7F">
                            <w:pPr>
                              <w:pStyle w:val="Text"/>
                              <w:spacing w:before="0" w:after="0" w:line="240" w:lineRule="auto"/>
                              <w:rPr>
                                <w:color w:val="auto"/>
                                <w:sz w:val="18"/>
                                <w:szCs w:val="18"/>
                              </w:rPr>
                            </w:pPr>
                            <w:r w:rsidRPr="00EC7E2F">
                              <w:rPr>
                                <w:color w:val="auto"/>
                                <w:sz w:val="18"/>
                                <w:szCs w:val="18"/>
                                <w:lang w:eastAsia="en-US"/>
                              </w:rPr>
                              <w:t>© Commonwealth of Australia 2021</w:t>
                            </w:r>
                          </w:p>
                          <w:p w14:paraId="5626B0EB" w14:textId="77777777" w:rsidR="002A43EC" w:rsidRPr="00EC7E2F" w:rsidRDefault="002A43EC" w:rsidP="00730F7F">
                            <w:pPr>
                              <w:pStyle w:val="Text"/>
                              <w:spacing w:before="0" w:after="0" w:line="240" w:lineRule="auto"/>
                              <w:rPr>
                                <w:color w:val="auto"/>
                                <w:sz w:val="18"/>
                                <w:szCs w:val="18"/>
                              </w:rPr>
                            </w:pPr>
                            <w:r w:rsidRPr="00EC7E2F">
                              <w:rPr>
                                <w:color w:val="auto"/>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255DF992" w14:textId="77777777" w:rsidR="002A43EC" w:rsidRPr="005908A8" w:rsidRDefault="002A43EC" w:rsidP="00730F7F">
                            <w:pPr>
                              <w:pStyle w:val="Text"/>
                              <w:spacing w:before="0" w:after="0" w:line="240" w:lineRule="auto"/>
                              <w:rPr>
                                <w:rStyle w:val="Hyperlink"/>
                              </w:rPr>
                            </w:pPr>
                          </w:p>
                          <w:p w14:paraId="223A3626" w14:textId="77777777" w:rsidR="002A43EC" w:rsidRPr="00EC7E2F" w:rsidRDefault="002A43EC" w:rsidP="00730F7F">
                            <w:pPr>
                              <w:pStyle w:val="Text"/>
                              <w:spacing w:before="0" w:after="0" w:line="240" w:lineRule="auto"/>
                              <w:rPr>
                                <w:color w:val="auto"/>
                                <w:sz w:val="18"/>
                                <w:szCs w:val="18"/>
                              </w:rPr>
                            </w:pPr>
                          </w:p>
                          <w:p w14:paraId="2E3C138B" w14:textId="77777777" w:rsidR="002A43EC" w:rsidRPr="00EC7E2F" w:rsidRDefault="002A43EC" w:rsidP="00730F7F">
                            <w:pPr>
                              <w:pStyle w:val="Text"/>
                              <w:spacing w:before="0" w:after="0" w:line="240" w:lineRule="auto"/>
                              <w:rPr>
                                <w:color w:val="auto"/>
                                <w:sz w:val="18"/>
                                <w:szCs w:val="18"/>
                              </w:rPr>
                            </w:pPr>
                            <w:r w:rsidRPr="00EC7E2F">
                              <w:rPr>
                                <w:noProof/>
                                <w:color w:val="auto"/>
                                <w:sz w:val="18"/>
                                <w:szCs w:val="18"/>
                                <w:lang w:val="en-AU"/>
                              </w:rPr>
                              <w:drawing>
                                <wp:inline distT="0" distB="0" distL="0" distR="0" wp14:anchorId="2CC9DE01" wp14:editId="57568C80">
                                  <wp:extent cx="760095" cy="264160"/>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51C676C3" w14:textId="77777777" w:rsidR="002A43EC" w:rsidRPr="00EC7E2F" w:rsidRDefault="002A43EC" w:rsidP="00730F7F">
                            <w:pPr>
                              <w:pStyle w:val="Text"/>
                              <w:spacing w:before="0" w:after="0" w:line="240" w:lineRule="auto"/>
                              <w:rPr>
                                <w:color w:val="auto"/>
                                <w:sz w:val="18"/>
                                <w:szCs w:val="18"/>
                              </w:rPr>
                            </w:pPr>
                          </w:p>
                          <w:p w14:paraId="45C70AAE" w14:textId="77777777" w:rsidR="002A43EC" w:rsidRPr="00EC7E2F" w:rsidRDefault="002A43EC" w:rsidP="00730F7F">
                            <w:pPr>
                              <w:pStyle w:val="Text"/>
                              <w:spacing w:before="0" w:after="0" w:line="240" w:lineRule="auto"/>
                              <w:rPr>
                                <w:b/>
                                <w:color w:val="auto"/>
                                <w:sz w:val="18"/>
                                <w:szCs w:val="18"/>
                              </w:rPr>
                            </w:pPr>
                            <w:r w:rsidRPr="00EC7E2F">
                              <w:rPr>
                                <w:b/>
                                <w:color w:val="auto"/>
                                <w:sz w:val="18"/>
                                <w:szCs w:val="18"/>
                              </w:rPr>
                              <w:t>Creative Commons</w:t>
                            </w:r>
                          </w:p>
                          <w:p w14:paraId="7FF18801" w14:textId="7C117FAF" w:rsidR="002A43EC" w:rsidRPr="00EC7E2F" w:rsidRDefault="002A43EC" w:rsidP="00730F7F">
                            <w:pPr>
                              <w:pStyle w:val="Text"/>
                              <w:spacing w:before="180" w:after="0" w:line="240" w:lineRule="auto"/>
                              <w:rPr>
                                <w:color w:val="auto"/>
                                <w:sz w:val="18"/>
                                <w:szCs w:val="18"/>
                              </w:rPr>
                            </w:pPr>
                            <w:r w:rsidRPr="00EC7E2F">
                              <w:rPr>
                                <w:color w:val="auto"/>
                                <w:sz w:val="18"/>
                                <w:szCs w:val="18"/>
                              </w:rPr>
                              <w:t>With the exception of the Commonwealth Coat of Arms, any ARPANSA logos and any content that is marked as being third party material, this publication, the</w:t>
                            </w:r>
                            <w:r w:rsidRPr="00EC7E2F">
                              <w:rPr>
                                <w:i/>
                                <w:iCs/>
                                <w:color w:val="auto"/>
                                <w:sz w:val="18"/>
                                <w:szCs w:val="18"/>
                              </w:rPr>
                              <w:t xml:space="preserve"> National Directory for Radiation Protection (2nd Edition, 2021)</w:t>
                            </w:r>
                            <w:r w:rsidRPr="00EC7E2F">
                              <w:rPr>
                                <w:color w:val="auto"/>
                                <w:sz w:val="18"/>
                                <w:szCs w:val="18"/>
                              </w:rPr>
                              <w:t xml:space="preserve"> (NDRP 2nd edition, 2021) by the Australian Radiation Protection and Nuclear Safety Agency is licensed under a Creative Commons Attribution 3.0 Australia </w:t>
                            </w:r>
                            <w:proofErr w:type="spellStart"/>
                            <w:r w:rsidRPr="00EC7E2F">
                              <w:rPr>
                                <w:color w:val="auto"/>
                                <w:sz w:val="18"/>
                                <w:szCs w:val="18"/>
                              </w:rPr>
                              <w:t>licence</w:t>
                            </w:r>
                            <w:proofErr w:type="spellEnd"/>
                            <w:r w:rsidRPr="00EC7E2F">
                              <w:rPr>
                                <w:color w:val="auto"/>
                                <w:sz w:val="18"/>
                                <w:szCs w:val="18"/>
                              </w:rPr>
                              <w:t xml:space="preserve"> (to view a copy of the </w:t>
                            </w:r>
                            <w:proofErr w:type="spellStart"/>
                            <w:r w:rsidRPr="00EC7E2F">
                              <w:rPr>
                                <w:color w:val="auto"/>
                                <w:sz w:val="18"/>
                                <w:szCs w:val="18"/>
                              </w:rPr>
                              <w:t>licence</w:t>
                            </w:r>
                            <w:proofErr w:type="spellEnd"/>
                            <w:r w:rsidRPr="00EC7E2F">
                              <w:rPr>
                                <w:color w:val="auto"/>
                                <w:sz w:val="18"/>
                                <w:szCs w:val="18"/>
                              </w:rPr>
                              <w:t xml:space="preserve">, visit </w:t>
                            </w:r>
                            <w:hyperlink r:id="rId11" w:history="1">
                              <w:r w:rsidRPr="00EC7E2F">
                                <w:rPr>
                                  <w:rStyle w:val="Hyperlink"/>
                                  <w:i/>
                                  <w:iCs/>
                                  <w:color w:val="auto"/>
                                  <w:spacing w:val="-4"/>
                                  <w:sz w:val="18"/>
                                  <w:szCs w:val="18"/>
                                </w:rPr>
                                <w:t>http://creativecommons.org/licenses/by/3.0/au</w:t>
                              </w:r>
                            </w:hyperlink>
                            <w:r w:rsidRPr="00EC7E2F">
                              <w:rPr>
                                <w:color w:val="auto"/>
                                <w:sz w:val="18"/>
                                <w:szCs w:val="18"/>
                              </w:rPr>
                              <w:t xml:space="preserve">). It is a further condition of the </w:t>
                            </w:r>
                            <w:proofErr w:type="spellStart"/>
                            <w:r w:rsidRPr="00EC7E2F">
                              <w:rPr>
                                <w:color w:val="auto"/>
                                <w:sz w:val="18"/>
                                <w:szCs w:val="18"/>
                              </w:rPr>
                              <w:t>licence</w:t>
                            </w:r>
                            <w:proofErr w:type="spellEnd"/>
                            <w:r w:rsidRPr="00EC7E2F">
                              <w:rPr>
                                <w:color w:val="auto"/>
                                <w:sz w:val="18"/>
                                <w:szCs w:val="18"/>
                              </w:rPr>
                              <w:t xml:space="preserve"> that any numerical data referred to in this publication may not be changed. To the extent that copyright subsists in a third party, permission will be required from the third party to reuse the material.</w:t>
                            </w:r>
                          </w:p>
                          <w:p w14:paraId="6FFB838C" w14:textId="77777777" w:rsidR="002A43EC" w:rsidRPr="00EC7E2F" w:rsidRDefault="002A43EC" w:rsidP="00730F7F">
                            <w:pPr>
                              <w:pStyle w:val="Text"/>
                              <w:spacing w:before="180" w:after="0" w:line="240" w:lineRule="auto"/>
                              <w:rPr>
                                <w:color w:val="auto"/>
                                <w:sz w:val="18"/>
                                <w:szCs w:val="18"/>
                              </w:rPr>
                            </w:pPr>
                            <w:r w:rsidRPr="00EC7E2F">
                              <w:rPr>
                                <w:color w:val="auto"/>
                                <w:sz w:val="18"/>
                                <w:szCs w:val="18"/>
                              </w:rPr>
                              <w:t xml:space="preserve">In essence, you are free to copy, communicate and adapt the material as long as you attribute the work to ARPANSA and abide by the other </w:t>
                            </w:r>
                            <w:proofErr w:type="spellStart"/>
                            <w:r w:rsidRPr="00EC7E2F">
                              <w:rPr>
                                <w:color w:val="auto"/>
                                <w:sz w:val="18"/>
                                <w:szCs w:val="18"/>
                              </w:rPr>
                              <w:t>licence</w:t>
                            </w:r>
                            <w:proofErr w:type="spellEnd"/>
                            <w:r w:rsidRPr="00EC7E2F">
                              <w:rPr>
                                <w:color w:val="auto"/>
                                <w:sz w:val="18"/>
                                <w:szCs w:val="18"/>
                              </w:rPr>
                              <w:t xml:space="preserve"> terms. The works are to be attributed to the Commonwealth as </w:t>
                            </w:r>
                            <w:proofErr w:type="gramStart"/>
                            <w:r w:rsidRPr="00EC7E2F">
                              <w:rPr>
                                <w:color w:val="auto"/>
                                <w:sz w:val="18"/>
                                <w:szCs w:val="18"/>
                              </w:rPr>
                              <w:t>follows:-</w:t>
                            </w:r>
                            <w:proofErr w:type="gramEnd"/>
                            <w:r w:rsidRPr="00EC7E2F">
                              <w:rPr>
                                <w:color w:val="auto"/>
                                <w:sz w:val="18"/>
                                <w:szCs w:val="18"/>
                              </w:rPr>
                              <w:t xml:space="preserve"> </w:t>
                            </w:r>
                          </w:p>
                          <w:p w14:paraId="1EF2955C" w14:textId="16B4B78F" w:rsidR="002A43EC" w:rsidRPr="00EC7E2F" w:rsidRDefault="002A43EC" w:rsidP="00730F7F">
                            <w:pPr>
                              <w:pStyle w:val="TechRep"/>
                              <w:spacing w:before="120" w:after="0" w:line="240" w:lineRule="auto"/>
                              <w:ind w:left="284" w:right="357"/>
                              <w:rPr>
                                <w:color w:val="auto"/>
                                <w:sz w:val="18"/>
                                <w:szCs w:val="18"/>
                              </w:rPr>
                            </w:pPr>
                            <w:r w:rsidRPr="00EC7E2F">
                              <w:rPr>
                                <w:color w:val="auto"/>
                                <w:sz w:val="18"/>
                                <w:szCs w:val="18"/>
                              </w:rPr>
                              <w:t>“© Commonwealth of Australia 2021 as represented by the Australian Radiation Protection and Nuclear Safety Agency (ARPANSA)”</w:t>
                            </w:r>
                          </w:p>
                          <w:p w14:paraId="5B58BBDE" w14:textId="10414595" w:rsidR="002A43EC" w:rsidRPr="00EC7E2F" w:rsidRDefault="002A43EC" w:rsidP="00730F7F">
                            <w:pPr>
                              <w:pStyle w:val="Text"/>
                              <w:spacing w:before="180" w:after="0" w:line="240" w:lineRule="auto"/>
                              <w:rPr>
                                <w:color w:val="auto"/>
                                <w:sz w:val="18"/>
                                <w:szCs w:val="18"/>
                              </w:rPr>
                            </w:pPr>
                            <w:r w:rsidRPr="00EC7E2F">
                              <w:rPr>
                                <w:color w:val="auto"/>
                                <w:sz w:val="18"/>
                                <w:szCs w:val="18"/>
                              </w:rPr>
                              <w:t xml:space="preserve">The publication should be attributed as: </w:t>
                            </w:r>
                            <w:proofErr w:type="gramStart"/>
                            <w:r w:rsidRPr="00EC7E2F">
                              <w:rPr>
                                <w:color w:val="auto"/>
                                <w:sz w:val="18"/>
                                <w:szCs w:val="18"/>
                              </w:rPr>
                              <w:t>the</w:t>
                            </w:r>
                            <w:proofErr w:type="gramEnd"/>
                            <w:r w:rsidRPr="00EC7E2F">
                              <w:rPr>
                                <w:color w:val="auto"/>
                                <w:sz w:val="18"/>
                                <w:szCs w:val="18"/>
                              </w:rPr>
                              <w:t xml:space="preserve"> National Directory for Radiation Protection (2nd Edition, 2021) (NDRP 2nd edition, 2021).</w:t>
                            </w:r>
                          </w:p>
                          <w:p w14:paraId="762C1E7E" w14:textId="77777777" w:rsidR="002A43EC" w:rsidRPr="00EC7E2F" w:rsidRDefault="002A43EC" w:rsidP="00730F7F">
                            <w:pPr>
                              <w:pStyle w:val="TechRep"/>
                              <w:spacing w:before="0" w:after="0" w:line="240" w:lineRule="auto"/>
                              <w:rPr>
                                <w:color w:val="auto"/>
                                <w:sz w:val="18"/>
                                <w:szCs w:val="18"/>
                              </w:rPr>
                            </w:pPr>
                          </w:p>
                          <w:p w14:paraId="159AC8BA" w14:textId="77777777" w:rsidR="002A43EC" w:rsidRPr="00EC7E2F" w:rsidRDefault="002A43EC" w:rsidP="00730F7F">
                            <w:pPr>
                              <w:pStyle w:val="TechRep"/>
                              <w:spacing w:before="0" w:after="0" w:line="240" w:lineRule="auto"/>
                              <w:contextualSpacing/>
                              <w:rPr>
                                <w:b/>
                                <w:color w:val="auto"/>
                                <w:sz w:val="18"/>
                                <w:szCs w:val="18"/>
                              </w:rPr>
                            </w:pPr>
                            <w:r w:rsidRPr="00EC7E2F">
                              <w:rPr>
                                <w:b/>
                                <w:color w:val="auto"/>
                                <w:sz w:val="18"/>
                                <w:szCs w:val="18"/>
                              </w:rPr>
                              <w:t>Use of the Coat of Arms</w:t>
                            </w:r>
                          </w:p>
                          <w:p w14:paraId="6E135245" w14:textId="77777777" w:rsidR="002A43EC" w:rsidRPr="00EC7E2F" w:rsidRDefault="002A43EC" w:rsidP="00730F7F">
                            <w:pPr>
                              <w:pStyle w:val="Text"/>
                              <w:spacing w:before="180" w:after="0" w:line="240" w:lineRule="auto"/>
                              <w:rPr>
                                <w:color w:val="auto"/>
                                <w:sz w:val="18"/>
                                <w:szCs w:val="18"/>
                              </w:rPr>
                            </w:pPr>
                            <w:r w:rsidRPr="00EC7E2F">
                              <w:rPr>
                                <w:color w:val="auto"/>
                                <w:sz w:val="18"/>
                                <w:szCs w:val="18"/>
                              </w:rPr>
                              <w:t>The terms under which the Coat of Arms can be used are detailed on the Department of the Prime Minister and Cabinet website (</w:t>
                            </w:r>
                            <w:hyperlink r:id="rId12" w:history="1">
                              <w:r w:rsidRPr="00EC7E2F">
                                <w:rPr>
                                  <w:rStyle w:val="Hyperlink"/>
                                  <w:color w:val="auto"/>
                                  <w:sz w:val="18"/>
                                </w:rPr>
                                <w:t>www.dpmc.gov.au/government/commonwealth-coat-arms</w:t>
                              </w:r>
                            </w:hyperlink>
                            <w:r w:rsidRPr="00EC7E2F">
                              <w:rPr>
                                <w:color w:val="auto"/>
                                <w:sz w:val="18"/>
                                <w:szCs w:val="18"/>
                              </w:rPr>
                              <w:t>).</w:t>
                            </w:r>
                          </w:p>
                          <w:p w14:paraId="764824F0" w14:textId="77777777" w:rsidR="002A43EC" w:rsidRPr="00EC7E2F" w:rsidRDefault="002A43EC" w:rsidP="00730F7F">
                            <w:pPr>
                              <w:pStyle w:val="Text"/>
                              <w:spacing w:before="180" w:after="0" w:line="240" w:lineRule="auto"/>
                              <w:rPr>
                                <w:color w:val="auto"/>
                                <w:sz w:val="18"/>
                                <w:szCs w:val="18"/>
                              </w:rPr>
                            </w:pPr>
                            <w:r w:rsidRPr="00EC7E2F">
                              <w:rPr>
                                <w:color w:val="auto"/>
                                <w:sz w:val="18"/>
                                <w:szCs w:val="18"/>
                              </w:rPr>
                              <w:t xml:space="preserve">Enquiries regarding the </w:t>
                            </w:r>
                            <w:proofErr w:type="spellStart"/>
                            <w:r w:rsidRPr="00EC7E2F">
                              <w:rPr>
                                <w:color w:val="auto"/>
                                <w:sz w:val="18"/>
                                <w:szCs w:val="18"/>
                              </w:rPr>
                              <w:t>licence</w:t>
                            </w:r>
                            <w:proofErr w:type="spellEnd"/>
                            <w:r w:rsidRPr="00EC7E2F">
                              <w:rPr>
                                <w:color w:val="auto"/>
                                <w:sz w:val="18"/>
                                <w:szCs w:val="18"/>
                              </w:rPr>
                              <w:t xml:space="preserve"> and any use of this report are welcome.</w:t>
                            </w:r>
                          </w:p>
                          <w:p w14:paraId="48BDFF67" w14:textId="77777777" w:rsidR="002A43EC" w:rsidRPr="00EC7E2F" w:rsidRDefault="002A43EC" w:rsidP="00730F7F">
                            <w:pPr>
                              <w:pStyle w:val="TechRep"/>
                              <w:spacing w:before="180" w:after="0" w:line="240" w:lineRule="auto"/>
                              <w:jc w:val="left"/>
                              <w:rPr>
                                <w:color w:val="auto"/>
                                <w:sz w:val="18"/>
                                <w:szCs w:val="18"/>
                              </w:rPr>
                            </w:pPr>
                            <w:r w:rsidRPr="00EC7E2F">
                              <w:rPr>
                                <w:color w:val="auto"/>
                                <w:sz w:val="18"/>
                                <w:szCs w:val="18"/>
                              </w:rPr>
                              <w:tab/>
                              <w:t>ARPANSA</w:t>
                            </w:r>
                            <w:r w:rsidRPr="00EC7E2F">
                              <w:rPr>
                                <w:color w:val="auto"/>
                                <w:sz w:val="18"/>
                                <w:szCs w:val="18"/>
                              </w:rPr>
                              <w:br/>
                            </w:r>
                            <w:r w:rsidRPr="00EC7E2F">
                              <w:rPr>
                                <w:color w:val="auto"/>
                                <w:sz w:val="18"/>
                                <w:szCs w:val="18"/>
                              </w:rPr>
                              <w:tab/>
                              <w:t>619 Lower Plenty Road</w:t>
                            </w:r>
                            <w:r w:rsidRPr="00EC7E2F">
                              <w:rPr>
                                <w:color w:val="auto"/>
                                <w:sz w:val="18"/>
                                <w:szCs w:val="18"/>
                              </w:rPr>
                              <w:br/>
                            </w:r>
                            <w:r w:rsidRPr="00EC7E2F">
                              <w:rPr>
                                <w:color w:val="auto"/>
                                <w:sz w:val="18"/>
                                <w:szCs w:val="18"/>
                              </w:rPr>
                              <w:tab/>
                              <w:t>YALLAMBIE   VIC   3085</w:t>
                            </w:r>
                          </w:p>
                          <w:p w14:paraId="3BFBE1C5" w14:textId="77777777" w:rsidR="002A43EC" w:rsidRPr="00EC7E2F" w:rsidRDefault="002A43EC" w:rsidP="00730F7F">
                            <w:pPr>
                              <w:pStyle w:val="TechRep"/>
                              <w:spacing w:before="0" w:after="0" w:line="240" w:lineRule="auto"/>
                              <w:jc w:val="left"/>
                              <w:rPr>
                                <w:rFonts w:cs="Calibri"/>
                                <w:color w:val="auto"/>
                                <w:sz w:val="18"/>
                                <w:szCs w:val="18"/>
                              </w:rPr>
                            </w:pPr>
                            <w:r w:rsidRPr="00EC7E2F">
                              <w:rPr>
                                <w:rFonts w:cs="Calibri"/>
                                <w:color w:val="auto"/>
                                <w:sz w:val="18"/>
                                <w:szCs w:val="18"/>
                              </w:rPr>
                              <w:tab/>
                              <w:t>Tel:   1800 022 333 (</w:t>
                            </w:r>
                            <w:proofErr w:type="spellStart"/>
                            <w:r w:rsidRPr="00EC7E2F">
                              <w:rPr>
                                <w:rFonts w:cs="Calibri"/>
                                <w:color w:val="auto"/>
                                <w:sz w:val="18"/>
                                <w:szCs w:val="18"/>
                              </w:rPr>
                              <w:t>Freecall</w:t>
                            </w:r>
                            <w:proofErr w:type="spellEnd"/>
                            <w:r w:rsidRPr="00EC7E2F">
                              <w:rPr>
                                <w:rFonts w:cs="Calibri"/>
                                <w:color w:val="auto"/>
                                <w:sz w:val="18"/>
                                <w:szCs w:val="18"/>
                              </w:rPr>
                              <w:t>) or +61 3 9433 2211</w:t>
                            </w:r>
                            <w:r w:rsidRPr="00EC7E2F">
                              <w:rPr>
                                <w:rFonts w:cs="Calibri"/>
                                <w:color w:val="auto"/>
                                <w:sz w:val="18"/>
                                <w:szCs w:val="18"/>
                              </w:rPr>
                              <w:br/>
                            </w:r>
                            <w:r w:rsidRPr="00EC7E2F">
                              <w:rPr>
                                <w:rFonts w:cs="Calibri"/>
                                <w:color w:val="auto"/>
                                <w:sz w:val="18"/>
                                <w:szCs w:val="18"/>
                              </w:rPr>
                              <w:br/>
                            </w:r>
                            <w:r w:rsidRPr="00EC7E2F">
                              <w:rPr>
                                <w:rFonts w:cs="Calibri"/>
                                <w:color w:val="auto"/>
                                <w:sz w:val="18"/>
                                <w:szCs w:val="18"/>
                              </w:rPr>
                              <w:tab/>
                              <w:t xml:space="preserve">Email:  </w:t>
                            </w:r>
                            <w:hyperlink r:id="rId13" w:history="1">
                              <w:r w:rsidRPr="00EC7E2F">
                                <w:rPr>
                                  <w:rStyle w:val="Hyperlink"/>
                                  <w:rFonts w:eastAsia="Times New Roman"/>
                                  <w:color w:val="auto"/>
                                  <w:sz w:val="18"/>
                                  <w:szCs w:val="18"/>
                                </w:rPr>
                                <w:t>info@arpansa.gov.au</w:t>
                              </w:r>
                            </w:hyperlink>
                            <w:r w:rsidRPr="00EC7E2F">
                              <w:rPr>
                                <w:rFonts w:cs="Calibri"/>
                                <w:color w:val="auto"/>
                                <w:sz w:val="18"/>
                                <w:szCs w:val="18"/>
                              </w:rPr>
                              <w:br/>
                            </w:r>
                            <w:r w:rsidRPr="00EC7E2F">
                              <w:rPr>
                                <w:rFonts w:cs="Calibri"/>
                                <w:color w:val="auto"/>
                                <w:sz w:val="18"/>
                                <w:szCs w:val="18"/>
                              </w:rPr>
                              <w:tab/>
                              <w:t xml:space="preserve">Website:  </w:t>
                            </w:r>
                            <w:hyperlink r:id="rId14" w:history="1">
                              <w:r w:rsidRPr="00EC7E2F">
                                <w:rPr>
                                  <w:rStyle w:val="Hyperlink"/>
                                  <w:rFonts w:eastAsia="Times New Roman"/>
                                  <w:color w:val="auto"/>
                                  <w:sz w:val="18"/>
                                  <w:szCs w:val="18"/>
                                </w:rPr>
                                <w:t>www.arpansa.gov.au</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52B0D" id="_x0000_t202" coordsize="21600,21600" o:spt="202" path="m,l,21600r21600,l21600,xe">
                <v:stroke joinstyle="miter"/>
                <v:path gradientshapeok="t" o:connecttype="rect"/>
              </v:shapetype>
              <v:shape id="Text Box 5" o:spid="_x0000_s1026" type="#_x0000_t202" style="position:absolute;margin-left:.3pt;margin-top:9.3pt;width:481.85pt;height:45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">
                <v:textbox inset="2mm,1mm,2mm,1mm">
                  <w:txbxContent>
                    <w:p w14:paraId="5920B0AD" w14:textId="2B33F0E9" w:rsidR="002A43EC" w:rsidRPr="00EC7E2F" w:rsidRDefault="002A43EC" w:rsidP="00730F7F">
                      <w:pPr>
                        <w:pStyle w:val="Text"/>
                        <w:spacing w:before="0" w:after="0" w:line="240" w:lineRule="auto"/>
                        <w:rPr>
                          <w:color w:val="auto"/>
                          <w:sz w:val="18"/>
                          <w:szCs w:val="18"/>
                        </w:rPr>
                      </w:pPr>
                      <w:r w:rsidRPr="00EC7E2F">
                        <w:rPr>
                          <w:color w:val="auto"/>
                          <w:sz w:val="18"/>
                          <w:szCs w:val="18"/>
                          <w:lang w:eastAsia="en-US"/>
                        </w:rPr>
                        <w:t>© Commonwealth of Australia 2021</w:t>
                      </w:r>
                    </w:p>
                    <w:p w14:paraId="5626B0EB" w14:textId="77777777" w:rsidR="002A43EC" w:rsidRPr="00EC7E2F" w:rsidRDefault="002A43EC" w:rsidP="00730F7F">
                      <w:pPr>
                        <w:pStyle w:val="Text"/>
                        <w:spacing w:before="0" w:after="0" w:line="240" w:lineRule="auto"/>
                        <w:rPr>
                          <w:color w:val="auto"/>
                          <w:sz w:val="18"/>
                          <w:szCs w:val="18"/>
                        </w:rPr>
                      </w:pPr>
                      <w:r w:rsidRPr="00EC7E2F">
                        <w:rPr>
                          <w:color w:val="auto"/>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255DF992" w14:textId="77777777" w:rsidR="002A43EC" w:rsidRPr="005908A8" w:rsidRDefault="002A43EC" w:rsidP="00730F7F">
                      <w:pPr>
                        <w:pStyle w:val="Text"/>
                        <w:spacing w:before="0" w:after="0" w:line="240" w:lineRule="auto"/>
                        <w:rPr>
                          <w:rStyle w:val="Hyperlink"/>
                        </w:rPr>
                      </w:pPr>
                    </w:p>
                    <w:p w14:paraId="223A3626" w14:textId="77777777" w:rsidR="002A43EC" w:rsidRPr="00EC7E2F" w:rsidRDefault="002A43EC" w:rsidP="00730F7F">
                      <w:pPr>
                        <w:pStyle w:val="Text"/>
                        <w:spacing w:before="0" w:after="0" w:line="240" w:lineRule="auto"/>
                        <w:rPr>
                          <w:color w:val="auto"/>
                          <w:sz w:val="18"/>
                          <w:szCs w:val="18"/>
                        </w:rPr>
                      </w:pPr>
                    </w:p>
                    <w:p w14:paraId="2E3C138B" w14:textId="77777777" w:rsidR="002A43EC" w:rsidRPr="00EC7E2F" w:rsidRDefault="002A43EC" w:rsidP="00730F7F">
                      <w:pPr>
                        <w:pStyle w:val="Text"/>
                        <w:spacing w:before="0" w:after="0" w:line="240" w:lineRule="auto"/>
                        <w:rPr>
                          <w:color w:val="auto"/>
                          <w:sz w:val="18"/>
                          <w:szCs w:val="18"/>
                        </w:rPr>
                      </w:pPr>
                      <w:r w:rsidRPr="00EC7E2F">
                        <w:rPr>
                          <w:noProof/>
                          <w:color w:val="auto"/>
                          <w:sz w:val="18"/>
                          <w:szCs w:val="18"/>
                          <w:lang w:val="en-AU"/>
                        </w:rPr>
                        <w:drawing>
                          <wp:inline distT="0" distB="0" distL="0" distR="0" wp14:anchorId="2CC9DE01" wp14:editId="57568C80">
                            <wp:extent cx="760095" cy="264160"/>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51C676C3" w14:textId="77777777" w:rsidR="002A43EC" w:rsidRPr="00EC7E2F" w:rsidRDefault="002A43EC" w:rsidP="00730F7F">
                      <w:pPr>
                        <w:pStyle w:val="Text"/>
                        <w:spacing w:before="0" w:after="0" w:line="240" w:lineRule="auto"/>
                        <w:rPr>
                          <w:color w:val="auto"/>
                          <w:sz w:val="18"/>
                          <w:szCs w:val="18"/>
                        </w:rPr>
                      </w:pPr>
                    </w:p>
                    <w:p w14:paraId="45C70AAE" w14:textId="77777777" w:rsidR="002A43EC" w:rsidRPr="00EC7E2F" w:rsidRDefault="002A43EC" w:rsidP="00730F7F">
                      <w:pPr>
                        <w:pStyle w:val="Text"/>
                        <w:spacing w:before="0" w:after="0" w:line="240" w:lineRule="auto"/>
                        <w:rPr>
                          <w:b/>
                          <w:color w:val="auto"/>
                          <w:sz w:val="18"/>
                          <w:szCs w:val="18"/>
                        </w:rPr>
                      </w:pPr>
                      <w:r w:rsidRPr="00EC7E2F">
                        <w:rPr>
                          <w:b/>
                          <w:color w:val="auto"/>
                          <w:sz w:val="18"/>
                          <w:szCs w:val="18"/>
                        </w:rPr>
                        <w:t>Creative Commons</w:t>
                      </w:r>
                    </w:p>
                    <w:p w14:paraId="7FF18801" w14:textId="7C117FAF" w:rsidR="002A43EC" w:rsidRPr="00EC7E2F" w:rsidRDefault="002A43EC" w:rsidP="00730F7F">
                      <w:pPr>
                        <w:pStyle w:val="Text"/>
                        <w:spacing w:before="180" w:after="0" w:line="240" w:lineRule="auto"/>
                        <w:rPr>
                          <w:color w:val="auto"/>
                          <w:sz w:val="18"/>
                          <w:szCs w:val="18"/>
                        </w:rPr>
                      </w:pPr>
                      <w:r w:rsidRPr="00EC7E2F">
                        <w:rPr>
                          <w:color w:val="auto"/>
                          <w:sz w:val="18"/>
                          <w:szCs w:val="18"/>
                        </w:rPr>
                        <w:t>With the exception of the Commonwealth Coat of Arms, any ARPANSA logos and any content that is marked as being third party material, this publication, the</w:t>
                      </w:r>
                      <w:r w:rsidRPr="00EC7E2F">
                        <w:rPr>
                          <w:i/>
                          <w:iCs/>
                          <w:color w:val="auto"/>
                          <w:sz w:val="18"/>
                          <w:szCs w:val="18"/>
                        </w:rPr>
                        <w:t xml:space="preserve"> National Directory for Radiation Protection (2nd Edition, 2021)</w:t>
                      </w:r>
                      <w:r w:rsidRPr="00EC7E2F">
                        <w:rPr>
                          <w:color w:val="auto"/>
                          <w:sz w:val="18"/>
                          <w:szCs w:val="18"/>
                        </w:rPr>
                        <w:t xml:space="preserve"> (NDRP 2nd edition, 2021) by the Australian Radiation Protection and Nuclear Safety Agency is licensed under a Creative Commons Attribution 3.0 Australia </w:t>
                      </w:r>
                      <w:proofErr w:type="spellStart"/>
                      <w:r w:rsidRPr="00EC7E2F">
                        <w:rPr>
                          <w:color w:val="auto"/>
                          <w:sz w:val="18"/>
                          <w:szCs w:val="18"/>
                        </w:rPr>
                        <w:t>licence</w:t>
                      </w:r>
                      <w:proofErr w:type="spellEnd"/>
                      <w:r w:rsidRPr="00EC7E2F">
                        <w:rPr>
                          <w:color w:val="auto"/>
                          <w:sz w:val="18"/>
                          <w:szCs w:val="18"/>
                        </w:rPr>
                        <w:t xml:space="preserve"> (to view a copy of the </w:t>
                      </w:r>
                      <w:proofErr w:type="spellStart"/>
                      <w:r w:rsidRPr="00EC7E2F">
                        <w:rPr>
                          <w:color w:val="auto"/>
                          <w:sz w:val="18"/>
                          <w:szCs w:val="18"/>
                        </w:rPr>
                        <w:t>licence</w:t>
                      </w:r>
                      <w:proofErr w:type="spellEnd"/>
                      <w:r w:rsidRPr="00EC7E2F">
                        <w:rPr>
                          <w:color w:val="auto"/>
                          <w:sz w:val="18"/>
                          <w:szCs w:val="18"/>
                        </w:rPr>
                        <w:t xml:space="preserve">, visit </w:t>
                      </w:r>
                      <w:hyperlink r:id="rId15" w:history="1">
                        <w:r w:rsidRPr="00EC7E2F">
                          <w:rPr>
                            <w:rStyle w:val="Hyperlink"/>
                            <w:i/>
                            <w:iCs/>
                            <w:color w:val="auto"/>
                            <w:spacing w:val="-4"/>
                            <w:sz w:val="18"/>
                            <w:szCs w:val="18"/>
                          </w:rPr>
                          <w:t>http://creativecommons.org/licenses/by/3.0/au</w:t>
                        </w:r>
                      </w:hyperlink>
                      <w:r w:rsidRPr="00EC7E2F">
                        <w:rPr>
                          <w:color w:val="auto"/>
                          <w:sz w:val="18"/>
                          <w:szCs w:val="18"/>
                        </w:rPr>
                        <w:t xml:space="preserve">). It is a further condition of the </w:t>
                      </w:r>
                      <w:proofErr w:type="spellStart"/>
                      <w:r w:rsidRPr="00EC7E2F">
                        <w:rPr>
                          <w:color w:val="auto"/>
                          <w:sz w:val="18"/>
                          <w:szCs w:val="18"/>
                        </w:rPr>
                        <w:t>licence</w:t>
                      </w:r>
                      <w:proofErr w:type="spellEnd"/>
                      <w:r w:rsidRPr="00EC7E2F">
                        <w:rPr>
                          <w:color w:val="auto"/>
                          <w:sz w:val="18"/>
                          <w:szCs w:val="18"/>
                        </w:rPr>
                        <w:t xml:space="preserve"> that any numerical data referred to in this publication may not be changed. To the extent that copyright subsists in a third party, permission will be required from the third party to reuse the material.</w:t>
                      </w:r>
                    </w:p>
                    <w:p w14:paraId="6FFB838C" w14:textId="77777777" w:rsidR="002A43EC" w:rsidRPr="00EC7E2F" w:rsidRDefault="002A43EC" w:rsidP="00730F7F">
                      <w:pPr>
                        <w:pStyle w:val="Text"/>
                        <w:spacing w:before="180" w:after="0" w:line="240" w:lineRule="auto"/>
                        <w:rPr>
                          <w:color w:val="auto"/>
                          <w:sz w:val="18"/>
                          <w:szCs w:val="18"/>
                        </w:rPr>
                      </w:pPr>
                      <w:r w:rsidRPr="00EC7E2F">
                        <w:rPr>
                          <w:color w:val="auto"/>
                          <w:sz w:val="18"/>
                          <w:szCs w:val="18"/>
                        </w:rPr>
                        <w:t xml:space="preserve">In essence, you are free to copy, communicate and adapt the material as long as you attribute the work to ARPANSA and abide by the other </w:t>
                      </w:r>
                      <w:proofErr w:type="spellStart"/>
                      <w:r w:rsidRPr="00EC7E2F">
                        <w:rPr>
                          <w:color w:val="auto"/>
                          <w:sz w:val="18"/>
                          <w:szCs w:val="18"/>
                        </w:rPr>
                        <w:t>licence</w:t>
                      </w:r>
                      <w:proofErr w:type="spellEnd"/>
                      <w:r w:rsidRPr="00EC7E2F">
                        <w:rPr>
                          <w:color w:val="auto"/>
                          <w:sz w:val="18"/>
                          <w:szCs w:val="18"/>
                        </w:rPr>
                        <w:t xml:space="preserve"> terms. The works are to be attributed to the Commonwealth as </w:t>
                      </w:r>
                      <w:proofErr w:type="gramStart"/>
                      <w:r w:rsidRPr="00EC7E2F">
                        <w:rPr>
                          <w:color w:val="auto"/>
                          <w:sz w:val="18"/>
                          <w:szCs w:val="18"/>
                        </w:rPr>
                        <w:t>follows:-</w:t>
                      </w:r>
                      <w:proofErr w:type="gramEnd"/>
                      <w:r w:rsidRPr="00EC7E2F">
                        <w:rPr>
                          <w:color w:val="auto"/>
                          <w:sz w:val="18"/>
                          <w:szCs w:val="18"/>
                        </w:rPr>
                        <w:t xml:space="preserve"> </w:t>
                      </w:r>
                    </w:p>
                    <w:p w14:paraId="1EF2955C" w14:textId="16B4B78F" w:rsidR="002A43EC" w:rsidRPr="00EC7E2F" w:rsidRDefault="002A43EC" w:rsidP="00730F7F">
                      <w:pPr>
                        <w:pStyle w:val="TechRep"/>
                        <w:spacing w:before="120" w:after="0" w:line="240" w:lineRule="auto"/>
                        <w:ind w:left="284" w:right="357"/>
                        <w:rPr>
                          <w:color w:val="auto"/>
                          <w:sz w:val="18"/>
                          <w:szCs w:val="18"/>
                        </w:rPr>
                      </w:pPr>
                      <w:r w:rsidRPr="00EC7E2F">
                        <w:rPr>
                          <w:color w:val="auto"/>
                          <w:sz w:val="18"/>
                          <w:szCs w:val="18"/>
                        </w:rPr>
                        <w:t>“© Commonwealth of Australia 2021 as represented by the Australian Radiation Protection and Nuclear Safety Agency (ARPANSA)”</w:t>
                      </w:r>
                    </w:p>
                    <w:p w14:paraId="5B58BBDE" w14:textId="10414595" w:rsidR="002A43EC" w:rsidRPr="00EC7E2F" w:rsidRDefault="002A43EC" w:rsidP="00730F7F">
                      <w:pPr>
                        <w:pStyle w:val="Text"/>
                        <w:spacing w:before="180" w:after="0" w:line="240" w:lineRule="auto"/>
                        <w:rPr>
                          <w:color w:val="auto"/>
                          <w:sz w:val="18"/>
                          <w:szCs w:val="18"/>
                        </w:rPr>
                      </w:pPr>
                      <w:r w:rsidRPr="00EC7E2F">
                        <w:rPr>
                          <w:color w:val="auto"/>
                          <w:sz w:val="18"/>
                          <w:szCs w:val="18"/>
                        </w:rPr>
                        <w:t xml:space="preserve">The publication should be attributed as: </w:t>
                      </w:r>
                      <w:proofErr w:type="gramStart"/>
                      <w:r w:rsidRPr="00EC7E2F">
                        <w:rPr>
                          <w:color w:val="auto"/>
                          <w:sz w:val="18"/>
                          <w:szCs w:val="18"/>
                        </w:rPr>
                        <w:t>the</w:t>
                      </w:r>
                      <w:proofErr w:type="gramEnd"/>
                      <w:r w:rsidRPr="00EC7E2F">
                        <w:rPr>
                          <w:color w:val="auto"/>
                          <w:sz w:val="18"/>
                          <w:szCs w:val="18"/>
                        </w:rPr>
                        <w:t xml:space="preserve"> National Directory for Radiation Protection (2nd Edition, 2021) (NDRP 2nd edition, 2021).</w:t>
                      </w:r>
                    </w:p>
                    <w:p w14:paraId="762C1E7E" w14:textId="77777777" w:rsidR="002A43EC" w:rsidRPr="00EC7E2F" w:rsidRDefault="002A43EC" w:rsidP="00730F7F">
                      <w:pPr>
                        <w:pStyle w:val="TechRep"/>
                        <w:spacing w:before="0" w:after="0" w:line="240" w:lineRule="auto"/>
                        <w:rPr>
                          <w:color w:val="auto"/>
                          <w:sz w:val="18"/>
                          <w:szCs w:val="18"/>
                        </w:rPr>
                      </w:pPr>
                    </w:p>
                    <w:p w14:paraId="159AC8BA" w14:textId="77777777" w:rsidR="002A43EC" w:rsidRPr="00EC7E2F" w:rsidRDefault="002A43EC" w:rsidP="00730F7F">
                      <w:pPr>
                        <w:pStyle w:val="TechRep"/>
                        <w:spacing w:before="0" w:after="0" w:line="240" w:lineRule="auto"/>
                        <w:contextualSpacing/>
                        <w:rPr>
                          <w:b/>
                          <w:color w:val="auto"/>
                          <w:sz w:val="18"/>
                          <w:szCs w:val="18"/>
                        </w:rPr>
                      </w:pPr>
                      <w:r w:rsidRPr="00EC7E2F">
                        <w:rPr>
                          <w:b/>
                          <w:color w:val="auto"/>
                          <w:sz w:val="18"/>
                          <w:szCs w:val="18"/>
                        </w:rPr>
                        <w:t>Use of the Coat of Arms</w:t>
                      </w:r>
                    </w:p>
                    <w:p w14:paraId="6E135245" w14:textId="77777777" w:rsidR="002A43EC" w:rsidRPr="00EC7E2F" w:rsidRDefault="002A43EC" w:rsidP="00730F7F">
                      <w:pPr>
                        <w:pStyle w:val="Text"/>
                        <w:spacing w:before="180" w:after="0" w:line="240" w:lineRule="auto"/>
                        <w:rPr>
                          <w:color w:val="auto"/>
                          <w:sz w:val="18"/>
                          <w:szCs w:val="18"/>
                        </w:rPr>
                      </w:pPr>
                      <w:r w:rsidRPr="00EC7E2F">
                        <w:rPr>
                          <w:color w:val="auto"/>
                          <w:sz w:val="18"/>
                          <w:szCs w:val="18"/>
                        </w:rPr>
                        <w:t>The terms under which the Coat of Arms can be used are detailed on the Department of the Prime Minister and Cabinet website (</w:t>
                      </w:r>
                      <w:hyperlink r:id="rId16" w:history="1">
                        <w:r w:rsidRPr="00EC7E2F">
                          <w:rPr>
                            <w:rStyle w:val="Hyperlink"/>
                            <w:color w:val="auto"/>
                            <w:sz w:val="18"/>
                          </w:rPr>
                          <w:t>www.dpmc.gov.au/government/commonwealth-coat-arms</w:t>
                        </w:r>
                      </w:hyperlink>
                      <w:r w:rsidRPr="00EC7E2F">
                        <w:rPr>
                          <w:color w:val="auto"/>
                          <w:sz w:val="18"/>
                          <w:szCs w:val="18"/>
                        </w:rPr>
                        <w:t>).</w:t>
                      </w:r>
                    </w:p>
                    <w:p w14:paraId="764824F0" w14:textId="77777777" w:rsidR="002A43EC" w:rsidRPr="00EC7E2F" w:rsidRDefault="002A43EC" w:rsidP="00730F7F">
                      <w:pPr>
                        <w:pStyle w:val="Text"/>
                        <w:spacing w:before="180" w:after="0" w:line="240" w:lineRule="auto"/>
                        <w:rPr>
                          <w:color w:val="auto"/>
                          <w:sz w:val="18"/>
                          <w:szCs w:val="18"/>
                        </w:rPr>
                      </w:pPr>
                      <w:r w:rsidRPr="00EC7E2F">
                        <w:rPr>
                          <w:color w:val="auto"/>
                          <w:sz w:val="18"/>
                          <w:szCs w:val="18"/>
                        </w:rPr>
                        <w:t xml:space="preserve">Enquiries regarding the </w:t>
                      </w:r>
                      <w:proofErr w:type="spellStart"/>
                      <w:r w:rsidRPr="00EC7E2F">
                        <w:rPr>
                          <w:color w:val="auto"/>
                          <w:sz w:val="18"/>
                          <w:szCs w:val="18"/>
                        </w:rPr>
                        <w:t>licence</w:t>
                      </w:r>
                      <w:proofErr w:type="spellEnd"/>
                      <w:r w:rsidRPr="00EC7E2F">
                        <w:rPr>
                          <w:color w:val="auto"/>
                          <w:sz w:val="18"/>
                          <w:szCs w:val="18"/>
                        </w:rPr>
                        <w:t xml:space="preserve"> and any use of this report are welcome.</w:t>
                      </w:r>
                    </w:p>
                    <w:p w14:paraId="48BDFF67" w14:textId="77777777" w:rsidR="002A43EC" w:rsidRPr="00EC7E2F" w:rsidRDefault="002A43EC" w:rsidP="00730F7F">
                      <w:pPr>
                        <w:pStyle w:val="TechRep"/>
                        <w:spacing w:before="180" w:after="0" w:line="240" w:lineRule="auto"/>
                        <w:jc w:val="left"/>
                        <w:rPr>
                          <w:color w:val="auto"/>
                          <w:sz w:val="18"/>
                          <w:szCs w:val="18"/>
                        </w:rPr>
                      </w:pPr>
                      <w:r w:rsidRPr="00EC7E2F">
                        <w:rPr>
                          <w:color w:val="auto"/>
                          <w:sz w:val="18"/>
                          <w:szCs w:val="18"/>
                        </w:rPr>
                        <w:tab/>
                        <w:t>ARPANSA</w:t>
                      </w:r>
                      <w:r w:rsidRPr="00EC7E2F">
                        <w:rPr>
                          <w:color w:val="auto"/>
                          <w:sz w:val="18"/>
                          <w:szCs w:val="18"/>
                        </w:rPr>
                        <w:br/>
                      </w:r>
                      <w:r w:rsidRPr="00EC7E2F">
                        <w:rPr>
                          <w:color w:val="auto"/>
                          <w:sz w:val="18"/>
                          <w:szCs w:val="18"/>
                        </w:rPr>
                        <w:tab/>
                        <w:t>619 Lower Plenty Road</w:t>
                      </w:r>
                      <w:r w:rsidRPr="00EC7E2F">
                        <w:rPr>
                          <w:color w:val="auto"/>
                          <w:sz w:val="18"/>
                          <w:szCs w:val="18"/>
                        </w:rPr>
                        <w:br/>
                      </w:r>
                      <w:r w:rsidRPr="00EC7E2F">
                        <w:rPr>
                          <w:color w:val="auto"/>
                          <w:sz w:val="18"/>
                          <w:szCs w:val="18"/>
                        </w:rPr>
                        <w:tab/>
                        <w:t>YALLAMBIE   VIC   3085</w:t>
                      </w:r>
                    </w:p>
                    <w:p w14:paraId="3BFBE1C5" w14:textId="77777777" w:rsidR="002A43EC" w:rsidRPr="00EC7E2F" w:rsidRDefault="002A43EC" w:rsidP="00730F7F">
                      <w:pPr>
                        <w:pStyle w:val="TechRep"/>
                        <w:spacing w:before="0" w:after="0" w:line="240" w:lineRule="auto"/>
                        <w:jc w:val="left"/>
                        <w:rPr>
                          <w:rFonts w:cs="Calibri"/>
                          <w:color w:val="auto"/>
                          <w:sz w:val="18"/>
                          <w:szCs w:val="18"/>
                        </w:rPr>
                      </w:pPr>
                      <w:r w:rsidRPr="00EC7E2F">
                        <w:rPr>
                          <w:rFonts w:cs="Calibri"/>
                          <w:color w:val="auto"/>
                          <w:sz w:val="18"/>
                          <w:szCs w:val="18"/>
                        </w:rPr>
                        <w:tab/>
                        <w:t>Tel:   1800 022 333 (</w:t>
                      </w:r>
                      <w:proofErr w:type="spellStart"/>
                      <w:r w:rsidRPr="00EC7E2F">
                        <w:rPr>
                          <w:rFonts w:cs="Calibri"/>
                          <w:color w:val="auto"/>
                          <w:sz w:val="18"/>
                          <w:szCs w:val="18"/>
                        </w:rPr>
                        <w:t>Freecall</w:t>
                      </w:r>
                      <w:proofErr w:type="spellEnd"/>
                      <w:r w:rsidRPr="00EC7E2F">
                        <w:rPr>
                          <w:rFonts w:cs="Calibri"/>
                          <w:color w:val="auto"/>
                          <w:sz w:val="18"/>
                          <w:szCs w:val="18"/>
                        </w:rPr>
                        <w:t>) or +61 3 9433 2211</w:t>
                      </w:r>
                      <w:r w:rsidRPr="00EC7E2F">
                        <w:rPr>
                          <w:rFonts w:cs="Calibri"/>
                          <w:color w:val="auto"/>
                          <w:sz w:val="18"/>
                          <w:szCs w:val="18"/>
                        </w:rPr>
                        <w:br/>
                      </w:r>
                      <w:r w:rsidRPr="00EC7E2F">
                        <w:rPr>
                          <w:rFonts w:cs="Calibri"/>
                          <w:color w:val="auto"/>
                          <w:sz w:val="18"/>
                          <w:szCs w:val="18"/>
                        </w:rPr>
                        <w:br/>
                      </w:r>
                      <w:r w:rsidRPr="00EC7E2F">
                        <w:rPr>
                          <w:rFonts w:cs="Calibri"/>
                          <w:color w:val="auto"/>
                          <w:sz w:val="18"/>
                          <w:szCs w:val="18"/>
                        </w:rPr>
                        <w:tab/>
                        <w:t xml:space="preserve">Email:  </w:t>
                      </w:r>
                      <w:hyperlink r:id="rId17" w:history="1">
                        <w:r w:rsidRPr="00EC7E2F">
                          <w:rPr>
                            <w:rStyle w:val="Hyperlink"/>
                            <w:rFonts w:eastAsia="Times New Roman"/>
                            <w:color w:val="auto"/>
                            <w:sz w:val="18"/>
                            <w:szCs w:val="18"/>
                          </w:rPr>
                          <w:t>info@arpansa.gov.au</w:t>
                        </w:r>
                      </w:hyperlink>
                      <w:r w:rsidRPr="00EC7E2F">
                        <w:rPr>
                          <w:rFonts w:cs="Calibri"/>
                          <w:color w:val="auto"/>
                          <w:sz w:val="18"/>
                          <w:szCs w:val="18"/>
                        </w:rPr>
                        <w:br/>
                      </w:r>
                      <w:r w:rsidRPr="00EC7E2F">
                        <w:rPr>
                          <w:rFonts w:cs="Calibri"/>
                          <w:color w:val="auto"/>
                          <w:sz w:val="18"/>
                          <w:szCs w:val="18"/>
                        </w:rPr>
                        <w:tab/>
                        <w:t xml:space="preserve">Website:  </w:t>
                      </w:r>
                      <w:hyperlink r:id="rId18" w:history="1">
                        <w:r w:rsidRPr="00EC7E2F">
                          <w:rPr>
                            <w:rStyle w:val="Hyperlink"/>
                            <w:rFonts w:eastAsia="Times New Roman"/>
                            <w:color w:val="auto"/>
                            <w:sz w:val="18"/>
                            <w:szCs w:val="18"/>
                          </w:rPr>
                          <w:t>www.arpansa.gov.au</w:t>
                        </w:r>
                      </w:hyperlink>
                    </w:p>
                  </w:txbxContent>
                </v:textbox>
                <w10:wrap type="topAndBottom" anchorx="margin"/>
              </v:shape>
            </w:pict>
          </mc:Fallback>
        </mc:AlternateContent>
      </w:r>
      <w:r w:rsidR="00730F7F" w:rsidRPr="00EC7E2F">
        <w:rPr>
          <w:rFonts w:eastAsia="Calibri"/>
          <w:color w:val="auto"/>
        </w:rPr>
        <w:t xml:space="preserve">Published by the Chief Executive Officer of ARPANSA in </w:t>
      </w:r>
      <w:r w:rsidR="00E17CB6">
        <w:rPr>
          <w:rFonts w:eastAsia="Calibri"/>
          <w:color w:val="auto"/>
        </w:rPr>
        <w:t>October</w:t>
      </w:r>
      <w:r w:rsidR="00D84EBC" w:rsidRPr="00EC7E2F">
        <w:rPr>
          <w:rFonts w:eastAsia="Calibri"/>
          <w:color w:val="auto"/>
        </w:rPr>
        <w:t xml:space="preserve"> </w:t>
      </w:r>
      <w:r w:rsidR="00730F7F" w:rsidRPr="00EC7E2F">
        <w:rPr>
          <w:rFonts w:eastAsia="Calibri"/>
          <w:color w:val="auto"/>
        </w:rPr>
        <w:t>2021.</w:t>
      </w:r>
    </w:p>
    <w:p w14:paraId="3E53A511" w14:textId="35C7533E" w:rsidR="00730F7F" w:rsidRPr="00EC7E2F" w:rsidRDefault="00886E35" w:rsidP="00730F7F">
      <w:pPr>
        <w:rPr>
          <w:rFonts w:eastAsia="Calibri"/>
          <w:color w:val="auto"/>
        </w:rPr>
      </w:pPr>
      <w:r w:rsidRPr="00886E35">
        <w:rPr>
          <w:rFonts w:eastAsia="Calibri"/>
          <w:color w:val="auto"/>
        </w:rPr>
        <w:t xml:space="preserve">This document has been developed by the Commonwealth, states and territories of Australia, and the Australian Health Protection Principal Committee is responsible for updating </w:t>
      </w:r>
      <w:r w:rsidR="002A43EC">
        <w:rPr>
          <w:rFonts w:eastAsia="Calibri"/>
          <w:color w:val="auto"/>
        </w:rPr>
        <w:t xml:space="preserve">it </w:t>
      </w:r>
      <w:r w:rsidRPr="00886E35">
        <w:rPr>
          <w:rFonts w:eastAsia="Calibri"/>
          <w:color w:val="auto"/>
        </w:rPr>
        <w:t>from time to time</w:t>
      </w:r>
      <w:r>
        <w:rPr>
          <w:rFonts w:eastAsia="Calibri"/>
          <w:color w:val="auto"/>
        </w:rPr>
        <w:t>.</w:t>
      </w:r>
    </w:p>
    <w:p w14:paraId="29F05B96" w14:textId="77777777" w:rsidR="00730F7F" w:rsidRPr="00EC7E2F" w:rsidRDefault="00730F7F" w:rsidP="00730F7F">
      <w:pPr>
        <w:pStyle w:val="GlossaryTerm"/>
      </w:pPr>
      <w:r w:rsidRPr="00EC7E2F">
        <w:t>Acknowledgement of Country</w:t>
      </w:r>
    </w:p>
    <w:p w14:paraId="04F65E3D" w14:textId="328ED99B" w:rsidR="00730F7F" w:rsidRPr="00EC7E2F" w:rsidRDefault="00730F7F" w:rsidP="00730F7F">
      <w:pPr>
        <w:autoSpaceDE w:val="0"/>
        <w:autoSpaceDN w:val="0"/>
        <w:rPr>
          <w:rFonts w:cstheme="minorHAnsi"/>
          <w:color w:val="auto"/>
          <w:sz w:val="20"/>
        </w:rPr>
      </w:pPr>
      <w:r w:rsidRPr="00EC7E2F">
        <w:rPr>
          <w:rFonts w:cstheme="minorHAnsi"/>
          <w:color w:val="auto"/>
          <w:sz w:val="20"/>
        </w:rPr>
        <w:t>ARPANSA proudly acknowledges Australia's Aboriginal and Torres Strait Islander communit</w:t>
      </w:r>
      <w:r w:rsidR="00392053" w:rsidRPr="00EC7E2F">
        <w:rPr>
          <w:rFonts w:cstheme="minorHAnsi"/>
          <w:color w:val="auto"/>
          <w:sz w:val="20"/>
        </w:rPr>
        <w:t>ies</w:t>
      </w:r>
      <w:r w:rsidRPr="00EC7E2F">
        <w:rPr>
          <w:rFonts w:cstheme="minorHAnsi"/>
          <w:color w:val="auto"/>
          <w:sz w:val="20"/>
        </w:rPr>
        <w:t xml:space="preserve"> and their rich culture and pays respect to their Elders past and present. We acknowledge Aboriginal and Torres Strait Islander people</w:t>
      </w:r>
      <w:r w:rsidR="00392053" w:rsidRPr="00EC7E2F">
        <w:rPr>
          <w:rFonts w:cstheme="minorHAnsi"/>
          <w:color w:val="auto"/>
          <w:sz w:val="20"/>
        </w:rPr>
        <w:t>s</w:t>
      </w:r>
      <w:r w:rsidRPr="00EC7E2F">
        <w:rPr>
          <w:rFonts w:cstheme="minorHAnsi"/>
          <w:color w:val="auto"/>
          <w:sz w:val="20"/>
        </w:rPr>
        <w:t xml:space="preserve"> as Australia’s first peoples and as the Traditional Owners and custodians of the land and water on which we rely.</w:t>
      </w:r>
    </w:p>
    <w:p w14:paraId="7A8A0E57" w14:textId="63FF161F" w:rsidR="00730F7F" w:rsidRPr="00EC7E2F" w:rsidRDefault="00730F7F" w:rsidP="00730F7F">
      <w:pPr>
        <w:autoSpaceDE w:val="0"/>
        <w:autoSpaceDN w:val="0"/>
        <w:rPr>
          <w:color w:val="auto"/>
          <w:sz w:val="20"/>
        </w:rPr>
      </w:pPr>
      <w:r w:rsidRPr="00EC7E2F">
        <w:rPr>
          <w:color w:val="auto"/>
          <w:sz w:val="20"/>
        </w:rPr>
        <w:t>We recognise and value the ongoing contribution of Aboriginal and Torres Strait Islander people</w:t>
      </w:r>
      <w:r w:rsidR="00392053" w:rsidRPr="00EC7E2F">
        <w:rPr>
          <w:color w:val="auto"/>
          <w:sz w:val="20"/>
        </w:rPr>
        <w:t>s</w:t>
      </w:r>
      <w:r w:rsidRPr="00EC7E2F">
        <w:rPr>
          <w:color w:val="auto"/>
          <w:sz w:val="20"/>
        </w:rPr>
        <w:t xml:space="preserve"> and communities to Australian life and how this enriches us. We embrace the spirit of reconciliation, working towards the equality of outcomes and ensuring an equal voice.</w:t>
      </w:r>
    </w:p>
    <w:p w14:paraId="1284A276" w14:textId="77777777" w:rsidR="00730F7F" w:rsidRPr="00EC7E2F" w:rsidRDefault="00730F7F">
      <w:pPr>
        <w:spacing w:before="0" w:after="200" w:line="276" w:lineRule="auto"/>
        <w:rPr>
          <w:color w:val="auto"/>
        </w:rPr>
      </w:pPr>
      <w:r w:rsidRPr="00EC7E2F">
        <w:rPr>
          <w:color w:val="auto"/>
        </w:rPr>
        <w:br w:type="page"/>
      </w:r>
    </w:p>
    <w:sdt>
      <w:sdtPr>
        <w:rPr>
          <w:rFonts w:asciiTheme="minorHAnsi" w:eastAsia="Times New Roman" w:hAnsiTheme="minorHAnsi" w:cs="Times New Roman"/>
          <w:color w:val="auto"/>
          <w:sz w:val="22"/>
          <w:szCs w:val="22"/>
          <w:lang w:val="en-AU" w:eastAsia="en-AU"/>
        </w:rPr>
        <w:id w:val="838502122"/>
        <w:docPartObj>
          <w:docPartGallery w:val="Table of Contents"/>
          <w:docPartUnique/>
        </w:docPartObj>
      </w:sdtPr>
      <w:sdtEndPr>
        <w:rPr>
          <w:b/>
          <w:bCs/>
          <w:noProof/>
        </w:rPr>
      </w:sdtEndPr>
      <w:sdtContent>
        <w:p w14:paraId="2739208D" w14:textId="399B3673" w:rsidR="00591181" w:rsidRPr="00EC7E2F" w:rsidRDefault="00591181">
          <w:pPr>
            <w:pStyle w:val="TOCHeading"/>
            <w:rPr>
              <w:rFonts w:asciiTheme="minorHAnsi" w:hAnsiTheme="minorHAnsi" w:cstheme="minorHAnsi"/>
              <w:b/>
              <w:color w:val="auto"/>
            </w:rPr>
          </w:pPr>
          <w:r w:rsidRPr="00EC7E2F">
            <w:rPr>
              <w:rFonts w:asciiTheme="minorHAnsi" w:hAnsiTheme="minorHAnsi" w:cstheme="minorHAnsi"/>
              <w:b/>
              <w:color w:val="auto"/>
            </w:rPr>
            <w:t>Contents</w:t>
          </w:r>
        </w:p>
        <w:p w14:paraId="50F61C6F" w14:textId="5E5A2056" w:rsidR="00591181" w:rsidRPr="00EC7E2F" w:rsidRDefault="00591181">
          <w:pPr>
            <w:pStyle w:val="TOC1"/>
            <w:rPr>
              <w:rFonts w:eastAsiaTheme="minorEastAsia" w:cstheme="minorBidi"/>
              <w:b w:val="0"/>
              <w:bCs w:val="0"/>
              <w:i w:val="0"/>
              <w:iCs w:val="0"/>
              <w:color w:val="auto"/>
              <w:sz w:val="22"/>
              <w:szCs w:val="22"/>
            </w:rPr>
          </w:pPr>
          <w:r w:rsidRPr="00EC7E2F">
            <w:rPr>
              <w:b w:val="0"/>
              <w:bCs w:val="0"/>
              <w:i w:val="0"/>
              <w:iCs w:val="0"/>
              <w:color w:val="auto"/>
            </w:rPr>
            <w:fldChar w:fldCharType="begin"/>
          </w:r>
          <w:r w:rsidRPr="00EC7E2F">
            <w:rPr>
              <w:b w:val="0"/>
              <w:bCs w:val="0"/>
              <w:i w:val="0"/>
              <w:iCs w:val="0"/>
              <w:color w:val="auto"/>
            </w:rPr>
            <w:instrText xml:space="preserve"> TOC \o "1-3" \h \z \u </w:instrText>
          </w:r>
          <w:r w:rsidRPr="00EC7E2F">
            <w:rPr>
              <w:b w:val="0"/>
              <w:bCs w:val="0"/>
              <w:i w:val="0"/>
              <w:iCs w:val="0"/>
              <w:color w:val="auto"/>
            </w:rPr>
            <w:fldChar w:fldCharType="separate"/>
          </w:r>
          <w:hyperlink w:anchor="_Toc65241163" w:history="1">
            <w:r w:rsidRPr="00EC7E2F">
              <w:rPr>
                <w:rStyle w:val="Hyperlink"/>
                <w:color w:val="auto"/>
              </w:rPr>
              <w:t>Introduction</w:t>
            </w:r>
            <w:r w:rsidRPr="00EC7E2F">
              <w:rPr>
                <w:webHidden/>
                <w:color w:val="auto"/>
              </w:rPr>
              <w:tab/>
            </w:r>
            <w:r w:rsidRPr="00EC7E2F">
              <w:rPr>
                <w:webHidden/>
                <w:color w:val="auto"/>
              </w:rPr>
              <w:fldChar w:fldCharType="begin"/>
            </w:r>
            <w:r w:rsidRPr="00EC7E2F">
              <w:rPr>
                <w:webHidden/>
                <w:color w:val="auto"/>
              </w:rPr>
              <w:instrText xml:space="preserve"> PAGEREF _Toc65241163 \h </w:instrText>
            </w:r>
            <w:r w:rsidRPr="00EC7E2F">
              <w:rPr>
                <w:webHidden/>
                <w:color w:val="auto"/>
              </w:rPr>
            </w:r>
            <w:r w:rsidRPr="00EC7E2F">
              <w:rPr>
                <w:webHidden/>
                <w:color w:val="auto"/>
              </w:rPr>
              <w:fldChar w:fldCharType="separate"/>
            </w:r>
            <w:r w:rsidR="00DC4D5C">
              <w:rPr>
                <w:webHidden/>
                <w:color w:val="auto"/>
              </w:rPr>
              <w:t>1</w:t>
            </w:r>
            <w:r w:rsidRPr="00EC7E2F">
              <w:rPr>
                <w:webHidden/>
                <w:color w:val="auto"/>
              </w:rPr>
              <w:fldChar w:fldCharType="end"/>
            </w:r>
          </w:hyperlink>
        </w:p>
        <w:p w14:paraId="0CADB61A" w14:textId="02DD5FDE" w:rsidR="00591181" w:rsidRPr="00EC7E2F" w:rsidRDefault="00CF3D75">
          <w:pPr>
            <w:pStyle w:val="TOC2"/>
            <w:rPr>
              <w:rFonts w:eastAsiaTheme="minorEastAsia" w:cstheme="minorBidi"/>
              <w:b w:val="0"/>
              <w:bCs w:val="0"/>
              <w:noProof/>
              <w:color w:val="auto"/>
            </w:rPr>
          </w:pPr>
          <w:hyperlink w:anchor="_Toc65241164" w:history="1">
            <w:r w:rsidR="00591181" w:rsidRPr="00EC7E2F">
              <w:rPr>
                <w:rStyle w:val="Hyperlink"/>
                <w:noProof/>
                <w:color w:val="auto"/>
              </w:rPr>
              <w:t>Citation</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_Toc65241164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1</w:t>
            </w:r>
            <w:r w:rsidR="00591181" w:rsidRPr="00EC7E2F">
              <w:rPr>
                <w:noProof/>
                <w:webHidden/>
                <w:color w:val="auto"/>
              </w:rPr>
              <w:fldChar w:fldCharType="end"/>
            </w:r>
          </w:hyperlink>
        </w:p>
        <w:p w14:paraId="7F2FCCDF" w14:textId="51E70173" w:rsidR="00591181" w:rsidRPr="00EC7E2F" w:rsidRDefault="00CF3D75">
          <w:pPr>
            <w:pStyle w:val="TOC2"/>
            <w:rPr>
              <w:rFonts w:eastAsiaTheme="minorEastAsia" w:cstheme="minorBidi"/>
              <w:b w:val="0"/>
              <w:bCs w:val="0"/>
              <w:noProof/>
              <w:color w:val="auto"/>
            </w:rPr>
          </w:pPr>
          <w:hyperlink w:anchor="_Toc65241165" w:history="1">
            <w:r w:rsidR="00591181" w:rsidRPr="00EC7E2F">
              <w:rPr>
                <w:rStyle w:val="Hyperlink"/>
                <w:noProof/>
                <w:color w:val="auto"/>
              </w:rPr>
              <w:t>Background</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_Toc65241165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1</w:t>
            </w:r>
            <w:r w:rsidR="00591181" w:rsidRPr="00EC7E2F">
              <w:rPr>
                <w:noProof/>
                <w:webHidden/>
                <w:color w:val="auto"/>
              </w:rPr>
              <w:fldChar w:fldCharType="end"/>
            </w:r>
          </w:hyperlink>
        </w:p>
        <w:p w14:paraId="67D38783" w14:textId="7051F58B" w:rsidR="00591181" w:rsidRPr="00EC7E2F" w:rsidRDefault="00CF3D75">
          <w:pPr>
            <w:pStyle w:val="TOC2"/>
            <w:rPr>
              <w:rFonts w:eastAsiaTheme="minorEastAsia" w:cstheme="minorBidi"/>
              <w:b w:val="0"/>
              <w:bCs w:val="0"/>
              <w:noProof/>
              <w:color w:val="auto"/>
            </w:rPr>
          </w:pPr>
          <w:hyperlink w:anchor="_Toc65241166" w:history="1">
            <w:r w:rsidR="00591181" w:rsidRPr="00EC7E2F">
              <w:rPr>
                <w:rStyle w:val="Hyperlink"/>
                <w:noProof/>
                <w:color w:val="auto"/>
              </w:rPr>
              <w:t>Vision and purpose</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_Toc65241166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1</w:t>
            </w:r>
            <w:r w:rsidR="00591181" w:rsidRPr="00EC7E2F">
              <w:rPr>
                <w:noProof/>
                <w:webHidden/>
                <w:color w:val="auto"/>
              </w:rPr>
              <w:fldChar w:fldCharType="end"/>
            </w:r>
          </w:hyperlink>
        </w:p>
        <w:p w14:paraId="39029A36" w14:textId="0C5F8747" w:rsidR="00591181" w:rsidRPr="00EC7E2F" w:rsidRDefault="00CF3D75">
          <w:pPr>
            <w:pStyle w:val="TOC2"/>
            <w:rPr>
              <w:rFonts w:eastAsiaTheme="minorEastAsia" w:cstheme="minorBidi"/>
              <w:b w:val="0"/>
              <w:bCs w:val="0"/>
              <w:noProof/>
              <w:color w:val="auto"/>
            </w:rPr>
          </w:pPr>
          <w:hyperlink w:anchor="_Toc65241167" w:history="1">
            <w:r w:rsidR="00591181" w:rsidRPr="00EC7E2F">
              <w:rPr>
                <w:rStyle w:val="Hyperlink"/>
                <w:noProof/>
                <w:color w:val="auto"/>
              </w:rPr>
              <w:t>Scope</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_Toc65241167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1</w:t>
            </w:r>
            <w:r w:rsidR="00591181" w:rsidRPr="00EC7E2F">
              <w:rPr>
                <w:noProof/>
                <w:webHidden/>
                <w:color w:val="auto"/>
              </w:rPr>
              <w:fldChar w:fldCharType="end"/>
            </w:r>
          </w:hyperlink>
        </w:p>
        <w:p w14:paraId="33E2D97E" w14:textId="7A658ECB" w:rsidR="00591181" w:rsidRPr="00EC7E2F" w:rsidRDefault="00CF3D75">
          <w:pPr>
            <w:pStyle w:val="TOC2"/>
            <w:rPr>
              <w:rFonts w:eastAsiaTheme="minorEastAsia" w:cstheme="minorBidi"/>
              <w:b w:val="0"/>
              <w:bCs w:val="0"/>
              <w:noProof/>
              <w:color w:val="auto"/>
            </w:rPr>
          </w:pPr>
          <w:hyperlink w:anchor="_Toc65241168" w:history="1">
            <w:r w:rsidR="00591181" w:rsidRPr="00EC7E2F">
              <w:rPr>
                <w:rStyle w:val="Hyperlink"/>
                <w:noProof/>
                <w:color w:val="auto"/>
              </w:rPr>
              <w:t>Interpretation</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_Toc65241168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2</w:t>
            </w:r>
            <w:r w:rsidR="00591181" w:rsidRPr="00EC7E2F">
              <w:rPr>
                <w:noProof/>
                <w:webHidden/>
                <w:color w:val="auto"/>
              </w:rPr>
              <w:fldChar w:fldCharType="end"/>
            </w:r>
          </w:hyperlink>
        </w:p>
        <w:p w14:paraId="20BE8261" w14:textId="4203B25E" w:rsidR="00591181" w:rsidRPr="00EC7E2F" w:rsidRDefault="00CF3D75">
          <w:pPr>
            <w:pStyle w:val="TOC2"/>
            <w:rPr>
              <w:rFonts w:eastAsiaTheme="minorEastAsia" w:cstheme="minorBidi"/>
              <w:b w:val="0"/>
              <w:bCs w:val="0"/>
              <w:noProof/>
              <w:color w:val="auto"/>
            </w:rPr>
          </w:pPr>
          <w:hyperlink w:anchor="_Toc65241169" w:history="1">
            <w:r w:rsidR="00591181" w:rsidRPr="00EC7E2F">
              <w:rPr>
                <w:rStyle w:val="Hyperlink"/>
                <w:noProof/>
                <w:color w:val="auto"/>
              </w:rPr>
              <w:t>Structure of the NDRP</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_Toc65241169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2</w:t>
            </w:r>
            <w:r w:rsidR="00591181" w:rsidRPr="00EC7E2F">
              <w:rPr>
                <w:noProof/>
                <w:webHidden/>
                <w:color w:val="auto"/>
              </w:rPr>
              <w:fldChar w:fldCharType="end"/>
            </w:r>
          </w:hyperlink>
        </w:p>
        <w:p w14:paraId="479C8147" w14:textId="6AA9CDC6" w:rsidR="00591181" w:rsidRPr="00EC7E2F" w:rsidRDefault="00CF3D75">
          <w:pPr>
            <w:pStyle w:val="TOC2"/>
            <w:rPr>
              <w:rFonts w:eastAsiaTheme="minorEastAsia" w:cstheme="minorBidi"/>
              <w:b w:val="0"/>
              <w:bCs w:val="0"/>
              <w:noProof/>
              <w:color w:val="auto"/>
            </w:rPr>
          </w:pPr>
          <w:hyperlink w:anchor="_Toc65241170" w:history="1">
            <w:r w:rsidR="00591181" w:rsidRPr="00EC7E2F">
              <w:rPr>
                <w:rStyle w:val="Hyperlink"/>
                <w:noProof/>
                <w:color w:val="auto"/>
              </w:rPr>
              <w:t>Governance</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_Toc65241170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2</w:t>
            </w:r>
            <w:r w:rsidR="00591181" w:rsidRPr="00EC7E2F">
              <w:rPr>
                <w:noProof/>
                <w:webHidden/>
                <w:color w:val="auto"/>
              </w:rPr>
              <w:fldChar w:fldCharType="end"/>
            </w:r>
          </w:hyperlink>
        </w:p>
        <w:p w14:paraId="5A1869EB" w14:textId="3F01F2C1" w:rsidR="00591181" w:rsidRPr="00EC7E2F" w:rsidRDefault="00CF3D75">
          <w:pPr>
            <w:pStyle w:val="TOC1"/>
            <w:rPr>
              <w:rFonts w:eastAsiaTheme="minorEastAsia" w:cstheme="minorBidi"/>
              <w:b w:val="0"/>
              <w:bCs w:val="0"/>
              <w:i w:val="0"/>
              <w:iCs w:val="0"/>
              <w:color w:val="auto"/>
              <w:sz w:val="22"/>
              <w:szCs w:val="22"/>
            </w:rPr>
          </w:pPr>
          <w:hyperlink w:anchor="_Toc65241171" w:history="1">
            <w:r w:rsidR="00591181" w:rsidRPr="00EC7E2F">
              <w:rPr>
                <w:rStyle w:val="Hyperlink"/>
                <w:color w:val="auto"/>
              </w:rPr>
              <w:t>PART A – Legislative framework for radiation protection</w:t>
            </w:r>
            <w:r w:rsidR="00591181" w:rsidRPr="00EC7E2F">
              <w:rPr>
                <w:webHidden/>
                <w:color w:val="auto"/>
              </w:rPr>
              <w:tab/>
            </w:r>
            <w:r w:rsidR="00591181" w:rsidRPr="00EC7E2F">
              <w:rPr>
                <w:webHidden/>
                <w:color w:val="auto"/>
              </w:rPr>
              <w:fldChar w:fldCharType="begin"/>
            </w:r>
            <w:r w:rsidR="00591181" w:rsidRPr="00EC7E2F">
              <w:rPr>
                <w:webHidden/>
                <w:color w:val="auto"/>
              </w:rPr>
              <w:instrText xml:space="preserve"> PAGEREF _Toc65241171 \h </w:instrText>
            </w:r>
            <w:r w:rsidR="00591181" w:rsidRPr="00EC7E2F">
              <w:rPr>
                <w:webHidden/>
                <w:color w:val="auto"/>
              </w:rPr>
            </w:r>
            <w:r w:rsidR="00591181" w:rsidRPr="00EC7E2F">
              <w:rPr>
                <w:webHidden/>
                <w:color w:val="auto"/>
              </w:rPr>
              <w:fldChar w:fldCharType="separate"/>
            </w:r>
            <w:r w:rsidR="00DC4D5C">
              <w:rPr>
                <w:webHidden/>
                <w:color w:val="auto"/>
              </w:rPr>
              <w:t>3</w:t>
            </w:r>
            <w:r w:rsidR="00591181" w:rsidRPr="00EC7E2F">
              <w:rPr>
                <w:webHidden/>
                <w:color w:val="auto"/>
              </w:rPr>
              <w:fldChar w:fldCharType="end"/>
            </w:r>
          </w:hyperlink>
        </w:p>
        <w:p w14:paraId="75A43023" w14:textId="0E2D576E" w:rsidR="00591181" w:rsidRPr="00EC7E2F" w:rsidRDefault="00CF3D75">
          <w:pPr>
            <w:pStyle w:val="TOC2"/>
            <w:rPr>
              <w:rFonts w:eastAsiaTheme="minorEastAsia" w:cstheme="minorBidi"/>
              <w:b w:val="0"/>
              <w:bCs w:val="0"/>
              <w:noProof/>
              <w:color w:val="auto"/>
            </w:rPr>
          </w:pPr>
          <w:hyperlink w:anchor="_Toc65241172" w:history="1">
            <w:r w:rsidR="00591181" w:rsidRPr="00EC7E2F">
              <w:rPr>
                <w:rStyle w:val="Hyperlink"/>
                <w:noProof/>
                <w:color w:val="auto"/>
              </w:rPr>
              <w:t>Scope</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_Toc65241172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3</w:t>
            </w:r>
            <w:r w:rsidR="00591181" w:rsidRPr="00EC7E2F">
              <w:rPr>
                <w:noProof/>
                <w:webHidden/>
                <w:color w:val="auto"/>
              </w:rPr>
              <w:fldChar w:fldCharType="end"/>
            </w:r>
          </w:hyperlink>
        </w:p>
        <w:p w14:paraId="36D7B1C4" w14:textId="4200C9AE" w:rsidR="00591181" w:rsidRPr="00EC7E2F" w:rsidRDefault="00CF3D75">
          <w:pPr>
            <w:pStyle w:val="TOC2"/>
            <w:rPr>
              <w:rFonts w:eastAsiaTheme="minorEastAsia" w:cstheme="minorBidi"/>
              <w:b w:val="0"/>
              <w:bCs w:val="0"/>
              <w:noProof/>
              <w:color w:val="auto"/>
            </w:rPr>
          </w:pPr>
          <w:hyperlink w:anchor="_Toc65241173" w:history="1">
            <w:r w:rsidR="00591181" w:rsidRPr="00EC7E2F">
              <w:rPr>
                <w:rStyle w:val="Hyperlink"/>
                <w:noProof/>
                <w:color w:val="auto"/>
              </w:rPr>
              <w:t>Activities to which legislation applies</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_Toc65241173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4</w:t>
            </w:r>
            <w:r w:rsidR="00591181" w:rsidRPr="00EC7E2F">
              <w:rPr>
                <w:noProof/>
                <w:webHidden/>
                <w:color w:val="auto"/>
              </w:rPr>
              <w:fldChar w:fldCharType="end"/>
            </w:r>
          </w:hyperlink>
        </w:p>
        <w:p w14:paraId="0BCB7A35" w14:textId="6D045AD7" w:rsidR="00591181" w:rsidRPr="00EC7E2F" w:rsidRDefault="00CF3D75">
          <w:pPr>
            <w:pStyle w:val="TOC2"/>
            <w:rPr>
              <w:rFonts w:eastAsiaTheme="minorEastAsia" w:cstheme="minorBidi"/>
              <w:b w:val="0"/>
              <w:bCs w:val="0"/>
              <w:noProof/>
              <w:color w:val="auto"/>
            </w:rPr>
          </w:pPr>
          <w:hyperlink w:anchor="_Toc65241174" w:history="1">
            <w:r w:rsidR="00591181" w:rsidRPr="00EC7E2F">
              <w:rPr>
                <w:rStyle w:val="Hyperlink"/>
                <w:noProof/>
                <w:color w:val="auto"/>
              </w:rPr>
              <w:t>Categories of authorisation</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_Toc65241174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5</w:t>
            </w:r>
            <w:r w:rsidR="00591181" w:rsidRPr="00EC7E2F">
              <w:rPr>
                <w:noProof/>
                <w:webHidden/>
                <w:color w:val="auto"/>
              </w:rPr>
              <w:fldChar w:fldCharType="end"/>
            </w:r>
          </w:hyperlink>
        </w:p>
        <w:p w14:paraId="181BFA1B" w14:textId="56CA2E8A" w:rsidR="00591181" w:rsidRPr="00EC7E2F" w:rsidRDefault="00CF3D75">
          <w:pPr>
            <w:pStyle w:val="TOC2"/>
            <w:rPr>
              <w:rFonts w:eastAsiaTheme="minorEastAsia" w:cstheme="minorBidi"/>
              <w:b w:val="0"/>
              <w:bCs w:val="0"/>
              <w:noProof/>
              <w:color w:val="auto"/>
            </w:rPr>
          </w:pPr>
          <w:hyperlink w:anchor="_Toc65241175" w:history="1">
            <w:r w:rsidR="00591181" w:rsidRPr="00EC7E2F">
              <w:rPr>
                <w:rStyle w:val="Hyperlink"/>
                <w:noProof/>
                <w:color w:val="auto"/>
              </w:rPr>
              <w:t>Granting an authorisation</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_Toc65241175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5</w:t>
            </w:r>
            <w:r w:rsidR="00591181" w:rsidRPr="00EC7E2F">
              <w:rPr>
                <w:noProof/>
                <w:webHidden/>
                <w:color w:val="auto"/>
              </w:rPr>
              <w:fldChar w:fldCharType="end"/>
            </w:r>
          </w:hyperlink>
        </w:p>
        <w:p w14:paraId="04568FCA" w14:textId="186B9F44" w:rsidR="00591181" w:rsidRPr="00EC7E2F" w:rsidRDefault="00CF3D75">
          <w:pPr>
            <w:pStyle w:val="TOC1"/>
            <w:rPr>
              <w:rFonts w:eastAsiaTheme="minorEastAsia" w:cstheme="minorBidi"/>
              <w:b w:val="0"/>
              <w:bCs w:val="0"/>
              <w:i w:val="0"/>
              <w:iCs w:val="0"/>
              <w:color w:val="auto"/>
              <w:sz w:val="22"/>
              <w:szCs w:val="22"/>
            </w:rPr>
          </w:pPr>
          <w:hyperlink w:anchor="_Toc65241176" w:history="1">
            <w:r w:rsidR="00591181" w:rsidRPr="00EC7E2F">
              <w:rPr>
                <w:rStyle w:val="Hyperlink"/>
                <w:color w:val="auto"/>
              </w:rPr>
              <w:t>PART B – Agreed regulatory arrangements</w:t>
            </w:r>
            <w:r w:rsidR="00591181" w:rsidRPr="00EC7E2F">
              <w:rPr>
                <w:webHidden/>
                <w:color w:val="auto"/>
              </w:rPr>
              <w:tab/>
            </w:r>
            <w:r w:rsidR="00591181" w:rsidRPr="00EC7E2F">
              <w:rPr>
                <w:webHidden/>
                <w:color w:val="auto"/>
              </w:rPr>
              <w:fldChar w:fldCharType="begin"/>
            </w:r>
            <w:r w:rsidR="00591181" w:rsidRPr="00EC7E2F">
              <w:rPr>
                <w:webHidden/>
                <w:color w:val="auto"/>
              </w:rPr>
              <w:instrText xml:space="preserve"> PAGEREF _Toc65241176 \h </w:instrText>
            </w:r>
            <w:r w:rsidR="00591181" w:rsidRPr="00EC7E2F">
              <w:rPr>
                <w:webHidden/>
                <w:color w:val="auto"/>
              </w:rPr>
            </w:r>
            <w:r w:rsidR="00591181" w:rsidRPr="00EC7E2F">
              <w:rPr>
                <w:webHidden/>
                <w:color w:val="auto"/>
              </w:rPr>
              <w:fldChar w:fldCharType="separate"/>
            </w:r>
            <w:r w:rsidR="00DC4D5C">
              <w:rPr>
                <w:webHidden/>
                <w:color w:val="auto"/>
              </w:rPr>
              <w:t>6</w:t>
            </w:r>
            <w:r w:rsidR="00591181" w:rsidRPr="00EC7E2F">
              <w:rPr>
                <w:webHidden/>
                <w:color w:val="auto"/>
              </w:rPr>
              <w:fldChar w:fldCharType="end"/>
            </w:r>
          </w:hyperlink>
        </w:p>
        <w:p w14:paraId="07D6F1C8" w14:textId="07AF0166" w:rsidR="00591181" w:rsidRPr="00EC7E2F" w:rsidRDefault="00CF3D75">
          <w:pPr>
            <w:pStyle w:val="TOC2"/>
            <w:rPr>
              <w:rFonts w:eastAsiaTheme="minorEastAsia" w:cstheme="minorBidi"/>
              <w:b w:val="0"/>
              <w:bCs w:val="0"/>
              <w:noProof/>
              <w:color w:val="auto"/>
            </w:rPr>
          </w:pPr>
          <w:hyperlink w:anchor="_Toc65241177" w:history="1">
            <w:r w:rsidR="00591181" w:rsidRPr="00EC7E2F">
              <w:rPr>
                <w:rStyle w:val="Hyperlink"/>
                <w:noProof/>
                <w:color w:val="auto"/>
              </w:rPr>
              <w:t>Mutual recognition</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_Toc65241177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6</w:t>
            </w:r>
            <w:r w:rsidR="00591181" w:rsidRPr="00EC7E2F">
              <w:rPr>
                <w:noProof/>
                <w:webHidden/>
                <w:color w:val="auto"/>
              </w:rPr>
              <w:fldChar w:fldCharType="end"/>
            </w:r>
          </w:hyperlink>
        </w:p>
        <w:p w14:paraId="5C063E60" w14:textId="38BFC416" w:rsidR="00591181" w:rsidRPr="00EC7E2F" w:rsidRDefault="00CF3D75">
          <w:pPr>
            <w:pStyle w:val="TOC2"/>
            <w:rPr>
              <w:rFonts w:eastAsiaTheme="minorEastAsia" w:cstheme="minorBidi"/>
              <w:b w:val="0"/>
              <w:bCs w:val="0"/>
              <w:noProof/>
              <w:color w:val="auto"/>
            </w:rPr>
          </w:pPr>
          <w:hyperlink w:anchor="_Toc65241178" w:history="1">
            <w:r w:rsidR="00591181" w:rsidRPr="00EC7E2F">
              <w:rPr>
                <w:rStyle w:val="Hyperlink"/>
                <w:noProof/>
                <w:color w:val="auto"/>
              </w:rPr>
              <w:t>Competence and resources for safety</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_Toc65241178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6</w:t>
            </w:r>
            <w:r w:rsidR="00591181" w:rsidRPr="00EC7E2F">
              <w:rPr>
                <w:noProof/>
                <w:webHidden/>
                <w:color w:val="auto"/>
              </w:rPr>
              <w:fldChar w:fldCharType="end"/>
            </w:r>
          </w:hyperlink>
        </w:p>
        <w:p w14:paraId="7693D5F8" w14:textId="5F213A2D" w:rsidR="00591181" w:rsidRPr="00EC7E2F" w:rsidRDefault="00CF3D75">
          <w:pPr>
            <w:pStyle w:val="TOC2"/>
            <w:rPr>
              <w:rFonts w:eastAsiaTheme="minorEastAsia" w:cstheme="minorBidi"/>
              <w:b w:val="0"/>
              <w:bCs w:val="0"/>
              <w:noProof/>
              <w:color w:val="auto"/>
            </w:rPr>
          </w:pPr>
          <w:hyperlink w:anchor="_Toc65241179" w:history="1">
            <w:r w:rsidR="00591181" w:rsidRPr="00EC7E2F">
              <w:rPr>
                <w:rStyle w:val="Hyperlink"/>
                <w:noProof/>
                <w:color w:val="auto"/>
              </w:rPr>
              <w:t>Emergency preparedness and response</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_Toc65241179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6</w:t>
            </w:r>
            <w:r w:rsidR="00591181" w:rsidRPr="00EC7E2F">
              <w:rPr>
                <w:noProof/>
                <w:webHidden/>
                <w:color w:val="auto"/>
              </w:rPr>
              <w:fldChar w:fldCharType="end"/>
            </w:r>
          </w:hyperlink>
        </w:p>
        <w:p w14:paraId="208476EB" w14:textId="6F38F3D3" w:rsidR="00591181" w:rsidRPr="00EC7E2F" w:rsidRDefault="00CF3D75">
          <w:pPr>
            <w:pStyle w:val="TOC2"/>
            <w:rPr>
              <w:rFonts w:eastAsiaTheme="minorEastAsia" w:cstheme="minorBidi"/>
              <w:b w:val="0"/>
              <w:bCs w:val="0"/>
              <w:noProof/>
              <w:color w:val="auto"/>
            </w:rPr>
          </w:pPr>
          <w:hyperlink w:anchor="_Toc65241180" w:history="1">
            <w:r w:rsidR="00591181" w:rsidRPr="00EC7E2F">
              <w:rPr>
                <w:rStyle w:val="Hyperlink"/>
                <w:noProof/>
                <w:color w:val="auto"/>
              </w:rPr>
              <w:t>Transport of radioactive material</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_Toc65241180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6</w:t>
            </w:r>
            <w:r w:rsidR="00591181" w:rsidRPr="00EC7E2F">
              <w:rPr>
                <w:noProof/>
                <w:webHidden/>
                <w:color w:val="auto"/>
              </w:rPr>
              <w:fldChar w:fldCharType="end"/>
            </w:r>
          </w:hyperlink>
        </w:p>
        <w:p w14:paraId="14D2D789" w14:textId="70412C0C" w:rsidR="00591181" w:rsidRPr="00EC7E2F" w:rsidRDefault="00CF3D75">
          <w:pPr>
            <w:pStyle w:val="TOC2"/>
            <w:rPr>
              <w:rFonts w:eastAsiaTheme="minorEastAsia" w:cstheme="minorBidi"/>
              <w:b w:val="0"/>
              <w:bCs w:val="0"/>
              <w:noProof/>
              <w:color w:val="auto"/>
            </w:rPr>
          </w:pPr>
          <w:hyperlink w:anchor="_Toc65241181" w:history="1">
            <w:r w:rsidR="00591181" w:rsidRPr="00EC7E2F">
              <w:rPr>
                <w:rStyle w:val="Hyperlink"/>
                <w:noProof/>
                <w:color w:val="auto"/>
              </w:rPr>
              <w:t>National radiation incident reporting framework</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_Toc65241181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6</w:t>
            </w:r>
            <w:r w:rsidR="00591181" w:rsidRPr="00EC7E2F">
              <w:rPr>
                <w:noProof/>
                <w:webHidden/>
                <w:color w:val="auto"/>
              </w:rPr>
              <w:fldChar w:fldCharType="end"/>
            </w:r>
          </w:hyperlink>
        </w:p>
        <w:p w14:paraId="77A36527" w14:textId="4D1EE521" w:rsidR="00591181" w:rsidRPr="00EC7E2F" w:rsidRDefault="00CF3D75">
          <w:pPr>
            <w:pStyle w:val="TOC2"/>
            <w:rPr>
              <w:rFonts w:eastAsiaTheme="minorEastAsia" w:cstheme="minorBidi"/>
              <w:b w:val="0"/>
              <w:bCs w:val="0"/>
              <w:noProof/>
              <w:color w:val="auto"/>
            </w:rPr>
          </w:pPr>
          <w:hyperlink w:anchor="_Toc65241182" w:history="1">
            <w:r w:rsidR="00591181" w:rsidRPr="00EC7E2F">
              <w:rPr>
                <w:rStyle w:val="Hyperlink"/>
                <w:noProof/>
                <w:color w:val="auto"/>
              </w:rPr>
              <w:t>Exclusions</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_Toc65241182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6</w:t>
            </w:r>
            <w:r w:rsidR="00591181" w:rsidRPr="00EC7E2F">
              <w:rPr>
                <w:noProof/>
                <w:webHidden/>
                <w:color w:val="auto"/>
              </w:rPr>
              <w:fldChar w:fldCharType="end"/>
            </w:r>
          </w:hyperlink>
        </w:p>
        <w:p w14:paraId="526C86D2" w14:textId="259E9A4D" w:rsidR="00591181" w:rsidRPr="00EC7E2F" w:rsidRDefault="00CF3D75">
          <w:pPr>
            <w:pStyle w:val="TOC2"/>
            <w:rPr>
              <w:rFonts w:eastAsiaTheme="minorEastAsia" w:cstheme="minorBidi"/>
              <w:b w:val="0"/>
              <w:bCs w:val="0"/>
              <w:noProof/>
              <w:color w:val="auto"/>
            </w:rPr>
          </w:pPr>
          <w:hyperlink w:anchor="_Toc65241183" w:history="1">
            <w:r w:rsidR="00591181" w:rsidRPr="00EC7E2F">
              <w:rPr>
                <w:rStyle w:val="Hyperlink"/>
                <w:noProof/>
                <w:color w:val="auto"/>
              </w:rPr>
              <w:t>Exemption and clearance</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_Toc65241183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7</w:t>
            </w:r>
            <w:r w:rsidR="00591181" w:rsidRPr="00EC7E2F">
              <w:rPr>
                <w:noProof/>
                <w:webHidden/>
                <w:color w:val="auto"/>
              </w:rPr>
              <w:fldChar w:fldCharType="end"/>
            </w:r>
          </w:hyperlink>
        </w:p>
        <w:p w14:paraId="287D17A8" w14:textId="7A11BAF7" w:rsidR="00591181" w:rsidRPr="00EC7E2F" w:rsidRDefault="00CF3D75">
          <w:pPr>
            <w:pStyle w:val="TOC2"/>
            <w:rPr>
              <w:rFonts w:eastAsiaTheme="minorEastAsia" w:cstheme="minorBidi"/>
              <w:b w:val="0"/>
              <w:bCs w:val="0"/>
              <w:noProof/>
              <w:color w:val="auto"/>
            </w:rPr>
          </w:pPr>
          <w:hyperlink w:anchor="_Toc65241184" w:history="1">
            <w:r w:rsidR="00591181" w:rsidRPr="00EC7E2F">
              <w:rPr>
                <w:rStyle w:val="Hyperlink"/>
                <w:noProof/>
                <w:color w:val="auto"/>
              </w:rPr>
              <w:t>Prohibition</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_Toc65241184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7</w:t>
            </w:r>
            <w:r w:rsidR="00591181" w:rsidRPr="00EC7E2F">
              <w:rPr>
                <w:noProof/>
                <w:webHidden/>
                <w:color w:val="auto"/>
              </w:rPr>
              <w:fldChar w:fldCharType="end"/>
            </w:r>
          </w:hyperlink>
        </w:p>
        <w:p w14:paraId="62015B0D" w14:textId="78ACD052" w:rsidR="00591181" w:rsidRPr="00EC7E2F" w:rsidRDefault="00CF3D75">
          <w:pPr>
            <w:pStyle w:val="TOC2"/>
            <w:rPr>
              <w:rFonts w:eastAsiaTheme="minorEastAsia" w:cstheme="minorBidi"/>
              <w:b w:val="0"/>
              <w:bCs w:val="0"/>
              <w:noProof/>
              <w:color w:val="auto"/>
            </w:rPr>
          </w:pPr>
          <w:hyperlink w:anchor="_Toc65241185" w:history="1">
            <w:r w:rsidR="00591181" w:rsidRPr="00EC7E2F">
              <w:rPr>
                <w:rStyle w:val="Hyperlink"/>
                <w:noProof/>
                <w:color w:val="auto"/>
              </w:rPr>
              <w:t>Authorisations</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_Toc65241185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7</w:t>
            </w:r>
            <w:r w:rsidR="00591181" w:rsidRPr="00EC7E2F">
              <w:rPr>
                <w:noProof/>
                <w:webHidden/>
                <w:color w:val="auto"/>
              </w:rPr>
              <w:fldChar w:fldCharType="end"/>
            </w:r>
          </w:hyperlink>
        </w:p>
        <w:p w14:paraId="690EE573" w14:textId="07D9ADD4" w:rsidR="00591181" w:rsidRPr="00EC7E2F" w:rsidRDefault="00CF3D75">
          <w:pPr>
            <w:pStyle w:val="TOC2"/>
            <w:rPr>
              <w:rFonts w:eastAsiaTheme="minorEastAsia" w:cstheme="minorBidi"/>
              <w:b w:val="0"/>
              <w:bCs w:val="0"/>
              <w:noProof/>
              <w:color w:val="auto"/>
            </w:rPr>
          </w:pPr>
          <w:hyperlink w:anchor="_Toc65241186" w:history="1">
            <w:r w:rsidR="00591181" w:rsidRPr="00EC7E2F">
              <w:rPr>
                <w:rStyle w:val="Hyperlink"/>
                <w:noProof/>
                <w:color w:val="auto"/>
              </w:rPr>
              <w:t>Inspection and enforcement</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_Toc65241186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7</w:t>
            </w:r>
            <w:r w:rsidR="00591181" w:rsidRPr="00EC7E2F">
              <w:rPr>
                <w:noProof/>
                <w:webHidden/>
                <w:color w:val="auto"/>
              </w:rPr>
              <w:fldChar w:fldCharType="end"/>
            </w:r>
          </w:hyperlink>
        </w:p>
        <w:p w14:paraId="7B8563E9" w14:textId="31BA1F0F" w:rsidR="00591181" w:rsidRPr="00EC7E2F" w:rsidRDefault="00CF3D75">
          <w:pPr>
            <w:pStyle w:val="TOC2"/>
            <w:rPr>
              <w:rFonts w:eastAsiaTheme="minorEastAsia" w:cstheme="minorBidi"/>
              <w:b w:val="0"/>
              <w:bCs w:val="0"/>
              <w:noProof/>
              <w:color w:val="auto"/>
            </w:rPr>
          </w:pPr>
          <w:hyperlink w:anchor="_Toc65241187" w:history="1">
            <w:r w:rsidR="00591181" w:rsidRPr="00EC7E2F">
              <w:rPr>
                <w:rStyle w:val="Hyperlink"/>
                <w:noProof/>
                <w:color w:val="auto"/>
              </w:rPr>
              <w:t>Adoption and implementation of codes and standards</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_Toc65241187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7</w:t>
            </w:r>
            <w:r w:rsidR="00591181" w:rsidRPr="00EC7E2F">
              <w:rPr>
                <w:noProof/>
                <w:webHidden/>
                <w:color w:val="auto"/>
              </w:rPr>
              <w:fldChar w:fldCharType="end"/>
            </w:r>
          </w:hyperlink>
        </w:p>
        <w:p w14:paraId="4756DA81" w14:textId="4CFF912E" w:rsidR="00591181" w:rsidRPr="00EC7E2F" w:rsidRDefault="00CF3D75">
          <w:pPr>
            <w:pStyle w:val="TOC2"/>
            <w:rPr>
              <w:rFonts w:eastAsiaTheme="minorEastAsia" w:cstheme="minorBidi"/>
              <w:b w:val="0"/>
              <w:bCs w:val="0"/>
              <w:noProof/>
              <w:color w:val="auto"/>
            </w:rPr>
          </w:pPr>
          <w:hyperlink w:anchor="_Toc65241188" w:history="1">
            <w:r w:rsidR="00591181" w:rsidRPr="00EC7E2F">
              <w:rPr>
                <w:rStyle w:val="Hyperlink"/>
                <w:noProof/>
                <w:color w:val="auto"/>
              </w:rPr>
              <w:t>Services for rural and remote areas</w:t>
            </w:r>
            <w:r w:rsidR="00591181" w:rsidRPr="00EC7E2F">
              <w:rPr>
                <w:noProof/>
                <w:webHidden/>
                <w:color w:val="auto"/>
              </w:rPr>
              <w:tab/>
            </w:r>
            <w:r w:rsidR="00591181" w:rsidRPr="00EC7E2F">
              <w:rPr>
                <w:noProof/>
                <w:webHidden/>
                <w:color w:val="auto"/>
              </w:rPr>
              <w:fldChar w:fldCharType="begin"/>
            </w:r>
            <w:r w:rsidR="00591181" w:rsidRPr="00EC7E2F">
              <w:rPr>
                <w:noProof/>
                <w:webHidden/>
                <w:color w:val="auto"/>
              </w:rPr>
              <w:instrText xml:space="preserve"> PAGEREF _Toc65241188 \h </w:instrText>
            </w:r>
            <w:r w:rsidR="00591181" w:rsidRPr="00EC7E2F">
              <w:rPr>
                <w:noProof/>
                <w:webHidden/>
                <w:color w:val="auto"/>
              </w:rPr>
            </w:r>
            <w:r w:rsidR="00591181" w:rsidRPr="00EC7E2F">
              <w:rPr>
                <w:noProof/>
                <w:webHidden/>
                <w:color w:val="auto"/>
              </w:rPr>
              <w:fldChar w:fldCharType="separate"/>
            </w:r>
            <w:r w:rsidR="00DC4D5C">
              <w:rPr>
                <w:noProof/>
                <w:webHidden/>
                <w:color w:val="auto"/>
              </w:rPr>
              <w:t>7</w:t>
            </w:r>
            <w:r w:rsidR="00591181" w:rsidRPr="00EC7E2F">
              <w:rPr>
                <w:noProof/>
                <w:webHidden/>
                <w:color w:val="auto"/>
              </w:rPr>
              <w:fldChar w:fldCharType="end"/>
            </w:r>
          </w:hyperlink>
        </w:p>
        <w:p w14:paraId="6A096040" w14:textId="27BD978E" w:rsidR="00591181" w:rsidRPr="00EC7E2F" w:rsidRDefault="00CF3D75">
          <w:pPr>
            <w:pStyle w:val="TOC1"/>
            <w:rPr>
              <w:rFonts w:eastAsiaTheme="minorEastAsia" w:cstheme="minorBidi"/>
              <w:b w:val="0"/>
              <w:bCs w:val="0"/>
              <w:i w:val="0"/>
              <w:iCs w:val="0"/>
              <w:color w:val="auto"/>
              <w:sz w:val="22"/>
              <w:szCs w:val="22"/>
            </w:rPr>
          </w:pPr>
          <w:hyperlink w:anchor="_Toc65241189" w:history="1">
            <w:r w:rsidR="00591181" w:rsidRPr="00EC7E2F">
              <w:rPr>
                <w:rStyle w:val="Hyperlink"/>
                <w:color w:val="auto"/>
              </w:rPr>
              <w:t>Schedule 1 – Dose limits, reference levels and dose coefficients</w:t>
            </w:r>
            <w:r w:rsidR="00591181" w:rsidRPr="00EC7E2F">
              <w:rPr>
                <w:webHidden/>
                <w:color w:val="auto"/>
              </w:rPr>
              <w:tab/>
            </w:r>
            <w:r w:rsidR="00591181" w:rsidRPr="00EC7E2F">
              <w:rPr>
                <w:webHidden/>
                <w:color w:val="auto"/>
              </w:rPr>
              <w:fldChar w:fldCharType="begin"/>
            </w:r>
            <w:r w:rsidR="00591181" w:rsidRPr="00EC7E2F">
              <w:rPr>
                <w:webHidden/>
                <w:color w:val="auto"/>
              </w:rPr>
              <w:instrText xml:space="preserve"> PAGEREF _Toc65241189 \h </w:instrText>
            </w:r>
            <w:r w:rsidR="00591181" w:rsidRPr="00EC7E2F">
              <w:rPr>
                <w:webHidden/>
                <w:color w:val="auto"/>
              </w:rPr>
            </w:r>
            <w:r w:rsidR="00591181" w:rsidRPr="00EC7E2F">
              <w:rPr>
                <w:webHidden/>
                <w:color w:val="auto"/>
              </w:rPr>
              <w:fldChar w:fldCharType="separate"/>
            </w:r>
            <w:r w:rsidR="00DC4D5C">
              <w:rPr>
                <w:webHidden/>
                <w:color w:val="auto"/>
              </w:rPr>
              <w:t>8</w:t>
            </w:r>
            <w:r w:rsidR="00591181" w:rsidRPr="00EC7E2F">
              <w:rPr>
                <w:webHidden/>
                <w:color w:val="auto"/>
              </w:rPr>
              <w:fldChar w:fldCharType="end"/>
            </w:r>
          </w:hyperlink>
        </w:p>
        <w:p w14:paraId="04BE6BD8" w14:textId="5B1ED23F" w:rsidR="00591181" w:rsidRPr="00EC7E2F" w:rsidRDefault="00CF3D75">
          <w:pPr>
            <w:pStyle w:val="TOC1"/>
            <w:rPr>
              <w:rFonts w:eastAsiaTheme="minorEastAsia" w:cstheme="minorBidi"/>
              <w:b w:val="0"/>
              <w:bCs w:val="0"/>
              <w:i w:val="0"/>
              <w:iCs w:val="0"/>
              <w:color w:val="auto"/>
              <w:sz w:val="22"/>
              <w:szCs w:val="22"/>
            </w:rPr>
          </w:pPr>
          <w:hyperlink w:anchor="_Toc65241190" w:history="1">
            <w:r w:rsidR="00591181" w:rsidRPr="00EC7E2F">
              <w:rPr>
                <w:rStyle w:val="Hyperlink"/>
                <w:color w:val="auto"/>
              </w:rPr>
              <w:t>Schedule 2 – Exempt radiation apparatus and radioactive sources</w:t>
            </w:r>
            <w:r w:rsidR="00591181" w:rsidRPr="00EC7E2F">
              <w:rPr>
                <w:webHidden/>
                <w:color w:val="auto"/>
              </w:rPr>
              <w:tab/>
            </w:r>
            <w:r w:rsidR="00591181" w:rsidRPr="00EC7E2F">
              <w:rPr>
                <w:webHidden/>
                <w:color w:val="auto"/>
              </w:rPr>
              <w:fldChar w:fldCharType="begin"/>
            </w:r>
            <w:r w:rsidR="00591181" w:rsidRPr="00EC7E2F">
              <w:rPr>
                <w:webHidden/>
                <w:color w:val="auto"/>
              </w:rPr>
              <w:instrText xml:space="preserve"> PAGEREF _Toc65241190 \h </w:instrText>
            </w:r>
            <w:r w:rsidR="00591181" w:rsidRPr="00EC7E2F">
              <w:rPr>
                <w:webHidden/>
                <w:color w:val="auto"/>
              </w:rPr>
            </w:r>
            <w:r w:rsidR="00591181" w:rsidRPr="00EC7E2F">
              <w:rPr>
                <w:webHidden/>
                <w:color w:val="auto"/>
              </w:rPr>
              <w:fldChar w:fldCharType="separate"/>
            </w:r>
            <w:r w:rsidR="00DC4D5C">
              <w:rPr>
                <w:webHidden/>
                <w:color w:val="auto"/>
              </w:rPr>
              <w:t>9</w:t>
            </w:r>
            <w:r w:rsidR="00591181" w:rsidRPr="00EC7E2F">
              <w:rPr>
                <w:webHidden/>
                <w:color w:val="auto"/>
              </w:rPr>
              <w:fldChar w:fldCharType="end"/>
            </w:r>
          </w:hyperlink>
        </w:p>
        <w:p w14:paraId="183BE2DC" w14:textId="3A0E1DDD" w:rsidR="00591181" w:rsidRPr="00EC7E2F" w:rsidRDefault="00CF3D75">
          <w:pPr>
            <w:pStyle w:val="TOC1"/>
            <w:rPr>
              <w:rFonts w:eastAsiaTheme="minorEastAsia" w:cstheme="minorBidi"/>
              <w:b w:val="0"/>
              <w:bCs w:val="0"/>
              <w:i w:val="0"/>
              <w:iCs w:val="0"/>
              <w:color w:val="auto"/>
              <w:sz w:val="22"/>
              <w:szCs w:val="22"/>
            </w:rPr>
          </w:pPr>
          <w:hyperlink w:anchor="_Toc65241191" w:history="1">
            <w:r w:rsidR="00591181" w:rsidRPr="00EC7E2F">
              <w:rPr>
                <w:rStyle w:val="Hyperlink"/>
                <w:color w:val="auto"/>
              </w:rPr>
              <w:t>Schedule 3 – Codes and standards</w:t>
            </w:r>
            <w:r w:rsidR="00591181" w:rsidRPr="00EC7E2F">
              <w:rPr>
                <w:webHidden/>
                <w:color w:val="auto"/>
              </w:rPr>
              <w:tab/>
            </w:r>
            <w:r w:rsidR="00591181" w:rsidRPr="00EC7E2F">
              <w:rPr>
                <w:webHidden/>
                <w:color w:val="auto"/>
              </w:rPr>
              <w:fldChar w:fldCharType="begin"/>
            </w:r>
            <w:r w:rsidR="00591181" w:rsidRPr="00EC7E2F">
              <w:rPr>
                <w:webHidden/>
                <w:color w:val="auto"/>
              </w:rPr>
              <w:instrText xml:space="preserve"> PAGEREF _Toc65241191 \h </w:instrText>
            </w:r>
            <w:r w:rsidR="00591181" w:rsidRPr="00EC7E2F">
              <w:rPr>
                <w:webHidden/>
                <w:color w:val="auto"/>
              </w:rPr>
            </w:r>
            <w:r w:rsidR="00591181" w:rsidRPr="00EC7E2F">
              <w:rPr>
                <w:webHidden/>
                <w:color w:val="auto"/>
              </w:rPr>
              <w:fldChar w:fldCharType="separate"/>
            </w:r>
            <w:r w:rsidR="00DC4D5C">
              <w:rPr>
                <w:webHidden/>
                <w:color w:val="auto"/>
              </w:rPr>
              <w:t>10</w:t>
            </w:r>
            <w:r w:rsidR="00591181" w:rsidRPr="00EC7E2F">
              <w:rPr>
                <w:webHidden/>
                <w:color w:val="auto"/>
              </w:rPr>
              <w:fldChar w:fldCharType="end"/>
            </w:r>
          </w:hyperlink>
        </w:p>
        <w:p w14:paraId="4C7ADDE6" w14:textId="306076A1" w:rsidR="00591181" w:rsidRPr="00EC7E2F" w:rsidRDefault="00CF3D75">
          <w:pPr>
            <w:pStyle w:val="TOC1"/>
            <w:rPr>
              <w:rFonts w:eastAsiaTheme="minorEastAsia" w:cstheme="minorBidi"/>
              <w:b w:val="0"/>
              <w:bCs w:val="0"/>
              <w:i w:val="0"/>
              <w:iCs w:val="0"/>
              <w:color w:val="auto"/>
              <w:sz w:val="22"/>
              <w:szCs w:val="22"/>
            </w:rPr>
          </w:pPr>
          <w:hyperlink w:anchor="_Toc65241192" w:history="1">
            <w:r w:rsidR="00591181" w:rsidRPr="00EC7E2F">
              <w:rPr>
                <w:rStyle w:val="Hyperlink"/>
                <w:color w:val="auto"/>
              </w:rPr>
              <w:t>Schedule 4 – National radiation incident reporting framework</w:t>
            </w:r>
            <w:r w:rsidR="00591181" w:rsidRPr="00EC7E2F">
              <w:rPr>
                <w:webHidden/>
                <w:color w:val="auto"/>
              </w:rPr>
              <w:tab/>
            </w:r>
            <w:r w:rsidR="00591181" w:rsidRPr="00EC7E2F">
              <w:rPr>
                <w:webHidden/>
                <w:color w:val="auto"/>
              </w:rPr>
              <w:fldChar w:fldCharType="begin"/>
            </w:r>
            <w:r w:rsidR="00591181" w:rsidRPr="00EC7E2F">
              <w:rPr>
                <w:webHidden/>
                <w:color w:val="auto"/>
              </w:rPr>
              <w:instrText xml:space="preserve"> PAGEREF _Toc65241192 \h </w:instrText>
            </w:r>
            <w:r w:rsidR="00591181" w:rsidRPr="00EC7E2F">
              <w:rPr>
                <w:webHidden/>
                <w:color w:val="auto"/>
              </w:rPr>
            </w:r>
            <w:r w:rsidR="00591181" w:rsidRPr="00EC7E2F">
              <w:rPr>
                <w:webHidden/>
                <w:color w:val="auto"/>
              </w:rPr>
              <w:fldChar w:fldCharType="separate"/>
            </w:r>
            <w:r w:rsidR="00DC4D5C">
              <w:rPr>
                <w:webHidden/>
                <w:color w:val="auto"/>
              </w:rPr>
              <w:t>12</w:t>
            </w:r>
            <w:r w:rsidR="00591181" w:rsidRPr="00EC7E2F">
              <w:rPr>
                <w:webHidden/>
                <w:color w:val="auto"/>
              </w:rPr>
              <w:fldChar w:fldCharType="end"/>
            </w:r>
          </w:hyperlink>
        </w:p>
        <w:p w14:paraId="209FA170" w14:textId="7B1EFFE9" w:rsidR="00591181" w:rsidRPr="00EC7E2F" w:rsidRDefault="00CF3D75">
          <w:pPr>
            <w:pStyle w:val="TOC1"/>
            <w:rPr>
              <w:rFonts w:eastAsiaTheme="minorEastAsia" w:cstheme="minorBidi"/>
              <w:b w:val="0"/>
              <w:bCs w:val="0"/>
              <w:i w:val="0"/>
              <w:iCs w:val="0"/>
              <w:color w:val="auto"/>
              <w:sz w:val="22"/>
              <w:szCs w:val="22"/>
            </w:rPr>
          </w:pPr>
          <w:hyperlink w:anchor="_Toc65241193" w:history="1">
            <w:r w:rsidR="00591181" w:rsidRPr="00EC7E2F">
              <w:rPr>
                <w:rStyle w:val="Hyperlink"/>
                <w:color w:val="auto"/>
              </w:rPr>
              <w:t>Glossary</w:t>
            </w:r>
            <w:r w:rsidR="00591181" w:rsidRPr="00EC7E2F">
              <w:rPr>
                <w:webHidden/>
                <w:color w:val="auto"/>
              </w:rPr>
              <w:tab/>
            </w:r>
            <w:r w:rsidR="00591181" w:rsidRPr="00EC7E2F">
              <w:rPr>
                <w:webHidden/>
                <w:color w:val="auto"/>
              </w:rPr>
              <w:fldChar w:fldCharType="begin"/>
            </w:r>
            <w:r w:rsidR="00591181" w:rsidRPr="00EC7E2F">
              <w:rPr>
                <w:webHidden/>
                <w:color w:val="auto"/>
              </w:rPr>
              <w:instrText xml:space="preserve"> PAGEREF _Toc65241193 \h </w:instrText>
            </w:r>
            <w:r w:rsidR="00591181" w:rsidRPr="00EC7E2F">
              <w:rPr>
                <w:webHidden/>
                <w:color w:val="auto"/>
              </w:rPr>
            </w:r>
            <w:r w:rsidR="00591181" w:rsidRPr="00EC7E2F">
              <w:rPr>
                <w:webHidden/>
                <w:color w:val="auto"/>
              </w:rPr>
              <w:fldChar w:fldCharType="separate"/>
            </w:r>
            <w:r w:rsidR="00DC4D5C">
              <w:rPr>
                <w:webHidden/>
                <w:color w:val="auto"/>
              </w:rPr>
              <w:t>14</w:t>
            </w:r>
            <w:r w:rsidR="00591181" w:rsidRPr="00EC7E2F">
              <w:rPr>
                <w:webHidden/>
                <w:color w:val="auto"/>
              </w:rPr>
              <w:fldChar w:fldCharType="end"/>
            </w:r>
          </w:hyperlink>
        </w:p>
        <w:p w14:paraId="55A29451" w14:textId="7B168C7F" w:rsidR="00591181" w:rsidRPr="00EC7E2F" w:rsidRDefault="00591181">
          <w:pPr>
            <w:rPr>
              <w:color w:val="auto"/>
            </w:rPr>
          </w:pPr>
          <w:r w:rsidRPr="00EC7E2F">
            <w:rPr>
              <w:rFonts w:cstheme="minorHAnsi"/>
              <w:b/>
              <w:bCs/>
              <w:i/>
              <w:iCs/>
              <w:noProof/>
              <w:color w:val="auto"/>
              <w:sz w:val="24"/>
              <w:szCs w:val="24"/>
            </w:rPr>
            <w:fldChar w:fldCharType="end"/>
          </w:r>
        </w:p>
      </w:sdtContent>
    </w:sdt>
    <w:p w14:paraId="3318B9EF" w14:textId="77777777" w:rsidR="00657CF3" w:rsidRPr="00EC7E2F" w:rsidRDefault="00657CF3" w:rsidP="00591181">
      <w:pPr>
        <w:pStyle w:val="TOC1"/>
        <w:rPr>
          <w:color w:val="auto"/>
        </w:rPr>
        <w:sectPr w:rsidR="00657CF3" w:rsidRPr="00EC7E2F" w:rsidSect="00CE1153">
          <w:footerReference w:type="default" r:id="rId19"/>
          <w:pgSz w:w="11906" w:h="16838"/>
          <w:pgMar w:top="1134" w:right="1134" w:bottom="1134" w:left="1134" w:header="709" w:footer="709" w:gutter="0"/>
          <w:pgNumType w:fmt="lowerRoman" w:start="1"/>
          <w:cols w:space="708"/>
          <w:docGrid w:linePitch="360"/>
        </w:sectPr>
      </w:pPr>
    </w:p>
    <w:p w14:paraId="653464C0" w14:textId="7D445CC0" w:rsidR="00301FE6" w:rsidRPr="00EC7E2F" w:rsidRDefault="00657CF3" w:rsidP="00657CF3">
      <w:pPr>
        <w:pStyle w:val="Heading1"/>
        <w:spacing w:before="0"/>
        <w:rPr>
          <w:color w:val="auto"/>
        </w:rPr>
      </w:pPr>
      <w:bookmarkStart w:id="0" w:name="_Toc534901111"/>
      <w:bookmarkStart w:id="1" w:name="_Toc14347596"/>
      <w:bookmarkStart w:id="2" w:name="_Toc65240872"/>
      <w:bookmarkStart w:id="3" w:name="_Toc65241163"/>
      <w:r w:rsidRPr="00EC7E2F">
        <w:rPr>
          <w:color w:val="auto"/>
        </w:rPr>
        <w:lastRenderedPageBreak/>
        <w:t>I</w:t>
      </w:r>
      <w:r w:rsidR="00301FE6" w:rsidRPr="00EC7E2F">
        <w:rPr>
          <w:color w:val="auto"/>
        </w:rPr>
        <w:t>ntroduction</w:t>
      </w:r>
      <w:bookmarkEnd w:id="0"/>
      <w:bookmarkEnd w:id="1"/>
      <w:bookmarkEnd w:id="2"/>
      <w:bookmarkEnd w:id="3"/>
    </w:p>
    <w:p w14:paraId="2609FBFC" w14:textId="64341C21" w:rsidR="00301FE6" w:rsidRPr="00EC7E2F" w:rsidRDefault="00301FE6" w:rsidP="00301FE6">
      <w:pPr>
        <w:pStyle w:val="Heading2"/>
        <w:rPr>
          <w:color w:val="auto"/>
        </w:rPr>
      </w:pPr>
      <w:bookmarkStart w:id="4" w:name="_Toc380649753"/>
      <w:bookmarkStart w:id="5" w:name="_Toc416791759"/>
      <w:bookmarkStart w:id="6" w:name="_Toc442267064"/>
      <w:bookmarkStart w:id="7" w:name="_Toc442267223"/>
      <w:bookmarkStart w:id="8" w:name="_Toc459800678"/>
      <w:bookmarkStart w:id="9" w:name="_Toc534901112"/>
      <w:bookmarkStart w:id="10" w:name="_Toc14347597"/>
      <w:bookmarkStart w:id="11" w:name="_Toc65240873"/>
      <w:bookmarkStart w:id="12" w:name="_Toc65241164"/>
      <w:r w:rsidRPr="00EC7E2F">
        <w:rPr>
          <w:color w:val="auto"/>
        </w:rPr>
        <w:t>Citation</w:t>
      </w:r>
      <w:bookmarkEnd w:id="4"/>
      <w:bookmarkEnd w:id="5"/>
      <w:bookmarkEnd w:id="6"/>
      <w:bookmarkEnd w:id="7"/>
      <w:bookmarkEnd w:id="8"/>
      <w:bookmarkEnd w:id="9"/>
      <w:bookmarkEnd w:id="10"/>
      <w:bookmarkEnd w:id="11"/>
      <w:bookmarkEnd w:id="12"/>
    </w:p>
    <w:p w14:paraId="6814AB0A" w14:textId="58600B09" w:rsidR="00726BC6" w:rsidRPr="00EC7E2F" w:rsidRDefault="00301FE6" w:rsidP="00927A48">
      <w:pPr>
        <w:pStyle w:val="Paranumbered"/>
        <w:rPr>
          <w:color w:val="auto"/>
        </w:rPr>
      </w:pPr>
      <w:bookmarkStart w:id="13" w:name="_Toc473123826"/>
      <w:bookmarkStart w:id="14" w:name="_Toc534901113"/>
      <w:bookmarkStart w:id="15" w:name="_Toc14347598"/>
      <w:r w:rsidRPr="00EC7E2F">
        <w:rPr>
          <w:color w:val="auto"/>
        </w:rPr>
        <w:t xml:space="preserve">This publication may be cited as the </w:t>
      </w:r>
      <w:r w:rsidRPr="00EC7E2F">
        <w:rPr>
          <w:i/>
          <w:iCs/>
          <w:color w:val="auto"/>
        </w:rPr>
        <w:t xml:space="preserve">National Directory for Radiation Protection (2nd Edition, </w:t>
      </w:r>
      <w:r w:rsidR="00147014" w:rsidRPr="00EC7E2F">
        <w:rPr>
          <w:i/>
          <w:iCs/>
          <w:color w:val="auto"/>
        </w:rPr>
        <w:t>2021</w:t>
      </w:r>
      <w:r w:rsidRPr="00EC7E2F">
        <w:rPr>
          <w:i/>
          <w:iCs/>
          <w:color w:val="auto"/>
        </w:rPr>
        <w:t>)</w:t>
      </w:r>
      <w:r w:rsidRPr="00EC7E2F">
        <w:rPr>
          <w:color w:val="auto"/>
        </w:rPr>
        <w:t xml:space="preserve"> (NDRP 2nd edition, </w:t>
      </w:r>
      <w:r w:rsidR="00147014" w:rsidRPr="00EC7E2F">
        <w:rPr>
          <w:color w:val="auto"/>
        </w:rPr>
        <w:t>2021</w:t>
      </w:r>
      <w:r w:rsidRPr="00EC7E2F">
        <w:rPr>
          <w:color w:val="auto"/>
        </w:rPr>
        <w:t xml:space="preserve">). </w:t>
      </w:r>
      <w:r w:rsidR="00392053" w:rsidRPr="00EC7E2F">
        <w:rPr>
          <w:color w:val="auto"/>
        </w:rPr>
        <w:t>It supersedes the 1st Edition of the NDRP and subsequent revisions, published as Radiation Protection Series (RPS) No. 6.</w:t>
      </w:r>
    </w:p>
    <w:p w14:paraId="7BF29D2F" w14:textId="4EA32F88" w:rsidR="00301FE6" w:rsidRPr="00EC7E2F" w:rsidRDefault="00301FE6" w:rsidP="00726BC6">
      <w:pPr>
        <w:pStyle w:val="Heading2"/>
        <w:rPr>
          <w:color w:val="auto"/>
        </w:rPr>
      </w:pPr>
      <w:bookmarkStart w:id="16" w:name="_Toc65240874"/>
      <w:bookmarkStart w:id="17" w:name="_Toc65241165"/>
      <w:r w:rsidRPr="00EC7E2F">
        <w:rPr>
          <w:color w:val="auto"/>
        </w:rPr>
        <w:t>Background</w:t>
      </w:r>
      <w:bookmarkEnd w:id="13"/>
      <w:bookmarkEnd w:id="14"/>
      <w:bookmarkEnd w:id="15"/>
      <w:bookmarkEnd w:id="16"/>
      <w:bookmarkEnd w:id="17"/>
    </w:p>
    <w:p w14:paraId="25850C43" w14:textId="18F4B2D7" w:rsidR="00301FE6" w:rsidRPr="00EC7E2F" w:rsidRDefault="004C761C" w:rsidP="00301FE6">
      <w:pPr>
        <w:pStyle w:val="Paranumbered"/>
        <w:rPr>
          <w:color w:val="auto"/>
        </w:rPr>
      </w:pPr>
      <w:r w:rsidRPr="00EC7E2F">
        <w:rPr>
          <w:color w:val="auto"/>
        </w:rPr>
        <w:t>In August 1999, t</w:t>
      </w:r>
      <w:r w:rsidR="00301FE6" w:rsidRPr="00EC7E2F">
        <w:rPr>
          <w:color w:val="auto"/>
        </w:rPr>
        <w:t xml:space="preserve">he Australian Health Ministers’ Conference (now the Council of Australian Governments (COAG) Health Council (CHC)) endorsed the development of the </w:t>
      </w:r>
      <w:r w:rsidR="00301FE6" w:rsidRPr="00EC7E2F">
        <w:rPr>
          <w:iCs/>
          <w:color w:val="auto"/>
        </w:rPr>
        <w:t>National Directory for Radiation Protection</w:t>
      </w:r>
      <w:r w:rsidR="00301FE6" w:rsidRPr="00EC7E2F">
        <w:rPr>
          <w:i/>
          <w:color w:val="auto"/>
        </w:rPr>
        <w:t xml:space="preserve"> </w:t>
      </w:r>
      <w:r w:rsidR="00301FE6" w:rsidRPr="00EC7E2F">
        <w:rPr>
          <w:color w:val="auto"/>
        </w:rPr>
        <w:t xml:space="preserve">(the NDRP) as the means of achieving uniformity in </w:t>
      </w:r>
      <w:r w:rsidR="00301FE6" w:rsidRPr="00EC7E2F">
        <w:rPr>
          <w:b/>
          <w:color w:val="auto"/>
        </w:rPr>
        <w:t>radiation</w:t>
      </w:r>
      <w:r w:rsidR="00301FE6" w:rsidRPr="00EC7E2F">
        <w:rPr>
          <w:color w:val="auto"/>
        </w:rPr>
        <w:t xml:space="preserve"> protection policies and practices among the Commonwealth, the States and Territories. Ministers agreed that upon approval of the provisions of the NDRP, the regulatory elements of the NDRP must be adopted as soon as possible in each jurisdiction’s regulatory framework.</w:t>
      </w:r>
    </w:p>
    <w:p w14:paraId="7C34274D" w14:textId="3769688B" w:rsidR="00301FE6" w:rsidRPr="00EC7E2F" w:rsidRDefault="00301FE6" w:rsidP="00301FE6">
      <w:pPr>
        <w:pStyle w:val="Paranumbered"/>
        <w:rPr>
          <w:color w:val="auto"/>
        </w:rPr>
      </w:pPr>
      <w:r w:rsidRPr="00EC7E2F">
        <w:rPr>
          <w:color w:val="auto"/>
        </w:rPr>
        <w:t>Ministers recognised that</w:t>
      </w:r>
      <w:r w:rsidR="00B40955" w:rsidRPr="00EC7E2F">
        <w:rPr>
          <w:color w:val="auto"/>
        </w:rPr>
        <w:t>,</w:t>
      </w:r>
      <w:r w:rsidRPr="00EC7E2F">
        <w:rPr>
          <w:color w:val="auto"/>
        </w:rPr>
        <w:t xml:space="preserve"> as a variety of agencies in many jurisdictions (</w:t>
      </w:r>
      <w:proofErr w:type="gramStart"/>
      <w:r w:rsidRPr="00EC7E2F">
        <w:rPr>
          <w:color w:val="auto"/>
        </w:rPr>
        <w:t>e.g.</w:t>
      </w:r>
      <w:proofErr w:type="gramEnd"/>
      <w:r w:rsidRPr="00EC7E2F">
        <w:rPr>
          <w:color w:val="auto"/>
        </w:rPr>
        <w:t xml:space="preserve"> mines, occupational health and safety</w:t>
      </w:r>
      <w:r w:rsidR="00817E2F" w:rsidRPr="00EC7E2F">
        <w:rPr>
          <w:color w:val="auto"/>
        </w:rPr>
        <w:t>,</w:t>
      </w:r>
      <w:r w:rsidRPr="00EC7E2F">
        <w:rPr>
          <w:color w:val="auto"/>
        </w:rPr>
        <w:t xml:space="preserve"> and transport agencies) have legislated responsibility for aspects of radiation safety, these agencies ought to be involved in measures to progress national uniformity.</w:t>
      </w:r>
    </w:p>
    <w:p w14:paraId="77D4A151" w14:textId="7571ECDF" w:rsidR="00301FE6" w:rsidRPr="00EC7E2F" w:rsidRDefault="00301FE6" w:rsidP="00301FE6">
      <w:pPr>
        <w:pStyle w:val="Paranumbered"/>
        <w:rPr>
          <w:color w:val="auto"/>
          <w:spacing w:val="-2"/>
        </w:rPr>
      </w:pPr>
      <w:r w:rsidRPr="00EC7E2F">
        <w:rPr>
          <w:color w:val="auto"/>
          <w:spacing w:val="-2"/>
        </w:rPr>
        <w:t>The first edition of the NDRP was published in 2004.</w:t>
      </w:r>
      <w:r w:rsidR="00BB52E4" w:rsidRPr="00EC7E2F">
        <w:rPr>
          <w:color w:val="auto"/>
          <w:spacing w:val="-2"/>
        </w:rPr>
        <w:t xml:space="preserve"> </w:t>
      </w:r>
      <w:r w:rsidRPr="00EC7E2F">
        <w:rPr>
          <w:color w:val="auto"/>
          <w:spacing w:val="-2"/>
        </w:rPr>
        <w:t>Since then, i</w:t>
      </w:r>
      <w:r w:rsidRPr="00EC7E2F">
        <w:rPr>
          <w:color w:val="auto"/>
        </w:rPr>
        <w:t xml:space="preserve">t has been amended seven times to incorporate new and updated regulatory elements that were approved by the </w:t>
      </w:r>
      <w:r w:rsidR="00B40955" w:rsidRPr="00EC7E2F">
        <w:rPr>
          <w:color w:val="auto"/>
        </w:rPr>
        <w:t>CHC</w:t>
      </w:r>
      <w:r w:rsidRPr="00EC7E2F">
        <w:rPr>
          <w:color w:val="auto"/>
        </w:rPr>
        <w:t>.</w:t>
      </w:r>
    </w:p>
    <w:p w14:paraId="333D9371" w14:textId="4963D8E0" w:rsidR="00301FE6" w:rsidRPr="00EC7E2F" w:rsidRDefault="00301FE6" w:rsidP="00301FE6">
      <w:pPr>
        <w:pStyle w:val="Heading2"/>
        <w:rPr>
          <w:color w:val="auto"/>
        </w:rPr>
      </w:pPr>
      <w:bookmarkStart w:id="18" w:name="_Toc473123827"/>
      <w:bookmarkStart w:id="19" w:name="_Toc14347599"/>
      <w:bookmarkStart w:id="20" w:name="_Toc65240875"/>
      <w:bookmarkStart w:id="21" w:name="_Toc65241166"/>
      <w:r w:rsidRPr="00EC7E2F">
        <w:rPr>
          <w:color w:val="auto"/>
        </w:rPr>
        <w:t xml:space="preserve">Vision and </w:t>
      </w:r>
      <w:bookmarkEnd w:id="18"/>
      <w:r w:rsidRPr="00EC7E2F">
        <w:rPr>
          <w:color w:val="auto"/>
        </w:rPr>
        <w:t>purpose</w:t>
      </w:r>
      <w:bookmarkEnd w:id="19"/>
      <w:bookmarkEnd w:id="20"/>
      <w:bookmarkEnd w:id="21"/>
    </w:p>
    <w:p w14:paraId="5C4E28FF" w14:textId="77777777" w:rsidR="00301FE6" w:rsidRPr="00EC7E2F" w:rsidRDefault="00301FE6" w:rsidP="00301FE6">
      <w:pPr>
        <w:pStyle w:val="Paranumbered"/>
        <w:rPr>
          <w:color w:val="auto"/>
        </w:rPr>
      </w:pPr>
      <w:r w:rsidRPr="00EC7E2F">
        <w:rPr>
          <w:color w:val="auto"/>
        </w:rPr>
        <w:t>The Commonwealth, the States and Territories agree to work towards achieving the vision of a seamless regulatory framework for the safe generation and use of radiation across the Commonwealth, States and Territories</w:t>
      </w:r>
    </w:p>
    <w:p w14:paraId="3D879B66" w14:textId="77777777" w:rsidR="00301FE6" w:rsidRPr="00EC7E2F" w:rsidRDefault="00301FE6" w:rsidP="00301FE6">
      <w:pPr>
        <w:pStyle w:val="Paranumbered"/>
        <w:rPr>
          <w:color w:val="auto"/>
        </w:rPr>
      </w:pPr>
      <w:r w:rsidRPr="00EC7E2F">
        <w:rPr>
          <w:color w:val="auto"/>
        </w:rPr>
        <w:t>The purpose of the NDRP is to facilitate work towards achievement of the vision, by:</w:t>
      </w:r>
    </w:p>
    <w:p w14:paraId="16616CF4" w14:textId="41BCC1C8" w:rsidR="00301FE6" w:rsidRPr="00EC7E2F" w:rsidRDefault="00301FE6" w:rsidP="00301FE6">
      <w:pPr>
        <w:pStyle w:val="List1"/>
        <w:rPr>
          <w:color w:val="auto"/>
        </w:rPr>
      </w:pPr>
      <w:r w:rsidRPr="00EC7E2F">
        <w:rPr>
          <w:color w:val="auto"/>
        </w:rPr>
        <w:t xml:space="preserve">providing a national framework for management of </w:t>
      </w:r>
      <w:r w:rsidRPr="00EC7E2F">
        <w:rPr>
          <w:b/>
          <w:color w:val="auto"/>
        </w:rPr>
        <w:t>radiation risks</w:t>
      </w:r>
      <w:r w:rsidRPr="00EC7E2F">
        <w:rPr>
          <w:color w:val="auto"/>
        </w:rPr>
        <w:t xml:space="preserve"> to people and to the </w:t>
      </w:r>
      <w:r w:rsidRPr="00EC7E2F">
        <w:rPr>
          <w:b/>
          <w:color w:val="auto"/>
        </w:rPr>
        <w:t>environment</w:t>
      </w:r>
      <w:r w:rsidR="00817E2F" w:rsidRPr="00EC7E2F">
        <w:rPr>
          <w:color w:val="auto"/>
        </w:rPr>
        <w:t>, and</w:t>
      </w:r>
    </w:p>
    <w:p w14:paraId="329D7866" w14:textId="77777777" w:rsidR="00301FE6" w:rsidRPr="00EC7E2F" w:rsidRDefault="00301FE6" w:rsidP="00301FE6">
      <w:pPr>
        <w:pStyle w:val="List1"/>
        <w:rPr>
          <w:color w:val="auto"/>
          <w:spacing w:val="-2"/>
        </w:rPr>
      </w:pPr>
      <w:r w:rsidRPr="00EC7E2F">
        <w:rPr>
          <w:color w:val="auto"/>
          <w:spacing w:val="-2"/>
        </w:rPr>
        <w:t xml:space="preserve">promoting </w:t>
      </w:r>
      <w:r w:rsidRPr="00EC7E2F">
        <w:rPr>
          <w:b/>
          <w:color w:val="auto"/>
          <w:spacing w:val="-2"/>
        </w:rPr>
        <w:t>mutual recognition</w:t>
      </w:r>
      <w:r w:rsidRPr="00EC7E2F">
        <w:rPr>
          <w:color w:val="auto"/>
          <w:spacing w:val="-2"/>
        </w:rPr>
        <w:t xml:space="preserve"> of </w:t>
      </w:r>
      <w:r w:rsidRPr="00EC7E2F">
        <w:rPr>
          <w:b/>
          <w:color w:val="auto"/>
          <w:spacing w:val="-2"/>
        </w:rPr>
        <w:t>authorisations</w:t>
      </w:r>
      <w:r w:rsidRPr="00EC7E2F">
        <w:rPr>
          <w:color w:val="auto"/>
          <w:spacing w:val="-2"/>
        </w:rPr>
        <w:t xml:space="preserve"> issued under radiation safety </w:t>
      </w:r>
      <w:r w:rsidRPr="00EC7E2F">
        <w:rPr>
          <w:b/>
          <w:color w:val="auto"/>
          <w:spacing w:val="-2"/>
        </w:rPr>
        <w:t>legislation</w:t>
      </w:r>
      <w:r w:rsidRPr="00EC7E2F">
        <w:rPr>
          <w:color w:val="auto"/>
          <w:spacing w:val="-2"/>
        </w:rPr>
        <w:t>.</w:t>
      </w:r>
    </w:p>
    <w:p w14:paraId="5E20BDE4" w14:textId="3F77BC0B" w:rsidR="00301FE6" w:rsidRPr="00EC7E2F" w:rsidRDefault="00301FE6" w:rsidP="00301FE6">
      <w:pPr>
        <w:pStyle w:val="Heading2"/>
        <w:rPr>
          <w:color w:val="auto"/>
        </w:rPr>
      </w:pPr>
      <w:bookmarkStart w:id="22" w:name="_Toc473123828"/>
      <w:bookmarkStart w:id="23" w:name="_Toc534901114"/>
      <w:bookmarkStart w:id="24" w:name="_Toc14347600"/>
      <w:bookmarkStart w:id="25" w:name="_Toc65240876"/>
      <w:bookmarkStart w:id="26" w:name="_Toc65241167"/>
      <w:r w:rsidRPr="00EC7E2F">
        <w:rPr>
          <w:color w:val="auto"/>
        </w:rPr>
        <w:t>Scope</w:t>
      </w:r>
      <w:bookmarkEnd w:id="22"/>
      <w:bookmarkEnd w:id="23"/>
      <w:bookmarkEnd w:id="24"/>
      <w:bookmarkEnd w:id="25"/>
      <w:bookmarkEnd w:id="26"/>
    </w:p>
    <w:p w14:paraId="2921AFB1" w14:textId="77777777" w:rsidR="00301FE6" w:rsidRPr="00EC7E2F" w:rsidRDefault="00301FE6" w:rsidP="00301FE6">
      <w:pPr>
        <w:pStyle w:val="Paranumbered"/>
        <w:rPr>
          <w:color w:val="auto"/>
        </w:rPr>
      </w:pPr>
      <w:r w:rsidRPr="00EC7E2F">
        <w:rPr>
          <w:color w:val="auto"/>
        </w:rPr>
        <w:t xml:space="preserve">The NDRP covers management of radiation risks from </w:t>
      </w:r>
      <w:r w:rsidRPr="00EC7E2F">
        <w:rPr>
          <w:b/>
          <w:color w:val="auto"/>
        </w:rPr>
        <w:t>ionising radiation</w:t>
      </w:r>
      <w:r w:rsidRPr="00EC7E2F">
        <w:rPr>
          <w:color w:val="auto"/>
        </w:rPr>
        <w:t xml:space="preserve"> in </w:t>
      </w:r>
      <w:r w:rsidRPr="00EC7E2F">
        <w:rPr>
          <w:b/>
          <w:color w:val="auto"/>
        </w:rPr>
        <w:t xml:space="preserve">planned exposure situations, emergency exposure situations </w:t>
      </w:r>
      <w:r w:rsidRPr="00EC7E2F">
        <w:rPr>
          <w:color w:val="auto"/>
        </w:rPr>
        <w:t>and</w:t>
      </w:r>
      <w:r w:rsidRPr="00EC7E2F">
        <w:rPr>
          <w:b/>
          <w:color w:val="auto"/>
        </w:rPr>
        <w:t xml:space="preserve"> existing exposure situations</w:t>
      </w:r>
      <w:r w:rsidRPr="00EC7E2F">
        <w:rPr>
          <w:color w:val="auto"/>
        </w:rPr>
        <w:t xml:space="preserve">. It also covers the management of radiation risks from </w:t>
      </w:r>
      <w:r w:rsidRPr="00EC7E2F">
        <w:rPr>
          <w:b/>
          <w:color w:val="auto"/>
        </w:rPr>
        <w:t>non-ionising radiation</w:t>
      </w:r>
      <w:r w:rsidRPr="00EC7E2F">
        <w:rPr>
          <w:color w:val="auto"/>
        </w:rPr>
        <w:t>.</w:t>
      </w:r>
    </w:p>
    <w:p w14:paraId="0C5DE74E" w14:textId="133367EF" w:rsidR="00301FE6" w:rsidRPr="00EC7E2F" w:rsidRDefault="00301FE6" w:rsidP="00301FE6">
      <w:pPr>
        <w:pStyle w:val="Paranumbered"/>
        <w:rPr>
          <w:color w:val="auto"/>
        </w:rPr>
      </w:pPr>
      <w:r w:rsidRPr="00EC7E2F">
        <w:rPr>
          <w:color w:val="auto"/>
        </w:rPr>
        <w:t xml:space="preserve">The NDRP applies to all sectors implementing controls related to radiation risks, including but not limited to mining, mineral processing, </w:t>
      </w:r>
      <w:r w:rsidRPr="00EC7E2F">
        <w:rPr>
          <w:b/>
          <w:color w:val="auto"/>
        </w:rPr>
        <w:t>nuclear installations</w:t>
      </w:r>
      <w:r w:rsidR="00817E2F" w:rsidRPr="00EC7E2F">
        <w:rPr>
          <w:color w:val="auto"/>
        </w:rPr>
        <w:t>, research</w:t>
      </w:r>
      <w:r w:rsidR="00CE12EC" w:rsidRPr="00EC7E2F">
        <w:rPr>
          <w:color w:val="auto"/>
        </w:rPr>
        <w:t>,</w:t>
      </w:r>
      <w:r w:rsidR="00817E2F" w:rsidRPr="00EC7E2F">
        <w:rPr>
          <w:color w:val="auto"/>
        </w:rPr>
        <w:t xml:space="preserve"> and education.</w:t>
      </w:r>
    </w:p>
    <w:p w14:paraId="02B62B9E" w14:textId="77777777" w:rsidR="00BC128E" w:rsidRPr="00EC7E2F" w:rsidRDefault="00BC128E">
      <w:pPr>
        <w:spacing w:before="0" w:after="200" w:line="276" w:lineRule="auto"/>
        <w:rPr>
          <w:rFonts w:eastAsiaTheme="majorEastAsia" w:cstheme="majorBidi"/>
          <w:b/>
          <w:bCs/>
          <w:color w:val="auto"/>
          <w:sz w:val="32"/>
          <w:szCs w:val="26"/>
        </w:rPr>
      </w:pPr>
      <w:bookmarkStart w:id="27" w:name="_Toc473123829"/>
      <w:bookmarkStart w:id="28" w:name="_Toc534901115"/>
      <w:bookmarkStart w:id="29" w:name="_Toc14347601"/>
      <w:r w:rsidRPr="00EC7E2F">
        <w:rPr>
          <w:color w:val="auto"/>
        </w:rPr>
        <w:br w:type="page"/>
      </w:r>
    </w:p>
    <w:p w14:paraId="7480AD69" w14:textId="14EA7C7B" w:rsidR="00301FE6" w:rsidRPr="00EC7E2F" w:rsidRDefault="00301FE6" w:rsidP="00301FE6">
      <w:pPr>
        <w:pStyle w:val="Heading2"/>
        <w:rPr>
          <w:color w:val="auto"/>
        </w:rPr>
      </w:pPr>
      <w:bookmarkStart w:id="30" w:name="_Toc65240877"/>
      <w:bookmarkStart w:id="31" w:name="_Toc65241168"/>
      <w:r w:rsidRPr="00EC7E2F">
        <w:rPr>
          <w:color w:val="auto"/>
        </w:rPr>
        <w:lastRenderedPageBreak/>
        <w:t>Interpretation</w:t>
      </w:r>
      <w:bookmarkEnd w:id="27"/>
      <w:bookmarkEnd w:id="28"/>
      <w:bookmarkEnd w:id="29"/>
      <w:bookmarkEnd w:id="30"/>
      <w:bookmarkEnd w:id="31"/>
    </w:p>
    <w:p w14:paraId="07899B45" w14:textId="77777777" w:rsidR="00301FE6" w:rsidRPr="00EC7E2F" w:rsidRDefault="00785156" w:rsidP="00301FE6">
      <w:pPr>
        <w:pStyle w:val="Paranumbered"/>
        <w:rPr>
          <w:color w:val="auto"/>
        </w:rPr>
      </w:pPr>
      <w:r w:rsidRPr="00EC7E2F">
        <w:rPr>
          <w:color w:val="auto"/>
        </w:rPr>
        <w:t>T</w:t>
      </w:r>
      <w:r w:rsidR="00301FE6" w:rsidRPr="00EC7E2F">
        <w:rPr>
          <w:color w:val="auto"/>
        </w:rPr>
        <w:t xml:space="preserve">erms used in the NDRP are </w:t>
      </w:r>
      <w:r w:rsidR="00E848D6" w:rsidRPr="00EC7E2F">
        <w:rPr>
          <w:color w:val="auto"/>
        </w:rPr>
        <w:t xml:space="preserve">explained </w:t>
      </w:r>
      <w:r w:rsidR="00301FE6" w:rsidRPr="00EC7E2F">
        <w:rPr>
          <w:color w:val="auto"/>
        </w:rPr>
        <w:t xml:space="preserve">in the Glossary. Where a word or phrase is </w:t>
      </w:r>
      <w:r w:rsidR="008F6316" w:rsidRPr="00EC7E2F">
        <w:rPr>
          <w:color w:val="auto"/>
        </w:rPr>
        <w:t xml:space="preserve">defined </w:t>
      </w:r>
      <w:r w:rsidR="00301FE6" w:rsidRPr="00EC7E2F">
        <w:rPr>
          <w:color w:val="auto"/>
        </w:rPr>
        <w:t>in the Glossary, it will appear in bold style font at the first mention in the body of the text.</w:t>
      </w:r>
    </w:p>
    <w:p w14:paraId="45165EF0" w14:textId="44B5F866" w:rsidR="00301FE6" w:rsidRPr="00EC7E2F" w:rsidRDefault="008F6316" w:rsidP="00301FE6">
      <w:pPr>
        <w:pStyle w:val="Paranumbered"/>
        <w:rPr>
          <w:color w:val="auto"/>
        </w:rPr>
      </w:pPr>
      <w:r w:rsidRPr="00EC7E2F">
        <w:rPr>
          <w:color w:val="auto"/>
        </w:rPr>
        <w:t xml:space="preserve">The use of the phrase </w:t>
      </w:r>
      <w:r w:rsidR="00301FE6" w:rsidRPr="00EC7E2F">
        <w:rPr>
          <w:color w:val="auto"/>
        </w:rPr>
        <w:t>‘</w:t>
      </w:r>
      <w:r w:rsidRPr="00EC7E2F">
        <w:rPr>
          <w:color w:val="auto"/>
        </w:rPr>
        <w:t>r</w:t>
      </w:r>
      <w:r w:rsidR="00301FE6" w:rsidRPr="00EC7E2F">
        <w:rPr>
          <w:color w:val="auto"/>
        </w:rPr>
        <w:t xml:space="preserve">adiation protection’ in the NDRP includes safety measures to manage radiation risks </w:t>
      </w:r>
      <w:r w:rsidRPr="00EC7E2F">
        <w:rPr>
          <w:color w:val="auto"/>
        </w:rPr>
        <w:t>including</w:t>
      </w:r>
      <w:r w:rsidR="00301FE6" w:rsidRPr="00EC7E2F">
        <w:rPr>
          <w:color w:val="auto"/>
        </w:rPr>
        <w:t xml:space="preserve"> radiation safety, nuclear safety, transport safety, waste safety, measures directed at preparedness for an emergency</w:t>
      </w:r>
      <w:r w:rsidRPr="00EC7E2F">
        <w:rPr>
          <w:color w:val="auto"/>
        </w:rPr>
        <w:t>,</w:t>
      </w:r>
      <w:r w:rsidR="00301FE6" w:rsidRPr="00EC7E2F">
        <w:rPr>
          <w:color w:val="auto"/>
        </w:rPr>
        <w:t xml:space="preserve"> and managing safety during and after an emergency. It also includes </w:t>
      </w:r>
      <w:r w:rsidRPr="00EC7E2F">
        <w:rPr>
          <w:color w:val="auto"/>
        </w:rPr>
        <w:t>security measures including, for example,</w:t>
      </w:r>
      <w:r w:rsidR="00301FE6" w:rsidRPr="00EC7E2F">
        <w:rPr>
          <w:color w:val="auto"/>
        </w:rPr>
        <w:t xml:space="preserve"> preventing unauthorised or malicious use of radiation</w:t>
      </w:r>
      <w:r w:rsidRPr="00EC7E2F">
        <w:rPr>
          <w:color w:val="auto"/>
        </w:rPr>
        <w:t>.</w:t>
      </w:r>
      <w:r w:rsidR="00BB52E4" w:rsidRPr="00EC7E2F">
        <w:rPr>
          <w:color w:val="auto"/>
        </w:rPr>
        <w:t xml:space="preserve"> </w:t>
      </w:r>
      <w:r w:rsidRPr="00EC7E2F">
        <w:rPr>
          <w:color w:val="auto"/>
        </w:rPr>
        <w:t>It</w:t>
      </w:r>
      <w:r w:rsidR="00301FE6" w:rsidRPr="00EC7E2F">
        <w:rPr>
          <w:color w:val="auto"/>
        </w:rPr>
        <w:t xml:space="preserve"> applies to both ionising radiation and non-ionising radiation. </w:t>
      </w:r>
    </w:p>
    <w:p w14:paraId="0644F1DC" w14:textId="2CAFF915" w:rsidR="00301FE6" w:rsidRPr="00EC7E2F" w:rsidRDefault="008F6316" w:rsidP="00301FE6">
      <w:pPr>
        <w:pStyle w:val="Paranumbered"/>
        <w:rPr>
          <w:color w:val="auto"/>
          <w:spacing w:val="-2"/>
        </w:rPr>
      </w:pPr>
      <w:r w:rsidRPr="00EC7E2F">
        <w:rPr>
          <w:color w:val="auto"/>
          <w:spacing w:val="-2"/>
        </w:rPr>
        <w:t>Unless specific mention is made of a particular measure, the use of the term ‘safety’ in the NDRP</w:t>
      </w:r>
      <w:r w:rsidR="00301FE6" w:rsidRPr="00EC7E2F">
        <w:rPr>
          <w:color w:val="auto"/>
          <w:spacing w:val="-2"/>
        </w:rPr>
        <w:t xml:space="preserve"> includes all aspects of radiation protection referred to above for the protection of people and the environment from radiation risks. It does not include work health and safety, product safety or other aspects of safety not specifically captured by radiation protection legislation.</w:t>
      </w:r>
    </w:p>
    <w:p w14:paraId="1DFF4224" w14:textId="0B0E1D81" w:rsidR="00301FE6" w:rsidRPr="00EC7E2F" w:rsidRDefault="00301FE6" w:rsidP="00301FE6">
      <w:pPr>
        <w:pStyle w:val="Heading2"/>
        <w:rPr>
          <w:color w:val="auto"/>
        </w:rPr>
      </w:pPr>
      <w:bookmarkStart w:id="32" w:name="_Toc534901117"/>
      <w:bookmarkStart w:id="33" w:name="_Toc14347602"/>
      <w:bookmarkStart w:id="34" w:name="_Toc65240878"/>
      <w:bookmarkStart w:id="35" w:name="_Toc65241169"/>
      <w:r w:rsidRPr="00EC7E2F">
        <w:rPr>
          <w:color w:val="auto"/>
        </w:rPr>
        <w:t>Structure of the NDRP</w:t>
      </w:r>
      <w:bookmarkEnd w:id="32"/>
      <w:bookmarkEnd w:id="33"/>
      <w:bookmarkEnd w:id="34"/>
      <w:bookmarkEnd w:id="35"/>
    </w:p>
    <w:p w14:paraId="649921EA" w14:textId="362532C2" w:rsidR="00301FE6" w:rsidRPr="00EC7E2F" w:rsidRDefault="00301FE6" w:rsidP="00301FE6">
      <w:pPr>
        <w:pStyle w:val="Paranumbered"/>
        <w:rPr>
          <w:color w:val="auto"/>
        </w:rPr>
      </w:pPr>
      <w:r w:rsidRPr="00EC7E2F">
        <w:rPr>
          <w:color w:val="auto"/>
        </w:rPr>
        <w:t xml:space="preserve">Part A </w:t>
      </w:r>
      <w:r w:rsidR="00A75707" w:rsidRPr="00EC7E2F">
        <w:rPr>
          <w:color w:val="auto"/>
        </w:rPr>
        <w:t xml:space="preserve">of the NDRP </w:t>
      </w:r>
      <w:r w:rsidR="00A12879" w:rsidRPr="00EC7E2F">
        <w:rPr>
          <w:color w:val="auto"/>
        </w:rPr>
        <w:t xml:space="preserve">sets out the </w:t>
      </w:r>
      <w:r w:rsidR="00927A48" w:rsidRPr="00EC7E2F">
        <w:rPr>
          <w:color w:val="auto"/>
        </w:rPr>
        <w:t>legislative</w:t>
      </w:r>
      <w:r w:rsidRPr="00EC7E2F">
        <w:rPr>
          <w:color w:val="auto"/>
        </w:rPr>
        <w:t xml:space="preserve"> framework for radiation protection </w:t>
      </w:r>
      <w:r w:rsidR="00A12879" w:rsidRPr="00EC7E2F">
        <w:rPr>
          <w:color w:val="auto"/>
        </w:rPr>
        <w:t xml:space="preserve">in Australia, </w:t>
      </w:r>
      <w:r w:rsidRPr="00EC7E2F">
        <w:rPr>
          <w:color w:val="auto"/>
        </w:rPr>
        <w:t>based on international best practice</w:t>
      </w:r>
      <w:r w:rsidR="00A12879" w:rsidRPr="00EC7E2F">
        <w:rPr>
          <w:color w:val="auto"/>
        </w:rPr>
        <w:t>.</w:t>
      </w:r>
      <w:r w:rsidR="00BB52E4" w:rsidRPr="00EC7E2F">
        <w:rPr>
          <w:color w:val="auto"/>
        </w:rPr>
        <w:t xml:space="preserve"> </w:t>
      </w:r>
      <w:r w:rsidR="003168C6" w:rsidRPr="00EC7E2F">
        <w:rPr>
          <w:color w:val="auto"/>
        </w:rPr>
        <w:t>All jurisdictions have agreed to i</w:t>
      </w:r>
      <w:r w:rsidR="00A12879" w:rsidRPr="00EC7E2F">
        <w:rPr>
          <w:color w:val="auto"/>
        </w:rPr>
        <w:t>mplement</w:t>
      </w:r>
      <w:r w:rsidR="003168C6" w:rsidRPr="00EC7E2F">
        <w:rPr>
          <w:color w:val="auto"/>
        </w:rPr>
        <w:t xml:space="preserve"> </w:t>
      </w:r>
      <w:r w:rsidR="00A12879" w:rsidRPr="00EC7E2F">
        <w:rPr>
          <w:color w:val="auto"/>
        </w:rPr>
        <w:t>th</w:t>
      </w:r>
      <w:r w:rsidR="003168C6" w:rsidRPr="00EC7E2F">
        <w:rPr>
          <w:color w:val="auto"/>
        </w:rPr>
        <w:t>is framework</w:t>
      </w:r>
      <w:r w:rsidR="00A12879" w:rsidRPr="00EC7E2F">
        <w:rPr>
          <w:color w:val="auto"/>
        </w:rPr>
        <w:t>.</w:t>
      </w:r>
      <w:r w:rsidR="00BB52E4" w:rsidRPr="00EC7E2F">
        <w:rPr>
          <w:color w:val="auto"/>
        </w:rPr>
        <w:t xml:space="preserve"> </w:t>
      </w:r>
      <w:r w:rsidRPr="00EC7E2F">
        <w:rPr>
          <w:color w:val="auto"/>
        </w:rPr>
        <w:t xml:space="preserve">Part B </w:t>
      </w:r>
      <w:r w:rsidR="00A12879" w:rsidRPr="00EC7E2F">
        <w:rPr>
          <w:color w:val="auto"/>
        </w:rPr>
        <w:t xml:space="preserve">of the NDRP sets out </w:t>
      </w:r>
      <w:r w:rsidRPr="00EC7E2F">
        <w:rPr>
          <w:color w:val="auto"/>
        </w:rPr>
        <w:t xml:space="preserve">the regulatory </w:t>
      </w:r>
      <w:r w:rsidR="00BE3E62" w:rsidRPr="00EC7E2F">
        <w:rPr>
          <w:color w:val="auto"/>
        </w:rPr>
        <w:t xml:space="preserve">arrangements </w:t>
      </w:r>
      <w:r w:rsidR="00726BC6" w:rsidRPr="00EC7E2F">
        <w:rPr>
          <w:color w:val="auto"/>
        </w:rPr>
        <w:t xml:space="preserve">that </w:t>
      </w:r>
      <w:r w:rsidRPr="00EC7E2F">
        <w:rPr>
          <w:color w:val="auto"/>
        </w:rPr>
        <w:t xml:space="preserve">jurisdictions have agreed to implement to support </w:t>
      </w:r>
      <w:r w:rsidR="00927A48" w:rsidRPr="00EC7E2F">
        <w:rPr>
          <w:color w:val="auto"/>
        </w:rPr>
        <w:t>the</w:t>
      </w:r>
      <w:r w:rsidR="00A12879" w:rsidRPr="00EC7E2F">
        <w:rPr>
          <w:color w:val="auto"/>
        </w:rPr>
        <w:t xml:space="preserve"> </w:t>
      </w:r>
      <w:r w:rsidR="00927A48" w:rsidRPr="00EC7E2F">
        <w:rPr>
          <w:color w:val="auto"/>
        </w:rPr>
        <w:t xml:space="preserve">agreed legislative </w:t>
      </w:r>
      <w:r w:rsidR="00A12879" w:rsidRPr="00EC7E2F">
        <w:rPr>
          <w:color w:val="auto"/>
        </w:rPr>
        <w:t>framework</w:t>
      </w:r>
      <w:r w:rsidR="00F27DAA" w:rsidRPr="00EC7E2F">
        <w:rPr>
          <w:color w:val="auto"/>
        </w:rPr>
        <w:t xml:space="preserve"> in Part A</w:t>
      </w:r>
      <w:r w:rsidRPr="00EC7E2F">
        <w:rPr>
          <w:color w:val="auto"/>
        </w:rPr>
        <w:t>.</w:t>
      </w:r>
    </w:p>
    <w:p w14:paraId="61B6E8BF" w14:textId="54AF12BC" w:rsidR="00301FE6" w:rsidRPr="00EC7E2F" w:rsidRDefault="00F27DAA" w:rsidP="00301FE6">
      <w:pPr>
        <w:pStyle w:val="Paranumbered"/>
        <w:rPr>
          <w:color w:val="auto"/>
        </w:rPr>
      </w:pPr>
      <w:r w:rsidRPr="00EC7E2F">
        <w:rPr>
          <w:color w:val="auto"/>
        </w:rPr>
        <w:t xml:space="preserve">The NDRP also includes </w:t>
      </w:r>
      <w:r w:rsidR="00726BC6" w:rsidRPr="00EC7E2F">
        <w:rPr>
          <w:color w:val="auto"/>
        </w:rPr>
        <w:t xml:space="preserve">schedules </w:t>
      </w:r>
      <w:r w:rsidR="006C4DF9" w:rsidRPr="00EC7E2F">
        <w:rPr>
          <w:color w:val="auto"/>
        </w:rPr>
        <w:t xml:space="preserve">with </w:t>
      </w:r>
      <w:r w:rsidR="00301FE6" w:rsidRPr="00EC7E2F">
        <w:rPr>
          <w:b/>
          <w:color w:val="auto"/>
        </w:rPr>
        <w:t>dose limits</w:t>
      </w:r>
      <w:r w:rsidR="00301FE6" w:rsidRPr="00EC7E2F">
        <w:rPr>
          <w:color w:val="auto"/>
        </w:rPr>
        <w:t xml:space="preserve">, </w:t>
      </w:r>
      <w:r w:rsidR="00301FE6" w:rsidRPr="00EC7E2F">
        <w:rPr>
          <w:b/>
          <w:color w:val="auto"/>
        </w:rPr>
        <w:t>reference levels</w:t>
      </w:r>
      <w:r w:rsidR="00301FE6" w:rsidRPr="00EC7E2F">
        <w:rPr>
          <w:color w:val="auto"/>
        </w:rPr>
        <w:t xml:space="preserve">, </w:t>
      </w:r>
      <w:r w:rsidR="001F6778" w:rsidRPr="00EC7E2F">
        <w:rPr>
          <w:b/>
          <w:color w:val="auto"/>
        </w:rPr>
        <w:t>dose coefficients,</w:t>
      </w:r>
      <w:r w:rsidR="001F6778" w:rsidRPr="00EC7E2F">
        <w:rPr>
          <w:color w:val="auto"/>
        </w:rPr>
        <w:t xml:space="preserve"> </w:t>
      </w:r>
      <w:r w:rsidR="00301FE6" w:rsidRPr="00EC7E2F">
        <w:rPr>
          <w:b/>
          <w:color w:val="auto"/>
        </w:rPr>
        <w:t>exemption</w:t>
      </w:r>
      <w:r w:rsidR="00301FE6" w:rsidRPr="00EC7E2F">
        <w:rPr>
          <w:color w:val="auto"/>
        </w:rPr>
        <w:t xml:space="preserve"> levels and exempt sources and apparatus, and list</w:t>
      </w:r>
      <w:r w:rsidR="00CA06DC" w:rsidRPr="00EC7E2F">
        <w:rPr>
          <w:color w:val="auto"/>
        </w:rPr>
        <w:t>s</w:t>
      </w:r>
      <w:r w:rsidR="00301FE6" w:rsidRPr="00EC7E2F">
        <w:rPr>
          <w:color w:val="auto"/>
        </w:rPr>
        <w:t xml:space="preserve"> codes and other documents that jurisdictions have agreed to implement through le</w:t>
      </w:r>
      <w:r w:rsidR="006C4DF9" w:rsidRPr="00EC7E2F">
        <w:rPr>
          <w:color w:val="auto"/>
        </w:rPr>
        <w:t xml:space="preserve">gislation or </w:t>
      </w:r>
      <w:r w:rsidR="006C4DF9" w:rsidRPr="00EC7E2F">
        <w:rPr>
          <w:b/>
          <w:color w:val="auto"/>
        </w:rPr>
        <w:t>licence</w:t>
      </w:r>
      <w:r w:rsidR="006C4DF9" w:rsidRPr="00EC7E2F">
        <w:rPr>
          <w:color w:val="auto"/>
        </w:rPr>
        <w:t xml:space="preserve"> conditions.</w:t>
      </w:r>
    </w:p>
    <w:p w14:paraId="410BBFF4" w14:textId="77DA1043" w:rsidR="00301FE6" w:rsidRPr="00EC7E2F" w:rsidRDefault="00301FE6" w:rsidP="00301FE6">
      <w:pPr>
        <w:pStyle w:val="Heading2"/>
        <w:rPr>
          <w:color w:val="auto"/>
        </w:rPr>
      </w:pPr>
      <w:bookmarkStart w:id="36" w:name="_Toc14347603"/>
      <w:bookmarkStart w:id="37" w:name="_Toc65240879"/>
      <w:bookmarkStart w:id="38" w:name="_Toc65241170"/>
      <w:r w:rsidRPr="00EC7E2F">
        <w:rPr>
          <w:color w:val="auto"/>
        </w:rPr>
        <w:t>Governance</w:t>
      </w:r>
      <w:bookmarkEnd w:id="36"/>
      <w:bookmarkEnd w:id="37"/>
      <w:bookmarkEnd w:id="38"/>
    </w:p>
    <w:p w14:paraId="7ACFC1F0" w14:textId="789D8E5F" w:rsidR="00301FE6" w:rsidRPr="00EC7E2F" w:rsidRDefault="00CE12EC" w:rsidP="00301FE6">
      <w:pPr>
        <w:pStyle w:val="Paranumbered"/>
        <w:rPr>
          <w:color w:val="auto"/>
          <w:lang w:val="en-GB"/>
        </w:rPr>
      </w:pPr>
      <w:r w:rsidRPr="00EC7E2F">
        <w:rPr>
          <w:color w:val="auto"/>
        </w:rPr>
        <w:t>Amendments to the NDRP</w:t>
      </w:r>
      <w:r w:rsidR="00F27DAA" w:rsidRPr="00EC7E2F">
        <w:rPr>
          <w:color w:val="auto"/>
        </w:rPr>
        <w:t xml:space="preserve"> </w:t>
      </w:r>
      <w:r w:rsidR="00301FE6" w:rsidRPr="00EC7E2F">
        <w:rPr>
          <w:color w:val="auto"/>
        </w:rPr>
        <w:t xml:space="preserve">will be considered and approved by the </w:t>
      </w:r>
      <w:r w:rsidR="002A6C40" w:rsidRPr="00EC7E2F">
        <w:rPr>
          <w:color w:val="auto"/>
        </w:rPr>
        <w:t>Health Council</w:t>
      </w:r>
      <w:r w:rsidR="005624FA" w:rsidRPr="00EC7E2F">
        <w:rPr>
          <w:color w:val="auto"/>
        </w:rPr>
        <w:t>.</w:t>
      </w:r>
    </w:p>
    <w:p w14:paraId="0F500D46" w14:textId="78D8FA56" w:rsidR="00301FE6" w:rsidRPr="00EC7E2F" w:rsidRDefault="00F27DAA" w:rsidP="00301FE6">
      <w:pPr>
        <w:pStyle w:val="Paranumbered"/>
        <w:rPr>
          <w:color w:val="auto"/>
        </w:rPr>
      </w:pPr>
      <w:r w:rsidRPr="00EC7E2F">
        <w:rPr>
          <w:color w:val="auto"/>
        </w:rPr>
        <w:t xml:space="preserve">In accordance with the functions set out in section 23 of the </w:t>
      </w:r>
      <w:r w:rsidRPr="00EC7E2F">
        <w:rPr>
          <w:i/>
          <w:color w:val="auto"/>
        </w:rPr>
        <w:t>Australian Radiation Protection and Nuclear Safety Act 1998</w:t>
      </w:r>
      <w:r w:rsidRPr="00EC7E2F">
        <w:rPr>
          <w:color w:val="auto"/>
        </w:rPr>
        <w:t xml:space="preserve">, the </w:t>
      </w:r>
      <w:r w:rsidR="00301FE6" w:rsidRPr="00EC7E2F">
        <w:rPr>
          <w:b/>
          <w:color w:val="auto"/>
        </w:rPr>
        <w:t>Radiation Health Committee (RHC)</w:t>
      </w:r>
      <w:r w:rsidR="00301FE6" w:rsidRPr="00EC7E2F">
        <w:rPr>
          <w:color w:val="auto"/>
        </w:rPr>
        <w:t xml:space="preserve"> will formulate draft radiation protection codes and standards for consideration by the Commonwealth, the States and Territories</w:t>
      </w:r>
      <w:r w:rsidRPr="00EC7E2F">
        <w:rPr>
          <w:color w:val="auto"/>
        </w:rPr>
        <w:t>.</w:t>
      </w:r>
      <w:r w:rsidR="00BB52E4" w:rsidRPr="00EC7E2F">
        <w:rPr>
          <w:color w:val="auto"/>
        </w:rPr>
        <w:t xml:space="preserve"> </w:t>
      </w:r>
      <w:r w:rsidRPr="00EC7E2F">
        <w:rPr>
          <w:color w:val="auto"/>
        </w:rPr>
        <w:t>The RHC will also periodically</w:t>
      </w:r>
      <w:r w:rsidR="00301FE6" w:rsidRPr="00EC7E2F">
        <w:rPr>
          <w:color w:val="auto"/>
        </w:rPr>
        <w:t xml:space="preserve"> review adopted codes and standards to ensure they continue to reflect world best practice.</w:t>
      </w:r>
    </w:p>
    <w:p w14:paraId="0D19FE4A" w14:textId="7DE7D9E0" w:rsidR="00301FE6" w:rsidRPr="00EC7E2F" w:rsidRDefault="00CE12EC" w:rsidP="00301FE6">
      <w:pPr>
        <w:pStyle w:val="Paranumbered"/>
        <w:rPr>
          <w:color w:val="auto"/>
          <w:lang w:val="en-GB"/>
        </w:rPr>
      </w:pPr>
      <w:r w:rsidRPr="00EC7E2F">
        <w:rPr>
          <w:color w:val="auto"/>
        </w:rPr>
        <w:t xml:space="preserve">The RHC will ensure that </w:t>
      </w:r>
      <w:r w:rsidR="00301FE6" w:rsidRPr="00EC7E2F">
        <w:rPr>
          <w:color w:val="auto"/>
        </w:rPr>
        <w:t xml:space="preserve">new or amended radiation protection codes and standards </w:t>
      </w:r>
      <w:r w:rsidR="00F27DAA" w:rsidRPr="00EC7E2F">
        <w:rPr>
          <w:color w:val="auto"/>
        </w:rPr>
        <w:t>meet the</w:t>
      </w:r>
      <w:r w:rsidRPr="00EC7E2F">
        <w:rPr>
          <w:color w:val="auto"/>
        </w:rPr>
        <w:t xml:space="preserve"> requirements of the</w:t>
      </w:r>
      <w:r w:rsidR="00F27DAA" w:rsidRPr="00EC7E2F">
        <w:rPr>
          <w:color w:val="auto"/>
        </w:rPr>
        <w:t xml:space="preserve"> </w:t>
      </w:r>
      <w:r w:rsidRPr="00EC7E2F">
        <w:rPr>
          <w:i/>
          <w:iCs/>
          <w:color w:val="auto"/>
        </w:rPr>
        <w:t>COAG</w:t>
      </w:r>
      <w:r w:rsidRPr="00EC7E2F">
        <w:rPr>
          <w:color w:val="auto"/>
        </w:rPr>
        <w:t xml:space="preserve"> </w:t>
      </w:r>
      <w:r w:rsidRPr="00EC7E2F">
        <w:rPr>
          <w:i/>
          <w:iCs/>
          <w:color w:val="auto"/>
        </w:rPr>
        <w:t xml:space="preserve">Best Practice Regulation: A Guide for Ministerial Councils and National Standard Setting Bodies (2007) </w:t>
      </w:r>
      <w:r w:rsidRPr="00EC7E2F">
        <w:rPr>
          <w:color w:val="auto"/>
        </w:rPr>
        <w:t xml:space="preserve">(COAG Guidelines) and any additional or special requirements of </w:t>
      </w:r>
      <w:r w:rsidR="00854034" w:rsidRPr="00EC7E2F">
        <w:rPr>
          <w:color w:val="auto"/>
        </w:rPr>
        <w:t xml:space="preserve">each </w:t>
      </w:r>
      <w:r w:rsidRPr="00EC7E2F">
        <w:rPr>
          <w:color w:val="auto"/>
        </w:rPr>
        <w:t>State and Territory.</w:t>
      </w:r>
    </w:p>
    <w:p w14:paraId="393D17C7" w14:textId="556D665E" w:rsidR="00301FE6" w:rsidRPr="00EC7E2F" w:rsidRDefault="00F27DAA" w:rsidP="00CB0DFE">
      <w:pPr>
        <w:pStyle w:val="Paranumbered"/>
        <w:rPr>
          <w:color w:val="auto"/>
          <w:lang w:val="en-GB"/>
        </w:rPr>
      </w:pPr>
      <w:r w:rsidRPr="00EC7E2F">
        <w:rPr>
          <w:color w:val="auto"/>
        </w:rPr>
        <w:t>The CEO of ARPANSA will present r</w:t>
      </w:r>
      <w:r w:rsidR="00301FE6" w:rsidRPr="00EC7E2F">
        <w:rPr>
          <w:color w:val="auto"/>
        </w:rPr>
        <w:t xml:space="preserve">adiation protection codes or standards formulated by the RHC to </w:t>
      </w:r>
      <w:r w:rsidR="00DF0DA4" w:rsidRPr="00EC7E2F">
        <w:rPr>
          <w:color w:val="auto"/>
        </w:rPr>
        <w:t xml:space="preserve">the Environmental Health Standing Committee (enHealth) </w:t>
      </w:r>
      <w:r w:rsidRPr="00EC7E2F">
        <w:rPr>
          <w:color w:val="auto"/>
        </w:rPr>
        <w:t>for</w:t>
      </w:r>
      <w:r w:rsidR="00301FE6" w:rsidRPr="00EC7E2F">
        <w:rPr>
          <w:color w:val="auto"/>
        </w:rPr>
        <w:t xml:space="preserve"> consider</w:t>
      </w:r>
      <w:r w:rsidRPr="00EC7E2F">
        <w:rPr>
          <w:color w:val="auto"/>
        </w:rPr>
        <w:t>ation</w:t>
      </w:r>
      <w:r w:rsidR="00301FE6" w:rsidRPr="00EC7E2F">
        <w:rPr>
          <w:color w:val="auto"/>
        </w:rPr>
        <w:t xml:space="preserve"> </w:t>
      </w:r>
      <w:r w:rsidR="00CE12EC" w:rsidRPr="00EC7E2F">
        <w:rPr>
          <w:color w:val="auto"/>
        </w:rPr>
        <w:t>and</w:t>
      </w:r>
      <w:r w:rsidR="00301FE6" w:rsidRPr="00EC7E2F">
        <w:rPr>
          <w:color w:val="auto"/>
        </w:rPr>
        <w:t xml:space="preserve"> adoption by the Commonwealth, the States and Territories.</w:t>
      </w:r>
    </w:p>
    <w:p w14:paraId="1B38D6A6" w14:textId="77777777" w:rsidR="0024219B" w:rsidRPr="00EC7E2F" w:rsidRDefault="00301FE6" w:rsidP="00CB0DFE">
      <w:pPr>
        <w:pStyle w:val="Paranumbered"/>
        <w:rPr>
          <w:color w:val="auto"/>
        </w:rPr>
      </w:pPr>
      <w:r w:rsidRPr="00EC7E2F">
        <w:rPr>
          <w:color w:val="auto"/>
        </w:rPr>
        <w:t xml:space="preserve">enHealth will oversee implementation of the </w:t>
      </w:r>
      <w:r w:rsidR="00BC1B65" w:rsidRPr="00EC7E2F">
        <w:rPr>
          <w:color w:val="auto"/>
        </w:rPr>
        <w:t xml:space="preserve">NDRP and </w:t>
      </w:r>
      <w:r w:rsidR="00081BED" w:rsidRPr="00EC7E2F">
        <w:rPr>
          <w:color w:val="auto"/>
        </w:rPr>
        <w:t>will facilitate cross-jurisdiction dissemination of national and international experience gained in the implementation of radiation safety legislation in order to continuously improve consistency and rigour of the national framework for radiation protection</w:t>
      </w:r>
      <w:r w:rsidRPr="00EC7E2F">
        <w:rPr>
          <w:color w:val="auto"/>
        </w:rPr>
        <w:t>.</w:t>
      </w:r>
    </w:p>
    <w:p w14:paraId="77C5FE4A" w14:textId="1C95004A" w:rsidR="00301FE6" w:rsidRPr="00EC7E2F" w:rsidRDefault="00301FE6" w:rsidP="00BC1B65">
      <w:pPr>
        <w:pStyle w:val="Paranumbered"/>
        <w:spacing w:before="0" w:after="200" w:line="276" w:lineRule="auto"/>
        <w:rPr>
          <w:color w:val="auto"/>
        </w:rPr>
      </w:pPr>
      <w:r w:rsidRPr="00EC7E2F">
        <w:rPr>
          <w:color w:val="auto"/>
        </w:rPr>
        <w:br w:type="page"/>
      </w:r>
    </w:p>
    <w:p w14:paraId="01B9444A" w14:textId="064F9456" w:rsidR="00301FE6" w:rsidRPr="00EC7E2F" w:rsidRDefault="00301FE6" w:rsidP="00301FE6">
      <w:pPr>
        <w:pStyle w:val="Heading1"/>
        <w:rPr>
          <w:color w:val="auto"/>
        </w:rPr>
      </w:pPr>
      <w:bookmarkStart w:id="39" w:name="_Toc14347604"/>
      <w:bookmarkStart w:id="40" w:name="_Toc65240880"/>
      <w:bookmarkStart w:id="41" w:name="_Toc65241171"/>
      <w:r w:rsidRPr="00EC7E2F">
        <w:rPr>
          <w:color w:val="auto"/>
        </w:rPr>
        <w:lastRenderedPageBreak/>
        <w:t xml:space="preserve">PART A – </w:t>
      </w:r>
      <w:r w:rsidR="00163D7B" w:rsidRPr="00EC7E2F">
        <w:rPr>
          <w:color w:val="auto"/>
        </w:rPr>
        <w:t xml:space="preserve">Legislative </w:t>
      </w:r>
      <w:r w:rsidR="006C4DF9" w:rsidRPr="00EC7E2F">
        <w:rPr>
          <w:color w:val="auto"/>
        </w:rPr>
        <w:t>f</w:t>
      </w:r>
      <w:r w:rsidRPr="00EC7E2F">
        <w:rPr>
          <w:color w:val="auto"/>
        </w:rPr>
        <w:t>ramework for radiation protection</w:t>
      </w:r>
      <w:bookmarkEnd w:id="39"/>
      <w:bookmarkEnd w:id="40"/>
      <w:bookmarkEnd w:id="41"/>
    </w:p>
    <w:p w14:paraId="3B7D7179" w14:textId="22625B75" w:rsidR="00301FE6" w:rsidRPr="00EC7E2F" w:rsidRDefault="00315EBE" w:rsidP="00C477F1">
      <w:pPr>
        <w:pStyle w:val="Heading2"/>
        <w:rPr>
          <w:color w:val="auto"/>
        </w:rPr>
      </w:pPr>
      <w:bookmarkStart w:id="42" w:name="_Toc65240881"/>
      <w:bookmarkStart w:id="43" w:name="_Toc65241172"/>
      <w:r w:rsidRPr="00EC7E2F">
        <w:rPr>
          <w:color w:val="auto"/>
        </w:rPr>
        <w:t>Scope</w:t>
      </w:r>
      <w:bookmarkEnd w:id="42"/>
      <w:bookmarkEnd w:id="43"/>
    </w:p>
    <w:p w14:paraId="5676F757" w14:textId="22096C13" w:rsidR="00301FE6" w:rsidRPr="00EC7E2F" w:rsidRDefault="00301FE6" w:rsidP="001F6778">
      <w:pPr>
        <w:pStyle w:val="Paranumbered"/>
        <w:spacing w:before="0" w:after="200" w:line="276" w:lineRule="auto"/>
        <w:rPr>
          <w:color w:val="auto"/>
        </w:rPr>
      </w:pPr>
      <w:r w:rsidRPr="00EC7E2F">
        <w:rPr>
          <w:color w:val="auto"/>
        </w:rPr>
        <w:t xml:space="preserve"> Jurisdictions agree that their radiation protection legislation will be consistent with the applicable </w:t>
      </w:r>
      <w:r w:rsidR="00324C1C" w:rsidRPr="00EC7E2F">
        <w:rPr>
          <w:color w:val="auto"/>
        </w:rPr>
        <w:t xml:space="preserve">requirements in </w:t>
      </w:r>
      <w:r w:rsidR="00A266C6" w:rsidRPr="00EC7E2F">
        <w:rPr>
          <w:color w:val="auto"/>
        </w:rPr>
        <w:t xml:space="preserve">the </w:t>
      </w:r>
      <w:r w:rsidR="00931654" w:rsidRPr="00EC7E2F">
        <w:rPr>
          <w:iCs/>
          <w:color w:val="auto"/>
        </w:rPr>
        <w:t>International Atomic Energy Agency</w:t>
      </w:r>
      <w:r w:rsidR="00913F53" w:rsidRPr="00EC7E2F">
        <w:rPr>
          <w:iCs/>
          <w:color w:val="auto"/>
        </w:rPr>
        <w:t xml:space="preserve"> </w:t>
      </w:r>
      <w:r w:rsidR="00913F53" w:rsidRPr="00EC7E2F">
        <w:rPr>
          <w:i/>
          <w:color w:val="auto"/>
        </w:rPr>
        <w:t>General Safety Requirements No. GSR Part 1</w:t>
      </w:r>
      <w:r w:rsidR="00464AB5" w:rsidRPr="00EC7E2F">
        <w:rPr>
          <w:i/>
          <w:color w:val="auto"/>
        </w:rPr>
        <w:t xml:space="preserve"> (Rev.1</w:t>
      </w:r>
      <w:r w:rsidR="00464AB5" w:rsidRPr="00EC7E2F">
        <w:rPr>
          <w:iCs/>
          <w:color w:val="auto"/>
        </w:rPr>
        <w:t>)</w:t>
      </w:r>
      <w:r w:rsidR="00A266C6" w:rsidRPr="00EC7E2F">
        <w:rPr>
          <w:i/>
          <w:color w:val="auto"/>
        </w:rPr>
        <w:t xml:space="preserve"> Governmental, Legal and</w:t>
      </w:r>
      <w:r w:rsidR="00931654" w:rsidRPr="00EC7E2F">
        <w:rPr>
          <w:i/>
          <w:color w:val="auto"/>
        </w:rPr>
        <w:t xml:space="preserve"> </w:t>
      </w:r>
      <w:r w:rsidR="00A266C6" w:rsidRPr="00EC7E2F">
        <w:rPr>
          <w:i/>
          <w:color w:val="auto"/>
        </w:rPr>
        <w:t>Regulatory Framework for Safety</w:t>
      </w:r>
      <w:r w:rsidR="00126F3D" w:rsidRPr="00EC7E2F">
        <w:rPr>
          <w:i/>
          <w:color w:val="auto"/>
        </w:rPr>
        <w:t xml:space="preserve"> (</w:t>
      </w:r>
      <w:r w:rsidR="00464AB5" w:rsidRPr="00EC7E2F">
        <w:rPr>
          <w:i/>
          <w:color w:val="auto"/>
        </w:rPr>
        <w:t>2016</w:t>
      </w:r>
      <w:r w:rsidR="00126F3D" w:rsidRPr="00EC7E2F">
        <w:rPr>
          <w:i/>
          <w:color w:val="auto"/>
        </w:rPr>
        <w:t>)</w:t>
      </w:r>
      <w:r w:rsidR="00931654" w:rsidRPr="00EC7E2F">
        <w:rPr>
          <w:color w:val="auto"/>
        </w:rPr>
        <w:t xml:space="preserve"> </w:t>
      </w:r>
      <w:r w:rsidR="00324C1C" w:rsidRPr="00EC7E2F">
        <w:rPr>
          <w:color w:val="auto"/>
        </w:rPr>
        <w:t xml:space="preserve">and be able to fully </w:t>
      </w:r>
      <w:r w:rsidR="00A62276" w:rsidRPr="00EC7E2F">
        <w:rPr>
          <w:color w:val="auto"/>
        </w:rPr>
        <w:t>implement</w:t>
      </w:r>
      <w:r w:rsidR="00324C1C" w:rsidRPr="00EC7E2F">
        <w:rPr>
          <w:color w:val="auto"/>
        </w:rPr>
        <w:t xml:space="preserve"> the </w:t>
      </w:r>
      <w:r w:rsidR="006C4DF9" w:rsidRPr="00EC7E2F">
        <w:rPr>
          <w:color w:val="auto"/>
        </w:rPr>
        <w:t>agreed regulatory arrangements in Part B below.</w:t>
      </w:r>
    </w:p>
    <w:p w14:paraId="2CFBA0EB" w14:textId="77777777" w:rsidR="00324C1C" w:rsidRPr="00EC7E2F" w:rsidRDefault="00324C1C" w:rsidP="00CE12EC">
      <w:pPr>
        <w:pStyle w:val="Paranumbered"/>
        <w:rPr>
          <w:color w:val="auto"/>
        </w:rPr>
      </w:pPr>
      <w:bookmarkStart w:id="44" w:name="_Ref21430748"/>
      <w:r w:rsidRPr="00EC7E2F">
        <w:rPr>
          <w:color w:val="auto"/>
        </w:rPr>
        <w:t>As a minimum</w:t>
      </w:r>
      <w:r w:rsidR="00BE3BAF" w:rsidRPr="00EC7E2F">
        <w:rPr>
          <w:color w:val="auto"/>
        </w:rPr>
        <w:t>, jurisdictions’</w:t>
      </w:r>
      <w:r w:rsidRPr="00EC7E2F">
        <w:rPr>
          <w:color w:val="auto"/>
        </w:rPr>
        <w:t xml:space="preserve"> </w:t>
      </w:r>
      <w:r w:rsidR="00A60D62" w:rsidRPr="00EC7E2F">
        <w:rPr>
          <w:color w:val="auto"/>
        </w:rPr>
        <w:t>l</w:t>
      </w:r>
      <w:r w:rsidRPr="00EC7E2F">
        <w:rPr>
          <w:color w:val="auto"/>
        </w:rPr>
        <w:t>egislation will:</w:t>
      </w:r>
      <w:bookmarkEnd w:id="44"/>
    </w:p>
    <w:p w14:paraId="4C5928D1" w14:textId="77777777" w:rsidR="008B6219" w:rsidRPr="00EC7E2F" w:rsidRDefault="00080E6C" w:rsidP="00586431">
      <w:pPr>
        <w:pStyle w:val="List1"/>
        <w:numPr>
          <w:ilvl w:val="0"/>
          <w:numId w:val="38"/>
        </w:numPr>
        <w:ind w:left="867" w:hanging="357"/>
        <w:rPr>
          <w:color w:val="auto"/>
        </w:rPr>
      </w:pPr>
      <w:r w:rsidRPr="00EC7E2F">
        <w:rPr>
          <w:color w:val="auto"/>
        </w:rPr>
        <w:t>h</w:t>
      </w:r>
      <w:r w:rsidR="00A60D62" w:rsidRPr="00EC7E2F">
        <w:rPr>
          <w:color w:val="auto"/>
        </w:rPr>
        <w:t>ave</w:t>
      </w:r>
      <w:r w:rsidRPr="00EC7E2F">
        <w:rPr>
          <w:color w:val="auto"/>
        </w:rPr>
        <w:t xml:space="preserve">, as an </w:t>
      </w:r>
      <w:r w:rsidR="00211DC0" w:rsidRPr="00EC7E2F">
        <w:rPr>
          <w:color w:val="auto"/>
        </w:rPr>
        <w:t>objective, the</w:t>
      </w:r>
      <w:r w:rsidR="00A62276" w:rsidRPr="00EC7E2F">
        <w:rPr>
          <w:color w:val="auto"/>
        </w:rPr>
        <w:t xml:space="preserve"> protection of</w:t>
      </w:r>
      <w:r w:rsidR="00324C1C" w:rsidRPr="00EC7E2F">
        <w:rPr>
          <w:color w:val="auto"/>
        </w:rPr>
        <w:t xml:space="preserve"> the health and safety of people and the environment from the harmful effects of ioni</w:t>
      </w:r>
      <w:r w:rsidR="008B6219" w:rsidRPr="00EC7E2F">
        <w:rPr>
          <w:color w:val="auto"/>
        </w:rPr>
        <w:t>sing and non-ionising radiation</w:t>
      </w:r>
    </w:p>
    <w:p w14:paraId="137FC4C7" w14:textId="77777777" w:rsidR="00E576A3" w:rsidRPr="00EC7E2F" w:rsidRDefault="008B6219" w:rsidP="00B552EC">
      <w:pPr>
        <w:pStyle w:val="List1"/>
        <w:rPr>
          <w:color w:val="auto"/>
        </w:rPr>
      </w:pPr>
      <w:r w:rsidRPr="00EC7E2F">
        <w:rPr>
          <w:color w:val="auto"/>
        </w:rPr>
        <w:t xml:space="preserve">incorporate the principles of </w:t>
      </w:r>
      <w:r w:rsidR="00F76FE1" w:rsidRPr="00EC7E2F">
        <w:rPr>
          <w:b/>
          <w:color w:val="auto"/>
        </w:rPr>
        <w:t>j</w:t>
      </w:r>
      <w:r w:rsidRPr="00EC7E2F">
        <w:rPr>
          <w:b/>
          <w:color w:val="auto"/>
        </w:rPr>
        <w:t>ustification</w:t>
      </w:r>
      <w:r w:rsidRPr="00EC7E2F">
        <w:rPr>
          <w:color w:val="auto"/>
        </w:rPr>
        <w:t xml:space="preserve">, </w:t>
      </w:r>
      <w:r w:rsidRPr="00EC7E2F">
        <w:rPr>
          <w:b/>
          <w:color w:val="auto"/>
        </w:rPr>
        <w:t>optimisation</w:t>
      </w:r>
      <w:r w:rsidRPr="00EC7E2F">
        <w:rPr>
          <w:color w:val="auto"/>
        </w:rPr>
        <w:t xml:space="preserve"> and </w:t>
      </w:r>
      <w:r w:rsidRPr="00EC7E2F">
        <w:rPr>
          <w:b/>
          <w:color w:val="auto"/>
        </w:rPr>
        <w:t>limitation</w:t>
      </w:r>
      <w:r w:rsidRPr="00EC7E2F">
        <w:rPr>
          <w:color w:val="auto"/>
        </w:rPr>
        <w:t xml:space="preserve"> for ionising radiation (see Fundamentals for Protection against Ionising Radiation, Radiation Protection Series F-1) </w:t>
      </w:r>
      <w:r w:rsidR="00080E6C" w:rsidRPr="00EC7E2F">
        <w:rPr>
          <w:color w:val="auto"/>
        </w:rPr>
        <w:t>(see also Schedule 1)</w:t>
      </w:r>
    </w:p>
    <w:p w14:paraId="27ACBA85" w14:textId="027353B6" w:rsidR="008B6219" w:rsidRPr="00EC7E2F" w:rsidRDefault="00E576A3" w:rsidP="00B552EC">
      <w:pPr>
        <w:pStyle w:val="List1"/>
        <w:rPr>
          <w:color w:val="auto"/>
        </w:rPr>
      </w:pPr>
      <w:r w:rsidRPr="00EC7E2F">
        <w:rPr>
          <w:color w:val="auto"/>
        </w:rPr>
        <w:t xml:space="preserve">incorporate </w:t>
      </w:r>
      <w:r w:rsidR="008B6219" w:rsidRPr="00EC7E2F">
        <w:rPr>
          <w:color w:val="auto"/>
        </w:rPr>
        <w:t>arrangements for manag</w:t>
      </w:r>
      <w:r w:rsidRPr="00EC7E2F">
        <w:rPr>
          <w:color w:val="auto"/>
        </w:rPr>
        <w:t xml:space="preserve">ing </w:t>
      </w:r>
      <w:r w:rsidR="008B6219" w:rsidRPr="00EC7E2F">
        <w:rPr>
          <w:color w:val="auto"/>
        </w:rPr>
        <w:t>radiation risks from non-ionising radiation (see Schedule 1)</w:t>
      </w:r>
    </w:p>
    <w:p w14:paraId="287C4AF2" w14:textId="36FBD941" w:rsidR="008B6219" w:rsidRPr="00EC7E2F" w:rsidRDefault="004C761C" w:rsidP="00B552EC">
      <w:pPr>
        <w:pStyle w:val="List1"/>
        <w:rPr>
          <w:color w:val="auto"/>
        </w:rPr>
      </w:pPr>
      <w:r w:rsidRPr="00EC7E2F">
        <w:rPr>
          <w:color w:val="auto"/>
        </w:rPr>
        <w:t>provide</w:t>
      </w:r>
      <w:r w:rsidR="00F76FE1" w:rsidRPr="00EC7E2F">
        <w:rPr>
          <w:color w:val="auto"/>
        </w:rPr>
        <w:t xml:space="preserve"> </w:t>
      </w:r>
      <w:r w:rsidR="00E576A3" w:rsidRPr="00EC7E2F">
        <w:rPr>
          <w:color w:val="auto"/>
        </w:rPr>
        <w:t>for</w:t>
      </w:r>
      <w:r w:rsidR="008B6219" w:rsidRPr="00EC7E2F">
        <w:rPr>
          <w:color w:val="auto"/>
        </w:rPr>
        <w:t xml:space="preserve"> </w:t>
      </w:r>
      <w:r w:rsidR="00163D7B" w:rsidRPr="00EC7E2F">
        <w:rPr>
          <w:color w:val="auto"/>
        </w:rPr>
        <w:t xml:space="preserve">the application of a </w:t>
      </w:r>
      <w:r w:rsidR="00163D7B" w:rsidRPr="00EC7E2F">
        <w:rPr>
          <w:b/>
          <w:color w:val="auto"/>
        </w:rPr>
        <w:t>graded</w:t>
      </w:r>
      <w:r w:rsidR="00163D7B" w:rsidRPr="00EC7E2F">
        <w:rPr>
          <w:color w:val="auto"/>
        </w:rPr>
        <w:t xml:space="preserve"> (risk based) approach to </w:t>
      </w:r>
      <w:r w:rsidR="00B552EC" w:rsidRPr="00EC7E2F">
        <w:rPr>
          <w:color w:val="auto"/>
        </w:rPr>
        <w:t xml:space="preserve">the </w:t>
      </w:r>
      <w:r w:rsidR="00163D7B" w:rsidRPr="00EC7E2F">
        <w:rPr>
          <w:color w:val="auto"/>
        </w:rPr>
        <w:t xml:space="preserve">implementation of </w:t>
      </w:r>
      <w:r w:rsidR="008B6219" w:rsidRPr="00EC7E2F">
        <w:rPr>
          <w:color w:val="auto"/>
        </w:rPr>
        <w:t xml:space="preserve">controls to address public, occupational, and medical exposure, and </w:t>
      </w:r>
      <w:r w:rsidR="008B6219" w:rsidRPr="00EC7E2F">
        <w:rPr>
          <w:b/>
          <w:color w:val="auto"/>
        </w:rPr>
        <w:t>protection of the environment</w:t>
      </w:r>
      <w:r w:rsidR="008B6219" w:rsidRPr="00EC7E2F">
        <w:rPr>
          <w:color w:val="auto"/>
        </w:rPr>
        <w:t xml:space="preserve"> in situations of exposure to ionising or non-ionising radiation</w:t>
      </w:r>
    </w:p>
    <w:p w14:paraId="4353FC75" w14:textId="77777777" w:rsidR="008B6219" w:rsidRPr="00EC7E2F" w:rsidRDefault="008B6219" w:rsidP="00B552EC">
      <w:pPr>
        <w:pStyle w:val="List1"/>
        <w:rPr>
          <w:color w:val="auto"/>
        </w:rPr>
      </w:pPr>
      <w:r w:rsidRPr="00EC7E2F">
        <w:rPr>
          <w:color w:val="auto"/>
        </w:rPr>
        <w:t xml:space="preserve">prohibit any dealing with a </w:t>
      </w:r>
      <w:r w:rsidRPr="00EC7E2F">
        <w:rPr>
          <w:b/>
          <w:color w:val="auto"/>
        </w:rPr>
        <w:t>radiation source</w:t>
      </w:r>
      <w:r w:rsidRPr="00EC7E2F">
        <w:rPr>
          <w:color w:val="auto"/>
        </w:rPr>
        <w:t xml:space="preserve"> without the appropriate authorisation, unless the source is </w:t>
      </w:r>
      <w:r w:rsidRPr="00EC7E2F">
        <w:rPr>
          <w:b/>
          <w:bCs/>
          <w:color w:val="auto"/>
        </w:rPr>
        <w:t>excluded</w:t>
      </w:r>
      <w:r w:rsidRPr="00EC7E2F">
        <w:rPr>
          <w:color w:val="auto"/>
        </w:rPr>
        <w:t xml:space="preserve">, exempt or constitutes an authorised source, material or object that can be </w:t>
      </w:r>
      <w:r w:rsidRPr="00EC7E2F">
        <w:rPr>
          <w:b/>
          <w:bCs/>
          <w:color w:val="auto"/>
        </w:rPr>
        <w:t>cleared</w:t>
      </w:r>
      <w:r w:rsidRPr="00EC7E2F">
        <w:rPr>
          <w:color w:val="auto"/>
        </w:rPr>
        <w:t xml:space="preserve"> from further regulatory control</w:t>
      </w:r>
    </w:p>
    <w:p w14:paraId="0808E67B" w14:textId="77777777" w:rsidR="008B6219" w:rsidRPr="00EC7E2F" w:rsidRDefault="00F76FE1" w:rsidP="00B552EC">
      <w:pPr>
        <w:pStyle w:val="List1"/>
        <w:rPr>
          <w:color w:val="auto"/>
        </w:rPr>
      </w:pPr>
      <w:r w:rsidRPr="00EC7E2F">
        <w:rPr>
          <w:color w:val="auto"/>
        </w:rPr>
        <w:t>include</w:t>
      </w:r>
      <w:r w:rsidR="008B6219" w:rsidRPr="00EC7E2F">
        <w:rPr>
          <w:color w:val="auto"/>
        </w:rPr>
        <w:t xml:space="preserve"> requirement</w:t>
      </w:r>
      <w:r w:rsidR="00E576A3" w:rsidRPr="00EC7E2F">
        <w:rPr>
          <w:color w:val="auto"/>
        </w:rPr>
        <w:t>s</w:t>
      </w:r>
      <w:r w:rsidR="008B6219" w:rsidRPr="00EC7E2F">
        <w:rPr>
          <w:color w:val="auto"/>
        </w:rPr>
        <w:t xml:space="preserve"> to ensure that </w:t>
      </w:r>
      <w:r w:rsidR="00BC1B65" w:rsidRPr="00EC7E2F">
        <w:rPr>
          <w:color w:val="auto"/>
        </w:rPr>
        <w:t>authorised persons ensure that adequate provisions (including financial provisions) are made to</w:t>
      </w:r>
      <w:r w:rsidR="008B6219" w:rsidRPr="00EC7E2F">
        <w:rPr>
          <w:color w:val="auto"/>
        </w:rPr>
        <w:t xml:space="preserve"> cover the cost of managing a disused radioactive source</w:t>
      </w:r>
    </w:p>
    <w:p w14:paraId="587EA538" w14:textId="642B67E6" w:rsidR="00301FE6" w:rsidRPr="00EC7E2F" w:rsidRDefault="004C761C" w:rsidP="00B552EC">
      <w:pPr>
        <w:pStyle w:val="List1"/>
        <w:rPr>
          <w:color w:val="auto"/>
        </w:rPr>
      </w:pPr>
      <w:r w:rsidRPr="00EC7E2F">
        <w:rPr>
          <w:color w:val="auto"/>
        </w:rPr>
        <w:t>provide</w:t>
      </w:r>
      <w:r w:rsidR="00E34886" w:rsidRPr="00EC7E2F">
        <w:rPr>
          <w:color w:val="auto"/>
        </w:rPr>
        <w:t xml:space="preserve"> for a</w:t>
      </w:r>
      <w:r w:rsidR="00F76FE1" w:rsidRPr="00EC7E2F">
        <w:rPr>
          <w:color w:val="auto"/>
        </w:rPr>
        <w:t xml:space="preserve"> </w:t>
      </w:r>
      <w:r w:rsidR="00B328C9" w:rsidRPr="00EC7E2F">
        <w:rPr>
          <w:color w:val="auto"/>
        </w:rPr>
        <w:t xml:space="preserve">person with responsibility for managing radiation risks </w:t>
      </w:r>
      <w:r w:rsidRPr="00EC7E2F">
        <w:rPr>
          <w:color w:val="auto"/>
        </w:rPr>
        <w:t>(</w:t>
      </w:r>
      <w:r w:rsidR="00B328C9" w:rsidRPr="00EC7E2F">
        <w:rPr>
          <w:color w:val="auto"/>
        </w:rPr>
        <w:t>a ‘</w:t>
      </w:r>
      <w:r w:rsidR="00B328C9" w:rsidRPr="00EC7E2F">
        <w:rPr>
          <w:b/>
          <w:color w:val="auto"/>
        </w:rPr>
        <w:t>responsible person</w:t>
      </w:r>
      <w:r w:rsidR="00B328C9" w:rsidRPr="00EC7E2F">
        <w:rPr>
          <w:color w:val="auto"/>
        </w:rPr>
        <w:t>’)</w:t>
      </w:r>
      <w:r w:rsidRPr="00EC7E2F">
        <w:rPr>
          <w:color w:val="auto"/>
        </w:rPr>
        <w:t>.</w:t>
      </w:r>
      <w:r w:rsidR="00BB52E4" w:rsidRPr="00EC7E2F">
        <w:rPr>
          <w:color w:val="auto"/>
        </w:rPr>
        <w:t xml:space="preserve"> </w:t>
      </w:r>
      <w:r w:rsidR="00301FE6" w:rsidRPr="00EC7E2F">
        <w:rPr>
          <w:color w:val="auto"/>
        </w:rPr>
        <w:t xml:space="preserve">The </w:t>
      </w:r>
      <w:r w:rsidR="00B328C9" w:rsidRPr="00EC7E2F">
        <w:rPr>
          <w:color w:val="auto"/>
        </w:rPr>
        <w:t>‘</w:t>
      </w:r>
      <w:r w:rsidR="00301FE6" w:rsidRPr="00EC7E2F">
        <w:rPr>
          <w:color w:val="auto"/>
        </w:rPr>
        <w:t>responsible person</w:t>
      </w:r>
      <w:r w:rsidR="00B328C9" w:rsidRPr="00EC7E2F">
        <w:rPr>
          <w:color w:val="auto"/>
        </w:rPr>
        <w:t>’</w:t>
      </w:r>
      <w:r w:rsidR="00301FE6" w:rsidRPr="00EC7E2F">
        <w:rPr>
          <w:color w:val="auto"/>
        </w:rPr>
        <w:t xml:space="preserve"> is required to make </w:t>
      </w:r>
      <w:r w:rsidR="00301FE6" w:rsidRPr="00EC7E2F">
        <w:rPr>
          <w:b/>
          <w:color w:val="auto"/>
        </w:rPr>
        <w:t>notifications</w:t>
      </w:r>
      <w:r w:rsidR="00726BC6" w:rsidRPr="00EC7E2F">
        <w:rPr>
          <w:color w:val="auto"/>
        </w:rPr>
        <w:t xml:space="preserve"> </w:t>
      </w:r>
      <w:r w:rsidR="00B328C9" w:rsidRPr="00EC7E2F">
        <w:rPr>
          <w:color w:val="auto"/>
        </w:rPr>
        <w:t xml:space="preserve">and </w:t>
      </w:r>
      <w:r w:rsidR="00301FE6" w:rsidRPr="00EC7E2F">
        <w:rPr>
          <w:color w:val="auto"/>
        </w:rPr>
        <w:t xml:space="preserve">gain approvals and </w:t>
      </w:r>
      <w:r w:rsidR="00B328C9" w:rsidRPr="00EC7E2F">
        <w:rPr>
          <w:color w:val="auto"/>
        </w:rPr>
        <w:t xml:space="preserve">other relevant </w:t>
      </w:r>
      <w:r w:rsidR="00301FE6" w:rsidRPr="00EC7E2F">
        <w:rPr>
          <w:color w:val="auto"/>
        </w:rPr>
        <w:t xml:space="preserve">authorisations from regulators before conducting a practice. These authorisations include </w:t>
      </w:r>
      <w:r w:rsidR="00301FE6" w:rsidRPr="00EC7E2F">
        <w:rPr>
          <w:b/>
          <w:color w:val="auto"/>
        </w:rPr>
        <w:t>registrations</w:t>
      </w:r>
      <w:r w:rsidR="00301FE6" w:rsidRPr="00EC7E2F">
        <w:rPr>
          <w:color w:val="auto"/>
        </w:rPr>
        <w:t xml:space="preserve">, licences or </w:t>
      </w:r>
      <w:r w:rsidR="00301FE6" w:rsidRPr="00EC7E2F">
        <w:rPr>
          <w:b/>
          <w:color w:val="auto"/>
        </w:rPr>
        <w:t>accreditations</w:t>
      </w:r>
    </w:p>
    <w:p w14:paraId="0D953974" w14:textId="15B57D76" w:rsidR="00E34886" w:rsidRPr="00EC7E2F" w:rsidRDefault="00B552EC" w:rsidP="00B552EC">
      <w:pPr>
        <w:pStyle w:val="List1"/>
        <w:rPr>
          <w:color w:val="auto"/>
        </w:rPr>
      </w:pPr>
      <w:r w:rsidRPr="00EC7E2F">
        <w:rPr>
          <w:color w:val="auto"/>
        </w:rPr>
        <w:t>require</w:t>
      </w:r>
      <w:r w:rsidR="00D557E0" w:rsidRPr="00EC7E2F">
        <w:rPr>
          <w:color w:val="auto"/>
        </w:rPr>
        <w:t xml:space="preserve"> </w:t>
      </w:r>
      <w:r w:rsidR="00E34886" w:rsidRPr="00EC7E2F">
        <w:rPr>
          <w:color w:val="auto"/>
        </w:rPr>
        <w:t xml:space="preserve">responsible persons to establish a </w:t>
      </w:r>
      <w:r w:rsidR="00297DE9" w:rsidRPr="00EC7E2F">
        <w:rPr>
          <w:color w:val="auto"/>
        </w:rPr>
        <w:t xml:space="preserve">radiation risk </w:t>
      </w:r>
      <w:r w:rsidR="00E34886" w:rsidRPr="00EC7E2F">
        <w:rPr>
          <w:color w:val="auto"/>
        </w:rPr>
        <w:t xml:space="preserve">management system that </w:t>
      </w:r>
      <w:r w:rsidR="00BC1B65" w:rsidRPr="00EC7E2F">
        <w:rPr>
          <w:color w:val="auto"/>
        </w:rPr>
        <w:t>ensures</w:t>
      </w:r>
      <w:r w:rsidR="00E34886" w:rsidRPr="00EC7E2F">
        <w:rPr>
          <w:color w:val="auto"/>
        </w:rPr>
        <w:t>:</w:t>
      </w:r>
    </w:p>
    <w:p w14:paraId="30C9BE08" w14:textId="77777777" w:rsidR="00E34886" w:rsidRPr="00EC7E2F" w:rsidRDefault="00E34886" w:rsidP="009227EA">
      <w:pPr>
        <w:pStyle w:val="ListParagraph"/>
        <w:rPr>
          <w:color w:val="auto"/>
        </w:rPr>
      </w:pPr>
      <w:r w:rsidRPr="00EC7E2F">
        <w:rPr>
          <w:color w:val="auto"/>
        </w:rPr>
        <w:t>a culture of safety</w:t>
      </w:r>
    </w:p>
    <w:p w14:paraId="468BF6CC" w14:textId="77777777" w:rsidR="00E34886" w:rsidRPr="00EC7E2F" w:rsidRDefault="00E34886" w:rsidP="009227EA">
      <w:pPr>
        <w:pStyle w:val="ListParagraph"/>
        <w:rPr>
          <w:color w:val="auto"/>
        </w:rPr>
      </w:pPr>
      <w:r w:rsidRPr="00EC7E2F">
        <w:rPr>
          <w:color w:val="auto"/>
        </w:rPr>
        <w:t xml:space="preserve">quality over the </w:t>
      </w:r>
      <w:proofErr w:type="gramStart"/>
      <w:r w:rsidRPr="00EC7E2F">
        <w:rPr>
          <w:color w:val="auto"/>
        </w:rPr>
        <w:t>life-cycle</w:t>
      </w:r>
      <w:proofErr w:type="gramEnd"/>
      <w:r w:rsidRPr="00EC7E2F">
        <w:rPr>
          <w:color w:val="auto"/>
        </w:rPr>
        <w:t xml:space="preserve"> of a practice, a source within a practice, or a facility </w:t>
      </w:r>
    </w:p>
    <w:p w14:paraId="0287CB4D" w14:textId="77777777" w:rsidR="00E34886" w:rsidRPr="00EC7E2F" w:rsidRDefault="00E34886" w:rsidP="009227EA">
      <w:pPr>
        <w:pStyle w:val="ListParagraph"/>
        <w:rPr>
          <w:color w:val="auto"/>
        </w:rPr>
      </w:pPr>
      <w:r w:rsidRPr="00EC7E2F">
        <w:rPr>
          <w:color w:val="auto"/>
        </w:rPr>
        <w:t xml:space="preserve">reduction of the probability of human error that could lead to </w:t>
      </w:r>
      <w:r w:rsidRPr="00EC7E2F">
        <w:rPr>
          <w:b/>
          <w:color w:val="auto"/>
        </w:rPr>
        <w:t>accidents</w:t>
      </w:r>
    </w:p>
    <w:p w14:paraId="2E8EFE9F" w14:textId="4E0FE310" w:rsidR="00E34886" w:rsidRPr="00EC7E2F" w:rsidRDefault="00E34886" w:rsidP="009227EA">
      <w:pPr>
        <w:pStyle w:val="ListParagraph"/>
        <w:rPr>
          <w:color w:val="auto"/>
          <w:spacing w:val="-4"/>
        </w:rPr>
      </w:pPr>
      <w:r w:rsidRPr="00EC7E2F">
        <w:rPr>
          <w:color w:val="auto"/>
          <w:spacing w:val="-4"/>
        </w:rPr>
        <w:t>prevention of accident</w:t>
      </w:r>
      <w:r w:rsidR="009C34A1" w:rsidRPr="00EC7E2F">
        <w:rPr>
          <w:color w:val="auto"/>
          <w:spacing w:val="-4"/>
        </w:rPr>
        <w:t>s</w:t>
      </w:r>
      <w:r w:rsidRPr="00EC7E2F">
        <w:rPr>
          <w:color w:val="auto"/>
          <w:spacing w:val="-4"/>
        </w:rPr>
        <w:t xml:space="preserve"> and mitigation of consequences</w:t>
      </w:r>
      <w:r w:rsidR="009227EA" w:rsidRPr="00EC7E2F">
        <w:rPr>
          <w:color w:val="auto"/>
          <w:spacing w:val="-4"/>
        </w:rPr>
        <w:t xml:space="preserve"> of accidents on </w:t>
      </w:r>
      <w:r w:rsidRPr="00EC7E2F">
        <w:rPr>
          <w:color w:val="auto"/>
          <w:spacing w:val="-4"/>
        </w:rPr>
        <w:t>and off-site</w:t>
      </w:r>
    </w:p>
    <w:p w14:paraId="3ECAF5B4" w14:textId="77777777" w:rsidR="00E34886" w:rsidRPr="00EC7E2F" w:rsidRDefault="00E34886" w:rsidP="009227EA">
      <w:pPr>
        <w:pStyle w:val="ListParagraph"/>
        <w:rPr>
          <w:color w:val="auto"/>
        </w:rPr>
      </w:pPr>
      <w:r w:rsidRPr="00EC7E2F">
        <w:rPr>
          <w:color w:val="auto"/>
        </w:rPr>
        <w:t xml:space="preserve">making </w:t>
      </w:r>
      <w:r w:rsidR="004C761C" w:rsidRPr="00EC7E2F">
        <w:rPr>
          <w:color w:val="auto"/>
        </w:rPr>
        <w:t xml:space="preserve">radiation safety </w:t>
      </w:r>
      <w:r w:rsidRPr="00EC7E2F">
        <w:rPr>
          <w:color w:val="auto"/>
        </w:rPr>
        <w:t>training and information available to staff</w:t>
      </w:r>
    </w:p>
    <w:p w14:paraId="0B40C001" w14:textId="12C2137F" w:rsidR="00E34886" w:rsidRPr="00EC7E2F" w:rsidRDefault="00E34886" w:rsidP="009227EA">
      <w:pPr>
        <w:pStyle w:val="ListParagraph"/>
        <w:rPr>
          <w:color w:val="auto"/>
        </w:rPr>
      </w:pPr>
      <w:r w:rsidRPr="00EC7E2F">
        <w:rPr>
          <w:color w:val="auto"/>
        </w:rPr>
        <w:t xml:space="preserve">safety and security of radiation sources over their lifetime (including </w:t>
      </w:r>
      <w:r w:rsidRPr="00EC7E2F">
        <w:rPr>
          <w:b/>
          <w:color w:val="auto"/>
        </w:rPr>
        <w:t>disposal</w:t>
      </w:r>
      <w:r w:rsidRPr="00EC7E2F">
        <w:rPr>
          <w:color w:val="auto"/>
        </w:rPr>
        <w:t>)</w:t>
      </w:r>
    </w:p>
    <w:p w14:paraId="4E129006" w14:textId="77777777" w:rsidR="00E34886" w:rsidRPr="00EC7E2F" w:rsidRDefault="00E34886" w:rsidP="009227EA">
      <w:pPr>
        <w:pStyle w:val="ListParagraph"/>
        <w:rPr>
          <w:color w:val="auto"/>
        </w:rPr>
      </w:pPr>
      <w:r w:rsidRPr="00EC7E2F">
        <w:rPr>
          <w:color w:val="auto"/>
        </w:rPr>
        <w:t xml:space="preserve">provision of necessary qualified expertise </w:t>
      </w:r>
    </w:p>
    <w:p w14:paraId="392C0FB8" w14:textId="77777777" w:rsidR="00E34886" w:rsidRPr="00EC7E2F" w:rsidRDefault="004C761C" w:rsidP="009227EA">
      <w:pPr>
        <w:pStyle w:val="ListParagraph"/>
        <w:rPr>
          <w:color w:val="auto"/>
        </w:rPr>
      </w:pPr>
      <w:r w:rsidRPr="00EC7E2F">
        <w:rPr>
          <w:color w:val="auto"/>
        </w:rPr>
        <w:t>undertaking</w:t>
      </w:r>
      <w:r w:rsidR="00E34886" w:rsidRPr="00EC7E2F">
        <w:rPr>
          <w:color w:val="auto"/>
        </w:rPr>
        <w:t xml:space="preserve"> </w:t>
      </w:r>
      <w:r w:rsidR="004903A1" w:rsidRPr="00EC7E2F">
        <w:rPr>
          <w:b/>
          <w:color w:val="auto"/>
        </w:rPr>
        <w:t>safety assessments</w:t>
      </w:r>
      <w:r w:rsidR="004903A1" w:rsidRPr="00EC7E2F">
        <w:rPr>
          <w:color w:val="auto"/>
        </w:rPr>
        <w:t xml:space="preserve"> to </w:t>
      </w:r>
      <w:r w:rsidR="00E34886" w:rsidRPr="00EC7E2F">
        <w:rPr>
          <w:color w:val="auto"/>
        </w:rPr>
        <w:t>verif</w:t>
      </w:r>
      <w:r w:rsidR="004903A1" w:rsidRPr="00EC7E2F">
        <w:rPr>
          <w:color w:val="auto"/>
        </w:rPr>
        <w:t>y</w:t>
      </w:r>
      <w:r w:rsidR="00E34886" w:rsidRPr="00EC7E2F">
        <w:rPr>
          <w:color w:val="auto"/>
        </w:rPr>
        <w:t xml:space="preserve"> safety and security </w:t>
      </w:r>
    </w:p>
    <w:p w14:paraId="6A63E201" w14:textId="77777777" w:rsidR="00E34886" w:rsidRPr="00EC7E2F" w:rsidRDefault="00E34886" w:rsidP="009227EA">
      <w:pPr>
        <w:pStyle w:val="ListParagraph"/>
        <w:rPr>
          <w:color w:val="auto"/>
        </w:rPr>
      </w:pPr>
      <w:r w:rsidRPr="00EC7E2F">
        <w:rPr>
          <w:color w:val="auto"/>
        </w:rPr>
        <w:t>maintenance of appropriate records</w:t>
      </w:r>
    </w:p>
    <w:p w14:paraId="14E22A3D" w14:textId="339307E9" w:rsidR="004C761C" w:rsidRPr="00EC7E2F" w:rsidRDefault="00CD1073" w:rsidP="009227EA">
      <w:pPr>
        <w:pStyle w:val="ListParagraph"/>
        <w:rPr>
          <w:color w:val="auto"/>
        </w:rPr>
      </w:pPr>
      <w:r w:rsidRPr="00EC7E2F">
        <w:rPr>
          <w:color w:val="auto"/>
        </w:rPr>
        <w:t>consultation with</w:t>
      </w:r>
      <w:r w:rsidR="00E34886" w:rsidRPr="00EC7E2F">
        <w:rPr>
          <w:color w:val="auto"/>
        </w:rPr>
        <w:t xml:space="preserve"> interested parties and the public about</w:t>
      </w:r>
      <w:r w:rsidR="00D557E0" w:rsidRPr="00EC7E2F">
        <w:rPr>
          <w:color w:val="auto"/>
        </w:rPr>
        <w:t xml:space="preserve"> radiation risks and regulatory measures</w:t>
      </w:r>
      <w:r w:rsidR="004C761C" w:rsidRPr="00EC7E2F">
        <w:rPr>
          <w:color w:val="auto"/>
        </w:rPr>
        <w:t>:</w:t>
      </w:r>
    </w:p>
    <w:p w14:paraId="2DB76A02" w14:textId="53BA8B31" w:rsidR="00301FE6" w:rsidRPr="00EC7E2F" w:rsidRDefault="009F3E68" w:rsidP="00586431">
      <w:pPr>
        <w:pStyle w:val="List1"/>
        <w:rPr>
          <w:color w:val="auto"/>
        </w:rPr>
      </w:pPr>
      <w:r w:rsidRPr="00EC7E2F">
        <w:rPr>
          <w:color w:val="auto"/>
        </w:rPr>
        <w:lastRenderedPageBreak/>
        <w:t xml:space="preserve">provide for </w:t>
      </w:r>
      <w:r w:rsidR="00E34886" w:rsidRPr="00EC7E2F">
        <w:rPr>
          <w:color w:val="auto"/>
        </w:rPr>
        <w:t xml:space="preserve">the control of </w:t>
      </w:r>
      <w:r w:rsidR="00301FE6" w:rsidRPr="00EC7E2F">
        <w:rPr>
          <w:color w:val="auto"/>
        </w:rPr>
        <w:t>planned exposure situations, existing exposure situations and emergency exposure situations involving ionising radiation</w:t>
      </w:r>
    </w:p>
    <w:p w14:paraId="706AA81D" w14:textId="2807582E" w:rsidR="00301FE6" w:rsidRPr="00EC7E2F" w:rsidRDefault="009F3E68" w:rsidP="00586431">
      <w:pPr>
        <w:pStyle w:val="List1"/>
        <w:rPr>
          <w:color w:val="auto"/>
        </w:rPr>
      </w:pPr>
      <w:r w:rsidRPr="00EC7E2F">
        <w:rPr>
          <w:color w:val="auto"/>
        </w:rPr>
        <w:t xml:space="preserve">provide for </w:t>
      </w:r>
      <w:r w:rsidR="008B6219" w:rsidRPr="00EC7E2F">
        <w:rPr>
          <w:color w:val="auto"/>
        </w:rPr>
        <w:t>a system of authorisations, registrations and notifications</w:t>
      </w:r>
    </w:p>
    <w:p w14:paraId="612C0DFE" w14:textId="77777777" w:rsidR="002B616C" w:rsidRPr="00EC7E2F" w:rsidRDefault="009F3E68" w:rsidP="00586431">
      <w:pPr>
        <w:pStyle w:val="List1"/>
        <w:rPr>
          <w:color w:val="auto"/>
        </w:rPr>
      </w:pPr>
      <w:r w:rsidRPr="00EC7E2F">
        <w:rPr>
          <w:color w:val="auto"/>
        </w:rPr>
        <w:t xml:space="preserve">provide </w:t>
      </w:r>
      <w:r w:rsidR="00301FE6" w:rsidRPr="00EC7E2F">
        <w:rPr>
          <w:color w:val="auto"/>
        </w:rPr>
        <w:t>requirements for</w:t>
      </w:r>
      <w:r w:rsidR="00081BED" w:rsidRPr="00EC7E2F">
        <w:rPr>
          <w:color w:val="auto"/>
        </w:rPr>
        <w:t xml:space="preserve"> engineered ba</w:t>
      </w:r>
      <w:r w:rsidR="002B616C" w:rsidRPr="00EC7E2F">
        <w:rPr>
          <w:color w:val="auto"/>
        </w:rPr>
        <w:t>rriers and controls to restrict:</w:t>
      </w:r>
    </w:p>
    <w:p w14:paraId="5FF64D37" w14:textId="60AE95F2" w:rsidR="002B616C" w:rsidRPr="00EC7E2F" w:rsidRDefault="002B616C" w:rsidP="002B616C">
      <w:pPr>
        <w:pStyle w:val="ListParagraph"/>
        <w:numPr>
          <w:ilvl w:val="0"/>
          <w:numId w:val="39"/>
        </w:numPr>
        <w:rPr>
          <w:color w:val="auto"/>
        </w:rPr>
      </w:pPr>
      <w:r w:rsidRPr="00EC7E2F">
        <w:rPr>
          <w:color w:val="auto"/>
        </w:rPr>
        <w:t>radiation levels</w:t>
      </w:r>
    </w:p>
    <w:p w14:paraId="37C38160" w14:textId="77777777" w:rsidR="002B616C" w:rsidRPr="00EC7E2F" w:rsidRDefault="00081BED" w:rsidP="002B616C">
      <w:pPr>
        <w:pStyle w:val="ListParagraph"/>
        <w:numPr>
          <w:ilvl w:val="0"/>
          <w:numId w:val="39"/>
        </w:numPr>
        <w:rPr>
          <w:color w:val="auto"/>
        </w:rPr>
      </w:pPr>
      <w:r w:rsidRPr="00EC7E2F">
        <w:rPr>
          <w:color w:val="auto"/>
        </w:rPr>
        <w:t xml:space="preserve">release of </w:t>
      </w:r>
      <w:r w:rsidRPr="00EC7E2F">
        <w:rPr>
          <w:b/>
          <w:color w:val="auto"/>
        </w:rPr>
        <w:t>radioactive materials</w:t>
      </w:r>
      <w:r w:rsidR="002B616C" w:rsidRPr="00EC7E2F">
        <w:rPr>
          <w:color w:val="auto"/>
        </w:rPr>
        <w:t>,</w:t>
      </w:r>
      <w:r w:rsidRPr="00EC7E2F">
        <w:rPr>
          <w:color w:val="auto"/>
        </w:rPr>
        <w:t xml:space="preserve"> and </w:t>
      </w:r>
    </w:p>
    <w:p w14:paraId="46C05520" w14:textId="41AD7DE5" w:rsidR="001B5D33" w:rsidRPr="00EC7E2F" w:rsidRDefault="00081BED" w:rsidP="002B616C">
      <w:pPr>
        <w:pStyle w:val="ListParagraph"/>
        <w:numPr>
          <w:ilvl w:val="0"/>
          <w:numId w:val="39"/>
        </w:numPr>
        <w:rPr>
          <w:color w:val="auto"/>
        </w:rPr>
      </w:pPr>
      <w:r w:rsidRPr="00EC7E2F">
        <w:rPr>
          <w:color w:val="auto"/>
        </w:rPr>
        <w:t>external and internal exposures, including exposures of relevance to environmental protection</w:t>
      </w:r>
    </w:p>
    <w:p w14:paraId="5B8E7860" w14:textId="3293F985" w:rsidR="00691F32" w:rsidRPr="00EC7E2F" w:rsidRDefault="00605D29" w:rsidP="00586431">
      <w:pPr>
        <w:pStyle w:val="List1"/>
        <w:rPr>
          <w:color w:val="auto"/>
        </w:rPr>
      </w:pPr>
      <w:r w:rsidRPr="00EC7E2F">
        <w:rPr>
          <w:color w:val="auto"/>
        </w:rPr>
        <w:t xml:space="preserve">provide </w:t>
      </w:r>
      <w:r w:rsidR="00691F32" w:rsidRPr="00EC7E2F">
        <w:rPr>
          <w:color w:val="auto"/>
        </w:rPr>
        <w:t xml:space="preserve">for </w:t>
      </w:r>
      <w:r w:rsidR="008B6219" w:rsidRPr="00EC7E2F">
        <w:rPr>
          <w:color w:val="auto"/>
        </w:rPr>
        <w:t>accredit</w:t>
      </w:r>
      <w:r w:rsidR="00691F32" w:rsidRPr="00EC7E2F">
        <w:rPr>
          <w:color w:val="auto"/>
        </w:rPr>
        <w:t>ing</w:t>
      </w:r>
      <w:r w:rsidR="008B6219" w:rsidRPr="00EC7E2F">
        <w:rPr>
          <w:color w:val="auto"/>
        </w:rPr>
        <w:t xml:space="preserve"> persons or classes of persons to assess compliance with the requirements of the legislation, </w:t>
      </w:r>
      <w:r w:rsidR="001A172B" w:rsidRPr="00EC7E2F">
        <w:rPr>
          <w:color w:val="auto"/>
        </w:rPr>
        <w:t xml:space="preserve">including </w:t>
      </w:r>
      <w:r w:rsidR="008B6219" w:rsidRPr="00EC7E2F">
        <w:rPr>
          <w:color w:val="auto"/>
        </w:rPr>
        <w:t>conditions of accreditation</w:t>
      </w:r>
    </w:p>
    <w:p w14:paraId="03ACED38" w14:textId="66B60BF2" w:rsidR="00691F32" w:rsidRPr="00EC7E2F" w:rsidRDefault="00605D29" w:rsidP="00586431">
      <w:pPr>
        <w:pStyle w:val="List1"/>
        <w:rPr>
          <w:color w:val="auto"/>
        </w:rPr>
      </w:pPr>
      <w:r w:rsidRPr="00EC7E2F">
        <w:rPr>
          <w:color w:val="auto"/>
        </w:rPr>
        <w:t>provide</w:t>
      </w:r>
      <w:r w:rsidR="00691F32" w:rsidRPr="00EC7E2F">
        <w:rPr>
          <w:color w:val="auto"/>
        </w:rPr>
        <w:t xml:space="preserve"> for </w:t>
      </w:r>
      <w:r w:rsidR="001A172B" w:rsidRPr="00EC7E2F">
        <w:rPr>
          <w:color w:val="auto"/>
        </w:rPr>
        <w:t xml:space="preserve">the </w:t>
      </w:r>
      <w:r w:rsidR="00691F32" w:rsidRPr="00EC7E2F">
        <w:rPr>
          <w:color w:val="auto"/>
        </w:rPr>
        <w:t>establish</w:t>
      </w:r>
      <w:r w:rsidRPr="00EC7E2F">
        <w:rPr>
          <w:color w:val="auto"/>
        </w:rPr>
        <w:t xml:space="preserve">ment </w:t>
      </w:r>
      <w:r w:rsidR="001A172B" w:rsidRPr="00EC7E2F">
        <w:rPr>
          <w:color w:val="auto"/>
        </w:rPr>
        <w:t xml:space="preserve">and maintenance </w:t>
      </w:r>
      <w:r w:rsidRPr="00EC7E2F">
        <w:rPr>
          <w:color w:val="auto"/>
        </w:rPr>
        <w:t>of</w:t>
      </w:r>
      <w:r w:rsidR="00691F32" w:rsidRPr="00EC7E2F">
        <w:rPr>
          <w:color w:val="auto"/>
        </w:rPr>
        <w:t xml:space="preserve"> </w:t>
      </w:r>
      <w:r w:rsidR="001A172B" w:rsidRPr="00EC7E2F">
        <w:rPr>
          <w:color w:val="auto"/>
        </w:rPr>
        <w:t>a register of radiation sources</w:t>
      </w:r>
    </w:p>
    <w:p w14:paraId="1C1537DE" w14:textId="1D43EF01" w:rsidR="00691F32" w:rsidRPr="00EC7E2F" w:rsidRDefault="00605D29" w:rsidP="00586431">
      <w:pPr>
        <w:pStyle w:val="List1"/>
        <w:rPr>
          <w:color w:val="auto"/>
        </w:rPr>
      </w:pPr>
      <w:r w:rsidRPr="00EC7E2F">
        <w:rPr>
          <w:color w:val="auto"/>
        </w:rPr>
        <w:t>require</w:t>
      </w:r>
      <w:r w:rsidR="00691F32" w:rsidRPr="00EC7E2F">
        <w:rPr>
          <w:color w:val="auto"/>
        </w:rPr>
        <w:t xml:space="preserve"> authorised parties to establish records of radiation doses incurred by staff</w:t>
      </w:r>
      <w:r w:rsidR="001A172B" w:rsidRPr="00EC7E2F">
        <w:rPr>
          <w:color w:val="auto"/>
        </w:rPr>
        <w:t xml:space="preserve"> and, where relevant, </w:t>
      </w:r>
      <w:r w:rsidR="00691F32" w:rsidRPr="00EC7E2F">
        <w:rPr>
          <w:color w:val="auto"/>
        </w:rPr>
        <w:t>assess and maintain records of doses to the general public</w:t>
      </w:r>
      <w:r w:rsidRPr="00EC7E2F">
        <w:rPr>
          <w:color w:val="auto"/>
        </w:rPr>
        <w:t xml:space="preserve"> </w:t>
      </w:r>
    </w:p>
    <w:p w14:paraId="750CEDCD" w14:textId="2872894C" w:rsidR="00691F32" w:rsidRPr="00EC7E2F" w:rsidRDefault="00605D29" w:rsidP="00586431">
      <w:pPr>
        <w:pStyle w:val="List1"/>
        <w:rPr>
          <w:color w:val="auto"/>
        </w:rPr>
      </w:pPr>
      <w:r w:rsidRPr="00EC7E2F">
        <w:rPr>
          <w:color w:val="auto"/>
        </w:rPr>
        <w:t xml:space="preserve">include </w:t>
      </w:r>
      <w:r w:rsidR="00691F32" w:rsidRPr="00EC7E2F">
        <w:rPr>
          <w:color w:val="auto"/>
        </w:rPr>
        <w:t xml:space="preserve">provisions </w:t>
      </w:r>
      <w:r w:rsidR="001A172B" w:rsidRPr="00EC7E2F">
        <w:rPr>
          <w:color w:val="auto"/>
        </w:rPr>
        <w:t>to</w:t>
      </w:r>
      <w:r w:rsidR="00691F32" w:rsidRPr="00EC7E2F">
        <w:rPr>
          <w:color w:val="auto"/>
        </w:rPr>
        <w:t xml:space="preserve"> plan for, and provide advice in the case of</w:t>
      </w:r>
      <w:r w:rsidRPr="00EC7E2F">
        <w:rPr>
          <w:color w:val="auto"/>
        </w:rPr>
        <w:t>,</w:t>
      </w:r>
      <w:r w:rsidR="00691F32" w:rsidRPr="00EC7E2F">
        <w:rPr>
          <w:color w:val="auto"/>
        </w:rPr>
        <w:t xml:space="preserve"> an emergency with radiological implications</w:t>
      </w:r>
    </w:p>
    <w:p w14:paraId="0C0BCD7C" w14:textId="05B2395C" w:rsidR="00691F32" w:rsidRPr="00EC7E2F" w:rsidRDefault="00605D29" w:rsidP="00586431">
      <w:pPr>
        <w:pStyle w:val="List1"/>
        <w:rPr>
          <w:color w:val="auto"/>
        </w:rPr>
      </w:pPr>
      <w:r w:rsidRPr="00EC7E2F">
        <w:rPr>
          <w:color w:val="auto"/>
        </w:rPr>
        <w:t xml:space="preserve">include </w:t>
      </w:r>
      <w:r w:rsidR="00691F32" w:rsidRPr="00EC7E2F">
        <w:rPr>
          <w:color w:val="auto"/>
        </w:rPr>
        <w:t xml:space="preserve">provisions </w:t>
      </w:r>
      <w:r w:rsidR="00A62276" w:rsidRPr="00EC7E2F">
        <w:rPr>
          <w:color w:val="auto"/>
        </w:rPr>
        <w:t xml:space="preserve">requiring </w:t>
      </w:r>
      <w:r w:rsidR="00691F32" w:rsidRPr="00EC7E2F">
        <w:rPr>
          <w:color w:val="auto"/>
        </w:rPr>
        <w:t xml:space="preserve">notification of </w:t>
      </w:r>
      <w:r w:rsidR="00691F32" w:rsidRPr="00EC7E2F">
        <w:rPr>
          <w:b/>
          <w:color w:val="auto"/>
        </w:rPr>
        <w:t>radiation incidents</w:t>
      </w:r>
      <w:r w:rsidR="00691F32" w:rsidRPr="00EC7E2F">
        <w:rPr>
          <w:color w:val="auto"/>
        </w:rPr>
        <w:t xml:space="preserve"> to </w:t>
      </w:r>
      <w:r w:rsidR="00167C3B" w:rsidRPr="00EC7E2F">
        <w:rPr>
          <w:color w:val="auto"/>
        </w:rPr>
        <w:t>the radiation regulatory body (</w:t>
      </w:r>
      <w:r w:rsidR="00691F32" w:rsidRPr="00EC7E2F">
        <w:rPr>
          <w:color w:val="auto"/>
        </w:rPr>
        <w:t>the Authority</w:t>
      </w:r>
      <w:r w:rsidR="00167C3B" w:rsidRPr="00EC7E2F">
        <w:rPr>
          <w:color w:val="auto"/>
        </w:rPr>
        <w:t>)</w:t>
      </w:r>
      <w:r w:rsidR="00691F32" w:rsidRPr="00EC7E2F">
        <w:rPr>
          <w:color w:val="auto"/>
        </w:rPr>
        <w:t>, investigat</w:t>
      </w:r>
      <w:r w:rsidR="00167C3B" w:rsidRPr="00EC7E2F">
        <w:rPr>
          <w:color w:val="auto"/>
        </w:rPr>
        <w:t xml:space="preserve">ion of </w:t>
      </w:r>
      <w:r w:rsidR="00691F32" w:rsidRPr="00EC7E2F">
        <w:rPr>
          <w:color w:val="auto"/>
        </w:rPr>
        <w:t xml:space="preserve">radiation incidents, and </w:t>
      </w:r>
      <w:r w:rsidR="00167C3B" w:rsidRPr="00EC7E2F">
        <w:rPr>
          <w:color w:val="auto"/>
        </w:rPr>
        <w:t>notification to other</w:t>
      </w:r>
      <w:r w:rsidR="00691F32" w:rsidRPr="00EC7E2F">
        <w:rPr>
          <w:color w:val="auto"/>
        </w:rPr>
        <w:t xml:space="preserve"> jurisdictions</w:t>
      </w:r>
      <w:r w:rsidR="00167C3B" w:rsidRPr="00EC7E2F">
        <w:rPr>
          <w:color w:val="auto"/>
        </w:rPr>
        <w:t>, as appropriate.</w:t>
      </w:r>
    </w:p>
    <w:p w14:paraId="3BD6B2D6" w14:textId="6D978C65" w:rsidR="00691F32" w:rsidRPr="00EC7E2F" w:rsidRDefault="00691F32" w:rsidP="00691F32">
      <w:pPr>
        <w:pStyle w:val="Heading2"/>
        <w:rPr>
          <w:color w:val="auto"/>
        </w:rPr>
      </w:pPr>
      <w:bookmarkStart w:id="45" w:name="_Toc14347609"/>
      <w:bookmarkStart w:id="46" w:name="_Toc65240882"/>
      <w:bookmarkStart w:id="47" w:name="_Toc65241173"/>
      <w:r w:rsidRPr="00EC7E2F">
        <w:rPr>
          <w:color w:val="auto"/>
        </w:rPr>
        <w:t>Activities to which legislation applies</w:t>
      </w:r>
      <w:bookmarkEnd w:id="45"/>
      <w:bookmarkEnd w:id="46"/>
      <w:bookmarkEnd w:id="47"/>
    </w:p>
    <w:p w14:paraId="36979CB3" w14:textId="77777777" w:rsidR="00691F32" w:rsidRPr="00EC7E2F" w:rsidRDefault="00691F32" w:rsidP="00691F32">
      <w:pPr>
        <w:pStyle w:val="Paranumbered"/>
        <w:rPr>
          <w:color w:val="auto"/>
        </w:rPr>
      </w:pPr>
      <w:r w:rsidRPr="00EC7E2F">
        <w:rPr>
          <w:color w:val="auto"/>
        </w:rPr>
        <w:t xml:space="preserve">Legislation will apply to the following activities: </w:t>
      </w:r>
    </w:p>
    <w:p w14:paraId="71635A83" w14:textId="77777777" w:rsidR="00691F32" w:rsidRPr="00EC7E2F" w:rsidRDefault="00691F32" w:rsidP="0084216A">
      <w:pPr>
        <w:pStyle w:val="List1"/>
        <w:numPr>
          <w:ilvl w:val="0"/>
          <w:numId w:val="40"/>
        </w:numPr>
        <w:rPr>
          <w:color w:val="auto"/>
        </w:rPr>
      </w:pPr>
      <w:r w:rsidRPr="00EC7E2F">
        <w:rPr>
          <w:color w:val="auto"/>
        </w:rPr>
        <w:t>The manufacturing or possession of radiation sources.</w:t>
      </w:r>
    </w:p>
    <w:p w14:paraId="0B944B7B" w14:textId="77777777" w:rsidR="00691F32" w:rsidRPr="00EC7E2F" w:rsidRDefault="00691F32" w:rsidP="0084216A">
      <w:pPr>
        <w:pStyle w:val="List1"/>
        <w:rPr>
          <w:color w:val="auto"/>
        </w:rPr>
      </w:pPr>
      <w:r w:rsidRPr="00EC7E2F">
        <w:rPr>
          <w:color w:val="auto"/>
        </w:rPr>
        <w:t xml:space="preserve">The use of radiation or radioactive materials for any </w:t>
      </w:r>
      <w:r w:rsidRPr="00EC7E2F">
        <w:rPr>
          <w:b/>
          <w:color w:val="auto"/>
        </w:rPr>
        <w:t>radiation practice</w:t>
      </w:r>
      <w:r w:rsidRPr="00EC7E2F">
        <w:rPr>
          <w:color w:val="auto"/>
        </w:rPr>
        <w:t xml:space="preserve">, which involves or could involve exposure to radiation or radioactive materials. This includes medical (diagnostic and therapeutic), dental, chiropractic, industrial, veterinary and agricultural purposes. It also includes the use of radiation or radioactive materials in nuclear activities, consumer products, education, training, research, and the servicing or maintenance of </w:t>
      </w:r>
      <w:r w:rsidRPr="00EC7E2F">
        <w:rPr>
          <w:b/>
          <w:color w:val="auto"/>
        </w:rPr>
        <w:t>radiation apparatus</w:t>
      </w:r>
      <w:r w:rsidRPr="00EC7E2F">
        <w:rPr>
          <w:color w:val="auto"/>
        </w:rPr>
        <w:t xml:space="preserve"> or </w:t>
      </w:r>
      <w:r w:rsidRPr="00EC7E2F">
        <w:rPr>
          <w:b/>
          <w:color w:val="auto"/>
        </w:rPr>
        <w:t>sealed source apparatus</w:t>
      </w:r>
      <w:r w:rsidRPr="00EC7E2F">
        <w:rPr>
          <w:color w:val="auto"/>
        </w:rPr>
        <w:t>.</w:t>
      </w:r>
    </w:p>
    <w:p w14:paraId="532052C6" w14:textId="77777777" w:rsidR="00691F32" w:rsidRPr="00EC7E2F" w:rsidRDefault="00691F32" w:rsidP="0084216A">
      <w:pPr>
        <w:pStyle w:val="List1"/>
        <w:rPr>
          <w:color w:val="auto"/>
        </w:rPr>
      </w:pPr>
      <w:r w:rsidRPr="00EC7E2F">
        <w:rPr>
          <w:color w:val="auto"/>
        </w:rPr>
        <w:t>Practices involving exposure to natural sources and exposures from past practices specified by the Authority as requiring control.</w:t>
      </w:r>
    </w:p>
    <w:p w14:paraId="1A144C66" w14:textId="77777777" w:rsidR="00691F32" w:rsidRPr="00EC7E2F" w:rsidRDefault="00691F32" w:rsidP="0084216A">
      <w:pPr>
        <w:pStyle w:val="List1"/>
        <w:rPr>
          <w:color w:val="auto"/>
        </w:rPr>
      </w:pPr>
      <w:r w:rsidRPr="00EC7E2F">
        <w:rPr>
          <w:color w:val="auto"/>
        </w:rPr>
        <w:t>Practices dealing with radioactive material arising from exploration, mining, mineral processing or petroleum industries.</w:t>
      </w:r>
    </w:p>
    <w:p w14:paraId="17C3B010" w14:textId="77777777" w:rsidR="00691F32" w:rsidRPr="00EC7E2F" w:rsidRDefault="00691F32" w:rsidP="0084216A">
      <w:pPr>
        <w:pStyle w:val="List1"/>
        <w:rPr>
          <w:color w:val="auto"/>
        </w:rPr>
      </w:pPr>
      <w:r w:rsidRPr="00EC7E2F">
        <w:rPr>
          <w:color w:val="auto"/>
        </w:rPr>
        <w:t>Practices involving radioactive waste management and the disposal of radioactive material.</w:t>
      </w:r>
    </w:p>
    <w:p w14:paraId="49460278" w14:textId="77777777" w:rsidR="00691F32" w:rsidRPr="00EC7E2F" w:rsidRDefault="00691F32" w:rsidP="0084216A">
      <w:pPr>
        <w:pStyle w:val="List1"/>
        <w:rPr>
          <w:color w:val="auto"/>
        </w:rPr>
      </w:pPr>
      <w:r w:rsidRPr="00EC7E2F">
        <w:rPr>
          <w:color w:val="auto"/>
        </w:rPr>
        <w:t xml:space="preserve">Practices involving </w:t>
      </w:r>
      <w:r w:rsidRPr="00EC7E2F">
        <w:rPr>
          <w:b/>
          <w:color w:val="auto"/>
        </w:rPr>
        <w:t>non-ionising radiation apparatus</w:t>
      </w:r>
      <w:r w:rsidRPr="00EC7E2F">
        <w:rPr>
          <w:color w:val="auto"/>
        </w:rPr>
        <w:t>.</w:t>
      </w:r>
    </w:p>
    <w:p w14:paraId="1DD99953" w14:textId="77777777" w:rsidR="00691F32" w:rsidRPr="00EC7E2F" w:rsidRDefault="00691F32" w:rsidP="0084216A">
      <w:pPr>
        <w:pStyle w:val="List1"/>
        <w:rPr>
          <w:color w:val="auto"/>
        </w:rPr>
      </w:pPr>
      <w:r w:rsidRPr="00EC7E2F">
        <w:rPr>
          <w:color w:val="auto"/>
        </w:rPr>
        <w:t>The sale or transfer of responsibility of radiation sources and apparatus.</w:t>
      </w:r>
    </w:p>
    <w:p w14:paraId="3FDBD5ED" w14:textId="77777777" w:rsidR="00691F32" w:rsidRPr="00EC7E2F" w:rsidRDefault="00691F32" w:rsidP="0084216A">
      <w:pPr>
        <w:pStyle w:val="List1"/>
        <w:rPr>
          <w:color w:val="auto"/>
        </w:rPr>
      </w:pPr>
      <w:r w:rsidRPr="00EC7E2F">
        <w:rPr>
          <w:color w:val="auto"/>
        </w:rPr>
        <w:t>The transport of radioactive material.</w:t>
      </w:r>
    </w:p>
    <w:p w14:paraId="6FAAB797" w14:textId="77777777" w:rsidR="00691F32" w:rsidRPr="00EC7E2F" w:rsidRDefault="00691F32" w:rsidP="0084216A">
      <w:pPr>
        <w:pStyle w:val="List1"/>
        <w:rPr>
          <w:color w:val="auto"/>
        </w:rPr>
      </w:pPr>
      <w:r w:rsidRPr="00EC7E2F">
        <w:rPr>
          <w:color w:val="auto"/>
        </w:rPr>
        <w:t>Any other radiation practice specified by the Authority.</w:t>
      </w:r>
    </w:p>
    <w:p w14:paraId="03521B8A" w14:textId="77777777" w:rsidR="00691F32" w:rsidRPr="00EC7E2F" w:rsidRDefault="00691F32">
      <w:pPr>
        <w:spacing w:before="0" w:after="200" w:line="276" w:lineRule="auto"/>
        <w:rPr>
          <w:rFonts w:eastAsia="Calibri"/>
          <w:color w:val="auto"/>
          <w:lang w:eastAsia="en-US"/>
        </w:rPr>
      </w:pPr>
    </w:p>
    <w:p w14:paraId="7FF71E06" w14:textId="4C336470" w:rsidR="00691F32" w:rsidRPr="00EC7E2F" w:rsidRDefault="00691F32" w:rsidP="00691F32">
      <w:pPr>
        <w:pStyle w:val="Heading2"/>
        <w:rPr>
          <w:color w:val="auto"/>
        </w:rPr>
      </w:pPr>
      <w:bookmarkStart w:id="48" w:name="_Toc14347610"/>
      <w:bookmarkStart w:id="49" w:name="_Toc65240883"/>
      <w:bookmarkStart w:id="50" w:name="_Toc65241174"/>
      <w:r w:rsidRPr="00EC7E2F">
        <w:rPr>
          <w:color w:val="auto"/>
        </w:rPr>
        <w:lastRenderedPageBreak/>
        <w:t>Categories of authorisation</w:t>
      </w:r>
      <w:bookmarkEnd w:id="48"/>
      <w:bookmarkEnd w:id="49"/>
      <w:bookmarkEnd w:id="50"/>
    </w:p>
    <w:p w14:paraId="4647C26B" w14:textId="77777777" w:rsidR="00691F32" w:rsidRPr="00EC7E2F" w:rsidRDefault="00691F32" w:rsidP="00691F32">
      <w:pPr>
        <w:pStyle w:val="Paranumbered"/>
        <w:rPr>
          <w:color w:val="auto"/>
        </w:rPr>
      </w:pPr>
      <w:r w:rsidRPr="00EC7E2F">
        <w:rPr>
          <w:color w:val="auto"/>
        </w:rPr>
        <w:t xml:space="preserve">Legislation will </w:t>
      </w:r>
      <w:r w:rsidR="00511211" w:rsidRPr="00EC7E2F">
        <w:rPr>
          <w:color w:val="auto"/>
        </w:rPr>
        <w:t>establish</w:t>
      </w:r>
      <w:r w:rsidRPr="00EC7E2F">
        <w:rPr>
          <w:color w:val="auto"/>
        </w:rPr>
        <w:t xml:space="preserve"> different types of authorisations to regulate dealings with radiation sources. </w:t>
      </w:r>
      <w:r w:rsidR="00F3665E" w:rsidRPr="00EC7E2F">
        <w:rPr>
          <w:color w:val="auto"/>
        </w:rPr>
        <w:t xml:space="preserve">It will be a mandatory condition to hold a relevant authorisation for a particular dealing, </w:t>
      </w:r>
      <w:r w:rsidRPr="00EC7E2F">
        <w:rPr>
          <w:color w:val="auto"/>
        </w:rPr>
        <w:t xml:space="preserve">unless exemptions, </w:t>
      </w:r>
      <w:r w:rsidRPr="00EC7E2F">
        <w:rPr>
          <w:b/>
          <w:color w:val="auto"/>
        </w:rPr>
        <w:t>exclusions</w:t>
      </w:r>
      <w:r w:rsidRPr="00EC7E2F">
        <w:rPr>
          <w:color w:val="auto"/>
        </w:rPr>
        <w:t xml:space="preserve"> or </w:t>
      </w:r>
      <w:r w:rsidRPr="00EC7E2F">
        <w:rPr>
          <w:b/>
          <w:color w:val="auto"/>
        </w:rPr>
        <w:t>clearance</w:t>
      </w:r>
      <w:r w:rsidRPr="00EC7E2F">
        <w:rPr>
          <w:color w:val="auto"/>
        </w:rPr>
        <w:t xml:space="preserve"> apply.</w:t>
      </w:r>
    </w:p>
    <w:p w14:paraId="49FA658D" w14:textId="77777777" w:rsidR="00691F32" w:rsidRPr="00EC7E2F" w:rsidRDefault="00691F32" w:rsidP="00691F32">
      <w:pPr>
        <w:pStyle w:val="Paranumbered"/>
        <w:rPr>
          <w:color w:val="auto"/>
        </w:rPr>
      </w:pPr>
      <w:r w:rsidRPr="00EC7E2F">
        <w:rPr>
          <w:color w:val="auto"/>
        </w:rPr>
        <w:t>Authorisations will include:</w:t>
      </w:r>
    </w:p>
    <w:p w14:paraId="2616B488" w14:textId="372D4E6E" w:rsidR="00691F32" w:rsidRPr="00EC7E2F" w:rsidRDefault="00691F32" w:rsidP="0078373B">
      <w:pPr>
        <w:pStyle w:val="List1"/>
        <w:numPr>
          <w:ilvl w:val="0"/>
          <w:numId w:val="15"/>
        </w:numPr>
        <w:rPr>
          <w:color w:val="auto"/>
        </w:rPr>
      </w:pPr>
      <w:r w:rsidRPr="00EC7E2F">
        <w:rPr>
          <w:color w:val="auto"/>
        </w:rPr>
        <w:t>authorisation to possess</w:t>
      </w:r>
      <w:r w:rsidR="00311002" w:rsidRPr="00EC7E2F">
        <w:rPr>
          <w:color w:val="auto"/>
        </w:rPr>
        <w:t xml:space="preserve">, which may be to possess </w:t>
      </w:r>
      <w:r w:rsidRPr="00EC7E2F">
        <w:rPr>
          <w:color w:val="auto"/>
        </w:rPr>
        <w:t>a radiation source, or otherwise be in control of a radiation source (including transport)</w:t>
      </w:r>
      <w:r w:rsidR="00311002" w:rsidRPr="00EC7E2F">
        <w:rPr>
          <w:color w:val="auto"/>
        </w:rPr>
        <w:t>,</w:t>
      </w:r>
      <w:r w:rsidRPr="00EC7E2F">
        <w:rPr>
          <w:color w:val="auto"/>
        </w:rPr>
        <w:t xml:space="preserve"> o</w:t>
      </w:r>
      <w:r w:rsidR="00D604EA" w:rsidRPr="00EC7E2F">
        <w:rPr>
          <w:color w:val="auto"/>
        </w:rPr>
        <w:t>r be responsible for a practice</w:t>
      </w:r>
    </w:p>
    <w:p w14:paraId="501884DF" w14:textId="2333A0F6" w:rsidR="00691F32" w:rsidRPr="00EC7E2F" w:rsidRDefault="00691F32" w:rsidP="0078373B">
      <w:pPr>
        <w:pStyle w:val="List1"/>
        <w:numPr>
          <w:ilvl w:val="0"/>
          <w:numId w:val="15"/>
        </w:numPr>
        <w:rPr>
          <w:color w:val="auto"/>
        </w:rPr>
      </w:pPr>
      <w:r w:rsidRPr="00EC7E2F">
        <w:rPr>
          <w:color w:val="auto"/>
        </w:rPr>
        <w:t xml:space="preserve">authorisation for a natural person to use a radiation </w:t>
      </w:r>
      <w:r w:rsidR="00D604EA" w:rsidRPr="00EC7E2F">
        <w:rPr>
          <w:color w:val="auto"/>
        </w:rPr>
        <w:t>source for a particular purpose</w:t>
      </w:r>
    </w:p>
    <w:p w14:paraId="57AE3315" w14:textId="70AB85D6" w:rsidR="00691F32" w:rsidRPr="00EC7E2F" w:rsidRDefault="00691F32" w:rsidP="0078373B">
      <w:pPr>
        <w:pStyle w:val="List1"/>
        <w:numPr>
          <w:ilvl w:val="0"/>
          <w:numId w:val="15"/>
        </w:numPr>
        <w:rPr>
          <w:color w:val="auto"/>
        </w:rPr>
      </w:pPr>
      <w:r w:rsidRPr="00EC7E2F">
        <w:rPr>
          <w:color w:val="auto"/>
        </w:rPr>
        <w:t>authorisation</w:t>
      </w:r>
      <w:r w:rsidR="00D604EA" w:rsidRPr="00EC7E2F">
        <w:rPr>
          <w:color w:val="auto"/>
        </w:rPr>
        <w:t>s</w:t>
      </w:r>
      <w:r w:rsidRPr="00EC7E2F">
        <w:rPr>
          <w:color w:val="auto"/>
        </w:rPr>
        <w:t xml:space="preserve"> for other dealings associated with sites where radiation sources are located.</w:t>
      </w:r>
    </w:p>
    <w:p w14:paraId="50EA7ED3" w14:textId="00B8A949" w:rsidR="00691F32" w:rsidRPr="00EC7E2F" w:rsidRDefault="00691F32" w:rsidP="00691F32">
      <w:pPr>
        <w:pStyle w:val="Heading2"/>
        <w:rPr>
          <w:color w:val="auto"/>
        </w:rPr>
      </w:pPr>
      <w:bookmarkStart w:id="51" w:name="_Toc65240884"/>
      <w:bookmarkStart w:id="52" w:name="_Toc65241175"/>
      <w:r w:rsidRPr="00EC7E2F">
        <w:rPr>
          <w:color w:val="auto"/>
        </w:rPr>
        <w:t>Granting an authorisation</w:t>
      </w:r>
      <w:bookmarkEnd w:id="51"/>
      <w:bookmarkEnd w:id="52"/>
    </w:p>
    <w:p w14:paraId="4F104875" w14:textId="59DA24FC" w:rsidR="00691F32" w:rsidRPr="00EC7E2F" w:rsidRDefault="00691F32" w:rsidP="00691F32">
      <w:pPr>
        <w:pStyle w:val="Paranumbered"/>
        <w:rPr>
          <w:color w:val="auto"/>
          <w:lang w:val="en-US"/>
        </w:rPr>
      </w:pPr>
      <w:r w:rsidRPr="00EC7E2F">
        <w:rPr>
          <w:color w:val="auto"/>
        </w:rPr>
        <w:t>Legislation will provide for the following criteria for the granting of authorisation</w:t>
      </w:r>
      <w:r w:rsidR="00EF6A40" w:rsidRPr="00EC7E2F">
        <w:rPr>
          <w:color w:val="auto"/>
        </w:rPr>
        <w:t>s</w:t>
      </w:r>
      <w:r w:rsidRPr="00EC7E2F">
        <w:rPr>
          <w:rFonts w:ascii="Calibri" w:hAnsi="Calibri" w:cs="Calibri"/>
          <w:color w:val="auto"/>
          <w:lang w:val="en-US"/>
        </w:rPr>
        <w:t>:</w:t>
      </w:r>
      <w:r w:rsidRPr="00EC7E2F">
        <w:rPr>
          <w:color w:val="auto"/>
          <w:lang w:val="en-US"/>
        </w:rPr>
        <w:t xml:space="preserve"> </w:t>
      </w:r>
    </w:p>
    <w:p w14:paraId="3EB8883F" w14:textId="2B2ED6C7" w:rsidR="00691F32" w:rsidRPr="00EC7E2F" w:rsidRDefault="00691F32" w:rsidP="00994E87">
      <w:pPr>
        <w:pStyle w:val="List1"/>
        <w:numPr>
          <w:ilvl w:val="0"/>
          <w:numId w:val="42"/>
        </w:numPr>
        <w:rPr>
          <w:color w:val="auto"/>
        </w:rPr>
      </w:pPr>
      <w:r w:rsidRPr="00EC7E2F">
        <w:rPr>
          <w:color w:val="auto"/>
        </w:rPr>
        <w:t>the appli</w:t>
      </w:r>
      <w:r w:rsidR="00EF6A40" w:rsidRPr="00EC7E2F">
        <w:rPr>
          <w:color w:val="auto"/>
        </w:rPr>
        <w:t>cant is a fit and proper person</w:t>
      </w:r>
    </w:p>
    <w:p w14:paraId="484FA743" w14:textId="283E2463" w:rsidR="00691F32" w:rsidRPr="00EC7E2F" w:rsidRDefault="00691F32" w:rsidP="00994E87">
      <w:pPr>
        <w:pStyle w:val="List1"/>
        <w:numPr>
          <w:ilvl w:val="0"/>
          <w:numId w:val="42"/>
        </w:numPr>
        <w:rPr>
          <w:color w:val="auto"/>
        </w:rPr>
      </w:pPr>
      <w:r w:rsidRPr="00EC7E2F">
        <w:rPr>
          <w:color w:val="auto"/>
        </w:rPr>
        <w:t xml:space="preserve">granting of the authorisation does not adversely affect public, environmental health, safety, or security, and </w:t>
      </w:r>
    </w:p>
    <w:p w14:paraId="32D08F08" w14:textId="65B68B42" w:rsidR="00691F32" w:rsidRPr="00EC7E2F" w:rsidRDefault="00691F32" w:rsidP="00994E87">
      <w:pPr>
        <w:pStyle w:val="List1"/>
        <w:numPr>
          <w:ilvl w:val="0"/>
          <w:numId w:val="42"/>
        </w:numPr>
        <w:rPr>
          <w:color w:val="auto"/>
        </w:rPr>
      </w:pPr>
      <w:r w:rsidRPr="00EC7E2F">
        <w:rPr>
          <w:color w:val="auto"/>
        </w:rPr>
        <w:t xml:space="preserve">the proposed use of radiation is appropriate </w:t>
      </w:r>
      <w:r w:rsidR="00EF6A40" w:rsidRPr="00EC7E2F">
        <w:rPr>
          <w:color w:val="auto"/>
        </w:rPr>
        <w:t xml:space="preserve">and </w:t>
      </w:r>
      <w:r w:rsidRPr="00EC7E2F">
        <w:rPr>
          <w:color w:val="auto"/>
        </w:rPr>
        <w:t>justified.</w:t>
      </w:r>
    </w:p>
    <w:p w14:paraId="060BE9A5" w14:textId="1991DC95" w:rsidR="00691F32" w:rsidRPr="00EC7E2F" w:rsidRDefault="00691F32" w:rsidP="00C477F1">
      <w:pPr>
        <w:pStyle w:val="Heading1"/>
        <w:rPr>
          <w:color w:val="auto"/>
        </w:rPr>
      </w:pPr>
      <w:r w:rsidRPr="00EC7E2F">
        <w:rPr>
          <w:color w:val="auto"/>
        </w:rPr>
        <w:br w:type="page"/>
      </w:r>
      <w:bookmarkStart w:id="53" w:name="_Toc65240885"/>
      <w:bookmarkStart w:id="54" w:name="_Toc65241176"/>
      <w:r w:rsidR="0078373B" w:rsidRPr="00EC7E2F">
        <w:rPr>
          <w:color w:val="auto"/>
        </w:rPr>
        <w:lastRenderedPageBreak/>
        <w:t>PART B</w:t>
      </w:r>
      <w:r w:rsidR="0032069E" w:rsidRPr="00EC7E2F">
        <w:rPr>
          <w:color w:val="auto"/>
        </w:rPr>
        <w:t xml:space="preserve"> – </w:t>
      </w:r>
      <w:r w:rsidR="00081BED" w:rsidRPr="00EC7E2F">
        <w:rPr>
          <w:color w:val="auto"/>
        </w:rPr>
        <w:t xml:space="preserve">Agreed </w:t>
      </w:r>
      <w:r w:rsidR="0032069E" w:rsidRPr="00EC7E2F">
        <w:rPr>
          <w:color w:val="auto"/>
        </w:rPr>
        <w:t>r</w:t>
      </w:r>
      <w:r w:rsidR="00081BED" w:rsidRPr="00EC7E2F">
        <w:rPr>
          <w:color w:val="auto"/>
        </w:rPr>
        <w:t xml:space="preserve">egulatory </w:t>
      </w:r>
      <w:r w:rsidR="00C477F1" w:rsidRPr="00EC7E2F">
        <w:rPr>
          <w:color w:val="auto"/>
        </w:rPr>
        <w:t>a</w:t>
      </w:r>
      <w:r w:rsidR="00081BED" w:rsidRPr="00EC7E2F">
        <w:rPr>
          <w:color w:val="auto"/>
        </w:rPr>
        <w:t>rrangements</w:t>
      </w:r>
      <w:bookmarkEnd w:id="53"/>
      <w:bookmarkEnd w:id="54"/>
    </w:p>
    <w:p w14:paraId="120F1A36" w14:textId="2265695F" w:rsidR="00691F32" w:rsidRPr="00EC7E2F" w:rsidRDefault="00AF016D" w:rsidP="00AF016D">
      <w:pPr>
        <w:pStyle w:val="Paranumbered"/>
        <w:rPr>
          <w:color w:val="auto"/>
        </w:rPr>
      </w:pPr>
      <w:r w:rsidRPr="00EC7E2F">
        <w:rPr>
          <w:color w:val="auto"/>
        </w:rPr>
        <w:t xml:space="preserve">Jurisdictions agree to implement the </w:t>
      </w:r>
      <w:r w:rsidR="00C64D2F" w:rsidRPr="00EC7E2F">
        <w:rPr>
          <w:color w:val="auto"/>
        </w:rPr>
        <w:t xml:space="preserve">regulatory </w:t>
      </w:r>
      <w:r w:rsidRPr="00EC7E2F">
        <w:rPr>
          <w:color w:val="auto"/>
        </w:rPr>
        <w:t xml:space="preserve">arrangements </w:t>
      </w:r>
      <w:r w:rsidR="00C64D2F" w:rsidRPr="00EC7E2F">
        <w:rPr>
          <w:color w:val="auto"/>
        </w:rPr>
        <w:t xml:space="preserve">in this Part and </w:t>
      </w:r>
      <w:r w:rsidR="0076238F" w:rsidRPr="00EC7E2F">
        <w:rPr>
          <w:color w:val="auto"/>
        </w:rPr>
        <w:t xml:space="preserve">acknowledge </w:t>
      </w:r>
      <w:r w:rsidR="00691F32" w:rsidRPr="00EC7E2F">
        <w:rPr>
          <w:color w:val="auto"/>
        </w:rPr>
        <w:t>that their legislati</w:t>
      </w:r>
      <w:r w:rsidRPr="00EC7E2F">
        <w:rPr>
          <w:color w:val="auto"/>
        </w:rPr>
        <w:t xml:space="preserve">on </w:t>
      </w:r>
      <w:r w:rsidR="00691F32" w:rsidRPr="00EC7E2F">
        <w:rPr>
          <w:color w:val="auto"/>
        </w:rPr>
        <w:t>may require amendment</w:t>
      </w:r>
      <w:r w:rsidRPr="00EC7E2F">
        <w:rPr>
          <w:color w:val="auto"/>
        </w:rPr>
        <w:t>s</w:t>
      </w:r>
      <w:r w:rsidR="00691F32" w:rsidRPr="00EC7E2F">
        <w:rPr>
          <w:color w:val="auto"/>
        </w:rPr>
        <w:t xml:space="preserve"> from time to time </w:t>
      </w:r>
      <w:r w:rsidR="0078373B" w:rsidRPr="00EC7E2F">
        <w:rPr>
          <w:color w:val="auto"/>
        </w:rPr>
        <w:t xml:space="preserve">to </w:t>
      </w:r>
      <w:r w:rsidRPr="00EC7E2F">
        <w:rPr>
          <w:color w:val="auto"/>
        </w:rPr>
        <w:t>implement the</w:t>
      </w:r>
      <w:r w:rsidR="00C64D2F" w:rsidRPr="00EC7E2F">
        <w:rPr>
          <w:color w:val="auto"/>
        </w:rPr>
        <w:t xml:space="preserve">se agreed arrangements </w:t>
      </w:r>
      <w:r w:rsidRPr="00EC7E2F">
        <w:rPr>
          <w:color w:val="auto"/>
        </w:rPr>
        <w:t>in a timely manner.</w:t>
      </w:r>
    </w:p>
    <w:p w14:paraId="686D5717" w14:textId="209A934E" w:rsidR="0078373B" w:rsidRPr="00EC7E2F" w:rsidRDefault="0078373B" w:rsidP="00C477F1">
      <w:pPr>
        <w:pStyle w:val="Heading2"/>
        <w:rPr>
          <w:color w:val="auto"/>
        </w:rPr>
      </w:pPr>
      <w:bookmarkStart w:id="55" w:name="_Toc14347614"/>
      <w:bookmarkStart w:id="56" w:name="_Toc65240886"/>
      <w:bookmarkStart w:id="57" w:name="_Toc65241177"/>
      <w:r w:rsidRPr="00EC7E2F">
        <w:rPr>
          <w:color w:val="auto"/>
        </w:rPr>
        <w:t>Mutual recognition</w:t>
      </w:r>
      <w:bookmarkEnd w:id="55"/>
      <w:bookmarkEnd w:id="56"/>
      <w:bookmarkEnd w:id="57"/>
    </w:p>
    <w:p w14:paraId="45B30684" w14:textId="10EEE120" w:rsidR="0078373B" w:rsidRPr="00EC7E2F" w:rsidRDefault="00A3519E" w:rsidP="00AF016D">
      <w:pPr>
        <w:pStyle w:val="Paranumbered"/>
        <w:rPr>
          <w:color w:val="auto"/>
        </w:rPr>
      </w:pPr>
      <w:r w:rsidRPr="00EC7E2F">
        <w:rPr>
          <w:color w:val="auto"/>
        </w:rPr>
        <w:t>Jurisdictions</w:t>
      </w:r>
      <w:r w:rsidR="0078373B" w:rsidRPr="00EC7E2F">
        <w:rPr>
          <w:color w:val="auto"/>
        </w:rPr>
        <w:t xml:space="preserve"> agree to authorise </w:t>
      </w:r>
      <w:r w:rsidR="000628D5" w:rsidRPr="00EC7E2F">
        <w:rPr>
          <w:color w:val="auto"/>
        </w:rPr>
        <w:t>a person</w:t>
      </w:r>
      <w:r w:rsidR="0078373B" w:rsidRPr="00EC7E2F">
        <w:rPr>
          <w:color w:val="auto"/>
        </w:rPr>
        <w:t xml:space="preserve"> to use radiation sources for a particular purpose</w:t>
      </w:r>
      <w:r w:rsidR="0076238F" w:rsidRPr="00EC7E2F">
        <w:rPr>
          <w:color w:val="auto"/>
        </w:rPr>
        <w:t>,</w:t>
      </w:r>
      <w:r w:rsidR="0078373B" w:rsidRPr="00EC7E2F">
        <w:rPr>
          <w:color w:val="auto"/>
        </w:rPr>
        <w:t xml:space="preserve"> where </w:t>
      </w:r>
      <w:r w:rsidR="000628D5" w:rsidRPr="00EC7E2F">
        <w:rPr>
          <w:color w:val="auto"/>
        </w:rPr>
        <w:t xml:space="preserve">that </w:t>
      </w:r>
      <w:r w:rsidR="0078373B" w:rsidRPr="00EC7E2F">
        <w:rPr>
          <w:color w:val="auto"/>
        </w:rPr>
        <w:t xml:space="preserve">person has an equivalent authorisation in another jurisdiction without the need </w:t>
      </w:r>
      <w:r w:rsidR="000628D5" w:rsidRPr="00EC7E2F">
        <w:rPr>
          <w:color w:val="auto"/>
        </w:rPr>
        <w:t xml:space="preserve">for that person </w:t>
      </w:r>
      <w:r w:rsidR="0078373B" w:rsidRPr="00EC7E2F">
        <w:rPr>
          <w:color w:val="auto"/>
        </w:rPr>
        <w:t>to undergo further testing or examination</w:t>
      </w:r>
      <w:r w:rsidR="0076238F" w:rsidRPr="00EC7E2F">
        <w:rPr>
          <w:color w:val="auto"/>
        </w:rPr>
        <w:t>.</w:t>
      </w:r>
      <w:r w:rsidR="00BB52E4" w:rsidRPr="00EC7E2F">
        <w:rPr>
          <w:color w:val="auto"/>
        </w:rPr>
        <w:t xml:space="preserve"> </w:t>
      </w:r>
      <w:r w:rsidR="0078373B" w:rsidRPr="00EC7E2F">
        <w:rPr>
          <w:color w:val="auto"/>
        </w:rPr>
        <w:t>‘Equivalency’ is based on an assessment of whether the activities allowed under the existing authorisation in one jurisdiction are substantially the same as those under the authorisation being applied for in another jurisdiction.</w:t>
      </w:r>
    </w:p>
    <w:p w14:paraId="000DC4C8" w14:textId="77777777" w:rsidR="0078373B" w:rsidRPr="00EC7E2F" w:rsidRDefault="0078373B" w:rsidP="0078373B">
      <w:pPr>
        <w:pStyle w:val="Paranumbered"/>
        <w:rPr>
          <w:color w:val="auto"/>
        </w:rPr>
      </w:pPr>
      <w:r w:rsidRPr="00EC7E2F">
        <w:rPr>
          <w:color w:val="auto"/>
        </w:rPr>
        <w:t>Jurisdictions agree to implement common competency requirements for radiation protection and safety to ensure consistency in the criteria for user licensing across Australian jurisdictions.</w:t>
      </w:r>
    </w:p>
    <w:p w14:paraId="2B42E36E" w14:textId="57AF9FE7" w:rsidR="0078373B" w:rsidRPr="00EC7E2F" w:rsidRDefault="0078373B" w:rsidP="00C477F1">
      <w:pPr>
        <w:pStyle w:val="Heading2"/>
        <w:rPr>
          <w:color w:val="auto"/>
        </w:rPr>
      </w:pPr>
      <w:bookmarkStart w:id="58" w:name="_Toc14347615"/>
      <w:bookmarkStart w:id="59" w:name="_Toc65240887"/>
      <w:bookmarkStart w:id="60" w:name="_Toc65241178"/>
      <w:r w:rsidRPr="00EC7E2F">
        <w:rPr>
          <w:color w:val="auto"/>
        </w:rPr>
        <w:t>Competence and resources for safety</w:t>
      </w:r>
      <w:bookmarkEnd w:id="58"/>
      <w:bookmarkEnd w:id="59"/>
      <w:bookmarkEnd w:id="60"/>
    </w:p>
    <w:p w14:paraId="401BC456" w14:textId="42738AA5" w:rsidR="0078373B" w:rsidRPr="00EC7E2F" w:rsidRDefault="0078373B" w:rsidP="0078373B">
      <w:pPr>
        <w:pStyle w:val="Paranumbered"/>
        <w:rPr>
          <w:color w:val="auto"/>
        </w:rPr>
      </w:pPr>
      <w:r w:rsidRPr="00EC7E2F">
        <w:rPr>
          <w:color w:val="auto"/>
        </w:rPr>
        <w:t xml:space="preserve">Jurisdictions agree to ensure that all parties </w:t>
      </w:r>
      <w:r w:rsidR="0076238F" w:rsidRPr="00EC7E2F">
        <w:rPr>
          <w:color w:val="auto"/>
        </w:rPr>
        <w:t xml:space="preserve">with </w:t>
      </w:r>
      <w:r w:rsidRPr="00EC7E2F">
        <w:rPr>
          <w:color w:val="auto"/>
        </w:rPr>
        <w:t>responsibilit</w:t>
      </w:r>
      <w:r w:rsidR="0076238F" w:rsidRPr="00EC7E2F">
        <w:rPr>
          <w:color w:val="auto"/>
        </w:rPr>
        <w:t>y</w:t>
      </w:r>
      <w:r w:rsidRPr="00EC7E2F">
        <w:rPr>
          <w:color w:val="auto"/>
        </w:rPr>
        <w:t xml:space="preserve"> for safety of facilities and regulatory activities have the necessary competence and resources.</w:t>
      </w:r>
    </w:p>
    <w:p w14:paraId="0447E266" w14:textId="5CC01AF5" w:rsidR="0078373B" w:rsidRPr="00EC7E2F" w:rsidRDefault="0078373B" w:rsidP="00C477F1">
      <w:pPr>
        <w:pStyle w:val="Heading2"/>
        <w:rPr>
          <w:color w:val="auto"/>
        </w:rPr>
      </w:pPr>
      <w:bookmarkStart w:id="61" w:name="_Toc14347616"/>
      <w:bookmarkStart w:id="62" w:name="_Toc65240888"/>
      <w:bookmarkStart w:id="63" w:name="_Toc65241179"/>
      <w:r w:rsidRPr="00EC7E2F">
        <w:rPr>
          <w:color w:val="auto"/>
        </w:rPr>
        <w:t>Emergency preparedness and response</w:t>
      </w:r>
      <w:bookmarkEnd w:id="61"/>
      <w:bookmarkEnd w:id="62"/>
      <w:bookmarkEnd w:id="63"/>
    </w:p>
    <w:p w14:paraId="54C51DA6" w14:textId="77777777" w:rsidR="0078373B" w:rsidRPr="00EC7E2F" w:rsidRDefault="0078373B" w:rsidP="0078373B">
      <w:pPr>
        <w:pStyle w:val="Paranumbered"/>
        <w:widowControl w:val="0"/>
        <w:rPr>
          <w:color w:val="auto"/>
        </w:rPr>
      </w:pPr>
      <w:r w:rsidRPr="00EC7E2F">
        <w:rPr>
          <w:color w:val="auto"/>
        </w:rPr>
        <w:t xml:space="preserve">Jurisdictions agree to develop and implement national coordination arrangements for emergency preparedness and response under the auspices of the Commonwealth’s </w:t>
      </w:r>
      <w:hyperlink r:id="rId20" w:history="1">
        <w:r w:rsidRPr="00EC7E2F">
          <w:rPr>
            <w:rStyle w:val="Hyperlink"/>
            <w:color w:val="auto"/>
          </w:rPr>
          <w:t>Health Emergency Preparedness and Response</w:t>
        </w:r>
      </w:hyperlink>
      <w:r w:rsidRPr="00EC7E2F">
        <w:rPr>
          <w:color w:val="auto"/>
        </w:rPr>
        <w:t xml:space="preserve"> system.</w:t>
      </w:r>
    </w:p>
    <w:p w14:paraId="290F44CB" w14:textId="2D576DFC" w:rsidR="0078373B" w:rsidRPr="00EC7E2F" w:rsidRDefault="0078373B" w:rsidP="00C477F1">
      <w:pPr>
        <w:pStyle w:val="Heading2"/>
        <w:rPr>
          <w:color w:val="auto"/>
        </w:rPr>
      </w:pPr>
      <w:bookmarkStart w:id="64" w:name="_Toc14347617"/>
      <w:bookmarkStart w:id="65" w:name="_Toc65240889"/>
      <w:bookmarkStart w:id="66" w:name="_Toc65241180"/>
      <w:r w:rsidRPr="00EC7E2F">
        <w:rPr>
          <w:color w:val="auto"/>
        </w:rPr>
        <w:t>Transport of radioactive material</w:t>
      </w:r>
      <w:bookmarkEnd w:id="64"/>
      <w:bookmarkEnd w:id="65"/>
      <w:bookmarkEnd w:id="66"/>
    </w:p>
    <w:p w14:paraId="49CEF145" w14:textId="77777777" w:rsidR="0078373B" w:rsidRPr="00EC7E2F" w:rsidRDefault="0078373B" w:rsidP="0078373B">
      <w:pPr>
        <w:pStyle w:val="Paranumbered"/>
        <w:rPr>
          <w:color w:val="auto"/>
        </w:rPr>
      </w:pPr>
      <w:r w:rsidRPr="00EC7E2F">
        <w:rPr>
          <w:color w:val="auto"/>
        </w:rPr>
        <w:t>Jurisdictions agree to develop and implement national coordination arrangements to ensure consistent review of applications for approval of package design and special form radioactive material design.</w:t>
      </w:r>
    </w:p>
    <w:p w14:paraId="230AAF85" w14:textId="617FF7BE" w:rsidR="0078373B" w:rsidRPr="00EC7E2F" w:rsidRDefault="0078373B" w:rsidP="00C477F1">
      <w:pPr>
        <w:pStyle w:val="Heading2"/>
        <w:rPr>
          <w:color w:val="auto"/>
        </w:rPr>
      </w:pPr>
      <w:bookmarkStart w:id="67" w:name="_Toc14347618"/>
      <w:bookmarkStart w:id="68" w:name="_Toc65240890"/>
      <w:bookmarkStart w:id="69" w:name="_Toc65241181"/>
      <w:r w:rsidRPr="00EC7E2F">
        <w:rPr>
          <w:color w:val="auto"/>
        </w:rPr>
        <w:t>National radiation incident reporting framework</w:t>
      </w:r>
      <w:bookmarkEnd w:id="67"/>
      <w:bookmarkEnd w:id="68"/>
      <w:bookmarkEnd w:id="69"/>
    </w:p>
    <w:p w14:paraId="6BFC57C8" w14:textId="12214480" w:rsidR="0078373B" w:rsidRPr="00EC7E2F" w:rsidRDefault="0078373B" w:rsidP="0078373B">
      <w:pPr>
        <w:pStyle w:val="Paranumbered"/>
        <w:rPr>
          <w:color w:val="auto"/>
        </w:rPr>
      </w:pPr>
      <w:bookmarkStart w:id="70" w:name="_Ref13840397"/>
      <w:r w:rsidRPr="00EC7E2F">
        <w:rPr>
          <w:color w:val="auto"/>
        </w:rPr>
        <w:t xml:space="preserve">Jurisdictions agree that Authorities </w:t>
      </w:r>
      <w:r w:rsidR="00E21824" w:rsidRPr="00EC7E2F">
        <w:rPr>
          <w:color w:val="auto"/>
        </w:rPr>
        <w:t>will</w:t>
      </w:r>
      <w:r w:rsidRPr="00EC7E2F">
        <w:rPr>
          <w:color w:val="auto"/>
        </w:rPr>
        <w:t xml:space="preserve"> report radiation incidents of the types described in Schedule 4 to ARPANSA for inclusion in the Australian Radiation Incident Register (ARIR).</w:t>
      </w:r>
      <w:bookmarkEnd w:id="70"/>
    </w:p>
    <w:p w14:paraId="4AC08506" w14:textId="77777777" w:rsidR="0078373B" w:rsidRPr="00EC7E2F" w:rsidRDefault="0078373B" w:rsidP="0078373B">
      <w:pPr>
        <w:pStyle w:val="Paranumbered"/>
        <w:rPr>
          <w:color w:val="auto"/>
        </w:rPr>
      </w:pPr>
      <w:r w:rsidRPr="00EC7E2F">
        <w:rPr>
          <w:color w:val="auto"/>
        </w:rPr>
        <w:t xml:space="preserve">Jurisdictions agree to develop and implement a system to </w:t>
      </w:r>
      <w:r w:rsidRPr="00EC7E2F">
        <w:rPr>
          <w:color w:val="auto"/>
          <w:lang w:val="en-GB"/>
        </w:rPr>
        <w:t>assess the lessons learnt from the incidents reported to the ARIR and update relevant regulatory requirements or guidance.</w:t>
      </w:r>
    </w:p>
    <w:p w14:paraId="56BC0A46" w14:textId="2330D5E9" w:rsidR="0078373B" w:rsidRPr="00EC7E2F" w:rsidRDefault="0078373B" w:rsidP="0078373B">
      <w:pPr>
        <w:pStyle w:val="Heading2"/>
        <w:rPr>
          <w:color w:val="auto"/>
        </w:rPr>
      </w:pPr>
      <w:bookmarkStart w:id="71" w:name="_Toc14347623"/>
      <w:bookmarkStart w:id="72" w:name="_Toc65240891"/>
      <w:bookmarkStart w:id="73" w:name="_Toc65241182"/>
      <w:r w:rsidRPr="00EC7E2F">
        <w:rPr>
          <w:color w:val="auto"/>
        </w:rPr>
        <w:t>Exclusions</w:t>
      </w:r>
      <w:bookmarkEnd w:id="71"/>
      <w:bookmarkEnd w:id="72"/>
      <w:bookmarkEnd w:id="73"/>
    </w:p>
    <w:p w14:paraId="06E30A22" w14:textId="77777777" w:rsidR="0078373B" w:rsidRPr="00EC7E2F" w:rsidRDefault="0078373B" w:rsidP="0078373B">
      <w:pPr>
        <w:pStyle w:val="Paranumbered"/>
        <w:rPr>
          <w:color w:val="auto"/>
        </w:rPr>
      </w:pPr>
      <w:bookmarkStart w:id="74" w:name="_Ref13834046"/>
      <w:r w:rsidRPr="00EC7E2F">
        <w:rPr>
          <w:color w:val="auto"/>
        </w:rPr>
        <w:t xml:space="preserve">Jurisdictions agree to exclude sources giving rise to exposures </w:t>
      </w:r>
      <w:r w:rsidR="0076238F" w:rsidRPr="00EC7E2F">
        <w:rPr>
          <w:color w:val="auto"/>
        </w:rPr>
        <w:t xml:space="preserve">the </w:t>
      </w:r>
      <w:r w:rsidRPr="00EC7E2F">
        <w:rPr>
          <w:color w:val="auto"/>
        </w:rPr>
        <w:t xml:space="preserve">magnitude or likelihood </w:t>
      </w:r>
      <w:r w:rsidR="0076238F" w:rsidRPr="00EC7E2F">
        <w:rPr>
          <w:color w:val="auto"/>
        </w:rPr>
        <w:t xml:space="preserve">of which </w:t>
      </w:r>
      <w:r w:rsidRPr="00EC7E2F">
        <w:rPr>
          <w:color w:val="auto"/>
        </w:rPr>
        <w:t xml:space="preserve">is </w:t>
      </w:r>
      <w:r w:rsidR="007A4A24" w:rsidRPr="00EC7E2F">
        <w:rPr>
          <w:color w:val="auto"/>
        </w:rPr>
        <w:t xml:space="preserve">not readily </w:t>
      </w:r>
      <w:r w:rsidRPr="00EC7E2F">
        <w:rPr>
          <w:color w:val="auto"/>
        </w:rPr>
        <w:t>control</w:t>
      </w:r>
      <w:r w:rsidR="007A4A24" w:rsidRPr="00EC7E2F">
        <w:rPr>
          <w:color w:val="auto"/>
        </w:rPr>
        <w:t>lable</w:t>
      </w:r>
      <w:r w:rsidRPr="00EC7E2F">
        <w:rPr>
          <w:color w:val="auto"/>
        </w:rPr>
        <w:t xml:space="preserve"> through legislation</w:t>
      </w:r>
      <w:r w:rsidR="00EC44CD" w:rsidRPr="00EC7E2F">
        <w:rPr>
          <w:color w:val="auto"/>
        </w:rPr>
        <w:t>,</w:t>
      </w:r>
      <w:r w:rsidRPr="00EC7E2F">
        <w:rPr>
          <w:color w:val="auto"/>
        </w:rPr>
        <w:t xml:space="preserve"> includ</w:t>
      </w:r>
      <w:r w:rsidR="00EC44CD" w:rsidRPr="00EC7E2F">
        <w:rPr>
          <w:color w:val="auto"/>
        </w:rPr>
        <w:t>ing</w:t>
      </w:r>
      <w:r w:rsidRPr="00EC7E2F">
        <w:rPr>
          <w:color w:val="auto"/>
        </w:rPr>
        <w:t>:</w:t>
      </w:r>
      <w:bookmarkEnd w:id="74"/>
    </w:p>
    <w:p w14:paraId="4F0860A4" w14:textId="77777777" w:rsidR="0078373B" w:rsidRPr="00EC7E2F" w:rsidRDefault="0078373B" w:rsidP="00994E87">
      <w:pPr>
        <w:pStyle w:val="List1"/>
        <w:numPr>
          <w:ilvl w:val="0"/>
          <w:numId w:val="41"/>
        </w:numPr>
        <w:rPr>
          <w:color w:val="auto"/>
        </w:rPr>
      </w:pPr>
      <w:r w:rsidRPr="00EC7E2F">
        <w:rPr>
          <w:color w:val="auto"/>
        </w:rPr>
        <w:t>Potassium 40 in the body</w:t>
      </w:r>
    </w:p>
    <w:p w14:paraId="0F704674" w14:textId="77777777" w:rsidR="0078373B" w:rsidRPr="00EC7E2F" w:rsidRDefault="0078373B" w:rsidP="00994E87">
      <w:pPr>
        <w:pStyle w:val="List1"/>
        <w:numPr>
          <w:ilvl w:val="0"/>
          <w:numId w:val="41"/>
        </w:numPr>
        <w:rPr>
          <w:color w:val="auto"/>
        </w:rPr>
      </w:pPr>
      <w:r w:rsidRPr="00EC7E2F">
        <w:rPr>
          <w:color w:val="auto"/>
        </w:rPr>
        <w:t>Cosmic radiation at the surface of the earth</w:t>
      </w:r>
    </w:p>
    <w:p w14:paraId="614B7F92" w14:textId="422FDEB9" w:rsidR="0078373B" w:rsidRPr="00EC7E2F" w:rsidRDefault="0078373B" w:rsidP="00994E87">
      <w:pPr>
        <w:pStyle w:val="List1"/>
        <w:numPr>
          <w:ilvl w:val="0"/>
          <w:numId w:val="41"/>
        </w:numPr>
        <w:rPr>
          <w:color w:val="auto"/>
        </w:rPr>
      </w:pPr>
      <w:r w:rsidRPr="00EC7E2F">
        <w:rPr>
          <w:color w:val="auto"/>
        </w:rPr>
        <w:t>Unmodified concentrations of radionuclides in most raw materials, unless otherwise spec</w:t>
      </w:r>
      <w:r w:rsidR="002B3E3C" w:rsidRPr="00EC7E2F">
        <w:rPr>
          <w:color w:val="auto"/>
        </w:rPr>
        <w:t>ifically identified in the NDRP.</w:t>
      </w:r>
    </w:p>
    <w:p w14:paraId="2869DD0E" w14:textId="159DF2A3" w:rsidR="0078373B" w:rsidRPr="00EC7E2F" w:rsidRDefault="0078373B" w:rsidP="0078373B">
      <w:pPr>
        <w:pStyle w:val="Heading2"/>
        <w:rPr>
          <w:color w:val="auto"/>
        </w:rPr>
      </w:pPr>
      <w:bookmarkStart w:id="75" w:name="_Toc14347624"/>
      <w:bookmarkStart w:id="76" w:name="_Toc65240892"/>
      <w:bookmarkStart w:id="77" w:name="_Toc65241183"/>
      <w:r w:rsidRPr="00EC7E2F">
        <w:rPr>
          <w:color w:val="auto"/>
        </w:rPr>
        <w:lastRenderedPageBreak/>
        <w:t>Exemption and clearance</w:t>
      </w:r>
      <w:bookmarkEnd w:id="75"/>
      <w:bookmarkEnd w:id="76"/>
      <w:bookmarkEnd w:id="77"/>
    </w:p>
    <w:p w14:paraId="005233D6" w14:textId="63C8CC08" w:rsidR="0078373B" w:rsidRPr="00EC7E2F" w:rsidRDefault="0078373B" w:rsidP="009A2CE6">
      <w:pPr>
        <w:pStyle w:val="Paranumbered"/>
        <w:rPr>
          <w:color w:val="auto"/>
        </w:rPr>
      </w:pPr>
      <w:bookmarkStart w:id="78" w:name="_Ref21430860"/>
      <w:r w:rsidRPr="00EC7E2F">
        <w:rPr>
          <w:color w:val="auto"/>
        </w:rPr>
        <w:t xml:space="preserve">Jurisdictions agree to exempt </w:t>
      </w:r>
      <w:r w:rsidR="00985CA7" w:rsidRPr="00EC7E2F">
        <w:rPr>
          <w:color w:val="auto"/>
        </w:rPr>
        <w:t xml:space="preserve">from notification, licensing and registration requirements </w:t>
      </w:r>
      <w:r w:rsidRPr="00EC7E2F">
        <w:rPr>
          <w:color w:val="auto"/>
        </w:rPr>
        <w:t>those sources that meet Requirement 8, para</w:t>
      </w:r>
      <w:r w:rsidR="000A7758" w:rsidRPr="00EC7E2F">
        <w:rPr>
          <w:color w:val="auto"/>
        </w:rPr>
        <w:t>graph</w:t>
      </w:r>
      <w:r w:rsidRPr="00EC7E2F">
        <w:rPr>
          <w:color w:val="auto"/>
        </w:rPr>
        <w:t xml:space="preserve">s 3.10 and 3.11 of </w:t>
      </w:r>
      <w:r w:rsidR="00126F3D" w:rsidRPr="00EC7E2F">
        <w:rPr>
          <w:color w:val="auto"/>
        </w:rPr>
        <w:t xml:space="preserve">the </w:t>
      </w:r>
      <w:r w:rsidR="00126F3D" w:rsidRPr="00EC7E2F">
        <w:rPr>
          <w:iCs/>
          <w:color w:val="auto"/>
        </w:rPr>
        <w:t>International Atomic Energy Agency</w:t>
      </w:r>
      <w:r w:rsidR="00205ED2" w:rsidRPr="00EC7E2F">
        <w:rPr>
          <w:iCs/>
          <w:color w:val="auto"/>
        </w:rPr>
        <w:t xml:space="preserve"> General Safety Requirements No. GSR Part 3</w:t>
      </w:r>
      <w:r w:rsidR="00126F3D" w:rsidRPr="00EC7E2F">
        <w:rPr>
          <w:i/>
          <w:color w:val="auto"/>
        </w:rPr>
        <w:t xml:space="preserve"> Radiation Protection and Safety of Radiation Sources: International Basic Safety Standards</w:t>
      </w:r>
      <w:r w:rsidR="00126F3D" w:rsidRPr="00EC7E2F">
        <w:rPr>
          <w:color w:val="auto"/>
        </w:rPr>
        <w:t xml:space="preserve"> </w:t>
      </w:r>
      <w:r w:rsidRPr="00EC7E2F">
        <w:rPr>
          <w:color w:val="auto"/>
        </w:rPr>
        <w:t>and Schedule 2 of this document</w:t>
      </w:r>
      <w:r w:rsidR="00985CA7" w:rsidRPr="00EC7E2F">
        <w:rPr>
          <w:color w:val="auto"/>
        </w:rPr>
        <w:t>.</w:t>
      </w:r>
      <w:bookmarkEnd w:id="78"/>
    </w:p>
    <w:p w14:paraId="6C9B52BC" w14:textId="4F15C048" w:rsidR="0078373B" w:rsidRPr="00EC7E2F" w:rsidRDefault="0078373B" w:rsidP="0078373B">
      <w:pPr>
        <w:pStyle w:val="Paranumbered"/>
        <w:rPr>
          <w:color w:val="auto"/>
        </w:rPr>
      </w:pPr>
      <w:r w:rsidRPr="00EC7E2F">
        <w:rPr>
          <w:color w:val="auto"/>
        </w:rPr>
        <w:t xml:space="preserve">Jurisdictions agree to clear </w:t>
      </w:r>
      <w:r w:rsidR="00126F3D" w:rsidRPr="00EC7E2F">
        <w:rPr>
          <w:color w:val="auto"/>
        </w:rPr>
        <w:t xml:space="preserve">from regulatory control </w:t>
      </w:r>
      <w:r w:rsidRPr="00EC7E2F">
        <w:rPr>
          <w:color w:val="auto"/>
        </w:rPr>
        <w:t>those sources, including materials and objects, within notified or authorised practices, in accordance with Requirement 8, para</w:t>
      </w:r>
      <w:r w:rsidR="000A7758" w:rsidRPr="00EC7E2F">
        <w:rPr>
          <w:color w:val="auto"/>
        </w:rPr>
        <w:t>g</w:t>
      </w:r>
      <w:r w:rsidR="00985CA7" w:rsidRPr="00EC7E2F">
        <w:rPr>
          <w:color w:val="auto"/>
        </w:rPr>
        <w:t>raph</w:t>
      </w:r>
      <w:r w:rsidRPr="00EC7E2F">
        <w:rPr>
          <w:color w:val="auto"/>
        </w:rPr>
        <w:t xml:space="preserve"> 3.12 of IAEA GSR Part 3</w:t>
      </w:r>
      <w:r w:rsidR="00AF7AD9" w:rsidRPr="00EC7E2F">
        <w:rPr>
          <w:color w:val="auto"/>
        </w:rPr>
        <w:t>.</w:t>
      </w:r>
    </w:p>
    <w:p w14:paraId="1DC1E6C5" w14:textId="0E86F2AB" w:rsidR="0078373B" w:rsidRPr="00EC7E2F" w:rsidRDefault="0078373B" w:rsidP="0078373B">
      <w:pPr>
        <w:pStyle w:val="Heading2"/>
        <w:rPr>
          <w:color w:val="auto"/>
        </w:rPr>
      </w:pPr>
      <w:bookmarkStart w:id="79" w:name="_Toc14347625"/>
      <w:bookmarkStart w:id="80" w:name="_Toc65240893"/>
      <w:bookmarkStart w:id="81" w:name="_Toc65241184"/>
      <w:r w:rsidRPr="00EC7E2F">
        <w:rPr>
          <w:color w:val="auto"/>
        </w:rPr>
        <w:t>Prohibition</w:t>
      </w:r>
      <w:bookmarkEnd w:id="79"/>
      <w:bookmarkEnd w:id="80"/>
      <w:bookmarkEnd w:id="81"/>
    </w:p>
    <w:p w14:paraId="32BEC7CB" w14:textId="77777777" w:rsidR="0078373B" w:rsidRPr="00EC7E2F" w:rsidRDefault="0078373B" w:rsidP="0078373B">
      <w:pPr>
        <w:pStyle w:val="Paranumbered"/>
        <w:rPr>
          <w:color w:val="auto"/>
        </w:rPr>
      </w:pPr>
      <w:r w:rsidRPr="00EC7E2F">
        <w:rPr>
          <w:color w:val="auto"/>
        </w:rPr>
        <w:t xml:space="preserve">Jurisdictions agree </w:t>
      </w:r>
      <w:r w:rsidR="00AF7AD9" w:rsidRPr="00EC7E2F">
        <w:rPr>
          <w:color w:val="auto"/>
        </w:rPr>
        <w:t xml:space="preserve">to prohibit the use of </w:t>
      </w:r>
      <w:r w:rsidRPr="00EC7E2F">
        <w:rPr>
          <w:b/>
          <w:bCs/>
          <w:color w:val="auto"/>
        </w:rPr>
        <w:t xml:space="preserve">tanning units </w:t>
      </w:r>
      <w:r w:rsidR="00AF7AD9" w:rsidRPr="00EC7E2F">
        <w:rPr>
          <w:bCs/>
          <w:color w:val="auto"/>
        </w:rPr>
        <w:t>in commercial settings.</w:t>
      </w:r>
    </w:p>
    <w:p w14:paraId="5C038160" w14:textId="578B7DEB" w:rsidR="0078373B" w:rsidRPr="00EC7E2F" w:rsidRDefault="004738A8" w:rsidP="0078373B">
      <w:pPr>
        <w:pStyle w:val="Heading2"/>
        <w:rPr>
          <w:color w:val="auto"/>
        </w:rPr>
      </w:pPr>
      <w:bookmarkStart w:id="82" w:name="_Toc14347627"/>
      <w:bookmarkStart w:id="83" w:name="_Toc65240894"/>
      <w:bookmarkStart w:id="84" w:name="_Toc65241185"/>
      <w:r w:rsidRPr="00EC7E2F">
        <w:rPr>
          <w:color w:val="auto"/>
        </w:rPr>
        <w:t>Authorisation</w:t>
      </w:r>
      <w:r w:rsidR="00E668CC" w:rsidRPr="00EC7E2F">
        <w:rPr>
          <w:color w:val="auto"/>
        </w:rPr>
        <w:t>s</w:t>
      </w:r>
      <w:bookmarkEnd w:id="82"/>
      <w:bookmarkEnd w:id="83"/>
      <w:bookmarkEnd w:id="84"/>
    </w:p>
    <w:p w14:paraId="0D87166C" w14:textId="77777777" w:rsidR="0078373B" w:rsidRPr="00EC7E2F" w:rsidRDefault="0078373B" w:rsidP="0078373B">
      <w:pPr>
        <w:pStyle w:val="Paranumbered"/>
        <w:rPr>
          <w:color w:val="auto"/>
        </w:rPr>
      </w:pPr>
      <w:r w:rsidRPr="00EC7E2F">
        <w:rPr>
          <w:color w:val="auto"/>
        </w:rPr>
        <w:t>Jurisdictions agree that a responsible person seeking to possess, use or otherwise deal with a radiation source for a specific purpose must hold an authorisation issued by the jurisdiction.</w:t>
      </w:r>
    </w:p>
    <w:p w14:paraId="4D230089" w14:textId="77777777" w:rsidR="0078373B" w:rsidRPr="00EC7E2F" w:rsidRDefault="0078373B" w:rsidP="0078373B">
      <w:pPr>
        <w:pStyle w:val="Paranumbered"/>
        <w:rPr>
          <w:color w:val="auto"/>
        </w:rPr>
      </w:pPr>
      <w:r w:rsidRPr="00EC7E2F">
        <w:rPr>
          <w:color w:val="auto"/>
        </w:rPr>
        <w:t>Jurisdictions agree that</w:t>
      </w:r>
      <w:r w:rsidR="00A51478" w:rsidRPr="00EC7E2F">
        <w:rPr>
          <w:color w:val="auto"/>
        </w:rPr>
        <w:t xml:space="preserve"> there will be a registration system to account for</w:t>
      </w:r>
      <w:r w:rsidRPr="00EC7E2F">
        <w:rPr>
          <w:color w:val="auto"/>
        </w:rPr>
        <w:t xml:space="preserve"> all non-exempt apparatus, sources and premises. The</w:t>
      </w:r>
      <w:r w:rsidR="00A51478" w:rsidRPr="00EC7E2F">
        <w:rPr>
          <w:color w:val="auto"/>
        </w:rPr>
        <w:t xml:space="preserve"> registration system will apply to the following</w:t>
      </w:r>
      <w:r w:rsidRPr="00EC7E2F">
        <w:rPr>
          <w:color w:val="auto"/>
        </w:rPr>
        <w:t xml:space="preserve"> categories:</w:t>
      </w:r>
    </w:p>
    <w:p w14:paraId="52D85312" w14:textId="77777777" w:rsidR="0078373B" w:rsidRPr="00EC7E2F" w:rsidRDefault="0078373B" w:rsidP="000A7758">
      <w:pPr>
        <w:pStyle w:val="List1"/>
        <w:numPr>
          <w:ilvl w:val="0"/>
          <w:numId w:val="44"/>
        </w:numPr>
        <w:rPr>
          <w:color w:val="auto"/>
        </w:rPr>
      </w:pPr>
      <w:r w:rsidRPr="00EC7E2F">
        <w:rPr>
          <w:color w:val="auto"/>
        </w:rPr>
        <w:t>sealed sources, sealed source apparatus, radiation apparatus, non-ionising radiation apparatus, and the premises or facilities on which these radiation sources and apparatus are secured, stored, used or manufactured, or disposed of</w:t>
      </w:r>
    </w:p>
    <w:p w14:paraId="4FF7C86F" w14:textId="77777777" w:rsidR="0078373B" w:rsidRPr="00EC7E2F" w:rsidRDefault="0078373B" w:rsidP="000A7758">
      <w:pPr>
        <w:pStyle w:val="List1"/>
        <w:numPr>
          <w:ilvl w:val="0"/>
          <w:numId w:val="44"/>
        </w:numPr>
        <w:rPr>
          <w:color w:val="auto"/>
        </w:rPr>
      </w:pPr>
      <w:r w:rsidRPr="00EC7E2F">
        <w:rPr>
          <w:color w:val="auto"/>
        </w:rPr>
        <w:t>premises at which unsealed radioactive sources are stored or used, or</w:t>
      </w:r>
    </w:p>
    <w:p w14:paraId="6FD11D91" w14:textId="77777777" w:rsidR="0078373B" w:rsidRPr="00EC7E2F" w:rsidRDefault="0078373B" w:rsidP="000A7758">
      <w:pPr>
        <w:pStyle w:val="List1"/>
        <w:numPr>
          <w:ilvl w:val="0"/>
          <w:numId w:val="44"/>
        </w:numPr>
        <w:rPr>
          <w:color w:val="auto"/>
        </w:rPr>
      </w:pPr>
      <w:r w:rsidRPr="00EC7E2F">
        <w:rPr>
          <w:color w:val="auto"/>
        </w:rPr>
        <w:t>in the case of radiation sources that are intended for portable or field use, the sources and the principal place of storage.</w:t>
      </w:r>
    </w:p>
    <w:p w14:paraId="44683C4F" w14:textId="638FF13D" w:rsidR="0078373B" w:rsidRPr="00EC7E2F" w:rsidRDefault="0078373B" w:rsidP="00C477F1">
      <w:pPr>
        <w:pStyle w:val="Heading2"/>
        <w:rPr>
          <w:color w:val="auto"/>
        </w:rPr>
      </w:pPr>
      <w:bookmarkStart w:id="85" w:name="_Toc14347631"/>
      <w:bookmarkStart w:id="86" w:name="_Toc65240895"/>
      <w:bookmarkStart w:id="87" w:name="_Toc65241186"/>
      <w:r w:rsidRPr="00EC7E2F">
        <w:rPr>
          <w:color w:val="auto"/>
        </w:rPr>
        <w:t>Inspection</w:t>
      </w:r>
      <w:bookmarkEnd w:id="85"/>
      <w:r w:rsidR="004738A8" w:rsidRPr="00EC7E2F">
        <w:rPr>
          <w:color w:val="auto"/>
        </w:rPr>
        <w:t xml:space="preserve"> and enforcement</w:t>
      </w:r>
      <w:bookmarkEnd w:id="86"/>
      <w:bookmarkEnd w:id="87"/>
    </w:p>
    <w:p w14:paraId="6DDE8D9F" w14:textId="3B415DB2" w:rsidR="0078373B" w:rsidRPr="00EC7E2F" w:rsidRDefault="0078373B" w:rsidP="0078373B">
      <w:pPr>
        <w:pStyle w:val="Paranumbered"/>
        <w:rPr>
          <w:color w:val="auto"/>
        </w:rPr>
      </w:pPr>
      <w:r w:rsidRPr="00EC7E2F">
        <w:rPr>
          <w:color w:val="auto"/>
        </w:rPr>
        <w:t>Jurisdictions agree to develop and implement an</w:t>
      </w:r>
      <w:r w:rsidR="007A6B1E" w:rsidRPr="00EC7E2F">
        <w:rPr>
          <w:color w:val="auto"/>
        </w:rPr>
        <w:t xml:space="preserve"> adequately resourced</w:t>
      </w:r>
      <w:r w:rsidRPr="00EC7E2F">
        <w:rPr>
          <w:color w:val="auto"/>
        </w:rPr>
        <w:t xml:space="preserve"> inspection strategy and inspection program, in line with a nationally agreed compliance and enforcement strategy.</w:t>
      </w:r>
    </w:p>
    <w:p w14:paraId="2F228673" w14:textId="202EBF5F" w:rsidR="00A3519E" w:rsidRPr="00EC7E2F" w:rsidRDefault="00A3519E" w:rsidP="00A62276">
      <w:pPr>
        <w:pStyle w:val="Paranumbered"/>
        <w:rPr>
          <w:color w:val="auto"/>
          <w:spacing w:val="-4"/>
        </w:rPr>
      </w:pPr>
      <w:r w:rsidRPr="00EC7E2F">
        <w:rPr>
          <w:color w:val="auto"/>
          <w:spacing w:val="-4"/>
        </w:rPr>
        <w:t>Jurisdictions agree to a national enforcement policy to direct</w:t>
      </w:r>
      <w:r w:rsidR="007A6B1E" w:rsidRPr="00EC7E2F">
        <w:rPr>
          <w:color w:val="auto"/>
          <w:spacing w:val="-4"/>
        </w:rPr>
        <w:t xml:space="preserve"> staff </w:t>
      </w:r>
      <w:r w:rsidRPr="00EC7E2F">
        <w:rPr>
          <w:color w:val="auto"/>
          <w:spacing w:val="-4"/>
        </w:rPr>
        <w:t xml:space="preserve">in </w:t>
      </w:r>
      <w:r w:rsidR="007A6B1E" w:rsidRPr="00EC7E2F">
        <w:rPr>
          <w:color w:val="auto"/>
          <w:spacing w:val="-4"/>
        </w:rPr>
        <w:t xml:space="preserve">the </w:t>
      </w:r>
      <w:r w:rsidRPr="00EC7E2F">
        <w:rPr>
          <w:color w:val="auto"/>
          <w:spacing w:val="-4"/>
        </w:rPr>
        <w:t>application of enforcement actions</w:t>
      </w:r>
      <w:r w:rsidR="00012510" w:rsidRPr="00EC7E2F">
        <w:rPr>
          <w:color w:val="auto"/>
          <w:spacing w:val="-4"/>
        </w:rPr>
        <w:t xml:space="preserve">, which are proportionate </w:t>
      </w:r>
      <w:r w:rsidRPr="00EC7E2F">
        <w:rPr>
          <w:color w:val="auto"/>
          <w:spacing w:val="-4"/>
        </w:rPr>
        <w:t xml:space="preserve">to the significance and nature of regulatory non-compliance. </w:t>
      </w:r>
    </w:p>
    <w:p w14:paraId="5A8CA844" w14:textId="0C7107EB" w:rsidR="0078373B" w:rsidRPr="00EC7E2F" w:rsidRDefault="0078373B" w:rsidP="00C477F1">
      <w:pPr>
        <w:pStyle w:val="Heading2"/>
        <w:rPr>
          <w:color w:val="auto"/>
        </w:rPr>
      </w:pPr>
      <w:bookmarkStart w:id="88" w:name="_Toc14347633"/>
      <w:bookmarkStart w:id="89" w:name="_Toc65240896"/>
      <w:bookmarkStart w:id="90" w:name="_Toc65241187"/>
      <w:r w:rsidRPr="00EC7E2F">
        <w:rPr>
          <w:color w:val="auto"/>
        </w:rPr>
        <w:t>Adoption and implementation of codes</w:t>
      </w:r>
      <w:bookmarkEnd w:id="88"/>
      <w:r w:rsidR="00E1695C" w:rsidRPr="00EC7E2F">
        <w:rPr>
          <w:color w:val="auto"/>
        </w:rPr>
        <w:t xml:space="preserve"> and standards</w:t>
      </w:r>
      <w:bookmarkEnd w:id="89"/>
      <w:bookmarkEnd w:id="90"/>
    </w:p>
    <w:p w14:paraId="61202546" w14:textId="4CAF2ECE" w:rsidR="0078373B" w:rsidRPr="00EC7E2F" w:rsidRDefault="0078373B" w:rsidP="0078373B">
      <w:pPr>
        <w:pStyle w:val="Paranumbered"/>
        <w:rPr>
          <w:color w:val="auto"/>
        </w:rPr>
      </w:pPr>
      <w:bookmarkStart w:id="91" w:name="_Ref13839901"/>
      <w:bookmarkStart w:id="92" w:name="_Ref21431110"/>
      <w:r w:rsidRPr="00EC7E2F">
        <w:rPr>
          <w:color w:val="auto"/>
        </w:rPr>
        <w:t xml:space="preserve">Jurisdictions agree to adopt and implement </w:t>
      </w:r>
      <w:r w:rsidR="00211DC0" w:rsidRPr="00EC7E2F">
        <w:rPr>
          <w:color w:val="auto"/>
        </w:rPr>
        <w:t>the publications</w:t>
      </w:r>
      <w:r w:rsidRPr="00EC7E2F">
        <w:rPr>
          <w:color w:val="auto"/>
        </w:rPr>
        <w:t xml:space="preserve"> listed in Schedule 3</w:t>
      </w:r>
      <w:bookmarkEnd w:id="91"/>
      <w:r w:rsidR="00C477F1" w:rsidRPr="00EC7E2F">
        <w:rPr>
          <w:color w:val="auto"/>
        </w:rPr>
        <w:t>.</w:t>
      </w:r>
      <w:bookmarkEnd w:id="92"/>
    </w:p>
    <w:p w14:paraId="6E6BF9A4" w14:textId="77777777" w:rsidR="004738A8" w:rsidRPr="00EC7E2F" w:rsidRDefault="004738A8" w:rsidP="004738A8">
      <w:pPr>
        <w:pStyle w:val="Heading2"/>
        <w:rPr>
          <w:color w:val="auto"/>
        </w:rPr>
      </w:pPr>
      <w:bookmarkStart w:id="93" w:name="_Toc14347629"/>
      <w:bookmarkStart w:id="94" w:name="_Toc65240897"/>
      <w:bookmarkStart w:id="95" w:name="_Toc65241188"/>
      <w:r w:rsidRPr="00EC7E2F">
        <w:rPr>
          <w:color w:val="auto"/>
        </w:rPr>
        <w:t>Services for rural and remote areas</w:t>
      </w:r>
      <w:bookmarkEnd w:id="93"/>
      <w:bookmarkEnd w:id="94"/>
      <w:bookmarkEnd w:id="95"/>
    </w:p>
    <w:p w14:paraId="3F54ED48" w14:textId="77777777" w:rsidR="004738A8" w:rsidRPr="00EC7E2F" w:rsidRDefault="004738A8" w:rsidP="004738A8">
      <w:pPr>
        <w:pStyle w:val="Paranumbered"/>
        <w:rPr>
          <w:color w:val="auto"/>
          <w:spacing w:val="-2"/>
          <w:lang w:val="x-none"/>
        </w:rPr>
      </w:pPr>
      <w:r w:rsidRPr="00EC7E2F">
        <w:rPr>
          <w:color w:val="auto"/>
        </w:rPr>
        <w:t>Jurisdictions agree that an individual</w:t>
      </w:r>
      <w:r w:rsidRPr="00EC7E2F">
        <w:rPr>
          <w:color w:val="auto"/>
          <w:spacing w:val="-2"/>
        </w:rPr>
        <w:t xml:space="preserve"> may be granted permission to undertake a restricted range of diagnostic X</w:t>
      </w:r>
      <w:r w:rsidRPr="00EC7E2F">
        <w:rPr>
          <w:color w:val="auto"/>
        </w:rPr>
        <w:t>-</w:t>
      </w:r>
      <w:r w:rsidRPr="00EC7E2F">
        <w:rPr>
          <w:color w:val="auto"/>
          <w:spacing w:val="-2"/>
        </w:rPr>
        <w:t>ray services (without otherwise meeting the nationally agreed competency requirements for a radiographer) if:</w:t>
      </w:r>
    </w:p>
    <w:p w14:paraId="381FC1CB" w14:textId="77777777" w:rsidR="004738A8" w:rsidRPr="00EC7E2F" w:rsidRDefault="004738A8" w:rsidP="004738A8">
      <w:pPr>
        <w:pStyle w:val="List1"/>
        <w:numPr>
          <w:ilvl w:val="0"/>
          <w:numId w:val="43"/>
        </w:numPr>
        <w:rPr>
          <w:color w:val="auto"/>
        </w:rPr>
      </w:pPr>
      <w:r w:rsidRPr="00EC7E2F">
        <w:rPr>
          <w:color w:val="auto"/>
        </w:rPr>
        <w:t>the person has undertaken training accredited by the jurisdiction</w:t>
      </w:r>
    </w:p>
    <w:p w14:paraId="355A4C08" w14:textId="77777777" w:rsidR="004738A8" w:rsidRPr="00EC7E2F" w:rsidRDefault="004738A8" w:rsidP="004738A8">
      <w:pPr>
        <w:pStyle w:val="List1"/>
        <w:numPr>
          <w:ilvl w:val="0"/>
          <w:numId w:val="43"/>
        </w:numPr>
        <w:rPr>
          <w:color w:val="auto"/>
        </w:rPr>
      </w:pPr>
      <w:r w:rsidRPr="00EC7E2F">
        <w:rPr>
          <w:color w:val="auto"/>
        </w:rPr>
        <w:t>appropriate conditions and restrictions regarding the services permitted to be provided are placed on the authorisation.</w:t>
      </w:r>
    </w:p>
    <w:p w14:paraId="032C23AE" w14:textId="74287010" w:rsidR="00A3519E" w:rsidRPr="00EC7E2F" w:rsidRDefault="00A3519E" w:rsidP="00A3519E">
      <w:pPr>
        <w:pStyle w:val="Schedule"/>
      </w:pPr>
      <w:bookmarkStart w:id="96" w:name="_Toc416791775"/>
      <w:bookmarkStart w:id="97" w:name="_Toc442267080"/>
      <w:bookmarkStart w:id="98" w:name="_Toc473123835"/>
      <w:bookmarkStart w:id="99" w:name="_Toc14347634"/>
      <w:bookmarkStart w:id="100" w:name="_Toc65240898"/>
      <w:bookmarkStart w:id="101" w:name="_Toc65241189"/>
      <w:r w:rsidRPr="00EC7E2F">
        <w:lastRenderedPageBreak/>
        <w:t xml:space="preserve">Schedule </w:t>
      </w:r>
      <w:bookmarkEnd w:id="96"/>
      <w:bookmarkEnd w:id="97"/>
      <w:bookmarkEnd w:id="98"/>
      <w:r w:rsidRPr="00EC7E2F">
        <w:t>1 – Dose limits, reference levels and dose coefficients</w:t>
      </w:r>
      <w:bookmarkEnd w:id="99"/>
      <w:bookmarkEnd w:id="100"/>
      <w:bookmarkEnd w:id="101"/>
    </w:p>
    <w:p w14:paraId="4F618302" w14:textId="05329C61" w:rsidR="00A3519E" w:rsidRPr="00EC7E2F" w:rsidRDefault="00A3519E" w:rsidP="00205ED2">
      <w:pPr>
        <w:rPr>
          <w:color w:val="auto"/>
        </w:rPr>
      </w:pPr>
      <w:r w:rsidRPr="00EC7E2F">
        <w:rPr>
          <w:color w:val="auto"/>
        </w:rPr>
        <w:t>(</w:t>
      </w:r>
      <w:r w:rsidRPr="00EC7E2F">
        <w:rPr>
          <w:i/>
          <w:iCs/>
          <w:color w:val="auto"/>
        </w:rPr>
        <w:t>Refer to paragraph</w:t>
      </w:r>
      <w:r w:rsidR="009A2CE6" w:rsidRPr="00EC7E2F">
        <w:rPr>
          <w:i/>
          <w:color w:val="auto"/>
        </w:rPr>
        <w:t xml:space="preserve"> </w:t>
      </w:r>
      <w:r w:rsidR="009A2CE6" w:rsidRPr="00EC7E2F">
        <w:rPr>
          <w:i/>
          <w:color w:val="auto"/>
        </w:rPr>
        <w:fldChar w:fldCharType="begin"/>
      </w:r>
      <w:r w:rsidR="009A2CE6" w:rsidRPr="00EC7E2F">
        <w:rPr>
          <w:i/>
          <w:color w:val="auto"/>
        </w:rPr>
        <w:instrText xml:space="preserve"> REF _Ref21430748 \r \h </w:instrText>
      </w:r>
      <w:r w:rsidR="00D904DC" w:rsidRPr="00EC7E2F">
        <w:rPr>
          <w:i/>
          <w:color w:val="auto"/>
        </w:rPr>
        <w:instrText xml:space="preserve"> \* MERGEFORMAT </w:instrText>
      </w:r>
      <w:r w:rsidR="009A2CE6" w:rsidRPr="00EC7E2F">
        <w:rPr>
          <w:i/>
          <w:color w:val="auto"/>
        </w:rPr>
      </w:r>
      <w:r w:rsidR="009A2CE6" w:rsidRPr="00EC7E2F">
        <w:rPr>
          <w:i/>
          <w:color w:val="auto"/>
        </w:rPr>
        <w:fldChar w:fldCharType="separate"/>
      </w:r>
      <w:r w:rsidR="00873F7F" w:rsidRPr="00EC7E2F">
        <w:rPr>
          <w:i/>
          <w:color w:val="auto"/>
        </w:rPr>
        <w:t>21</w:t>
      </w:r>
      <w:r w:rsidR="009A2CE6" w:rsidRPr="00EC7E2F">
        <w:rPr>
          <w:i/>
          <w:color w:val="auto"/>
        </w:rPr>
        <w:fldChar w:fldCharType="end"/>
      </w:r>
      <w:r w:rsidR="009A2CE6" w:rsidRPr="00EC7E2F">
        <w:rPr>
          <w:color w:val="auto"/>
        </w:rPr>
        <w:t>)</w:t>
      </w:r>
      <w:r w:rsidR="00205ED2" w:rsidRPr="00EC7E2F">
        <w:rPr>
          <w:color w:val="auto"/>
        </w:rPr>
        <w:tab/>
      </w:r>
    </w:p>
    <w:p w14:paraId="21413463" w14:textId="73C04B26" w:rsidR="009A2CE6" w:rsidRPr="00EC7E2F" w:rsidRDefault="00A3519E" w:rsidP="009A2CE6">
      <w:pPr>
        <w:rPr>
          <w:color w:val="auto"/>
        </w:rPr>
      </w:pPr>
      <w:r w:rsidRPr="00EC7E2F">
        <w:rPr>
          <w:color w:val="auto"/>
        </w:rPr>
        <w:t xml:space="preserve">The table below lists the publications that provide the applicable dose limits, </w:t>
      </w:r>
      <w:r w:rsidRPr="00EC7E2F">
        <w:rPr>
          <w:bCs/>
          <w:color w:val="auto"/>
        </w:rPr>
        <w:t>reference levels,</w:t>
      </w:r>
      <w:r w:rsidRPr="00EC7E2F">
        <w:rPr>
          <w:b/>
          <w:color w:val="auto"/>
        </w:rPr>
        <w:t xml:space="preserve"> </w:t>
      </w:r>
      <w:r w:rsidRPr="00EC7E2F">
        <w:rPr>
          <w:color w:val="auto"/>
        </w:rPr>
        <w:t>and</w:t>
      </w:r>
      <w:r w:rsidRPr="00EC7E2F">
        <w:rPr>
          <w:b/>
          <w:color w:val="auto"/>
        </w:rPr>
        <w:t xml:space="preserve"> </w:t>
      </w:r>
      <w:r w:rsidRPr="00EC7E2F">
        <w:rPr>
          <w:bCs/>
          <w:color w:val="auto"/>
        </w:rPr>
        <w:t>dose coefficients.</w:t>
      </w:r>
      <w:r w:rsidR="009A2CE6" w:rsidRPr="00EC7E2F">
        <w:rPr>
          <w:color w:val="auto"/>
        </w:rPr>
        <w:br/>
      </w:r>
    </w:p>
    <w:tbl>
      <w:tblPr>
        <w:tblStyle w:val="GridTable4"/>
        <w:tblW w:w="9776" w:type="dxa"/>
        <w:tblLook w:val="04A0" w:firstRow="1" w:lastRow="0" w:firstColumn="1" w:lastColumn="0" w:noHBand="0" w:noVBand="1"/>
      </w:tblPr>
      <w:tblGrid>
        <w:gridCol w:w="846"/>
        <w:gridCol w:w="3544"/>
        <w:gridCol w:w="5386"/>
      </w:tblGrid>
      <w:tr w:rsidR="00EC7E2F" w:rsidRPr="00EC7E2F" w14:paraId="07B49750" w14:textId="77777777" w:rsidTr="00EC7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F02A14D" w14:textId="77777777" w:rsidR="00A3519E" w:rsidRPr="00EC7E2F" w:rsidRDefault="00A3519E" w:rsidP="00BC128E">
            <w:pPr>
              <w:pStyle w:val="ListParagraph"/>
              <w:numPr>
                <w:ilvl w:val="0"/>
                <w:numId w:val="0"/>
              </w:numPr>
              <w:ind w:left="720"/>
              <w:rPr>
                <w:b w:val="0"/>
                <w:color w:val="auto"/>
                <w:sz w:val="24"/>
                <w:szCs w:val="24"/>
              </w:rPr>
            </w:pPr>
          </w:p>
        </w:tc>
        <w:tc>
          <w:tcPr>
            <w:tcW w:w="3544" w:type="dxa"/>
          </w:tcPr>
          <w:p w14:paraId="52F2E6CE" w14:textId="77777777" w:rsidR="00A3519E" w:rsidRPr="00EC7E2F" w:rsidRDefault="00A3519E" w:rsidP="00BC128E">
            <w:pPr>
              <w:spacing w:after="120"/>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EC7E2F">
              <w:rPr>
                <w:color w:val="auto"/>
                <w:sz w:val="24"/>
                <w:szCs w:val="24"/>
              </w:rPr>
              <w:t>Dose limits, dose coefficients, reference levels</w:t>
            </w:r>
          </w:p>
        </w:tc>
        <w:tc>
          <w:tcPr>
            <w:tcW w:w="5386" w:type="dxa"/>
          </w:tcPr>
          <w:p w14:paraId="4B8D52F6" w14:textId="77777777" w:rsidR="00A3519E" w:rsidRPr="00EC7E2F" w:rsidRDefault="00A3519E" w:rsidP="00BC128E">
            <w:pPr>
              <w:spacing w:after="120"/>
              <w:cnfStyle w:val="100000000000" w:firstRow="1" w:lastRow="0" w:firstColumn="0" w:lastColumn="0" w:oddVBand="0" w:evenVBand="0" w:oddHBand="0" w:evenHBand="0" w:firstRowFirstColumn="0" w:firstRowLastColumn="0" w:lastRowFirstColumn="0" w:lastRowLastColumn="0"/>
              <w:rPr>
                <w:b w:val="0"/>
                <w:color w:val="auto"/>
                <w:sz w:val="24"/>
                <w:szCs w:val="24"/>
              </w:rPr>
            </w:pPr>
            <w:r w:rsidRPr="00EC7E2F">
              <w:rPr>
                <w:color w:val="auto"/>
                <w:sz w:val="24"/>
                <w:szCs w:val="24"/>
              </w:rPr>
              <w:t>Publications</w:t>
            </w:r>
          </w:p>
        </w:tc>
      </w:tr>
      <w:tr w:rsidR="00EC7E2F" w:rsidRPr="00EC7E2F" w14:paraId="67264BD2" w14:textId="77777777" w:rsidTr="00EC7E2F">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846" w:type="dxa"/>
          </w:tcPr>
          <w:p w14:paraId="361D99C7" w14:textId="77777777" w:rsidR="00A3519E" w:rsidRPr="00EC7E2F" w:rsidRDefault="00A3519E" w:rsidP="00BC128E">
            <w:pPr>
              <w:rPr>
                <w:color w:val="auto"/>
              </w:rPr>
            </w:pPr>
            <w:r w:rsidRPr="00EC7E2F">
              <w:rPr>
                <w:color w:val="auto"/>
              </w:rPr>
              <w:t>1.</w:t>
            </w:r>
          </w:p>
        </w:tc>
        <w:tc>
          <w:tcPr>
            <w:tcW w:w="3544" w:type="dxa"/>
          </w:tcPr>
          <w:p w14:paraId="28A1263C" w14:textId="77777777" w:rsidR="00A3519E" w:rsidRPr="00EC7E2F" w:rsidRDefault="00A3519E" w:rsidP="00BC128E">
            <w:pPr>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Dose limits for occupationally exposed persons for ionising radiation</w:t>
            </w:r>
          </w:p>
        </w:tc>
        <w:tc>
          <w:tcPr>
            <w:tcW w:w="5386" w:type="dxa"/>
          </w:tcPr>
          <w:p w14:paraId="49449573" w14:textId="1941DA80" w:rsidR="00A3519E" w:rsidRPr="00EC7E2F" w:rsidRDefault="00A3519E" w:rsidP="00BC128E">
            <w:pPr>
              <w:cnfStyle w:val="000000100000" w:firstRow="0" w:lastRow="0" w:firstColumn="0" w:lastColumn="0" w:oddVBand="0" w:evenVBand="0" w:oddHBand="1" w:evenHBand="0" w:firstRowFirstColumn="0" w:firstRowLastColumn="0" w:lastRowFirstColumn="0" w:lastRowLastColumn="0"/>
              <w:rPr>
                <w:color w:val="auto"/>
                <w:sz w:val="20"/>
              </w:rPr>
            </w:pPr>
            <w:r w:rsidRPr="00EC7E2F">
              <w:rPr>
                <w:color w:val="auto"/>
              </w:rPr>
              <w:t xml:space="preserve">Schedule A to the </w:t>
            </w:r>
            <w:r w:rsidRPr="00EC7E2F">
              <w:rPr>
                <w:i/>
                <w:color w:val="auto"/>
              </w:rPr>
              <w:t>Code for Radiation Protection in Planned Exposure Situations</w:t>
            </w:r>
            <w:r w:rsidRPr="00EC7E2F">
              <w:rPr>
                <w:color w:val="auto"/>
              </w:rPr>
              <w:t>, Radiation Protection Series C-1</w:t>
            </w:r>
            <w:r w:rsidR="00E61C16" w:rsidRPr="00EC7E2F">
              <w:rPr>
                <w:color w:val="auto"/>
              </w:rPr>
              <w:t xml:space="preserve"> (Rev 1)</w:t>
            </w:r>
            <w:r w:rsidRPr="00EC7E2F">
              <w:rPr>
                <w:color w:val="auto"/>
              </w:rPr>
              <w:t xml:space="preserve"> (</w:t>
            </w:r>
            <w:r w:rsidR="00E61C16" w:rsidRPr="00EC7E2F">
              <w:rPr>
                <w:color w:val="auto"/>
              </w:rPr>
              <w:t>2020</w:t>
            </w:r>
            <w:r w:rsidRPr="00EC7E2F">
              <w:rPr>
                <w:color w:val="auto"/>
              </w:rPr>
              <w:t>) (Planned Exposure Code)</w:t>
            </w:r>
          </w:p>
        </w:tc>
      </w:tr>
      <w:tr w:rsidR="00EC7E2F" w:rsidRPr="00EC7E2F" w14:paraId="7D0E8D1D" w14:textId="77777777" w:rsidTr="00EC7E2F">
        <w:tc>
          <w:tcPr>
            <w:cnfStyle w:val="001000000000" w:firstRow="0" w:lastRow="0" w:firstColumn="1" w:lastColumn="0" w:oddVBand="0" w:evenVBand="0" w:oddHBand="0" w:evenHBand="0" w:firstRowFirstColumn="0" w:firstRowLastColumn="0" w:lastRowFirstColumn="0" w:lastRowLastColumn="0"/>
            <w:tcW w:w="846" w:type="dxa"/>
          </w:tcPr>
          <w:p w14:paraId="43379879" w14:textId="77777777" w:rsidR="00A3519E" w:rsidRPr="00EC7E2F" w:rsidRDefault="00A3519E" w:rsidP="00BC128E">
            <w:pPr>
              <w:rPr>
                <w:color w:val="auto"/>
              </w:rPr>
            </w:pPr>
            <w:r w:rsidRPr="00EC7E2F">
              <w:rPr>
                <w:color w:val="auto"/>
              </w:rPr>
              <w:t>2.</w:t>
            </w:r>
          </w:p>
        </w:tc>
        <w:tc>
          <w:tcPr>
            <w:tcW w:w="3544" w:type="dxa"/>
          </w:tcPr>
          <w:p w14:paraId="46E123FC" w14:textId="77777777" w:rsidR="00A3519E" w:rsidRPr="00EC7E2F" w:rsidRDefault="00A3519E" w:rsidP="00BC128E">
            <w:pPr>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Dose limits for members of the public for ionising radiation</w:t>
            </w:r>
          </w:p>
        </w:tc>
        <w:tc>
          <w:tcPr>
            <w:tcW w:w="5386" w:type="dxa"/>
          </w:tcPr>
          <w:p w14:paraId="462E6612" w14:textId="0E680D76" w:rsidR="00A3519E" w:rsidRPr="00EC7E2F" w:rsidRDefault="00A3519E" w:rsidP="00BC128E">
            <w:pPr>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 xml:space="preserve">Schedule B to the </w:t>
            </w:r>
            <w:r w:rsidRPr="00EC7E2F">
              <w:rPr>
                <w:i/>
                <w:color w:val="auto"/>
              </w:rPr>
              <w:t>Code for Radiation Protection in Planned Exposure Situations</w:t>
            </w:r>
            <w:r w:rsidRPr="00EC7E2F">
              <w:rPr>
                <w:color w:val="auto"/>
              </w:rPr>
              <w:t xml:space="preserve">, Radiation Protection Series C-1 </w:t>
            </w:r>
            <w:r w:rsidR="00E61C16" w:rsidRPr="00EC7E2F">
              <w:rPr>
                <w:color w:val="auto"/>
              </w:rPr>
              <w:t xml:space="preserve">(Rev 1) </w:t>
            </w:r>
            <w:r w:rsidRPr="00EC7E2F">
              <w:rPr>
                <w:color w:val="auto"/>
              </w:rPr>
              <w:t>(</w:t>
            </w:r>
            <w:r w:rsidR="00E61C16" w:rsidRPr="00EC7E2F">
              <w:rPr>
                <w:color w:val="auto"/>
              </w:rPr>
              <w:t>2020</w:t>
            </w:r>
            <w:r w:rsidRPr="00EC7E2F">
              <w:rPr>
                <w:color w:val="auto"/>
              </w:rPr>
              <w:t>)</w:t>
            </w:r>
          </w:p>
        </w:tc>
      </w:tr>
      <w:tr w:rsidR="00EC7E2F" w:rsidRPr="00EC7E2F" w14:paraId="070EE079"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24883CD" w14:textId="77777777" w:rsidR="00A3519E" w:rsidRPr="00EC7E2F" w:rsidRDefault="00A3519E" w:rsidP="00BC128E">
            <w:pPr>
              <w:rPr>
                <w:color w:val="auto"/>
              </w:rPr>
            </w:pPr>
            <w:r w:rsidRPr="00EC7E2F">
              <w:rPr>
                <w:color w:val="auto"/>
              </w:rPr>
              <w:t>3.</w:t>
            </w:r>
          </w:p>
        </w:tc>
        <w:tc>
          <w:tcPr>
            <w:tcW w:w="3544" w:type="dxa"/>
          </w:tcPr>
          <w:p w14:paraId="22F52977" w14:textId="77777777" w:rsidR="00A3519E" w:rsidRPr="00EC7E2F" w:rsidRDefault="00A3519E" w:rsidP="00BC128E">
            <w:pPr>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Reference levels for existing exposure situations</w:t>
            </w:r>
          </w:p>
        </w:tc>
        <w:tc>
          <w:tcPr>
            <w:tcW w:w="5386" w:type="dxa"/>
          </w:tcPr>
          <w:p w14:paraId="3244737A" w14:textId="77777777" w:rsidR="00A3519E" w:rsidRPr="00EC7E2F" w:rsidRDefault="00A3519E" w:rsidP="00BC128E">
            <w:pPr>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 xml:space="preserve">See Annex A to </w:t>
            </w:r>
            <w:r w:rsidRPr="00EC7E2F">
              <w:rPr>
                <w:i/>
                <w:color w:val="auto"/>
              </w:rPr>
              <w:t>Guide for Radiation Protection in Existing Exposure Situations</w:t>
            </w:r>
            <w:r w:rsidRPr="00EC7E2F">
              <w:rPr>
                <w:color w:val="auto"/>
              </w:rPr>
              <w:t>, Radiation Protection Series G-2 (2017)</w:t>
            </w:r>
          </w:p>
        </w:tc>
      </w:tr>
      <w:tr w:rsidR="00EC7E2F" w:rsidRPr="00EC7E2F" w14:paraId="740E915D" w14:textId="77777777" w:rsidTr="00EC7E2F">
        <w:tc>
          <w:tcPr>
            <w:cnfStyle w:val="001000000000" w:firstRow="0" w:lastRow="0" w:firstColumn="1" w:lastColumn="0" w:oddVBand="0" w:evenVBand="0" w:oddHBand="0" w:evenHBand="0" w:firstRowFirstColumn="0" w:firstRowLastColumn="0" w:lastRowFirstColumn="0" w:lastRowLastColumn="0"/>
            <w:tcW w:w="846" w:type="dxa"/>
          </w:tcPr>
          <w:p w14:paraId="60C62A91" w14:textId="77777777" w:rsidR="00A3519E" w:rsidRPr="00EC7E2F" w:rsidRDefault="00A3519E" w:rsidP="00BC128E">
            <w:pPr>
              <w:rPr>
                <w:color w:val="auto"/>
              </w:rPr>
            </w:pPr>
            <w:r w:rsidRPr="00EC7E2F">
              <w:rPr>
                <w:color w:val="auto"/>
              </w:rPr>
              <w:t>4.</w:t>
            </w:r>
          </w:p>
        </w:tc>
        <w:tc>
          <w:tcPr>
            <w:tcW w:w="3544" w:type="dxa"/>
          </w:tcPr>
          <w:p w14:paraId="2D5BE7C0" w14:textId="77777777" w:rsidR="00A3519E" w:rsidRPr="00EC7E2F" w:rsidRDefault="00A3519E" w:rsidP="00BC128E">
            <w:pPr>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Reference levels for emergency exposure situations</w:t>
            </w:r>
          </w:p>
        </w:tc>
        <w:tc>
          <w:tcPr>
            <w:tcW w:w="5386" w:type="dxa"/>
          </w:tcPr>
          <w:p w14:paraId="39D679E1" w14:textId="77777777" w:rsidR="00A3519E" w:rsidRPr="00EC7E2F" w:rsidRDefault="00A3519E" w:rsidP="00BC128E">
            <w:pPr>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 xml:space="preserve">See section 2.6.1 of </w:t>
            </w:r>
            <w:r w:rsidRPr="00EC7E2F">
              <w:rPr>
                <w:i/>
                <w:color w:val="auto"/>
              </w:rPr>
              <w:t>Guide for Radiation Protection in Emergency Exposure Situations: Part 1 – The Framework</w:t>
            </w:r>
            <w:r w:rsidRPr="00EC7E2F">
              <w:rPr>
                <w:color w:val="auto"/>
              </w:rPr>
              <w:t>, Radiation Protection Series G-3 (2019)</w:t>
            </w:r>
          </w:p>
        </w:tc>
      </w:tr>
      <w:tr w:rsidR="00EC7E2F" w:rsidRPr="00EC7E2F" w14:paraId="349FFFD9"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DEB9AD0" w14:textId="77777777" w:rsidR="00A3519E" w:rsidRPr="00EC7E2F" w:rsidRDefault="00A3519E" w:rsidP="00BC128E">
            <w:pPr>
              <w:rPr>
                <w:color w:val="auto"/>
              </w:rPr>
            </w:pPr>
            <w:r w:rsidRPr="00EC7E2F">
              <w:rPr>
                <w:color w:val="auto"/>
              </w:rPr>
              <w:t>5.</w:t>
            </w:r>
          </w:p>
        </w:tc>
        <w:tc>
          <w:tcPr>
            <w:tcW w:w="3544" w:type="dxa"/>
          </w:tcPr>
          <w:p w14:paraId="029F0B7D" w14:textId="77777777" w:rsidR="00A3519E" w:rsidRPr="00EC7E2F" w:rsidRDefault="00A3519E" w:rsidP="00BC128E">
            <w:pPr>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Dose coefficients</w:t>
            </w:r>
          </w:p>
        </w:tc>
        <w:tc>
          <w:tcPr>
            <w:tcW w:w="5386" w:type="dxa"/>
          </w:tcPr>
          <w:p w14:paraId="2A885982" w14:textId="761EF272" w:rsidR="00A3519E" w:rsidRPr="00EC7E2F" w:rsidRDefault="00A3519E" w:rsidP="00BC128E">
            <w:pPr>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International Commission for Radiation Protection (ICRP) Publications 88, 95, 116, 119, 130, 134, 136, and 137 (see the most recent publications)</w:t>
            </w:r>
          </w:p>
          <w:p w14:paraId="4BDE9251" w14:textId="2E73E683" w:rsidR="00A3519E" w:rsidRPr="00EC7E2F" w:rsidRDefault="00B21DE2" w:rsidP="00BC128E">
            <w:pPr>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United States Environmental Protection Agency (</w:t>
            </w:r>
            <w:r w:rsidR="00A3519E" w:rsidRPr="00EC7E2F">
              <w:rPr>
                <w:color w:val="auto"/>
              </w:rPr>
              <w:t>US EPA</w:t>
            </w:r>
            <w:r w:rsidRPr="00EC7E2F">
              <w:rPr>
                <w:color w:val="auto"/>
              </w:rPr>
              <w:t>)</w:t>
            </w:r>
            <w:r w:rsidR="00A3519E" w:rsidRPr="00EC7E2F">
              <w:rPr>
                <w:color w:val="auto"/>
              </w:rPr>
              <w:t xml:space="preserve"> </w:t>
            </w:r>
            <w:r w:rsidRPr="00EC7E2F">
              <w:rPr>
                <w:color w:val="auto"/>
              </w:rPr>
              <w:t xml:space="preserve">Federal Guidance Report </w:t>
            </w:r>
            <w:r w:rsidR="00A3519E" w:rsidRPr="00EC7E2F">
              <w:rPr>
                <w:color w:val="auto"/>
              </w:rPr>
              <w:t>number 12</w:t>
            </w:r>
          </w:p>
        </w:tc>
      </w:tr>
    </w:tbl>
    <w:p w14:paraId="3820B4D7" w14:textId="77777777" w:rsidR="009A2CE6" w:rsidRPr="00EC7E2F" w:rsidRDefault="009A2CE6" w:rsidP="009A2CE6">
      <w:pPr>
        <w:rPr>
          <w:b/>
          <w:color w:val="auto"/>
        </w:rPr>
      </w:pPr>
    </w:p>
    <w:p w14:paraId="7926FA2D" w14:textId="0129B566" w:rsidR="00A3519E" w:rsidRPr="00EC7E2F" w:rsidRDefault="00A3519E" w:rsidP="009A2CE6">
      <w:pPr>
        <w:rPr>
          <w:color w:val="auto"/>
        </w:rPr>
      </w:pPr>
      <w:r w:rsidRPr="00EC7E2F">
        <w:rPr>
          <w:bCs/>
          <w:color w:val="auto"/>
        </w:rPr>
        <w:t>Radiation Protection Series (RPS) Codes and Guides</w:t>
      </w:r>
      <w:r w:rsidRPr="00EC7E2F">
        <w:rPr>
          <w:color w:val="auto"/>
        </w:rPr>
        <w:t xml:space="preserve">: see </w:t>
      </w:r>
      <w:hyperlink r:id="rId21" w:history="1">
        <w:r w:rsidRPr="00EC7E2F">
          <w:rPr>
            <w:rStyle w:val="Hyperlink"/>
            <w:color w:val="auto"/>
          </w:rPr>
          <w:t>https://www.arpansa.gov.au/regulation-and-licensing/regulatory-publications/radiation-protection-series</w:t>
        </w:r>
      </w:hyperlink>
    </w:p>
    <w:p w14:paraId="67588216" w14:textId="77777777" w:rsidR="00A3519E" w:rsidRPr="00EC7E2F" w:rsidRDefault="00A3519E" w:rsidP="009A2CE6">
      <w:pPr>
        <w:rPr>
          <w:rStyle w:val="Hyperlink"/>
          <w:color w:val="auto"/>
        </w:rPr>
      </w:pPr>
      <w:r w:rsidRPr="00EC7E2F">
        <w:rPr>
          <w:bCs/>
          <w:color w:val="auto"/>
        </w:rPr>
        <w:t>ICRP publications</w:t>
      </w:r>
      <w:r w:rsidRPr="00EC7E2F">
        <w:rPr>
          <w:color w:val="auto"/>
        </w:rPr>
        <w:t xml:space="preserve">: see </w:t>
      </w:r>
      <w:hyperlink r:id="rId22" w:history="1">
        <w:r w:rsidRPr="00EC7E2F">
          <w:rPr>
            <w:rStyle w:val="Hyperlink"/>
            <w:color w:val="auto"/>
          </w:rPr>
          <w:t>http://www.icrp.org/publications.asp</w:t>
        </w:r>
      </w:hyperlink>
    </w:p>
    <w:p w14:paraId="49837C01" w14:textId="77777777" w:rsidR="00A3519E" w:rsidRPr="00EC7E2F" w:rsidRDefault="00A3519E" w:rsidP="009A2CE6">
      <w:pPr>
        <w:rPr>
          <w:color w:val="auto"/>
        </w:rPr>
      </w:pPr>
      <w:r w:rsidRPr="00EC7E2F">
        <w:rPr>
          <w:bCs/>
          <w:color w:val="auto"/>
        </w:rPr>
        <w:t>US EPA publication</w:t>
      </w:r>
      <w:r w:rsidRPr="00EC7E2F">
        <w:rPr>
          <w:color w:val="auto"/>
        </w:rPr>
        <w:t xml:space="preserve">: see </w:t>
      </w:r>
      <w:hyperlink r:id="rId23" w:history="1">
        <w:r w:rsidRPr="00EC7E2F">
          <w:rPr>
            <w:rStyle w:val="Hyperlink"/>
            <w:color w:val="auto"/>
            <w:lang w:val="en-GB"/>
          </w:rPr>
          <w:t>https://www.epa.gov/radiation/federal-guidance-report-no-12-external-exposure-radionuclides-air-water-and-soil</w:t>
        </w:r>
      </w:hyperlink>
    </w:p>
    <w:p w14:paraId="54390F6C" w14:textId="77777777" w:rsidR="00A3519E" w:rsidRPr="00EC7E2F" w:rsidRDefault="00A3519E" w:rsidP="00A3519E">
      <w:pPr>
        <w:spacing w:before="0" w:after="200" w:line="276" w:lineRule="auto"/>
        <w:rPr>
          <w:rFonts w:ascii="Calibri" w:hAnsi="Calibri" w:cs="Georgia"/>
          <w:b/>
          <w:bCs/>
          <w:color w:val="auto"/>
          <w:spacing w:val="-4"/>
          <w:sz w:val="32"/>
          <w:szCs w:val="36"/>
          <w:lang w:eastAsia="en-US"/>
        </w:rPr>
      </w:pPr>
      <w:r w:rsidRPr="00EC7E2F">
        <w:rPr>
          <w:color w:val="auto"/>
        </w:rPr>
        <w:br w:type="page"/>
      </w:r>
    </w:p>
    <w:p w14:paraId="2C119301" w14:textId="54227B5C" w:rsidR="00A3519E" w:rsidRPr="00EC7E2F" w:rsidRDefault="00A3519E" w:rsidP="000123AC">
      <w:pPr>
        <w:pStyle w:val="Schedule"/>
      </w:pPr>
      <w:bookmarkStart w:id="102" w:name="_Toc14347636"/>
      <w:bookmarkStart w:id="103" w:name="_Toc65240899"/>
      <w:bookmarkStart w:id="104" w:name="_Toc65241190"/>
      <w:r w:rsidRPr="00EC7E2F">
        <w:lastRenderedPageBreak/>
        <w:t>Schedule 2</w:t>
      </w:r>
      <w:r w:rsidR="006C4DF9" w:rsidRPr="00EC7E2F">
        <w:t xml:space="preserve"> </w:t>
      </w:r>
      <w:r w:rsidRPr="00EC7E2F">
        <w:t>– Exempt radiation apparatus and radioactive sources</w:t>
      </w:r>
      <w:bookmarkEnd w:id="102"/>
      <w:bookmarkEnd w:id="103"/>
      <w:bookmarkEnd w:id="104"/>
    </w:p>
    <w:p w14:paraId="4F6DF12B" w14:textId="29288B59" w:rsidR="009A2CE6" w:rsidRPr="00EC7E2F" w:rsidRDefault="009A2CE6" w:rsidP="009A2CE6">
      <w:pPr>
        <w:rPr>
          <w:iCs/>
          <w:color w:val="auto"/>
        </w:rPr>
      </w:pPr>
      <w:r w:rsidRPr="00EC7E2F">
        <w:rPr>
          <w:color w:val="auto"/>
        </w:rPr>
        <w:t>(</w:t>
      </w:r>
      <w:r w:rsidRPr="00EC7E2F">
        <w:rPr>
          <w:i/>
          <w:iCs/>
          <w:color w:val="auto"/>
        </w:rPr>
        <w:t xml:space="preserve">Refer to paragraph </w:t>
      </w:r>
      <w:r w:rsidR="00AF0138" w:rsidRPr="00EC7E2F">
        <w:rPr>
          <w:i/>
          <w:iCs/>
          <w:color w:val="auto"/>
        </w:rPr>
        <w:fldChar w:fldCharType="begin"/>
      </w:r>
      <w:r w:rsidR="00AF0138" w:rsidRPr="00EC7E2F">
        <w:rPr>
          <w:i/>
          <w:iCs/>
          <w:color w:val="auto"/>
        </w:rPr>
        <w:instrText xml:space="preserve"> REF _Ref21430860 \r \h </w:instrText>
      </w:r>
      <w:r w:rsidR="00D904DC" w:rsidRPr="00EC7E2F">
        <w:rPr>
          <w:i/>
          <w:iCs/>
          <w:color w:val="auto"/>
        </w:rPr>
        <w:instrText xml:space="preserve"> \* MERGEFORMAT </w:instrText>
      </w:r>
      <w:r w:rsidR="00AF0138" w:rsidRPr="00EC7E2F">
        <w:rPr>
          <w:i/>
          <w:iCs/>
          <w:color w:val="auto"/>
        </w:rPr>
      </w:r>
      <w:r w:rsidR="00AF0138" w:rsidRPr="00EC7E2F">
        <w:rPr>
          <w:i/>
          <w:iCs/>
          <w:color w:val="auto"/>
        </w:rPr>
        <w:fldChar w:fldCharType="separate"/>
      </w:r>
      <w:r w:rsidR="00873F7F" w:rsidRPr="00EC7E2F">
        <w:rPr>
          <w:i/>
          <w:iCs/>
          <w:color w:val="auto"/>
        </w:rPr>
        <w:t>35</w:t>
      </w:r>
      <w:r w:rsidR="00AF0138" w:rsidRPr="00EC7E2F">
        <w:rPr>
          <w:i/>
          <w:iCs/>
          <w:color w:val="auto"/>
        </w:rPr>
        <w:fldChar w:fldCharType="end"/>
      </w:r>
      <w:r w:rsidR="00AF0138" w:rsidRPr="00EC7E2F">
        <w:rPr>
          <w:iCs/>
          <w:color w:val="auto"/>
        </w:rPr>
        <w:t>)</w:t>
      </w:r>
    </w:p>
    <w:p w14:paraId="41BA8B62" w14:textId="77777777" w:rsidR="00AF0138" w:rsidRPr="00EC7E2F" w:rsidRDefault="00AF0138" w:rsidP="009A2CE6">
      <w:pPr>
        <w:rPr>
          <w:color w:val="auto"/>
        </w:rPr>
      </w:pPr>
    </w:p>
    <w:p w14:paraId="39414F00" w14:textId="0471232F" w:rsidR="00A3519E" w:rsidRPr="00EC7E2F" w:rsidRDefault="00A3519E" w:rsidP="00A3519E">
      <w:pPr>
        <w:pStyle w:val="ListParagraph"/>
        <w:numPr>
          <w:ilvl w:val="0"/>
          <w:numId w:val="20"/>
        </w:numPr>
        <w:rPr>
          <w:color w:val="auto"/>
          <w:spacing w:val="-4"/>
        </w:rPr>
      </w:pPr>
      <w:r w:rsidRPr="00EC7E2F">
        <w:rPr>
          <w:color w:val="auto"/>
          <w:spacing w:val="-4"/>
        </w:rPr>
        <w:t xml:space="preserve">The radioactive sources listed below are exempt from authorisation or registration requirements. Note, however, that provisions requiring authorisation prior to disposal of these sources may apply, unless the disposal is in accordance with the </w:t>
      </w:r>
      <w:r w:rsidRPr="00EC7E2F">
        <w:rPr>
          <w:i/>
          <w:color w:val="auto"/>
          <w:spacing w:val="-4"/>
        </w:rPr>
        <w:t>Code for the Disposal of Radioactive Waste by the User</w:t>
      </w:r>
      <w:r w:rsidR="00AF0138" w:rsidRPr="00EC7E2F">
        <w:rPr>
          <w:color w:val="auto"/>
          <w:spacing w:val="-4"/>
        </w:rPr>
        <w:t xml:space="preserve"> (RPS C-6</w:t>
      </w:r>
      <w:r w:rsidRPr="00EC7E2F">
        <w:rPr>
          <w:color w:val="auto"/>
          <w:spacing w:val="-4"/>
        </w:rPr>
        <w:t>):</w:t>
      </w:r>
    </w:p>
    <w:p w14:paraId="19809156" w14:textId="7A2DA7EC" w:rsidR="00A3519E" w:rsidRPr="00EC7E2F" w:rsidRDefault="00B21DE2" w:rsidP="00A3519E">
      <w:pPr>
        <w:pStyle w:val="List1"/>
        <w:numPr>
          <w:ilvl w:val="1"/>
          <w:numId w:val="25"/>
        </w:numPr>
        <w:rPr>
          <w:color w:val="auto"/>
        </w:rPr>
      </w:pPr>
      <w:r w:rsidRPr="00EC7E2F">
        <w:rPr>
          <w:color w:val="auto"/>
        </w:rPr>
        <w:t>americium</w:t>
      </w:r>
      <w:r w:rsidR="00A3519E" w:rsidRPr="00EC7E2F">
        <w:rPr>
          <w:color w:val="auto"/>
        </w:rPr>
        <w:t xml:space="preserve">-241 sealed sources of activity up to 40 </w:t>
      </w:r>
      <w:proofErr w:type="spellStart"/>
      <w:r w:rsidR="00A3519E" w:rsidRPr="00EC7E2F">
        <w:rPr>
          <w:color w:val="auto"/>
        </w:rPr>
        <w:t>kBq</w:t>
      </w:r>
      <w:proofErr w:type="spellEnd"/>
      <w:r w:rsidR="00A3519E" w:rsidRPr="00EC7E2F">
        <w:rPr>
          <w:color w:val="auto"/>
        </w:rPr>
        <w:t xml:space="preserve"> used in domestic smoke alarms meeting the requirements of AS3786:2014</w:t>
      </w:r>
    </w:p>
    <w:p w14:paraId="74545E04" w14:textId="77777777" w:rsidR="00A3519E" w:rsidRPr="00EC7E2F" w:rsidRDefault="00A3519E" w:rsidP="00A3519E">
      <w:pPr>
        <w:pStyle w:val="List1"/>
        <w:numPr>
          <w:ilvl w:val="1"/>
          <w:numId w:val="25"/>
        </w:numPr>
        <w:rPr>
          <w:color w:val="auto"/>
        </w:rPr>
      </w:pPr>
      <w:r w:rsidRPr="00EC7E2F">
        <w:rPr>
          <w:color w:val="auto"/>
        </w:rPr>
        <w:t>depleted uranium in solid massive form</w:t>
      </w:r>
    </w:p>
    <w:p w14:paraId="63A7AE1F" w14:textId="77777777" w:rsidR="00A3519E" w:rsidRPr="00EC7E2F" w:rsidRDefault="00A3519E" w:rsidP="00AF0138">
      <w:pPr>
        <w:pStyle w:val="List1"/>
        <w:numPr>
          <w:ilvl w:val="0"/>
          <w:numId w:val="0"/>
        </w:numPr>
        <w:ind w:left="1797" w:hanging="357"/>
        <w:rPr>
          <w:color w:val="auto"/>
        </w:rPr>
      </w:pPr>
      <w:r w:rsidRPr="00EC7E2F">
        <w:rPr>
          <w:bCs/>
          <w:color w:val="auto"/>
        </w:rPr>
        <w:t>Note</w:t>
      </w:r>
      <w:r w:rsidRPr="00EC7E2F">
        <w:rPr>
          <w:color w:val="auto"/>
        </w:rPr>
        <w:t>: depleted uranium is subject to permit requirements of the Australian Safeguards and Non-proliferation Office (ASNO)</w:t>
      </w:r>
    </w:p>
    <w:p w14:paraId="32CFC00B" w14:textId="77777777" w:rsidR="00A3519E" w:rsidRPr="00EC7E2F" w:rsidRDefault="00A3519E" w:rsidP="00A3519E">
      <w:pPr>
        <w:pStyle w:val="List1"/>
        <w:numPr>
          <w:ilvl w:val="1"/>
          <w:numId w:val="25"/>
        </w:numPr>
        <w:rPr>
          <w:color w:val="auto"/>
        </w:rPr>
      </w:pPr>
      <w:r w:rsidRPr="00EC7E2F">
        <w:rPr>
          <w:color w:val="auto"/>
        </w:rPr>
        <w:t>a gaseous tritium light source that is solely used for safety purposes and includes less than 74 </w:t>
      </w:r>
      <w:proofErr w:type="spellStart"/>
      <w:r w:rsidRPr="00EC7E2F">
        <w:rPr>
          <w:color w:val="auto"/>
        </w:rPr>
        <w:t>GBq</w:t>
      </w:r>
      <w:proofErr w:type="spellEnd"/>
      <w:r w:rsidRPr="00EC7E2F">
        <w:rPr>
          <w:color w:val="auto"/>
        </w:rPr>
        <w:t xml:space="preserve"> of tritium</w:t>
      </w:r>
    </w:p>
    <w:p w14:paraId="6707253C" w14:textId="44901048" w:rsidR="00A3519E" w:rsidRPr="00EC7E2F" w:rsidRDefault="00A3519E" w:rsidP="00A3519E">
      <w:pPr>
        <w:pStyle w:val="List1"/>
        <w:numPr>
          <w:ilvl w:val="1"/>
          <w:numId w:val="25"/>
        </w:numPr>
        <w:rPr>
          <w:color w:val="auto"/>
        </w:rPr>
      </w:pPr>
      <w:r w:rsidRPr="00EC7E2F">
        <w:rPr>
          <w:color w:val="auto"/>
        </w:rPr>
        <w:t>a sealed radioactive source used for teaching the characteristics and properties of radiation or radiation sources and containing a radionuclide listed in the table below, with an activity not greater than that listed in the table</w:t>
      </w:r>
    </w:p>
    <w:p w14:paraId="182C5454" w14:textId="77777777" w:rsidR="00A3519E" w:rsidRPr="00EC7E2F" w:rsidRDefault="00A3519E" w:rsidP="00A3519E">
      <w:pPr>
        <w:pStyle w:val="List1"/>
        <w:numPr>
          <w:ilvl w:val="0"/>
          <w:numId w:val="0"/>
        </w:numPr>
        <w:ind w:left="1224"/>
        <w:rPr>
          <w:color w:val="auto"/>
        </w:rPr>
      </w:pPr>
    </w:p>
    <w:tbl>
      <w:tblPr>
        <w:tblStyle w:val="GridTable4"/>
        <w:tblW w:w="5000" w:type="pct"/>
        <w:tblLook w:val="04A0" w:firstRow="1" w:lastRow="0" w:firstColumn="1" w:lastColumn="0" w:noHBand="0" w:noVBand="1"/>
      </w:tblPr>
      <w:tblGrid>
        <w:gridCol w:w="6841"/>
        <w:gridCol w:w="2787"/>
      </w:tblGrid>
      <w:tr w:rsidR="00EC7E2F" w:rsidRPr="00EC7E2F" w14:paraId="6CA3DE7D" w14:textId="77777777" w:rsidTr="00EC7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77ABD2B5" w14:textId="77777777" w:rsidR="00A3519E" w:rsidRPr="00EC7E2F" w:rsidRDefault="00A3519E" w:rsidP="005C64BD">
            <w:pPr>
              <w:spacing w:after="120"/>
              <w:rPr>
                <w:color w:val="auto"/>
              </w:rPr>
            </w:pPr>
            <w:r w:rsidRPr="00EC7E2F">
              <w:rPr>
                <w:color w:val="auto"/>
              </w:rPr>
              <w:t>Radionuclide</w:t>
            </w:r>
          </w:p>
        </w:tc>
        <w:tc>
          <w:tcPr>
            <w:tcW w:w="2262" w:type="dxa"/>
          </w:tcPr>
          <w:p w14:paraId="15BF72CD" w14:textId="77777777" w:rsidR="00A3519E" w:rsidRPr="00EC7E2F" w:rsidRDefault="00A3519E" w:rsidP="005C64BD">
            <w:pPr>
              <w:spacing w:after="120"/>
              <w:jc w:val="right"/>
              <w:cnfStyle w:val="100000000000" w:firstRow="1" w:lastRow="0" w:firstColumn="0" w:lastColumn="0" w:oddVBand="0" w:evenVBand="0" w:oddHBand="0" w:evenHBand="0" w:firstRowFirstColumn="0" w:firstRowLastColumn="0" w:lastRowFirstColumn="0" w:lastRowLastColumn="0"/>
              <w:rPr>
                <w:color w:val="auto"/>
              </w:rPr>
            </w:pPr>
            <w:r w:rsidRPr="00EC7E2F">
              <w:rPr>
                <w:color w:val="auto"/>
              </w:rPr>
              <w:t xml:space="preserve">Activity </w:t>
            </w:r>
            <w:smartTag w:uri="isiresearchsoft-com/cwyw" w:element="citation">
              <w:r w:rsidRPr="00EC7E2F">
                <w:rPr>
                  <w:color w:val="auto"/>
                </w:rPr>
                <w:t>(</w:t>
              </w:r>
              <w:proofErr w:type="spellStart"/>
              <w:r w:rsidRPr="00EC7E2F">
                <w:rPr>
                  <w:color w:val="auto"/>
                </w:rPr>
                <w:t>kBq</w:t>
              </w:r>
              <w:proofErr w:type="spellEnd"/>
              <w:r w:rsidRPr="00EC7E2F">
                <w:rPr>
                  <w:color w:val="auto"/>
                </w:rPr>
                <w:t>)</w:t>
              </w:r>
            </w:smartTag>
          </w:p>
        </w:tc>
      </w:tr>
      <w:tr w:rsidR="00EC7E2F" w:rsidRPr="00EC7E2F" w14:paraId="27CAF877"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659B4E34" w14:textId="77777777" w:rsidR="00A3519E" w:rsidRPr="00EC7E2F" w:rsidRDefault="00A3519E" w:rsidP="005C64BD">
            <w:pPr>
              <w:rPr>
                <w:color w:val="auto"/>
              </w:rPr>
            </w:pPr>
            <w:r w:rsidRPr="00EC7E2F">
              <w:rPr>
                <w:color w:val="auto"/>
              </w:rPr>
              <w:t>Cobalt-60</w:t>
            </w:r>
          </w:p>
        </w:tc>
        <w:tc>
          <w:tcPr>
            <w:tcW w:w="2262" w:type="dxa"/>
          </w:tcPr>
          <w:p w14:paraId="12141735" w14:textId="77777777" w:rsidR="00A3519E" w:rsidRPr="00EC7E2F" w:rsidRDefault="00A3519E" w:rsidP="005C64BD">
            <w:pPr>
              <w:ind w:left="2744" w:hanging="508"/>
              <w:jc w:val="right"/>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200</w:t>
            </w:r>
          </w:p>
        </w:tc>
      </w:tr>
      <w:tr w:rsidR="00EC7E2F" w:rsidRPr="00EC7E2F" w14:paraId="0024EE97" w14:textId="77777777" w:rsidTr="00EC7E2F">
        <w:tc>
          <w:tcPr>
            <w:cnfStyle w:val="001000000000" w:firstRow="0" w:lastRow="0" w:firstColumn="1" w:lastColumn="0" w:oddVBand="0" w:evenVBand="0" w:oddHBand="0" w:evenHBand="0" w:firstRowFirstColumn="0" w:firstRowLastColumn="0" w:lastRowFirstColumn="0" w:lastRowLastColumn="0"/>
            <w:tcW w:w="7366" w:type="dxa"/>
          </w:tcPr>
          <w:p w14:paraId="30AAA727" w14:textId="77777777" w:rsidR="00A3519E" w:rsidRPr="00EC7E2F" w:rsidRDefault="00A3519E" w:rsidP="005C64BD">
            <w:pPr>
              <w:rPr>
                <w:color w:val="auto"/>
              </w:rPr>
            </w:pPr>
            <w:r w:rsidRPr="00EC7E2F">
              <w:rPr>
                <w:color w:val="auto"/>
              </w:rPr>
              <w:t>Strontium-90</w:t>
            </w:r>
          </w:p>
        </w:tc>
        <w:tc>
          <w:tcPr>
            <w:tcW w:w="2262" w:type="dxa"/>
          </w:tcPr>
          <w:p w14:paraId="1DDB464E" w14:textId="77777777" w:rsidR="00A3519E" w:rsidRPr="00EC7E2F" w:rsidRDefault="00A3519E" w:rsidP="005C64BD">
            <w:pPr>
              <w:ind w:left="2744" w:hanging="508"/>
              <w:jc w:val="right"/>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80</w:t>
            </w:r>
          </w:p>
        </w:tc>
      </w:tr>
      <w:tr w:rsidR="00EC7E2F" w:rsidRPr="00EC7E2F" w14:paraId="3BB830E9"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CCCCCC"/>
          </w:tcPr>
          <w:p w14:paraId="23E1B893" w14:textId="77777777" w:rsidR="00A3519E" w:rsidRPr="00EC7E2F" w:rsidRDefault="00A3519E" w:rsidP="005C64BD">
            <w:pPr>
              <w:rPr>
                <w:color w:val="auto"/>
              </w:rPr>
            </w:pPr>
            <w:r w:rsidRPr="00EC7E2F">
              <w:rPr>
                <w:color w:val="auto"/>
              </w:rPr>
              <w:t>Caesium-137</w:t>
            </w:r>
          </w:p>
        </w:tc>
        <w:tc>
          <w:tcPr>
            <w:tcW w:w="2262" w:type="dxa"/>
          </w:tcPr>
          <w:p w14:paraId="2572AF34" w14:textId="77777777" w:rsidR="00A3519E" w:rsidRPr="00EC7E2F" w:rsidRDefault="00A3519E" w:rsidP="005C64BD">
            <w:pPr>
              <w:ind w:left="2744" w:hanging="508"/>
              <w:jc w:val="right"/>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200</w:t>
            </w:r>
          </w:p>
        </w:tc>
      </w:tr>
      <w:tr w:rsidR="00EC7E2F" w:rsidRPr="00EC7E2F" w14:paraId="7350E7CC" w14:textId="77777777" w:rsidTr="00EC7E2F">
        <w:tc>
          <w:tcPr>
            <w:cnfStyle w:val="001000000000" w:firstRow="0" w:lastRow="0" w:firstColumn="1" w:lastColumn="0" w:oddVBand="0" w:evenVBand="0" w:oddHBand="0" w:evenHBand="0" w:firstRowFirstColumn="0" w:firstRowLastColumn="0" w:lastRowFirstColumn="0" w:lastRowLastColumn="0"/>
            <w:tcW w:w="7366" w:type="dxa"/>
          </w:tcPr>
          <w:p w14:paraId="24393E60" w14:textId="77777777" w:rsidR="00A3519E" w:rsidRPr="00EC7E2F" w:rsidRDefault="00A3519E" w:rsidP="005C64BD">
            <w:pPr>
              <w:rPr>
                <w:color w:val="auto"/>
              </w:rPr>
            </w:pPr>
            <w:r w:rsidRPr="00EC7E2F">
              <w:rPr>
                <w:color w:val="auto"/>
              </w:rPr>
              <w:t>Radium-226</w:t>
            </w:r>
          </w:p>
        </w:tc>
        <w:tc>
          <w:tcPr>
            <w:tcW w:w="2262" w:type="dxa"/>
          </w:tcPr>
          <w:p w14:paraId="431AB9A6" w14:textId="77777777" w:rsidR="00A3519E" w:rsidRPr="00EC7E2F" w:rsidRDefault="00A3519E" w:rsidP="005C64BD">
            <w:pPr>
              <w:ind w:left="2744" w:hanging="508"/>
              <w:jc w:val="right"/>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20</w:t>
            </w:r>
          </w:p>
        </w:tc>
      </w:tr>
      <w:tr w:rsidR="00EC7E2F" w:rsidRPr="00EC7E2F" w14:paraId="65DF1B74"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1D97CCB" w14:textId="77777777" w:rsidR="00A3519E" w:rsidRPr="00EC7E2F" w:rsidRDefault="00A3519E" w:rsidP="005C64BD">
            <w:pPr>
              <w:rPr>
                <w:color w:val="auto"/>
              </w:rPr>
            </w:pPr>
            <w:r w:rsidRPr="00EC7E2F">
              <w:rPr>
                <w:color w:val="auto"/>
              </w:rPr>
              <w:t>Americium-241</w:t>
            </w:r>
          </w:p>
        </w:tc>
        <w:tc>
          <w:tcPr>
            <w:tcW w:w="2262" w:type="dxa"/>
          </w:tcPr>
          <w:p w14:paraId="0F9518A5" w14:textId="77777777" w:rsidR="00A3519E" w:rsidRPr="00EC7E2F" w:rsidRDefault="00A3519E" w:rsidP="005C64BD">
            <w:pPr>
              <w:ind w:left="2744" w:hanging="508"/>
              <w:jc w:val="right"/>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40</w:t>
            </w:r>
          </w:p>
        </w:tc>
      </w:tr>
    </w:tbl>
    <w:p w14:paraId="3B2D13BF" w14:textId="77777777" w:rsidR="00A3519E" w:rsidRPr="00EC7E2F" w:rsidRDefault="00A3519E" w:rsidP="00A3519E">
      <w:pPr>
        <w:pStyle w:val="List1"/>
        <w:keepNext/>
        <w:numPr>
          <w:ilvl w:val="0"/>
          <w:numId w:val="26"/>
        </w:numPr>
        <w:rPr>
          <w:color w:val="auto"/>
        </w:rPr>
      </w:pPr>
      <w:r w:rsidRPr="00EC7E2F">
        <w:rPr>
          <w:color w:val="auto"/>
        </w:rPr>
        <w:t>a geological sample that contains radioactive material, if:</w:t>
      </w:r>
    </w:p>
    <w:p w14:paraId="4B5B61B9" w14:textId="77777777" w:rsidR="00A3519E" w:rsidRPr="00EC7E2F" w:rsidRDefault="00A3519E" w:rsidP="00A3519E">
      <w:pPr>
        <w:pStyle w:val="ListParagraph"/>
        <w:numPr>
          <w:ilvl w:val="0"/>
          <w:numId w:val="21"/>
        </w:numPr>
        <w:rPr>
          <w:color w:val="auto"/>
        </w:rPr>
      </w:pPr>
      <w:r w:rsidRPr="00EC7E2F">
        <w:rPr>
          <w:color w:val="auto"/>
        </w:rPr>
        <w:t xml:space="preserve">it emits radiation at a level not more than 5 </w:t>
      </w:r>
      <w:proofErr w:type="spellStart"/>
      <w:r w:rsidRPr="00EC7E2F">
        <w:rPr>
          <w:color w:val="auto"/>
        </w:rPr>
        <w:t>micrograys</w:t>
      </w:r>
      <w:proofErr w:type="spellEnd"/>
      <w:r w:rsidRPr="00EC7E2F">
        <w:rPr>
          <w:color w:val="auto"/>
        </w:rPr>
        <w:t xml:space="preserve"> per hour, measured at a distance of 10 cm from its surface, and</w:t>
      </w:r>
    </w:p>
    <w:p w14:paraId="0BC0E029" w14:textId="77777777" w:rsidR="00A3519E" w:rsidRPr="00EC7E2F" w:rsidRDefault="00A3519E" w:rsidP="00A3519E">
      <w:pPr>
        <w:pStyle w:val="ListParagraph"/>
        <w:numPr>
          <w:ilvl w:val="0"/>
          <w:numId w:val="21"/>
        </w:numPr>
        <w:rPr>
          <w:color w:val="auto"/>
        </w:rPr>
      </w:pPr>
      <w:r w:rsidRPr="00EC7E2F">
        <w:rPr>
          <w:color w:val="auto"/>
        </w:rPr>
        <w:t>it is being used as a sample in teaching or for display as a geological specimen.</w:t>
      </w:r>
    </w:p>
    <w:p w14:paraId="0164323B" w14:textId="77777777" w:rsidR="00A3519E" w:rsidRPr="00EC7E2F" w:rsidRDefault="00A3519E" w:rsidP="00A3519E">
      <w:pPr>
        <w:pStyle w:val="List1"/>
        <w:numPr>
          <w:ilvl w:val="0"/>
          <w:numId w:val="27"/>
        </w:numPr>
        <w:rPr>
          <w:color w:val="auto"/>
        </w:rPr>
      </w:pPr>
      <w:r w:rsidRPr="00EC7E2F">
        <w:rPr>
          <w:color w:val="auto"/>
        </w:rPr>
        <w:t>an electron capture detector or similar device used in gas chromatography containing a nickel-63 sealed source with activity not more than 750 MBq, or tritium source with activity not more than 20 </w:t>
      </w:r>
      <w:proofErr w:type="spellStart"/>
      <w:r w:rsidRPr="00EC7E2F">
        <w:rPr>
          <w:color w:val="auto"/>
        </w:rPr>
        <w:t>GBq</w:t>
      </w:r>
      <w:proofErr w:type="spellEnd"/>
    </w:p>
    <w:p w14:paraId="02A017B5" w14:textId="77777777" w:rsidR="00AF0138" w:rsidRPr="00EC7E2F" w:rsidRDefault="00A3519E" w:rsidP="00A3519E">
      <w:pPr>
        <w:pStyle w:val="List1"/>
        <w:numPr>
          <w:ilvl w:val="0"/>
          <w:numId w:val="27"/>
        </w:numPr>
        <w:spacing w:before="0" w:after="200" w:line="276" w:lineRule="auto"/>
        <w:rPr>
          <w:color w:val="auto"/>
        </w:rPr>
      </w:pPr>
      <w:r w:rsidRPr="00EC7E2F">
        <w:rPr>
          <w:color w:val="auto"/>
        </w:rPr>
        <w:t>lighting products that include krypton-85.</w:t>
      </w:r>
    </w:p>
    <w:p w14:paraId="7BE7B0C9" w14:textId="035F85E3" w:rsidR="00A3519E" w:rsidRPr="00EC7E2F" w:rsidRDefault="00A3519E" w:rsidP="00AF0138">
      <w:pPr>
        <w:pStyle w:val="List1"/>
        <w:numPr>
          <w:ilvl w:val="0"/>
          <w:numId w:val="27"/>
        </w:numPr>
        <w:spacing w:before="0" w:after="200" w:line="276" w:lineRule="auto"/>
        <w:rPr>
          <w:color w:val="auto"/>
        </w:rPr>
      </w:pPr>
      <w:r w:rsidRPr="00EC7E2F">
        <w:rPr>
          <w:color w:val="auto"/>
        </w:rPr>
        <w:br w:type="page"/>
      </w:r>
    </w:p>
    <w:p w14:paraId="0276076F" w14:textId="380EEB07" w:rsidR="00A3519E" w:rsidRPr="00EC7E2F" w:rsidRDefault="00A3519E" w:rsidP="000123AC">
      <w:pPr>
        <w:pStyle w:val="Schedule"/>
      </w:pPr>
      <w:bookmarkStart w:id="105" w:name="_Toc14347637"/>
      <w:bookmarkStart w:id="106" w:name="_Toc65240900"/>
      <w:bookmarkStart w:id="107" w:name="_Toc65241191"/>
      <w:r w:rsidRPr="00EC7E2F">
        <w:lastRenderedPageBreak/>
        <w:t xml:space="preserve">Schedule 3 – </w:t>
      </w:r>
      <w:r w:rsidR="000123AC" w:rsidRPr="00EC7E2F">
        <w:t>C</w:t>
      </w:r>
      <w:r w:rsidRPr="00EC7E2F">
        <w:t>odes</w:t>
      </w:r>
      <w:bookmarkEnd w:id="105"/>
      <w:r w:rsidR="00E1695C" w:rsidRPr="00EC7E2F">
        <w:t xml:space="preserve"> and standards</w:t>
      </w:r>
      <w:bookmarkEnd w:id="106"/>
      <w:bookmarkEnd w:id="107"/>
    </w:p>
    <w:p w14:paraId="0507E872" w14:textId="48E0970A" w:rsidR="00A3519E" w:rsidRPr="00EC7E2F" w:rsidRDefault="00A3519E" w:rsidP="00A3519E">
      <w:pPr>
        <w:rPr>
          <w:color w:val="auto"/>
        </w:rPr>
      </w:pPr>
      <w:r w:rsidRPr="00EC7E2F">
        <w:rPr>
          <w:color w:val="auto"/>
        </w:rPr>
        <w:t>(</w:t>
      </w:r>
      <w:r w:rsidRPr="00EC7E2F">
        <w:rPr>
          <w:i/>
          <w:iCs/>
          <w:color w:val="auto"/>
        </w:rPr>
        <w:t>Refer to paragraph</w:t>
      </w:r>
      <w:r w:rsidR="00D904DC" w:rsidRPr="00EC7E2F">
        <w:rPr>
          <w:color w:val="auto"/>
        </w:rPr>
        <w:t xml:space="preserve"> </w:t>
      </w:r>
      <w:r w:rsidR="00D904DC" w:rsidRPr="00EC7E2F">
        <w:rPr>
          <w:i/>
          <w:color w:val="auto"/>
        </w:rPr>
        <w:fldChar w:fldCharType="begin"/>
      </w:r>
      <w:r w:rsidR="00D904DC" w:rsidRPr="00EC7E2F">
        <w:rPr>
          <w:i/>
          <w:color w:val="auto"/>
        </w:rPr>
        <w:instrText xml:space="preserve"> REF _Ref21431110 \r \h  \* MERGEFORMAT </w:instrText>
      </w:r>
      <w:r w:rsidR="00D904DC" w:rsidRPr="00EC7E2F">
        <w:rPr>
          <w:i/>
          <w:color w:val="auto"/>
        </w:rPr>
      </w:r>
      <w:r w:rsidR="00D904DC" w:rsidRPr="00EC7E2F">
        <w:rPr>
          <w:i/>
          <w:color w:val="auto"/>
        </w:rPr>
        <w:fldChar w:fldCharType="separate"/>
      </w:r>
      <w:r w:rsidR="00873F7F" w:rsidRPr="00EC7E2F">
        <w:rPr>
          <w:i/>
          <w:color w:val="auto"/>
        </w:rPr>
        <w:t>42</w:t>
      </w:r>
      <w:r w:rsidR="00D904DC" w:rsidRPr="00EC7E2F">
        <w:rPr>
          <w:i/>
          <w:color w:val="auto"/>
        </w:rPr>
        <w:fldChar w:fldCharType="end"/>
      </w:r>
      <w:r w:rsidR="00D904DC" w:rsidRPr="00EC7E2F">
        <w:rPr>
          <w:color w:val="auto"/>
        </w:rPr>
        <w:t>)</w:t>
      </w:r>
    </w:p>
    <w:p w14:paraId="1B6D1CF5" w14:textId="77777777" w:rsidR="00A3519E" w:rsidRPr="00EC7E2F" w:rsidRDefault="00A3519E" w:rsidP="00A3519E">
      <w:pPr>
        <w:spacing w:after="240"/>
        <w:rPr>
          <w:color w:val="auto"/>
        </w:rPr>
      </w:pPr>
      <w:r w:rsidRPr="00EC7E2F">
        <w:rPr>
          <w:color w:val="auto"/>
        </w:rPr>
        <w:t xml:space="preserve">The publications listed in Tables 1 and 2 are available at </w:t>
      </w:r>
      <w:hyperlink r:id="rId24" w:history="1">
        <w:r w:rsidRPr="00EC7E2F">
          <w:rPr>
            <w:rStyle w:val="Hyperlink"/>
            <w:color w:val="auto"/>
          </w:rPr>
          <w:t>https://www.arpansa.gov.au/regulation-and-licensing/regulatory-publications</w:t>
        </w:r>
      </w:hyperlink>
      <w:r w:rsidRPr="00EC7E2F">
        <w:rPr>
          <w:color w:val="auto"/>
        </w:rPr>
        <w:t>.</w:t>
      </w:r>
    </w:p>
    <w:p w14:paraId="43FCAEAC" w14:textId="1297E499" w:rsidR="00A3519E" w:rsidRPr="00EC7E2F" w:rsidRDefault="00A3519E" w:rsidP="00A3519E">
      <w:pPr>
        <w:spacing w:after="240"/>
        <w:rPr>
          <w:color w:val="auto"/>
        </w:rPr>
      </w:pPr>
      <w:r w:rsidRPr="00EC7E2F">
        <w:rPr>
          <w:b/>
          <w:color w:val="auto"/>
        </w:rPr>
        <w:t>Table 1</w:t>
      </w:r>
      <w:r w:rsidRPr="00EC7E2F">
        <w:rPr>
          <w:color w:val="auto"/>
        </w:rPr>
        <w:t>:</w:t>
      </w:r>
      <w:r w:rsidR="00BB52E4" w:rsidRPr="00EC7E2F">
        <w:rPr>
          <w:color w:val="auto"/>
        </w:rPr>
        <w:t xml:space="preserve"> </w:t>
      </w:r>
      <w:r w:rsidRPr="00EC7E2F">
        <w:rPr>
          <w:color w:val="auto"/>
        </w:rPr>
        <w:t xml:space="preserve">Radiation Protection Series (RPS) Codes developed by the Radiation Health Committee and approved for adoption by </w:t>
      </w:r>
      <w:r w:rsidR="00D904DC" w:rsidRPr="00EC7E2F">
        <w:rPr>
          <w:color w:val="auto"/>
        </w:rPr>
        <w:t>CHC</w:t>
      </w:r>
    </w:p>
    <w:tbl>
      <w:tblPr>
        <w:tblStyle w:val="GenericARPANSA"/>
        <w:tblW w:w="5000" w:type="pct"/>
        <w:tblInd w:w="0" w:type="dxa"/>
        <w:tblLook w:val="0000" w:firstRow="0" w:lastRow="0" w:firstColumn="0" w:lastColumn="0" w:noHBand="0" w:noVBand="0"/>
      </w:tblPr>
      <w:tblGrid>
        <w:gridCol w:w="651"/>
        <w:gridCol w:w="1218"/>
        <w:gridCol w:w="7753"/>
      </w:tblGrid>
      <w:tr w:rsidR="00EC7E2F" w:rsidRPr="00EC7E2F" w:rsidDel="00D73AFB" w14:paraId="6C589C88" w14:textId="77777777" w:rsidTr="00EC7E2F">
        <w:tc>
          <w:tcPr>
            <w:tcW w:w="338" w:type="pct"/>
            <w:tcBorders>
              <w:right w:val="single" w:sz="4" w:space="0" w:color="FFFFFF" w:themeColor="background1"/>
            </w:tcBorders>
            <w:shd w:val="clear" w:color="auto" w:fill="000000" w:themeFill="text1"/>
          </w:tcPr>
          <w:p w14:paraId="4FC5D89C" w14:textId="77777777" w:rsidR="00A3519E" w:rsidRPr="00EC7E2F" w:rsidRDefault="00A3519E" w:rsidP="00745B40">
            <w:pPr>
              <w:pStyle w:val="RPSBodyText"/>
              <w:spacing w:before="120" w:after="120"/>
              <w:jc w:val="left"/>
              <w:rPr>
                <w:rFonts w:asciiTheme="minorHAnsi" w:hAnsiTheme="minorHAnsi"/>
                <w:b/>
                <w:sz w:val="22"/>
                <w:szCs w:val="22"/>
              </w:rPr>
            </w:pPr>
          </w:p>
        </w:tc>
        <w:tc>
          <w:tcPr>
            <w:tcW w:w="633" w:type="pct"/>
            <w:tcBorders>
              <w:left w:val="single" w:sz="4" w:space="0" w:color="FFFFFF" w:themeColor="background1"/>
              <w:right w:val="single" w:sz="4" w:space="0" w:color="FFFFFF" w:themeColor="background1"/>
            </w:tcBorders>
            <w:shd w:val="clear" w:color="auto" w:fill="000000" w:themeFill="text1"/>
          </w:tcPr>
          <w:p w14:paraId="7413ABD7" w14:textId="77777777" w:rsidR="00A3519E" w:rsidRPr="00EC7E2F" w:rsidDel="00D73AFB" w:rsidRDefault="00A3519E" w:rsidP="00745B40">
            <w:pPr>
              <w:pStyle w:val="RPSBodyText"/>
              <w:spacing w:before="120" w:after="120"/>
              <w:jc w:val="left"/>
              <w:rPr>
                <w:rFonts w:asciiTheme="minorHAnsi" w:hAnsiTheme="minorHAnsi"/>
                <w:b/>
                <w:sz w:val="22"/>
                <w:szCs w:val="22"/>
              </w:rPr>
            </w:pPr>
            <w:r w:rsidRPr="00EC7E2F">
              <w:rPr>
                <w:rFonts w:asciiTheme="minorHAnsi" w:hAnsiTheme="minorHAnsi"/>
                <w:b/>
                <w:sz w:val="22"/>
                <w:szCs w:val="22"/>
              </w:rPr>
              <w:t>Reference</w:t>
            </w:r>
          </w:p>
        </w:tc>
        <w:tc>
          <w:tcPr>
            <w:tcW w:w="4029" w:type="pct"/>
            <w:tcBorders>
              <w:left w:val="single" w:sz="4" w:space="0" w:color="FFFFFF" w:themeColor="background1"/>
            </w:tcBorders>
            <w:shd w:val="clear" w:color="auto" w:fill="000000" w:themeFill="text1"/>
          </w:tcPr>
          <w:p w14:paraId="31B448C6" w14:textId="77777777" w:rsidR="00A3519E" w:rsidRPr="00EC7E2F" w:rsidDel="00D73AFB" w:rsidRDefault="00A3519E" w:rsidP="00745B40">
            <w:pPr>
              <w:pStyle w:val="RPSBodyText"/>
              <w:spacing w:before="120" w:after="120"/>
              <w:jc w:val="left"/>
              <w:rPr>
                <w:rFonts w:asciiTheme="minorHAnsi" w:hAnsiTheme="minorHAnsi"/>
                <w:b/>
                <w:sz w:val="22"/>
                <w:szCs w:val="22"/>
              </w:rPr>
            </w:pPr>
            <w:r w:rsidRPr="00EC7E2F">
              <w:rPr>
                <w:rFonts w:asciiTheme="minorHAnsi" w:hAnsiTheme="minorHAnsi"/>
                <w:b/>
                <w:sz w:val="22"/>
                <w:szCs w:val="22"/>
              </w:rPr>
              <w:t>Title</w:t>
            </w:r>
          </w:p>
        </w:tc>
      </w:tr>
      <w:tr w:rsidR="00EC7E2F" w:rsidRPr="00EC7E2F" w14:paraId="6142F0A9" w14:textId="77777777" w:rsidTr="00EC7E2F">
        <w:trPr>
          <w:cnfStyle w:val="000000010000" w:firstRow="0" w:lastRow="0" w:firstColumn="0" w:lastColumn="0" w:oddVBand="0" w:evenVBand="0" w:oddHBand="0" w:evenHBand="1" w:firstRowFirstColumn="0" w:firstRowLastColumn="0" w:lastRowFirstColumn="0" w:lastRowLastColumn="0"/>
        </w:trPr>
        <w:tc>
          <w:tcPr>
            <w:tcW w:w="338" w:type="pct"/>
            <w:shd w:val="clear" w:color="auto" w:fill="CCCCCC"/>
          </w:tcPr>
          <w:p w14:paraId="1E7A0DFC" w14:textId="77777777" w:rsidR="00A3519E" w:rsidRPr="00EC7E2F" w:rsidRDefault="00A3519E" w:rsidP="005C64BD">
            <w:pPr>
              <w:pStyle w:val="RPSBodyText"/>
              <w:numPr>
                <w:ilvl w:val="0"/>
                <w:numId w:val="22"/>
              </w:numPr>
              <w:spacing w:before="40" w:after="40"/>
              <w:ind w:left="357" w:hanging="357"/>
              <w:jc w:val="left"/>
              <w:rPr>
                <w:rFonts w:asciiTheme="minorHAnsi" w:hAnsiTheme="minorHAnsi"/>
                <w:sz w:val="22"/>
                <w:szCs w:val="22"/>
              </w:rPr>
            </w:pPr>
          </w:p>
        </w:tc>
        <w:tc>
          <w:tcPr>
            <w:tcW w:w="633" w:type="pct"/>
            <w:shd w:val="clear" w:color="auto" w:fill="CCCCCC"/>
          </w:tcPr>
          <w:p w14:paraId="4B774AB2"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sz w:val="22"/>
                <w:szCs w:val="22"/>
              </w:rPr>
              <w:t>RPS C-1</w:t>
            </w:r>
          </w:p>
        </w:tc>
        <w:tc>
          <w:tcPr>
            <w:tcW w:w="4029" w:type="pct"/>
            <w:shd w:val="clear" w:color="auto" w:fill="CCCCCC"/>
          </w:tcPr>
          <w:p w14:paraId="3A7979D0" w14:textId="48D91ABE" w:rsidR="00A3519E" w:rsidRPr="00EC7E2F" w:rsidRDefault="00A3519E" w:rsidP="005C64BD">
            <w:pPr>
              <w:pStyle w:val="RPSBodyText"/>
              <w:spacing w:before="40" w:after="40"/>
              <w:jc w:val="left"/>
              <w:rPr>
                <w:rFonts w:asciiTheme="minorHAnsi" w:hAnsiTheme="minorHAnsi"/>
                <w:spacing w:val="-4"/>
                <w:sz w:val="22"/>
                <w:szCs w:val="22"/>
              </w:rPr>
            </w:pPr>
            <w:r w:rsidRPr="00EC7E2F">
              <w:rPr>
                <w:rFonts w:asciiTheme="minorHAnsi" w:hAnsiTheme="minorHAnsi"/>
                <w:i/>
                <w:spacing w:val="-4"/>
                <w:sz w:val="22"/>
                <w:szCs w:val="22"/>
              </w:rPr>
              <w:t>Code for Radiation Protection in Planned Exposure Situations (</w:t>
            </w:r>
            <w:r w:rsidR="00E61C16" w:rsidRPr="00EC7E2F">
              <w:rPr>
                <w:rFonts w:asciiTheme="minorHAnsi" w:hAnsiTheme="minorHAnsi"/>
                <w:i/>
                <w:spacing w:val="-4"/>
                <w:sz w:val="22"/>
                <w:szCs w:val="22"/>
              </w:rPr>
              <w:t>2020</w:t>
            </w:r>
            <w:r w:rsidRPr="00EC7E2F">
              <w:rPr>
                <w:rFonts w:asciiTheme="minorHAnsi" w:hAnsiTheme="minorHAnsi"/>
                <w:i/>
                <w:spacing w:val="-4"/>
                <w:sz w:val="22"/>
                <w:szCs w:val="22"/>
              </w:rPr>
              <w:t>)</w:t>
            </w:r>
            <w:r w:rsidR="00E61C16" w:rsidRPr="00EC7E2F">
              <w:rPr>
                <w:rFonts w:asciiTheme="minorHAnsi" w:hAnsiTheme="minorHAnsi"/>
                <w:spacing w:val="-4"/>
                <w:sz w:val="22"/>
                <w:szCs w:val="22"/>
              </w:rPr>
              <w:t xml:space="preserve"> (Rev 1)</w:t>
            </w:r>
          </w:p>
        </w:tc>
      </w:tr>
      <w:tr w:rsidR="00EC7E2F" w:rsidRPr="00EC7E2F" w14:paraId="4574CFF8" w14:textId="77777777" w:rsidTr="00477DB7">
        <w:tc>
          <w:tcPr>
            <w:tcW w:w="338" w:type="pct"/>
          </w:tcPr>
          <w:p w14:paraId="601763E7" w14:textId="77777777" w:rsidR="00A3519E" w:rsidRPr="00EC7E2F" w:rsidRDefault="00A3519E" w:rsidP="005C64BD">
            <w:pPr>
              <w:pStyle w:val="RPSBodyText"/>
              <w:numPr>
                <w:ilvl w:val="0"/>
                <w:numId w:val="22"/>
              </w:numPr>
              <w:spacing w:before="40" w:after="40"/>
              <w:ind w:left="357" w:hanging="357"/>
              <w:jc w:val="left"/>
              <w:rPr>
                <w:rFonts w:asciiTheme="minorHAnsi" w:hAnsiTheme="minorHAnsi"/>
                <w:sz w:val="22"/>
                <w:szCs w:val="22"/>
              </w:rPr>
            </w:pPr>
          </w:p>
        </w:tc>
        <w:tc>
          <w:tcPr>
            <w:tcW w:w="633" w:type="pct"/>
          </w:tcPr>
          <w:p w14:paraId="7C606CF5"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sz w:val="22"/>
                <w:szCs w:val="22"/>
              </w:rPr>
              <w:t>RPS C-2</w:t>
            </w:r>
          </w:p>
        </w:tc>
        <w:tc>
          <w:tcPr>
            <w:tcW w:w="4029" w:type="pct"/>
          </w:tcPr>
          <w:p w14:paraId="1A40DD41"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i/>
                <w:sz w:val="22"/>
                <w:szCs w:val="22"/>
              </w:rPr>
              <w:t xml:space="preserve">Code </w:t>
            </w:r>
            <w:r w:rsidRPr="00EC7E2F">
              <w:rPr>
                <w:rFonts w:asciiTheme="minorHAnsi" w:hAnsiTheme="minorHAnsi"/>
                <w:i/>
                <w:spacing w:val="-4"/>
                <w:sz w:val="22"/>
                <w:szCs w:val="22"/>
              </w:rPr>
              <w:t xml:space="preserve">for the Safe Transport of Radioactive Material </w:t>
            </w:r>
            <w:r w:rsidRPr="00EC7E2F">
              <w:rPr>
                <w:rFonts w:asciiTheme="minorHAnsi" w:hAnsiTheme="minorHAnsi"/>
                <w:spacing w:val="-4"/>
                <w:sz w:val="22"/>
                <w:szCs w:val="22"/>
              </w:rPr>
              <w:t>(2019) (Rev 1)</w:t>
            </w:r>
          </w:p>
        </w:tc>
      </w:tr>
      <w:tr w:rsidR="00EC7E2F" w:rsidRPr="00EC7E2F" w14:paraId="51552439" w14:textId="77777777" w:rsidTr="00EC7E2F">
        <w:trPr>
          <w:cnfStyle w:val="000000010000" w:firstRow="0" w:lastRow="0" w:firstColumn="0" w:lastColumn="0" w:oddVBand="0" w:evenVBand="0" w:oddHBand="0" w:evenHBand="1" w:firstRowFirstColumn="0" w:firstRowLastColumn="0" w:lastRowFirstColumn="0" w:lastRowLastColumn="0"/>
        </w:trPr>
        <w:tc>
          <w:tcPr>
            <w:tcW w:w="338" w:type="pct"/>
            <w:shd w:val="clear" w:color="auto" w:fill="CCCCCC"/>
          </w:tcPr>
          <w:p w14:paraId="2D5B3044" w14:textId="77777777" w:rsidR="00A3519E" w:rsidRPr="00EC7E2F" w:rsidRDefault="00A3519E" w:rsidP="005C64BD">
            <w:pPr>
              <w:pStyle w:val="RPSBodyText"/>
              <w:numPr>
                <w:ilvl w:val="0"/>
                <w:numId w:val="22"/>
              </w:numPr>
              <w:spacing w:before="40" w:after="40"/>
              <w:ind w:left="357" w:hanging="357"/>
              <w:jc w:val="left"/>
              <w:rPr>
                <w:rFonts w:asciiTheme="minorHAnsi" w:hAnsiTheme="minorHAnsi"/>
                <w:sz w:val="22"/>
                <w:szCs w:val="22"/>
              </w:rPr>
            </w:pPr>
          </w:p>
        </w:tc>
        <w:tc>
          <w:tcPr>
            <w:tcW w:w="633" w:type="pct"/>
            <w:shd w:val="clear" w:color="auto" w:fill="CCCCCC"/>
          </w:tcPr>
          <w:p w14:paraId="1E576C02"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sz w:val="22"/>
                <w:szCs w:val="22"/>
              </w:rPr>
              <w:t>RPS C-3</w:t>
            </w:r>
          </w:p>
        </w:tc>
        <w:tc>
          <w:tcPr>
            <w:tcW w:w="4029" w:type="pct"/>
            <w:shd w:val="clear" w:color="auto" w:fill="CCCCCC"/>
          </w:tcPr>
          <w:p w14:paraId="1AD75142"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i/>
                <w:sz w:val="22"/>
                <w:szCs w:val="22"/>
                <w:lang w:val="en"/>
              </w:rPr>
              <w:t>Code for Disposal Facilities for Solid Radioactive Waste</w:t>
            </w:r>
            <w:r w:rsidRPr="00EC7E2F">
              <w:rPr>
                <w:rFonts w:asciiTheme="minorHAnsi" w:hAnsiTheme="minorHAnsi"/>
                <w:sz w:val="22"/>
                <w:szCs w:val="22"/>
                <w:lang w:val="en"/>
              </w:rPr>
              <w:t xml:space="preserve"> (2018)</w:t>
            </w:r>
          </w:p>
        </w:tc>
      </w:tr>
      <w:tr w:rsidR="00EC7E2F" w:rsidRPr="00EC7E2F" w14:paraId="5E6C51DB" w14:textId="77777777" w:rsidTr="00477DB7">
        <w:tc>
          <w:tcPr>
            <w:tcW w:w="338" w:type="pct"/>
          </w:tcPr>
          <w:p w14:paraId="4A5B70FA" w14:textId="77777777" w:rsidR="00A3519E" w:rsidRPr="00EC7E2F" w:rsidRDefault="00A3519E" w:rsidP="005C64BD">
            <w:pPr>
              <w:pStyle w:val="RPSBodyText"/>
              <w:numPr>
                <w:ilvl w:val="0"/>
                <w:numId w:val="22"/>
              </w:numPr>
              <w:spacing w:before="40" w:after="40"/>
              <w:ind w:left="357" w:hanging="357"/>
              <w:jc w:val="left"/>
              <w:rPr>
                <w:rFonts w:asciiTheme="minorHAnsi" w:hAnsiTheme="minorHAnsi"/>
                <w:sz w:val="22"/>
                <w:szCs w:val="22"/>
              </w:rPr>
            </w:pPr>
          </w:p>
        </w:tc>
        <w:tc>
          <w:tcPr>
            <w:tcW w:w="633" w:type="pct"/>
          </w:tcPr>
          <w:p w14:paraId="310A1198"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sz w:val="22"/>
                <w:szCs w:val="22"/>
              </w:rPr>
              <w:t>RPS C-4</w:t>
            </w:r>
          </w:p>
        </w:tc>
        <w:tc>
          <w:tcPr>
            <w:tcW w:w="4029" w:type="pct"/>
          </w:tcPr>
          <w:p w14:paraId="6A51C7D6"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i/>
                <w:sz w:val="22"/>
                <w:szCs w:val="22"/>
                <w:lang w:val="en"/>
              </w:rPr>
              <w:t>Code of Radiation Protection Requirements for Industrial Radiography</w:t>
            </w:r>
            <w:r w:rsidRPr="00EC7E2F">
              <w:rPr>
                <w:rFonts w:asciiTheme="minorHAnsi" w:hAnsiTheme="minorHAnsi"/>
                <w:sz w:val="22"/>
                <w:szCs w:val="22"/>
                <w:lang w:val="en"/>
              </w:rPr>
              <w:t xml:space="preserve"> (2018)</w:t>
            </w:r>
          </w:p>
        </w:tc>
      </w:tr>
      <w:tr w:rsidR="00EC7E2F" w:rsidRPr="00EC7E2F" w14:paraId="7D09EEB0" w14:textId="77777777" w:rsidTr="00EC7E2F">
        <w:trPr>
          <w:cnfStyle w:val="000000010000" w:firstRow="0" w:lastRow="0" w:firstColumn="0" w:lastColumn="0" w:oddVBand="0" w:evenVBand="0" w:oddHBand="0" w:evenHBand="1" w:firstRowFirstColumn="0" w:firstRowLastColumn="0" w:lastRowFirstColumn="0" w:lastRowLastColumn="0"/>
        </w:trPr>
        <w:tc>
          <w:tcPr>
            <w:tcW w:w="338" w:type="pct"/>
            <w:shd w:val="clear" w:color="auto" w:fill="CCCCCC"/>
          </w:tcPr>
          <w:p w14:paraId="3CD907FC" w14:textId="77777777" w:rsidR="00CF24D2" w:rsidRPr="00EC7E2F" w:rsidRDefault="00CF24D2" w:rsidP="005C64BD">
            <w:pPr>
              <w:pStyle w:val="RPSBodyText"/>
              <w:numPr>
                <w:ilvl w:val="0"/>
                <w:numId w:val="22"/>
              </w:numPr>
              <w:spacing w:before="40" w:after="40"/>
              <w:ind w:left="357" w:hanging="357"/>
              <w:jc w:val="left"/>
              <w:rPr>
                <w:rFonts w:asciiTheme="minorHAnsi" w:hAnsiTheme="minorHAnsi"/>
                <w:iCs/>
                <w:sz w:val="22"/>
                <w:szCs w:val="22"/>
              </w:rPr>
            </w:pPr>
          </w:p>
        </w:tc>
        <w:tc>
          <w:tcPr>
            <w:tcW w:w="633" w:type="pct"/>
            <w:shd w:val="clear" w:color="auto" w:fill="CCCCCC"/>
          </w:tcPr>
          <w:p w14:paraId="6D142A7B" w14:textId="5530F73A" w:rsidR="00CF24D2" w:rsidRPr="00EC7E2F" w:rsidRDefault="00CF24D2" w:rsidP="005C64BD">
            <w:pPr>
              <w:pStyle w:val="RPSBodyText"/>
              <w:spacing w:before="40" w:after="40"/>
              <w:jc w:val="left"/>
              <w:rPr>
                <w:rFonts w:asciiTheme="minorHAnsi" w:hAnsiTheme="minorHAnsi"/>
                <w:iCs/>
                <w:sz w:val="22"/>
                <w:szCs w:val="22"/>
              </w:rPr>
            </w:pPr>
            <w:r w:rsidRPr="00EC7E2F">
              <w:rPr>
                <w:rFonts w:asciiTheme="minorHAnsi" w:hAnsiTheme="minorHAnsi"/>
                <w:iCs/>
                <w:sz w:val="22"/>
                <w:szCs w:val="22"/>
              </w:rPr>
              <w:t>RPS C-5</w:t>
            </w:r>
          </w:p>
        </w:tc>
        <w:tc>
          <w:tcPr>
            <w:tcW w:w="4029" w:type="pct"/>
            <w:shd w:val="clear" w:color="auto" w:fill="CCCCCC"/>
          </w:tcPr>
          <w:p w14:paraId="39AEAC04" w14:textId="7501E665" w:rsidR="00CF24D2" w:rsidRPr="00EC7E2F" w:rsidRDefault="002C7403" w:rsidP="005C64BD">
            <w:pPr>
              <w:pStyle w:val="RPSBodyText"/>
              <w:spacing w:before="40" w:after="40"/>
              <w:jc w:val="left"/>
              <w:rPr>
                <w:rFonts w:asciiTheme="minorHAnsi" w:hAnsiTheme="minorHAnsi"/>
                <w:iCs/>
                <w:sz w:val="22"/>
                <w:szCs w:val="22"/>
                <w:lang w:val="en"/>
              </w:rPr>
            </w:pPr>
            <w:r w:rsidRPr="00EC7E2F">
              <w:rPr>
                <w:rFonts w:asciiTheme="minorHAnsi" w:hAnsiTheme="minorHAnsi"/>
                <w:i/>
                <w:iCs/>
                <w:sz w:val="22"/>
                <w:szCs w:val="22"/>
                <w:lang w:val="en"/>
              </w:rPr>
              <w:t>Code for Radiation Protection in Medical Exposure</w:t>
            </w:r>
            <w:r w:rsidRPr="00EC7E2F">
              <w:rPr>
                <w:rFonts w:asciiTheme="minorHAnsi" w:hAnsiTheme="minorHAnsi"/>
                <w:iCs/>
                <w:sz w:val="22"/>
                <w:szCs w:val="22"/>
                <w:lang w:val="en"/>
              </w:rPr>
              <w:t xml:space="preserve"> (</w:t>
            </w:r>
            <w:r w:rsidR="00B07167" w:rsidRPr="00EC7E2F">
              <w:rPr>
                <w:rFonts w:asciiTheme="minorHAnsi" w:hAnsiTheme="minorHAnsi"/>
                <w:iCs/>
                <w:sz w:val="22"/>
                <w:szCs w:val="22"/>
                <w:lang w:val="en"/>
              </w:rPr>
              <w:t>2019</w:t>
            </w:r>
            <w:r w:rsidRPr="00EC7E2F">
              <w:rPr>
                <w:rFonts w:asciiTheme="minorHAnsi" w:hAnsiTheme="minorHAnsi"/>
                <w:iCs/>
                <w:sz w:val="22"/>
                <w:szCs w:val="22"/>
                <w:lang w:val="en"/>
              </w:rPr>
              <w:t>)</w:t>
            </w:r>
          </w:p>
        </w:tc>
      </w:tr>
      <w:tr w:rsidR="00EC7E2F" w:rsidRPr="00EC7E2F" w14:paraId="0F70D187" w14:textId="77777777" w:rsidTr="00477DB7">
        <w:tc>
          <w:tcPr>
            <w:tcW w:w="338" w:type="pct"/>
          </w:tcPr>
          <w:p w14:paraId="0D9374C9" w14:textId="77777777" w:rsidR="00A3519E" w:rsidRPr="00EC7E2F" w:rsidRDefault="00A3519E" w:rsidP="005C64BD">
            <w:pPr>
              <w:pStyle w:val="RPSBodyText"/>
              <w:numPr>
                <w:ilvl w:val="0"/>
                <w:numId w:val="22"/>
              </w:numPr>
              <w:spacing w:before="40" w:after="40"/>
              <w:ind w:left="357" w:hanging="357"/>
              <w:jc w:val="left"/>
              <w:rPr>
                <w:rFonts w:asciiTheme="minorHAnsi" w:hAnsiTheme="minorHAnsi"/>
                <w:sz w:val="22"/>
                <w:szCs w:val="22"/>
              </w:rPr>
            </w:pPr>
          </w:p>
        </w:tc>
        <w:tc>
          <w:tcPr>
            <w:tcW w:w="633" w:type="pct"/>
          </w:tcPr>
          <w:p w14:paraId="6CF3F538"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sz w:val="22"/>
                <w:szCs w:val="22"/>
              </w:rPr>
              <w:t>RPS C-6</w:t>
            </w:r>
          </w:p>
        </w:tc>
        <w:tc>
          <w:tcPr>
            <w:tcW w:w="4029" w:type="pct"/>
          </w:tcPr>
          <w:p w14:paraId="66135A01"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i/>
                <w:sz w:val="22"/>
                <w:szCs w:val="22"/>
                <w:lang w:val="en"/>
              </w:rPr>
              <w:t>Code for Disposal of Radioactive Waste by the User</w:t>
            </w:r>
            <w:r w:rsidRPr="00EC7E2F">
              <w:rPr>
                <w:rFonts w:asciiTheme="minorHAnsi" w:hAnsiTheme="minorHAnsi"/>
                <w:sz w:val="22"/>
                <w:szCs w:val="22"/>
                <w:lang w:val="en"/>
              </w:rPr>
              <w:t xml:space="preserve"> (2018)</w:t>
            </w:r>
          </w:p>
        </w:tc>
      </w:tr>
      <w:tr w:rsidR="00EC7E2F" w:rsidRPr="00EC7E2F" w14:paraId="1B190F37" w14:textId="77777777" w:rsidTr="00EC7E2F">
        <w:trPr>
          <w:cnfStyle w:val="000000010000" w:firstRow="0" w:lastRow="0" w:firstColumn="0" w:lastColumn="0" w:oddVBand="0" w:evenVBand="0" w:oddHBand="0" w:evenHBand="1" w:firstRowFirstColumn="0" w:firstRowLastColumn="0" w:lastRowFirstColumn="0" w:lastRowLastColumn="0"/>
        </w:trPr>
        <w:tc>
          <w:tcPr>
            <w:tcW w:w="338" w:type="pct"/>
            <w:shd w:val="clear" w:color="auto" w:fill="CCCCCC"/>
          </w:tcPr>
          <w:p w14:paraId="72111B57" w14:textId="77777777" w:rsidR="00D7394E" w:rsidRPr="00EC7E2F" w:rsidRDefault="00D7394E" w:rsidP="00F84E06">
            <w:pPr>
              <w:pStyle w:val="RPSBodyText"/>
              <w:numPr>
                <w:ilvl w:val="0"/>
                <w:numId w:val="22"/>
              </w:numPr>
              <w:spacing w:before="40" w:after="40"/>
              <w:ind w:left="357" w:hanging="357"/>
              <w:jc w:val="left"/>
              <w:rPr>
                <w:rFonts w:asciiTheme="minorHAnsi" w:hAnsiTheme="minorHAnsi"/>
                <w:sz w:val="22"/>
                <w:szCs w:val="22"/>
              </w:rPr>
            </w:pPr>
          </w:p>
        </w:tc>
        <w:tc>
          <w:tcPr>
            <w:tcW w:w="633" w:type="pct"/>
            <w:shd w:val="clear" w:color="auto" w:fill="CCCCCC"/>
          </w:tcPr>
          <w:p w14:paraId="1552DAE9" w14:textId="0329C0B3" w:rsidR="00D7394E" w:rsidRPr="00EC7E2F" w:rsidRDefault="00D7394E" w:rsidP="00F84E06">
            <w:pPr>
              <w:pStyle w:val="RPSBodyText"/>
              <w:spacing w:before="40" w:after="40"/>
              <w:jc w:val="left"/>
              <w:rPr>
                <w:rFonts w:asciiTheme="minorHAnsi" w:hAnsiTheme="minorHAnsi"/>
                <w:sz w:val="22"/>
                <w:szCs w:val="22"/>
              </w:rPr>
            </w:pPr>
            <w:r w:rsidRPr="00EC7E2F">
              <w:rPr>
                <w:rFonts w:asciiTheme="minorHAnsi" w:hAnsiTheme="minorHAnsi"/>
                <w:sz w:val="22"/>
                <w:szCs w:val="22"/>
              </w:rPr>
              <w:t>RPS S-1</w:t>
            </w:r>
          </w:p>
        </w:tc>
        <w:tc>
          <w:tcPr>
            <w:tcW w:w="4029" w:type="pct"/>
            <w:shd w:val="clear" w:color="auto" w:fill="CCCCCC"/>
          </w:tcPr>
          <w:p w14:paraId="26A4CB54" w14:textId="0C8A1628" w:rsidR="00D7394E" w:rsidRPr="00EC7E2F" w:rsidRDefault="00D7394E" w:rsidP="00F84E06">
            <w:pPr>
              <w:pStyle w:val="RPSBodyText"/>
              <w:spacing w:before="40" w:after="40"/>
              <w:jc w:val="left"/>
              <w:rPr>
                <w:rFonts w:asciiTheme="minorHAnsi" w:hAnsiTheme="minorHAnsi"/>
                <w:sz w:val="22"/>
                <w:szCs w:val="22"/>
              </w:rPr>
            </w:pPr>
            <w:r w:rsidRPr="00EC7E2F">
              <w:rPr>
                <w:rFonts w:asciiTheme="minorHAnsi" w:hAnsiTheme="minorHAnsi"/>
                <w:i/>
                <w:sz w:val="22"/>
                <w:szCs w:val="22"/>
              </w:rPr>
              <w:t>Standard for Limiting Exposure to Radiofrequency Fields – 100 kHz to 300 GHz</w:t>
            </w:r>
            <w:r w:rsidR="00F84E06" w:rsidRPr="00EC7E2F">
              <w:rPr>
                <w:rFonts w:asciiTheme="minorHAnsi" w:hAnsiTheme="minorHAnsi"/>
                <w:sz w:val="22"/>
                <w:szCs w:val="22"/>
              </w:rPr>
              <w:t xml:space="preserve"> </w:t>
            </w:r>
            <w:r w:rsidR="000A22D1" w:rsidRPr="00EC7E2F">
              <w:rPr>
                <w:rFonts w:asciiTheme="minorHAnsi" w:hAnsiTheme="minorHAnsi"/>
                <w:sz w:val="22"/>
                <w:szCs w:val="22"/>
              </w:rPr>
              <w:br/>
            </w:r>
            <w:r w:rsidR="00636B60" w:rsidRPr="00EC7E2F">
              <w:rPr>
                <w:rFonts w:asciiTheme="minorHAnsi" w:hAnsiTheme="minorHAnsi"/>
                <w:sz w:val="22"/>
                <w:szCs w:val="22"/>
              </w:rPr>
              <w:t xml:space="preserve">(2021) </w:t>
            </w:r>
            <w:r w:rsidR="00F84E06" w:rsidRPr="00EC7E2F">
              <w:rPr>
                <w:rFonts w:asciiTheme="minorHAnsi" w:hAnsiTheme="minorHAnsi"/>
                <w:sz w:val="22"/>
                <w:szCs w:val="22"/>
              </w:rPr>
              <w:t>(Rev. 1)</w:t>
            </w:r>
            <w:r w:rsidR="00636B60" w:rsidRPr="00EC7E2F">
              <w:rPr>
                <w:rFonts w:asciiTheme="minorHAnsi" w:hAnsiTheme="minorHAnsi"/>
                <w:sz w:val="22"/>
                <w:szCs w:val="22"/>
              </w:rPr>
              <w:t xml:space="preserve"> </w:t>
            </w:r>
          </w:p>
        </w:tc>
      </w:tr>
      <w:tr w:rsidR="00EC7E2F" w:rsidRPr="00EC7E2F" w14:paraId="0A703188" w14:textId="77777777" w:rsidTr="00477DB7">
        <w:tc>
          <w:tcPr>
            <w:tcW w:w="338" w:type="pct"/>
          </w:tcPr>
          <w:p w14:paraId="6426C7ED" w14:textId="77777777" w:rsidR="00A3519E" w:rsidRPr="00EC7E2F" w:rsidRDefault="00A3519E" w:rsidP="005C64BD">
            <w:pPr>
              <w:pStyle w:val="RPSBodyText"/>
              <w:numPr>
                <w:ilvl w:val="0"/>
                <w:numId w:val="22"/>
              </w:numPr>
              <w:spacing w:before="40" w:after="40"/>
              <w:ind w:left="357" w:hanging="357"/>
              <w:jc w:val="left"/>
              <w:rPr>
                <w:rFonts w:asciiTheme="minorHAnsi" w:hAnsiTheme="minorHAnsi"/>
                <w:sz w:val="22"/>
                <w:szCs w:val="22"/>
              </w:rPr>
            </w:pPr>
          </w:p>
        </w:tc>
        <w:tc>
          <w:tcPr>
            <w:tcW w:w="633" w:type="pct"/>
          </w:tcPr>
          <w:p w14:paraId="3ED0C017"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sz w:val="22"/>
                <w:szCs w:val="22"/>
              </w:rPr>
              <w:t>RPS 5</w:t>
            </w:r>
          </w:p>
        </w:tc>
        <w:tc>
          <w:tcPr>
            <w:tcW w:w="4029" w:type="pct"/>
          </w:tcPr>
          <w:p w14:paraId="696608E5"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i/>
                <w:sz w:val="22"/>
                <w:szCs w:val="22"/>
              </w:rPr>
              <w:t>Code of Practice and Safety Guide for Portable Density/Moisture Gauges containing Radioactive Sources</w:t>
            </w:r>
            <w:r w:rsidRPr="00EC7E2F">
              <w:rPr>
                <w:rFonts w:asciiTheme="minorHAnsi" w:hAnsiTheme="minorHAnsi"/>
                <w:sz w:val="22"/>
                <w:szCs w:val="22"/>
              </w:rPr>
              <w:t xml:space="preserve"> (2004)</w:t>
            </w:r>
          </w:p>
        </w:tc>
      </w:tr>
      <w:tr w:rsidR="00EC7E2F" w:rsidRPr="00EC7E2F" w14:paraId="6C32777C" w14:textId="77777777" w:rsidTr="00EC7E2F">
        <w:trPr>
          <w:cnfStyle w:val="000000010000" w:firstRow="0" w:lastRow="0" w:firstColumn="0" w:lastColumn="0" w:oddVBand="0" w:evenVBand="0" w:oddHBand="0" w:evenHBand="1" w:firstRowFirstColumn="0" w:firstRowLastColumn="0" w:lastRowFirstColumn="0" w:lastRowLastColumn="0"/>
        </w:trPr>
        <w:tc>
          <w:tcPr>
            <w:tcW w:w="338" w:type="pct"/>
            <w:shd w:val="clear" w:color="auto" w:fill="CCCCCC"/>
          </w:tcPr>
          <w:p w14:paraId="0D28D6F2" w14:textId="77777777" w:rsidR="00A3519E" w:rsidRPr="00EC7E2F" w:rsidRDefault="00A3519E" w:rsidP="005C64BD">
            <w:pPr>
              <w:pStyle w:val="RPSBodyText"/>
              <w:numPr>
                <w:ilvl w:val="0"/>
                <w:numId w:val="22"/>
              </w:numPr>
              <w:spacing w:before="40" w:after="40"/>
              <w:ind w:left="357" w:hanging="357"/>
              <w:jc w:val="left"/>
              <w:rPr>
                <w:rFonts w:asciiTheme="minorHAnsi" w:hAnsiTheme="minorHAnsi"/>
                <w:sz w:val="22"/>
                <w:szCs w:val="22"/>
              </w:rPr>
            </w:pPr>
          </w:p>
        </w:tc>
        <w:tc>
          <w:tcPr>
            <w:tcW w:w="633" w:type="pct"/>
            <w:shd w:val="clear" w:color="auto" w:fill="CCCCCC"/>
          </w:tcPr>
          <w:p w14:paraId="72CABFA7"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sz w:val="22"/>
                <w:szCs w:val="22"/>
              </w:rPr>
              <w:t>RPS 8</w:t>
            </w:r>
          </w:p>
        </w:tc>
        <w:tc>
          <w:tcPr>
            <w:tcW w:w="4029" w:type="pct"/>
            <w:shd w:val="clear" w:color="auto" w:fill="CCCCCC"/>
          </w:tcPr>
          <w:p w14:paraId="67275D48"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i/>
                <w:sz w:val="22"/>
                <w:szCs w:val="22"/>
              </w:rPr>
              <w:t>Code of Practice for the Exposure of Humans to Ionizing Radiation for Research Purposes</w:t>
            </w:r>
            <w:r w:rsidRPr="00EC7E2F">
              <w:rPr>
                <w:rFonts w:asciiTheme="minorHAnsi" w:hAnsiTheme="minorHAnsi"/>
                <w:sz w:val="22"/>
                <w:szCs w:val="22"/>
              </w:rPr>
              <w:t xml:space="preserve"> (2005)</w:t>
            </w:r>
          </w:p>
        </w:tc>
      </w:tr>
      <w:tr w:rsidR="00EC7E2F" w:rsidRPr="00EC7E2F" w14:paraId="433C7F53" w14:textId="77777777" w:rsidTr="00477DB7">
        <w:tc>
          <w:tcPr>
            <w:tcW w:w="338" w:type="pct"/>
          </w:tcPr>
          <w:p w14:paraId="671EB233" w14:textId="77777777" w:rsidR="00A3519E" w:rsidRPr="00EC7E2F" w:rsidRDefault="00A3519E" w:rsidP="005C64BD">
            <w:pPr>
              <w:pStyle w:val="RPSBodyText"/>
              <w:numPr>
                <w:ilvl w:val="0"/>
                <w:numId w:val="22"/>
              </w:numPr>
              <w:spacing w:before="40" w:after="40"/>
              <w:ind w:left="357" w:hanging="357"/>
              <w:jc w:val="left"/>
              <w:rPr>
                <w:rFonts w:asciiTheme="minorHAnsi" w:hAnsiTheme="minorHAnsi"/>
                <w:sz w:val="22"/>
                <w:szCs w:val="22"/>
              </w:rPr>
            </w:pPr>
          </w:p>
        </w:tc>
        <w:tc>
          <w:tcPr>
            <w:tcW w:w="633" w:type="pct"/>
          </w:tcPr>
          <w:p w14:paraId="1FA74CEF"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sz w:val="22"/>
                <w:szCs w:val="22"/>
              </w:rPr>
              <w:t>RPS 9</w:t>
            </w:r>
          </w:p>
        </w:tc>
        <w:tc>
          <w:tcPr>
            <w:tcW w:w="4029" w:type="pct"/>
          </w:tcPr>
          <w:p w14:paraId="703F30B5"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i/>
                <w:sz w:val="22"/>
                <w:szCs w:val="22"/>
              </w:rPr>
              <w:t>Code of Practice and Safety Guide for Radiation Protection and Radioactive Waste Management in Mining and Mineral Processing</w:t>
            </w:r>
            <w:r w:rsidRPr="00EC7E2F">
              <w:rPr>
                <w:rFonts w:asciiTheme="minorHAnsi" w:hAnsiTheme="minorHAnsi"/>
                <w:sz w:val="22"/>
                <w:szCs w:val="22"/>
              </w:rPr>
              <w:t xml:space="preserve"> (2005)</w:t>
            </w:r>
          </w:p>
        </w:tc>
      </w:tr>
      <w:tr w:rsidR="00EC7E2F" w:rsidRPr="00EC7E2F" w14:paraId="17A30C02" w14:textId="77777777" w:rsidTr="00EC7E2F">
        <w:trPr>
          <w:cnfStyle w:val="000000010000" w:firstRow="0" w:lastRow="0" w:firstColumn="0" w:lastColumn="0" w:oddVBand="0" w:evenVBand="0" w:oddHBand="0" w:evenHBand="1" w:firstRowFirstColumn="0" w:firstRowLastColumn="0" w:lastRowFirstColumn="0" w:lastRowLastColumn="0"/>
        </w:trPr>
        <w:tc>
          <w:tcPr>
            <w:tcW w:w="338" w:type="pct"/>
            <w:shd w:val="clear" w:color="auto" w:fill="CCCCCC"/>
          </w:tcPr>
          <w:p w14:paraId="02ED5877" w14:textId="77777777" w:rsidR="00A3519E" w:rsidRPr="00EC7E2F" w:rsidRDefault="00A3519E" w:rsidP="005C64BD">
            <w:pPr>
              <w:pStyle w:val="RPSBodyText"/>
              <w:numPr>
                <w:ilvl w:val="0"/>
                <w:numId w:val="22"/>
              </w:numPr>
              <w:spacing w:before="40" w:after="40"/>
              <w:ind w:left="357" w:hanging="357"/>
              <w:jc w:val="left"/>
              <w:rPr>
                <w:rFonts w:asciiTheme="minorHAnsi" w:hAnsiTheme="minorHAnsi"/>
                <w:sz w:val="22"/>
                <w:szCs w:val="22"/>
              </w:rPr>
            </w:pPr>
          </w:p>
        </w:tc>
        <w:tc>
          <w:tcPr>
            <w:tcW w:w="633" w:type="pct"/>
            <w:shd w:val="clear" w:color="auto" w:fill="CCCCCC"/>
          </w:tcPr>
          <w:p w14:paraId="66678161"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sz w:val="22"/>
                <w:szCs w:val="22"/>
              </w:rPr>
              <w:t>RPS 10</w:t>
            </w:r>
          </w:p>
        </w:tc>
        <w:tc>
          <w:tcPr>
            <w:tcW w:w="4029" w:type="pct"/>
            <w:shd w:val="clear" w:color="auto" w:fill="CCCCCC"/>
          </w:tcPr>
          <w:p w14:paraId="2BDB5044" w14:textId="77777777" w:rsidR="00A3519E" w:rsidRPr="00EC7E2F" w:rsidRDefault="00A3519E" w:rsidP="005C64BD">
            <w:pPr>
              <w:pStyle w:val="RPSBodyText"/>
              <w:spacing w:before="40" w:after="40"/>
              <w:jc w:val="left"/>
              <w:rPr>
                <w:rFonts w:asciiTheme="minorHAnsi" w:hAnsiTheme="minorHAnsi"/>
                <w:sz w:val="22"/>
                <w:szCs w:val="22"/>
                <w:highlight w:val="yellow"/>
              </w:rPr>
            </w:pPr>
            <w:r w:rsidRPr="00EC7E2F">
              <w:rPr>
                <w:rFonts w:asciiTheme="minorHAnsi" w:hAnsiTheme="minorHAnsi"/>
                <w:i/>
                <w:sz w:val="22"/>
                <w:szCs w:val="22"/>
              </w:rPr>
              <w:t>Code of Practice and Safety Guide for Radiation Protection in Dentistry</w:t>
            </w:r>
            <w:r w:rsidRPr="00EC7E2F">
              <w:rPr>
                <w:rFonts w:asciiTheme="minorHAnsi" w:hAnsiTheme="minorHAnsi"/>
                <w:sz w:val="22"/>
                <w:szCs w:val="22"/>
              </w:rPr>
              <w:t xml:space="preserve"> (2005)</w:t>
            </w:r>
          </w:p>
        </w:tc>
      </w:tr>
      <w:tr w:rsidR="00EC7E2F" w:rsidRPr="00EC7E2F" w14:paraId="2527B198" w14:textId="77777777" w:rsidTr="00477DB7">
        <w:tc>
          <w:tcPr>
            <w:tcW w:w="338" w:type="pct"/>
          </w:tcPr>
          <w:p w14:paraId="65107141" w14:textId="77777777" w:rsidR="00A3519E" w:rsidRPr="00EC7E2F" w:rsidRDefault="00A3519E" w:rsidP="005C64BD">
            <w:pPr>
              <w:pStyle w:val="RPSBodyText"/>
              <w:numPr>
                <w:ilvl w:val="0"/>
                <w:numId w:val="22"/>
              </w:numPr>
              <w:spacing w:before="40" w:after="40"/>
              <w:ind w:left="357" w:hanging="357"/>
              <w:jc w:val="left"/>
              <w:rPr>
                <w:rFonts w:asciiTheme="minorHAnsi" w:hAnsiTheme="minorHAnsi"/>
                <w:sz w:val="22"/>
                <w:szCs w:val="22"/>
              </w:rPr>
            </w:pPr>
          </w:p>
        </w:tc>
        <w:tc>
          <w:tcPr>
            <w:tcW w:w="633" w:type="pct"/>
          </w:tcPr>
          <w:p w14:paraId="42D5C439"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sz w:val="22"/>
                <w:szCs w:val="22"/>
              </w:rPr>
              <w:t>RPS 11</w:t>
            </w:r>
          </w:p>
        </w:tc>
        <w:tc>
          <w:tcPr>
            <w:tcW w:w="4029" w:type="pct"/>
          </w:tcPr>
          <w:p w14:paraId="1DD590FB" w14:textId="4BE3D1AD" w:rsidR="00A3519E" w:rsidRPr="00EC7E2F" w:rsidRDefault="00A3519E" w:rsidP="005C64BD">
            <w:pPr>
              <w:pStyle w:val="RPSBodyText"/>
              <w:spacing w:before="40" w:after="40"/>
              <w:jc w:val="left"/>
              <w:rPr>
                <w:rFonts w:asciiTheme="minorHAnsi" w:hAnsiTheme="minorHAnsi"/>
                <w:sz w:val="22"/>
                <w:szCs w:val="22"/>
                <w:highlight w:val="yellow"/>
              </w:rPr>
            </w:pPr>
            <w:r w:rsidRPr="00EC7E2F">
              <w:rPr>
                <w:rFonts w:asciiTheme="minorHAnsi" w:hAnsiTheme="minorHAnsi"/>
                <w:i/>
                <w:sz w:val="22"/>
                <w:szCs w:val="22"/>
              </w:rPr>
              <w:t>Code of Practice for the Security of Radioactive Sources</w:t>
            </w:r>
            <w:r w:rsidRPr="00EC7E2F">
              <w:rPr>
                <w:rFonts w:asciiTheme="minorHAnsi" w:hAnsiTheme="minorHAnsi"/>
                <w:sz w:val="22"/>
                <w:szCs w:val="22"/>
              </w:rPr>
              <w:t xml:space="preserve"> (</w:t>
            </w:r>
            <w:r w:rsidR="00B53B3A" w:rsidRPr="00EC7E2F">
              <w:rPr>
                <w:rFonts w:asciiTheme="minorHAnsi" w:hAnsiTheme="minorHAnsi"/>
                <w:sz w:val="22"/>
                <w:szCs w:val="22"/>
              </w:rPr>
              <w:t>2019</w:t>
            </w:r>
            <w:r w:rsidRPr="00EC7E2F">
              <w:rPr>
                <w:rFonts w:asciiTheme="minorHAnsi" w:hAnsiTheme="minorHAnsi"/>
                <w:sz w:val="22"/>
                <w:szCs w:val="22"/>
              </w:rPr>
              <w:t>)</w:t>
            </w:r>
          </w:p>
        </w:tc>
      </w:tr>
      <w:tr w:rsidR="00EC7E2F" w:rsidRPr="00EC7E2F" w14:paraId="02F378F0" w14:textId="77777777" w:rsidTr="00EC7E2F">
        <w:trPr>
          <w:cnfStyle w:val="000000010000" w:firstRow="0" w:lastRow="0" w:firstColumn="0" w:lastColumn="0" w:oddVBand="0" w:evenVBand="0" w:oddHBand="0" w:evenHBand="1" w:firstRowFirstColumn="0" w:firstRowLastColumn="0" w:lastRowFirstColumn="0" w:lastRowLastColumn="0"/>
        </w:trPr>
        <w:tc>
          <w:tcPr>
            <w:tcW w:w="338" w:type="pct"/>
            <w:shd w:val="clear" w:color="auto" w:fill="CCCCCC"/>
          </w:tcPr>
          <w:p w14:paraId="7ED4E7D6" w14:textId="77777777" w:rsidR="00A3519E" w:rsidRPr="00EC7E2F" w:rsidRDefault="00A3519E" w:rsidP="005C64BD">
            <w:pPr>
              <w:pStyle w:val="RPSBodyText"/>
              <w:numPr>
                <w:ilvl w:val="0"/>
                <w:numId w:val="22"/>
              </w:numPr>
              <w:spacing w:before="40" w:after="40"/>
              <w:ind w:left="357" w:hanging="357"/>
              <w:jc w:val="left"/>
              <w:rPr>
                <w:rFonts w:asciiTheme="minorHAnsi" w:hAnsiTheme="minorHAnsi"/>
                <w:sz w:val="22"/>
                <w:szCs w:val="22"/>
              </w:rPr>
            </w:pPr>
          </w:p>
        </w:tc>
        <w:tc>
          <w:tcPr>
            <w:tcW w:w="633" w:type="pct"/>
            <w:shd w:val="clear" w:color="auto" w:fill="CCCCCC"/>
          </w:tcPr>
          <w:p w14:paraId="48CEF1DB"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sz w:val="22"/>
                <w:szCs w:val="22"/>
              </w:rPr>
              <w:t>RPS 12</w:t>
            </w:r>
          </w:p>
        </w:tc>
        <w:tc>
          <w:tcPr>
            <w:tcW w:w="4029" w:type="pct"/>
            <w:shd w:val="clear" w:color="auto" w:fill="CCCCCC"/>
          </w:tcPr>
          <w:p w14:paraId="462134CD" w14:textId="77777777" w:rsidR="00A3519E" w:rsidRPr="00EC7E2F" w:rsidRDefault="00A3519E" w:rsidP="005C64BD">
            <w:pPr>
              <w:pStyle w:val="RPSBodyText"/>
              <w:spacing w:before="40" w:after="40"/>
              <w:jc w:val="left"/>
              <w:rPr>
                <w:rFonts w:asciiTheme="minorHAnsi" w:hAnsiTheme="minorHAnsi"/>
                <w:sz w:val="22"/>
                <w:szCs w:val="22"/>
                <w:highlight w:val="yellow"/>
              </w:rPr>
            </w:pPr>
            <w:r w:rsidRPr="00EC7E2F">
              <w:rPr>
                <w:rFonts w:asciiTheme="minorHAnsi" w:hAnsiTheme="minorHAnsi"/>
                <w:i/>
                <w:sz w:val="22"/>
                <w:szCs w:val="22"/>
              </w:rPr>
              <w:t>Radiation Protection Standard for Occupational Exposure to Ultraviolet Radiation</w:t>
            </w:r>
            <w:r w:rsidRPr="00EC7E2F">
              <w:rPr>
                <w:rFonts w:asciiTheme="minorHAnsi" w:hAnsiTheme="minorHAnsi"/>
                <w:sz w:val="22"/>
                <w:szCs w:val="22"/>
              </w:rPr>
              <w:t xml:space="preserve"> (2006)</w:t>
            </w:r>
          </w:p>
        </w:tc>
      </w:tr>
      <w:tr w:rsidR="00EC7E2F" w:rsidRPr="00EC7E2F" w14:paraId="5B220039" w14:textId="77777777" w:rsidTr="00477DB7">
        <w:tc>
          <w:tcPr>
            <w:tcW w:w="338" w:type="pct"/>
          </w:tcPr>
          <w:p w14:paraId="51734835" w14:textId="77777777" w:rsidR="00A3519E" w:rsidRPr="00EC7E2F" w:rsidRDefault="00A3519E" w:rsidP="005C64BD">
            <w:pPr>
              <w:pStyle w:val="RPSBodyText"/>
              <w:numPr>
                <w:ilvl w:val="0"/>
                <w:numId w:val="22"/>
              </w:numPr>
              <w:spacing w:before="40" w:after="40"/>
              <w:ind w:left="357" w:hanging="357"/>
              <w:jc w:val="left"/>
              <w:rPr>
                <w:rFonts w:asciiTheme="minorHAnsi" w:hAnsiTheme="minorHAnsi"/>
                <w:sz w:val="22"/>
                <w:szCs w:val="22"/>
              </w:rPr>
            </w:pPr>
          </w:p>
        </w:tc>
        <w:tc>
          <w:tcPr>
            <w:tcW w:w="633" w:type="pct"/>
          </w:tcPr>
          <w:p w14:paraId="4EA5FBDC"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sz w:val="22"/>
                <w:szCs w:val="22"/>
              </w:rPr>
              <w:t>RPS 13</w:t>
            </w:r>
          </w:p>
        </w:tc>
        <w:tc>
          <w:tcPr>
            <w:tcW w:w="4029" w:type="pct"/>
          </w:tcPr>
          <w:p w14:paraId="50BC1943"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i/>
                <w:sz w:val="22"/>
                <w:szCs w:val="22"/>
              </w:rPr>
              <w:t>Code of Practice and Safety Guide for Safe Use of Fixed Radiation Gauges</w:t>
            </w:r>
            <w:r w:rsidRPr="00EC7E2F">
              <w:rPr>
                <w:rFonts w:asciiTheme="minorHAnsi" w:hAnsiTheme="minorHAnsi"/>
                <w:sz w:val="22"/>
                <w:szCs w:val="22"/>
              </w:rPr>
              <w:t xml:space="preserve"> (2007)</w:t>
            </w:r>
          </w:p>
        </w:tc>
      </w:tr>
      <w:tr w:rsidR="00EC7E2F" w:rsidRPr="00EC7E2F" w14:paraId="2E2153F1" w14:textId="77777777" w:rsidTr="00EC7E2F">
        <w:trPr>
          <w:cnfStyle w:val="000000010000" w:firstRow="0" w:lastRow="0" w:firstColumn="0" w:lastColumn="0" w:oddVBand="0" w:evenVBand="0" w:oddHBand="0" w:evenHBand="1" w:firstRowFirstColumn="0" w:firstRowLastColumn="0" w:lastRowFirstColumn="0" w:lastRowLastColumn="0"/>
        </w:trPr>
        <w:tc>
          <w:tcPr>
            <w:tcW w:w="338" w:type="pct"/>
            <w:shd w:val="clear" w:color="auto" w:fill="CCCCCC"/>
          </w:tcPr>
          <w:p w14:paraId="426F5F3A" w14:textId="77777777" w:rsidR="00A3519E" w:rsidRPr="00EC7E2F" w:rsidRDefault="00A3519E" w:rsidP="005C64BD">
            <w:pPr>
              <w:pStyle w:val="RPSBodyText"/>
              <w:numPr>
                <w:ilvl w:val="0"/>
                <w:numId w:val="22"/>
              </w:numPr>
              <w:spacing w:before="40" w:after="40"/>
              <w:ind w:left="357" w:hanging="357"/>
              <w:jc w:val="left"/>
              <w:rPr>
                <w:rFonts w:asciiTheme="minorHAnsi" w:hAnsiTheme="minorHAnsi"/>
                <w:sz w:val="22"/>
                <w:szCs w:val="22"/>
              </w:rPr>
            </w:pPr>
          </w:p>
        </w:tc>
        <w:tc>
          <w:tcPr>
            <w:tcW w:w="633" w:type="pct"/>
            <w:shd w:val="clear" w:color="auto" w:fill="CCCCCC"/>
          </w:tcPr>
          <w:p w14:paraId="45A509B7"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sz w:val="22"/>
                <w:szCs w:val="22"/>
              </w:rPr>
              <w:t>RPS 17</w:t>
            </w:r>
          </w:p>
        </w:tc>
        <w:tc>
          <w:tcPr>
            <w:tcW w:w="4029" w:type="pct"/>
            <w:shd w:val="clear" w:color="auto" w:fill="CCCCCC"/>
          </w:tcPr>
          <w:p w14:paraId="67727C8E" w14:textId="0B6CB5FE"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i/>
                <w:sz w:val="22"/>
                <w:szCs w:val="22"/>
              </w:rPr>
              <w:t>Code of Practice</w:t>
            </w:r>
            <w:r w:rsidRPr="00EC7E2F">
              <w:rPr>
                <w:rFonts w:asciiTheme="minorHAnsi" w:hAnsiTheme="minorHAnsi"/>
                <w:i/>
                <w:spacing w:val="-6"/>
                <w:sz w:val="22"/>
                <w:szCs w:val="22"/>
              </w:rPr>
              <w:t xml:space="preserve"> and Safety Guide for Radiation Protection in Veterinary Medicine </w:t>
            </w:r>
            <w:r w:rsidRPr="00EC7E2F">
              <w:rPr>
                <w:rFonts w:asciiTheme="minorHAnsi" w:hAnsiTheme="minorHAnsi"/>
                <w:spacing w:val="-6"/>
                <w:sz w:val="22"/>
                <w:szCs w:val="22"/>
              </w:rPr>
              <w:t>(2009)</w:t>
            </w:r>
          </w:p>
        </w:tc>
      </w:tr>
      <w:tr w:rsidR="00EC7E2F" w:rsidRPr="00EC7E2F" w14:paraId="0DC1AB81" w14:textId="77777777" w:rsidTr="00477DB7">
        <w:tc>
          <w:tcPr>
            <w:tcW w:w="338" w:type="pct"/>
          </w:tcPr>
          <w:p w14:paraId="4F9DFDCC" w14:textId="77777777" w:rsidR="00A3519E" w:rsidRPr="00EC7E2F" w:rsidRDefault="00A3519E" w:rsidP="005C64BD">
            <w:pPr>
              <w:pStyle w:val="RPSBodyText"/>
              <w:numPr>
                <w:ilvl w:val="0"/>
                <w:numId w:val="22"/>
              </w:numPr>
              <w:spacing w:before="40" w:after="40"/>
              <w:ind w:left="357" w:hanging="357"/>
              <w:jc w:val="left"/>
              <w:rPr>
                <w:rFonts w:asciiTheme="minorHAnsi" w:hAnsiTheme="minorHAnsi"/>
                <w:sz w:val="22"/>
                <w:szCs w:val="22"/>
              </w:rPr>
            </w:pPr>
          </w:p>
        </w:tc>
        <w:tc>
          <w:tcPr>
            <w:tcW w:w="633" w:type="pct"/>
          </w:tcPr>
          <w:p w14:paraId="7B1E4C41"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sz w:val="22"/>
                <w:szCs w:val="22"/>
              </w:rPr>
              <w:t>RPS 19</w:t>
            </w:r>
          </w:p>
        </w:tc>
        <w:tc>
          <w:tcPr>
            <w:tcW w:w="4029" w:type="pct"/>
          </w:tcPr>
          <w:p w14:paraId="54604EF3" w14:textId="77777777" w:rsidR="00A3519E" w:rsidRPr="00EC7E2F" w:rsidRDefault="00A3519E" w:rsidP="005C64BD">
            <w:pPr>
              <w:pStyle w:val="RPSBodyText"/>
              <w:spacing w:before="40" w:after="40"/>
              <w:jc w:val="left"/>
              <w:rPr>
                <w:rFonts w:asciiTheme="minorHAnsi" w:hAnsiTheme="minorHAnsi"/>
                <w:sz w:val="22"/>
                <w:szCs w:val="22"/>
              </w:rPr>
            </w:pPr>
            <w:r w:rsidRPr="00EC7E2F">
              <w:rPr>
                <w:rFonts w:asciiTheme="minorHAnsi" w:hAnsiTheme="minorHAnsi"/>
                <w:i/>
                <w:sz w:val="22"/>
                <w:szCs w:val="22"/>
              </w:rPr>
              <w:t>Code of Practice for Radiation Protection in the Application of Ionizing Radiation by Chiropractors</w:t>
            </w:r>
            <w:r w:rsidRPr="00EC7E2F">
              <w:rPr>
                <w:rFonts w:asciiTheme="minorHAnsi" w:hAnsiTheme="minorHAnsi"/>
                <w:sz w:val="22"/>
                <w:szCs w:val="22"/>
              </w:rPr>
              <w:t xml:space="preserve"> (2009)</w:t>
            </w:r>
          </w:p>
        </w:tc>
      </w:tr>
    </w:tbl>
    <w:p w14:paraId="59DD2491" w14:textId="77777777" w:rsidR="00A3519E" w:rsidRPr="00EC7E2F" w:rsidRDefault="00A3519E" w:rsidP="00A3519E">
      <w:pPr>
        <w:rPr>
          <w:color w:val="auto"/>
        </w:rPr>
      </w:pPr>
    </w:p>
    <w:p w14:paraId="13D0AB11" w14:textId="77777777" w:rsidR="00A3519E" w:rsidRPr="00EC7E2F" w:rsidRDefault="00A3519E" w:rsidP="00A3519E">
      <w:pPr>
        <w:spacing w:before="0" w:after="200" w:line="276" w:lineRule="auto"/>
        <w:rPr>
          <w:color w:val="auto"/>
        </w:rPr>
      </w:pPr>
      <w:r w:rsidRPr="00EC7E2F">
        <w:rPr>
          <w:color w:val="auto"/>
        </w:rPr>
        <w:br w:type="page"/>
      </w:r>
    </w:p>
    <w:p w14:paraId="473F5D3A" w14:textId="77777777" w:rsidR="00A3519E" w:rsidRPr="00EC7E2F" w:rsidRDefault="00A3519E" w:rsidP="00A3519E">
      <w:pPr>
        <w:rPr>
          <w:color w:val="auto"/>
        </w:rPr>
      </w:pPr>
    </w:p>
    <w:p w14:paraId="64E860CC" w14:textId="1D25A7F7" w:rsidR="00A3519E" w:rsidRPr="00EC7E2F" w:rsidRDefault="00A3519E" w:rsidP="00A3519E">
      <w:pPr>
        <w:spacing w:after="240"/>
        <w:rPr>
          <w:color w:val="auto"/>
        </w:rPr>
      </w:pPr>
      <w:r w:rsidRPr="00EC7E2F">
        <w:rPr>
          <w:b/>
          <w:color w:val="auto"/>
        </w:rPr>
        <w:t>Table 2</w:t>
      </w:r>
      <w:r w:rsidRPr="00EC7E2F">
        <w:rPr>
          <w:color w:val="auto"/>
        </w:rPr>
        <w:t>:</w:t>
      </w:r>
      <w:r w:rsidR="00BB52E4" w:rsidRPr="00EC7E2F">
        <w:rPr>
          <w:color w:val="auto"/>
        </w:rPr>
        <w:t xml:space="preserve"> </w:t>
      </w:r>
      <w:r w:rsidRPr="00EC7E2F">
        <w:rPr>
          <w:color w:val="auto"/>
        </w:rPr>
        <w:t>Radiation Health Series publications that were developed by the Radiation Health Committee prior to the ARPANS Act 1998</w:t>
      </w:r>
      <w:r w:rsidRPr="00EC7E2F">
        <w:rPr>
          <w:b/>
          <w:color w:val="auto"/>
          <w:sz w:val="24"/>
        </w:rPr>
        <w:t>*</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top w:w="57" w:type="dxa"/>
          <w:bottom w:w="57" w:type="dxa"/>
        </w:tblCellMar>
        <w:tblLook w:val="0000" w:firstRow="0" w:lastRow="0" w:firstColumn="0" w:lastColumn="0" w:noHBand="0" w:noVBand="0"/>
      </w:tblPr>
      <w:tblGrid>
        <w:gridCol w:w="683"/>
        <w:gridCol w:w="1153"/>
        <w:gridCol w:w="7786"/>
      </w:tblGrid>
      <w:tr w:rsidR="00EC7E2F" w:rsidRPr="00EC7E2F" w:rsidDel="00D73AFB" w14:paraId="39744263" w14:textId="77777777" w:rsidTr="00EC7E2F">
        <w:trPr>
          <w:tblHeader/>
        </w:trPr>
        <w:tc>
          <w:tcPr>
            <w:tcW w:w="355" w:type="pct"/>
            <w:tcBorders>
              <w:right w:val="single" w:sz="6" w:space="0" w:color="FFFFFF" w:themeColor="background1"/>
            </w:tcBorders>
            <w:shd w:val="clear" w:color="auto" w:fill="000000" w:themeFill="text1"/>
          </w:tcPr>
          <w:p w14:paraId="41D64D13" w14:textId="77777777" w:rsidR="00A3519E" w:rsidRPr="00EC7E2F" w:rsidRDefault="00A3519E" w:rsidP="005C64BD">
            <w:pPr>
              <w:pStyle w:val="RPSBodyText"/>
              <w:spacing w:before="120" w:after="120"/>
              <w:rPr>
                <w:rFonts w:asciiTheme="minorHAnsi" w:hAnsiTheme="minorHAnsi"/>
                <w:b/>
                <w:sz w:val="22"/>
                <w:szCs w:val="22"/>
              </w:rPr>
            </w:pPr>
          </w:p>
        </w:tc>
        <w:tc>
          <w:tcPr>
            <w:tcW w:w="599" w:type="pct"/>
            <w:tcBorders>
              <w:left w:val="single" w:sz="6" w:space="0" w:color="FFFFFF" w:themeColor="background1"/>
              <w:right w:val="single" w:sz="6" w:space="0" w:color="FFFFFF" w:themeColor="background1"/>
            </w:tcBorders>
            <w:shd w:val="clear" w:color="auto" w:fill="000000" w:themeFill="text1"/>
          </w:tcPr>
          <w:p w14:paraId="55579902" w14:textId="77777777" w:rsidR="00A3519E" w:rsidRPr="00EC7E2F" w:rsidDel="00D73AFB" w:rsidRDefault="00A3519E" w:rsidP="005C64BD">
            <w:pPr>
              <w:pStyle w:val="RPSBodyText"/>
              <w:spacing w:before="120" w:after="120"/>
              <w:rPr>
                <w:rFonts w:asciiTheme="minorHAnsi" w:hAnsiTheme="minorHAnsi"/>
                <w:b/>
                <w:sz w:val="22"/>
                <w:szCs w:val="22"/>
              </w:rPr>
            </w:pPr>
            <w:r w:rsidRPr="00EC7E2F">
              <w:rPr>
                <w:rFonts w:asciiTheme="minorHAnsi" w:hAnsiTheme="minorHAnsi"/>
                <w:b/>
                <w:sz w:val="22"/>
                <w:szCs w:val="22"/>
              </w:rPr>
              <w:t>Reference</w:t>
            </w:r>
          </w:p>
        </w:tc>
        <w:tc>
          <w:tcPr>
            <w:tcW w:w="4046" w:type="pct"/>
            <w:tcBorders>
              <w:left w:val="single" w:sz="6" w:space="0" w:color="FFFFFF" w:themeColor="background1"/>
            </w:tcBorders>
            <w:shd w:val="clear" w:color="auto" w:fill="000000" w:themeFill="text1"/>
          </w:tcPr>
          <w:p w14:paraId="1C95CA07" w14:textId="77777777" w:rsidR="00A3519E" w:rsidRPr="00EC7E2F" w:rsidDel="00D73AFB" w:rsidRDefault="00A3519E" w:rsidP="005C64BD">
            <w:pPr>
              <w:pStyle w:val="RPSBodyText"/>
              <w:spacing w:before="120" w:after="120"/>
              <w:rPr>
                <w:rFonts w:asciiTheme="minorHAnsi" w:hAnsiTheme="minorHAnsi"/>
                <w:b/>
                <w:sz w:val="22"/>
                <w:szCs w:val="22"/>
              </w:rPr>
            </w:pPr>
            <w:r w:rsidRPr="00EC7E2F">
              <w:rPr>
                <w:rFonts w:asciiTheme="minorHAnsi" w:hAnsiTheme="minorHAnsi"/>
                <w:b/>
                <w:sz w:val="22"/>
                <w:szCs w:val="22"/>
              </w:rPr>
              <w:t>Title</w:t>
            </w:r>
          </w:p>
        </w:tc>
      </w:tr>
      <w:tr w:rsidR="00EC7E2F" w:rsidRPr="00EC7E2F" w14:paraId="2C5F8730" w14:textId="77777777" w:rsidTr="00EC7E2F">
        <w:tc>
          <w:tcPr>
            <w:tcW w:w="355" w:type="pct"/>
            <w:vAlign w:val="center"/>
          </w:tcPr>
          <w:p w14:paraId="3C23B39F" w14:textId="77777777" w:rsidR="00A3519E" w:rsidRPr="00EC7E2F" w:rsidRDefault="00A3519E" w:rsidP="005C64BD">
            <w:pPr>
              <w:pStyle w:val="RPSBodyText"/>
              <w:numPr>
                <w:ilvl w:val="0"/>
                <w:numId w:val="23"/>
              </w:numPr>
              <w:spacing w:before="40" w:after="40"/>
              <w:ind w:left="357" w:hanging="357"/>
              <w:rPr>
                <w:rFonts w:asciiTheme="minorHAnsi" w:hAnsiTheme="minorHAnsi"/>
                <w:sz w:val="22"/>
                <w:szCs w:val="22"/>
              </w:rPr>
            </w:pPr>
          </w:p>
        </w:tc>
        <w:tc>
          <w:tcPr>
            <w:tcW w:w="599" w:type="pct"/>
            <w:shd w:val="clear" w:color="auto" w:fill="auto"/>
            <w:vAlign w:val="center"/>
          </w:tcPr>
          <w:p w14:paraId="40AEA491" w14:textId="77777777" w:rsidR="00A3519E" w:rsidRPr="00EC7E2F" w:rsidRDefault="00A3519E" w:rsidP="005C64BD">
            <w:pPr>
              <w:pStyle w:val="RPSBodyText"/>
              <w:spacing w:before="40" w:after="40"/>
              <w:rPr>
                <w:rFonts w:asciiTheme="minorHAnsi" w:hAnsiTheme="minorHAnsi"/>
                <w:sz w:val="22"/>
                <w:szCs w:val="22"/>
              </w:rPr>
            </w:pPr>
            <w:r w:rsidRPr="00EC7E2F">
              <w:rPr>
                <w:rFonts w:asciiTheme="minorHAnsi" w:hAnsiTheme="minorHAnsi"/>
                <w:sz w:val="22"/>
                <w:szCs w:val="22"/>
              </w:rPr>
              <w:t>RHS 9</w:t>
            </w:r>
          </w:p>
        </w:tc>
        <w:tc>
          <w:tcPr>
            <w:tcW w:w="4046" w:type="pct"/>
            <w:shd w:val="clear" w:color="auto" w:fill="auto"/>
            <w:vAlign w:val="center"/>
          </w:tcPr>
          <w:p w14:paraId="06EC254C" w14:textId="77777777" w:rsidR="00A3519E" w:rsidRPr="00EC7E2F" w:rsidRDefault="00A3519E" w:rsidP="005C64BD">
            <w:pPr>
              <w:pStyle w:val="RPSBodyText"/>
              <w:spacing w:before="40" w:after="40"/>
              <w:rPr>
                <w:rFonts w:asciiTheme="minorHAnsi" w:hAnsiTheme="minorHAnsi"/>
                <w:sz w:val="22"/>
                <w:szCs w:val="22"/>
              </w:rPr>
            </w:pPr>
            <w:r w:rsidRPr="00EC7E2F">
              <w:rPr>
                <w:rFonts w:asciiTheme="minorHAnsi" w:hAnsiTheme="minorHAnsi"/>
                <w:sz w:val="22"/>
                <w:szCs w:val="22"/>
              </w:rPr>
              <w:t>Code of Practice for Protection Against Ionizing Radiation Emitted from X</w:t>
            </w:r>
            <w:r w:rsidRPr="00EC7E2F">
              <w:rPr>
                <w:rFonts w:asciiTheme="minorHAnsi" w:hAnsiTheme="minorHAnsi"/>
                <w:sz w:val="22"/>
                <w:szCs w:val="22"/>
              </w:rPr>
              <w:noBreakHyphen/>
              <w:t>ray Analysis Equipment (1984)</w:t>
            </w:r>
          </w:p>
        </w:tc>
      </w:tr>
      <w:tr w:rsidR="00EC7E2F" w:rsidRPr="00EC7E2F" w14:paraId="18492A3C" w14:textId="77777777" w:rsidTr="00EC7E2F">
        <w:tc>
          <w:tcPr>
            <w:tcW w:w="355" w:type="pct"/>
            <w:shd w:val="clear" w:color="auto" w:fill="CCCCCC"/>
            <w:vAlign w:val="center"/>
          </w:tcPr>
          <w:p w14:paraId="67D20737" w14:textId="77777777" w:rsidR="00A3519E" w:rsidRPr="00EC7E2F" w:rsidRDefault="00A3519E" w:rsidP="005C64BD">
            <w:pPr>
              <w:pStyle w:val="RPSBodyText"/>
              <w:numPr>
                <w:ilvl w:val="0"/>
                <w:numId w:val="23"/>
              </w:numPr>
              <w:spacing w:before="40" w:after="40"/>
              <w:ind w:left="357" w:hanging="357"/>
              <w:rPr>
                <w:rFonts w:asciiTheme="minorHAnsi" w:hAnsiTheme="minorHAnsi"/>
                <w:sz w:val="22"/>
                <w:szCs w:val="22"/>
              </w:rPr>
            </w:pPr>
          </w:p>
        </w:tc>
        <w:tc>
          <w:tcPr>
            <w:tcW w:w="599" w:type="pct"/>
            <w:shd w:val="clear" w:color="auto" w:fill="CCCCCC"/>
            <w:vAlign w:val="center"/>
          </w:tcPr>
          <w:p w14:paraId="7F6BAD75" w14:textId="77777777" w:rsidR="00A3519E" w:rsidRPr="00EC7E2F" w:rsidRDefault="00A3519E" w:rsidP="005C64BD">
            <w:pPr>
              <w:pStyle w:val="RPSBodyText"/>
              <w:spacing w:before="40" w:after="40"/>
              <w:rPr>
                <w:rFonts w:asciiTheme="minorHAnsi" w:hAnsiTheme="minorHAnsi"/>
                <w:sz w:val="22"/>
                <w:szCs w:val="22"/>
              </w:rPr>
            </w:pPr>
            <w:r w:rsidRPr="00EC7E2F">
              <w:rPr>
                <w:rFonts w:asciiTheme="minorHAnsi" w:hAnsiTheme="minorHAnsi"/>
                <w:sz w:val="22"/>
                <w:szCs w:val="22"/>
              </w:rPr>
              <w:t>RHS 21</w:t>
            </w:r>
          </w:p>
        </w:tc>
        <w:tc>
          <w:tcPr>
            <w:tcW w:w="4046" w:type="pct"/>
            <w:shd w:val="clear" w:color="auto" w:fill="CCCCCC"/>
            <w:vAlign w:val="center"/>
          </w:tcPr>
          <w:p w14:paraId="60EA5198" w14:textId="77777777" w:rsidR="00A3519E" w:rsidRPr="00EC7E2F" w:rsidRDefault="00A3519E" w:rsidP="005C64BD">
            <w:pPr>
              <w:pStyle w:val="RPSBodyText"/>
              <w:spacing w:before="40" w:after="40"/>
              <w:rPr>
                <w:rFonts w:asciiTheme="minorHAnsi" w:hAnsiTheme="minorHAnsi"/>
                <w:sz w:val="22"/>
                <w:szCs w:val="22"/>
              </w:rPr>
            </w:pPr>
            <w:r w:rsidRPr="00EC7E2F">
              <w:rPr>
                <w:rFonts w:asciiTheme="minorHAnsi" w:hAnsiTheme="minorHAnsi"/>
                <w:sz w:val="22"/>
                <w:szCs w:val="22"/>
              </w:rPr>
              <w:t>Statement on Cabinet X-ray Equipment for Examination of Letters, Packages, Baggage, Freight and Other Articles for Security, Quality Control and Other Purposes (1987)</w:t>
            </w:r>
          </w:p>
        </w:tc>
      </w:tr>
      <w:tr w:rsidR="00EC7E2F" w:rsidRPr="00EC7E2F" w14:paraId="463D24B0" w14:textId="77777777" w:rsidTr="00EC7E2F">
        <w:tc>
          <w:tcPr>
            <w:tcW w:w="355" w:type="pct"/>
            <w:vAlign w:val="center"/>
          </w:tcPr>
          <w:p w14:paraId="49E5F67F" w14:textId="77777777" w:rsidR="00A3519E" w:rsidRPr="00EC7E2F" w:rsidRDefault="00A3519E" w:rsidP="005C64BD">
            <w:pPr>
              <w:pStyle w:val="RPSBodyText"/>
              <w:numPr>
                <w:ilvl w:val="0"/>
                <w:numId w:val="23"/>
              </w:numPr>
              <w:spacing w:before="40" w:after="40"/>
              <w:ind w:left="357" w:hanging="357"/>
              <w:rPr>
                <w:rFonts w:asciiTheme="minorHAnsi" w:hAnsiTheme="minorHAnsi"/>
                <w:sz w:val="22"/>
                <w:szCs w:val="22"/>
              </w:rPr>
            </w:pPr>
          </w:p>
        </w:tc>
        <w:tc>
          <w:tcPr>
            <w:tcW w:w="599" w:type="pct"/>
            <w:shd w:val="clear" w:color="auto" w:fill="auto"/>
            <w:vAlign w:val="center"/>
          </w:tcPr>
          <w:p w14:paraId="162E308B" w14:textId="77777777" w:rsidR="00A3519E" w:rsidRPr="00EC7E2F" w:rsidRDefault="00A3519E" w:rsidP="005C64BD">
            <w:pPr>
              <w:pStyle w:val="RPSBodyText"/>
              <w:spacing w:before="40" w:after="40"/>
              <w:rPr>
                <w:rFonts w:asciiTheme="minorHAnsi" w:hAnsiTheme="minorHAnsi"/>
                <w:sz w:val="22"/>
                <w:szCs w:val="22"/>
              </w:rPr>
            </w:pPr>
            <w:r w:rsidRPr="00EC7E2F">
              <w:rPr>
                <w:rFonts w:asciiTheme="minorHAnsi" w:hAnsiTheme="minorHAnsi"/>
                <w:sz w:val="22"/>
                <w:szCs w:val="22"/>
              </w:rPr>
              <w:t>RHS 22</w:t>
            </w:r>
          </w:p>
        </w:tc>
        <w:tc>
          <w:tcPr>
            <w:tcW w:w="4046" w:type="pct"/>
            <w:shd w:val="clear" w:color="auto" w:fill="auto"/>
            <w:vAlign w:val="center"/>
          </w:tcPr>
          <w:p w14:paraId="05090623" w14:textId="77777777" w:rsidR="00A3519E" w:rsidRPr="00EC7E2F" w:rsidRDefault="00A3519E" w:rsidP="005C64BD">
            <w:pPr>
              <w:pStyle w:val="RPSBodyText"/>
              <w:spacing w:before="40" w:after="40"/>
              <w:rPr>
                <w:rFonts w:asciiTheme="minorHAnsi" w:hAnsiTheme="minorHAnsi"/>
                <w:sz w:val="22"/>
                <w:szCs w:val="22"/>
              </w:rPr>
            </w:pPr>
            <w:r w:rsidRPr="00EC7E2F">
              <w:rPr>
                <w:rFonts w:asciiTheme="minorHAnsi" w:hAnsiTheme="minorHAnsi"/>
                <w:sz w:val="22"/>
                <w:szCs w:val="22"/>
              </w:rPr>
              <w:t>Statement on Enclosed X-ray Equipment for Special Applications (1987)</w:t>
            </w:r>
          </w:p>
        </w:tc>
      </w:tr>
      <w:tr w:rsidR="00EC7E2F" w:rsidRPr="00EC7E2F" w14:paraId="5481C7D7" w14:textId="77777777" w:rsidTr="00EC7E2F">
        <w:tc>
          <w:tcPr>
            <w:tcW w:w="355" w:type="pct"/>
            <w:shd w:val="clear" w:color="auto" w:fill="CCCCCC"/>
            <w:vAlign w:val="center"/>
          </w:tcPr>
          <w:p w14:paraId="32B541B7" w14:textId="77777777" w:rsidR="00A3519E" w:rsidRPr="00EC7E2F" w:rsidRDefault="00A3519E" w:rsidP="005C64BD">
            <w:pPr>
              <w:pStyle w:val="RPSBodyText"/>
              <w:numPr>
                <w:ilvl w:val="0"/>
                <w:numId w:val="23"/>
              </w:numPr>
              <w:spacing w:before="40" w:after="40"/>
              <w:ind w:left="357" w:hanging="357"/>
              <w:rPr>
                <w:rFonts w:asciiTheme="minorHAnsi" w:hAnsiTheme="minorHAnsi"/>
                <w:sz w:val="22"/>
                <w:szCs w:val="22"/>
              </w:rPr>
            </w:pPr>
          </w:p>
        </w:tc>
        <w:tc>
          <w:tcPr>
            <w:tcW w:w="599" w:type="pct"/>
            <w:shd w:val="clear" w:color="auto" w:fill="CCCCCC"/>
            <w:vAlign w:val="center"/>
          </w:tcPr>
          <w:p w14:paraId="6EA6D1C9" w14:textId="77777777" w:rsidR="00A3519E" w:rsidRPr="00EC7E2F" w:rsidRDefault="00A3519E" w:rsidP="005C64BD">
            <w:pPr>
              <w:pStyle w:val="RPSBodyText"/>
              <w:spacing w:before="40" w:after="40"/>
              <w:rPr>
                <w:rFonts w:asciiTheme="minorHAnsi" w:hAnsiTheme="minorHAnsi"/>
                <w:sz w:val="22"/>
                <w:szCs w:val="22"/>
              </w:rPr>
            </w:pPr>
            <w:r w:rsidRPr="00EC7E2F">
              <w:rPr>
                <w:rFonts w:asciiTheme="minorHAnsi" w:hAnsiTheme="minorHAnsi"/>
                <w:sz w:val="22"/>
                <w:szCs w:val="22"/>
              </w:rPr>
              <w:t>RHS 24</w:t>
            </w:r>
          </w:p>
        </w:tc>
        <w:tc>
          <w:tcPr>
            <w:tcW w:w="4046" w:type="pct"/>
            <w:shd w:val="clear" w:color="auto" w:fill="CCCCCC"/>
            <w:vAlign w:val="center"/>
          </w:tcPr>
          <w:p w14:paraId="10CAF0BA" w14:textId="77777777" w:rsidR="00A3519E" w:rsidRPr="00EC7E2F" w:rsidRDefault="00A3519E" w:rsidP="005C64BD">
            <w:pPr>
              <w:pStyle w:val="RPSBodyText"/>
              <w:spacing w:before="40" w:after="40"/>
              <w:rPr>
                <w:rFonts w:asciiTheme="minorHAnsi" w:hAnsiTheme="minorHAnsi"/>
                <w:sz w:val="22"/>
                <w:szCs w:val="22"/>
              </w:rPr>
            </w:pPr>
            <w:r w:rsidRPr="00EC7E2F">
              <w:rPr>
                <w:rFonts w:asciiTheme="minorHAnsi" w:hAnsiTheme="minorHAnsi"/>
                <w:sz w:val="22"/>
                <w:szCs w:val="22"/>
              </w:rPr>
              <w:t>Code of Practice for the Design of and Safe Operation of Non-medical Irradiation Facilities (1988)</w:t>
            </w:r>
          </w:p>
        </w:tc>
      </w:tr>
      <w:tr w:rsidR="00EC7E2F" w:rsidRPr="00EC7E2F" w14:paraId="0374371D" w14:textId="77777777" w:rsidTr="00EC7E2F">
        <w:tc>
          <w:tcPr>
            <w:tcW w:w="355" w:type="pct"/>
            <w:vAlign w:val="center"/>
          </w:tcPr>
          <w:p w14:paraId="11DC6CC2" w14:textId="77777777" w:rsidR="00A3519E" w:rsidRPr="00EC7E2F" w:rsidRDefault="00A3519E" w:rsidP="005C64BD">
            <w:pPr>
              <w:pStyle w:val="RPSBodyText"/>
              <w:numPr>
                <w:ilvl w:val="0"/>
                <w:numId w:val="23"/>
              </w:numPr>
              <w:spacing w:before="40" w:after="40"/>
              <w:ind w:left="357" w:hanging="357"/>
              <w:rPr>
                <w:rFonts w:asciiTheme="minorHAnsi" w:hAnsiTheme="minorHAnsi"/>
                <w:sz w:val="22"/>
                <w:szCs w:val="22"/>
              </w:rPr>
            </w:pPr>
          </w:p>
        </w:tc>
        <w:tc>
          <w:tcPr>
            <w:tcW w:w="599" w:type="pct"/>
            <w:shd w:val="clear" w:color="auto" w:fill="auto"/>
            <w:vAlign w:val="center"/>
          </w:tcPr>
          <w:p w14:paraId="5045064C" w14:textId="77777777" w:rsidR="00A3519E" w:rsidRPr="00EC7E2F" w:rsidRDefault="00A3519E" w:rsidP="005C64BD">
            <w:pPr>
              <w:pStyle w:val="RPSBodyText"/>
              <w:spacing w:before="40" w:after="40"/>
              <w:rPr>
                <w:rFonts w:asciiTheme="minorHAnsi" w:hAnsiTheme="minorHAnsi"/>
                <w:sz w:val="22"/>
                <w:szCs w:val="22"/>
              </w:rPr>
            </w:pPr>
            <w:r w:rsidRPr="00EC7E2F">
              <w:rPr>
                <w:rFonts w:asciiTheme="minorHAnsi" w:hAnsiTheme="minorHAnsi"/>
                <w:sz w:val="22"/>
                <w:szCs w:val="22"/>
              </w:rPr>
              <w:t>RHS 28</w:t>
            </w:r>
          </w:p>
        </w:tc>
        <w:tc>
          <w:tcPr>
            <w:tcW w:w="4046" w:type="pct"/>
            <w:shd w:val="clear" w:color="auto" w:fill="auto"/>
            <w:vAlign w:val="center"/>
          </w:tcPr>
          <w:p w14:paraId="030F77D1" w14:textId="77777777" w:rsidR="00A3519E" w:rsidRPr="00EC7E2F" w:rsidRDefault="00A3519E" w:rsidP="005C64BD">
            <w:pPr>
              <w:pStyle w:val="RPSBodyText"/>
              <w:spacing w:before="40" w:after="40"/>
              <w:rPr>
                <w:rFonts w:asciiTheme="minorHAnsi" w:hAnsiTheme="minorHAnsi"/>
                <w:sz w:val="22"/>
                <w:szCs w:val="22"/>
              </w:rPr>
            </w:pPr>
            <w:r w:rsidRPr="00EC7E2F">
              <w:rPr>
                <w:rFonts w:asciiTheme="minorHAnsi" w:hAnsiTheme="minorHAnsi"/>
                <w:sz w:val="22"/>
                <w:szCs w:val="22"/>
              </w:rPr>
              <w:t>Code of Practice for the Safe Use of Sealed Radioactive Sources in Borehole Logging (1989)</w:t>
            </w:r>
          </w:p>
        </w:tc>
      </w:tr>
    </w:tbl>
    <w:p w14:paraId="1C731122" w14:textId="77777777" w:rsidR="00A3519E" w:rsidRPr="00EC7E2F" w:rsidRDefault="00A3519E" w:rsidP="00A3519E">
      <w:pPr>
        <w:spacing w:before="0" w:after="200" w:line="276" w:lineRule="auto"/>
        <w:rPr>
          <w:color w:val="auto"/>
        </w:rPr>
      </w:pPr>
    </w:p>
    <w:p w14:paraId="0564F54D" w14:textId="34EC9D92" w:rsidR="00A3519E" w:rsidRPr="00EC7E2F" w:rsidRDefault="00A3519E" w:rsidP="00A3519E">
      <w:pPr>
        <w:spacing w:after="200" w:line="276" w:lineRule="auto"/>
        <w:rPr>
          <w:color w:val="auto"/>
        </w:rPr>
      </w:pPr>
      <w:r w:rsidRPr="00EC7E2F">
        <w:rPr>
          <w:b/>
          <w:color w:val="auto"/>
          <w:sz w:val="24"/>
        </w:rPr>
        <w:t>*</w:t>
      </w:r>
      <w:r w:rsidRPr="00EC7E2F">
        <w:rPr>
          <w:bCs/>
          <w:color w:val="auto"/>
        </w:rPr>
        <w:t>Note</w:t>
      </w:r>
      <w:r w:rsidRPr="00EC7E2F">
        <w:rPr>
          <w:color w:val="auto"/>
        </w:rPr>
        <w:t>: Prior to the ARPANS Act 1998, the Radiation Health Committee developed publications, which were published by the National Health and Medical Research Council (NHMRC) as the Radiation Health Series (RHS).</w:t>
      </w:r>
      <w:r w:rsidR="00BB52E4" w:rsidRPr="00EC7E2F">
        <w:rPr>
          <w:color w:val="auto"/>
        </w:rPr>
        <w:t xml:space="preserve"> </w:t>
      </w:r>
      <w:r w:rsidRPr="00EC7E2F">
        <w:rPr>
          <w:color w:val="auto"/>
        </w:rPr>
        <w:t>The Radiation Health Committee had representation from all jurisdictions, who agreed to the adoption of these publications.</w:t>
      </w:r>
      <w:r w:rsidR="00BB52E4" w:rsidRPr="00EC7E2F">
        <w:rPr>
          <w:color w:val="auto"/>
        </w:rPr>
        <w:t xml:space="preserve"> </w:t>
      </w:r>
      <w:r w:rsidRPr="00EC7E2F">
        <w:rPr>
          <w:color w:val="auto"/>
        </w:rPr>
        <w:t>The publications listed in Table 2 are currently in use in some jurisdictions.</w:t>
      </w:r>
      <w:r w:rsidR="00BB52E4" w:rsidRPr="00EC7E2F">
        <w:rPr>
          <w:color w:val="auto"/>
        </w:rPr>
        <w:t xml:space="preserve"> </w:t>
      </w:r>
      <w:r w:rsidRPr="00EC7E2F">
        <w:rPr>
          <w:iCs/>
          <w:color w:val="auto"/>
        </w:rPr>
        <w:t>The Radiation Health Committee constituted under the ARPANS Act 1998 is progressively reviewing the RHS publications and, where appropriate, is republishing the RHS publications under the Radiation Protection Series.</w:t>
      </w:r>
    </w:p>
    <w:p w14:paraId="7CA4416B" w14:textId="7BA8C7FB" w:rsidR="00A3519E" w:rsidRPr="00EC7E2F" w:rsidRDefault="00A3519E" w:rsidP="00D904DC">
      <w:pPr>
        <w:spacing w:after="240"/>
        <w:rPr>
          <w:color w:val="auto"/>
        </w:rPr>
      </w:pPr>
      <w:r w:rsidRPr="00EC7E2F">
        <w:rPr>
          <w:b/>
          <w:color w:val="auto"/>
        </w:rPr>
        <w:t>Table 3</w:t>
      </w:r>
      <w:r w:rsidRPr="00EC7E2F">
        <w:rPr>
          <w:color w:val="auto"/>
        </w:rPr>
        <w:t>:</w:t>
      </w:r>
      <w:r w:rsidR="00BB52E4" w:rsidRPr="00EC7E2F">
        <w:rPr>
          <w:color w:val="auto"/>
        </w:rPr>
        <w:t xml:space="preserve"> </w:t>
      </w:r>
      <w:r w:rsidRPr="00EC7E2F">
        <w:rPr>
          <w:color w:val="auto"/>
        </w:rPr>
        <w:t>IAEA p</w:t>
      </w:r>
      <w:r w:rsidR="00D904DC" w:rsidRPr="00EC7E2F">
        <w:rPr>
          <w:color w:val="auto"/>
        </w:rPr>
        <w:t>ublications</w:t>
      </w: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top w:w="57" w:type="dxa"/>
          <w:bottom w:w="57" w:type="dxa"/>
        </w:tblCellMar>
        <w:tblLook w:val="0000" w:firstRow="0" w:lastRow="0" w:firstColumn="0" w:lastColumn="0" w:noHBand="0" w:noVBand="0"/>
      </w:tblPr>
      <w:tblGrid>
        <w:gridCol w:w="704"/>
        <w:gridCol w:w="2125"/>
        <w:gridCol w:w="6793"/>
      </w:tblGrid>
      <w:tr w:rsidR="00EC7E2F" w:rsidRPr="00EC7E2F" w:rsidDel="00D73AFB" w14:paraId="058B84A8" w14:textId="77777777" w:rsidTr="00EC7E2F">
        <w:trPr>
          <w:tblHeader/>
        </w:trPr>
        <w:tc>
          <w:tcPr>
            <w:tcW w:w="366" w:type="pct"/>
            <w:tcBorders>
              <w:right w:val="single" w:sz="6" w:space="0" w:color="FFFFFF" w:themeColor="background1"/>
            </w:tcBorders>
            <w:shd w:val="clear" w:color="auto" w:fill="000000" w:themeFill="text1"/>
          </w:tcPr>
          <w:p w14:paraId="446EA48A" w14:textId="77777777" w:rsidR="00A3519E" w:rsidRPr="00EC7E2F" w:rsidRDefault="00A3519E" w:rsidP="005C64BD">
            <w:pPr>
              <w:pStyle w:val="RPSBodyText"/>
              <w:spacing w:before="120" w:after="120"/>
              <w:rPr>
                <w:rFonts w:asciiTheme="minorHAnsi" w:hAnsiTheme="minorHAnsi"/>
                <w:b/>
                <w:sz w:val="22"/>
                <w:szCs w:val="22"/>
              </w:rPr>
            </w:pPr>
          </w:p>
        </w:tc>
        <w:tc>
          <w:tcPr>
            <w:tcW w:w="1104" w:type="pct"/>
            <w:tcBorders>
              <w:left w:val="single" w:sz="6" w:space="0" w:color="FFFFFF" w:themeColor="background1"/>
              <w:right w:val="single" w:sz="6" w:space="0" w:color="FFFFFF" w:themeColor="background1"/>
            </w:tcBorders>
            <w:shd w:val="clear" w:color="auto" w:fill="000000" w:themeFill="text1"/>
          </w:tcPr>
          <w:p w14:paraId="63AB0B56" w14:textId="77777777" w:rsidR="00A3519E" w:rsidRPr="00EC7E2F" w:rsidDel="00D73AFB" w:rsidRDefault="00A3519E" w:rsidP="005C64BD">
            <w:pPr>
              <w:pStyle w:val="RPSBodyText"/>
              <w:spacing w:before="120" w:after="120"/>
              <w:rPr>
                <w:rFonts w:asciiTheme="minorHAnsi" w:hAnsiTheme="minorHAnsi"/>
                <w:b/>
                <w:sz w:val="22"/>
                <w:szCs w:val="22"/>
              </w:rPr>
            </w:pPr>
            <w:r w:rsidRPr="00EC7E2F">
              <w:rPr>
                <w:rFonts w:asciiTheme="minorHAnsi" w:hAnsiTheme="minorHAnsi"/>
                <w:b/>
                <w:sz w:val="22"/>
                <w:szCs w:val="22"/>
              </w:rPr>
              <w:t>Reference</w:t>
            </w:r>
          </w:p>
        </w:tc>
        <w:tc>
          <w:tcPr>
            <w:tcW w:w="3530" w:type="pct"/>
            <w:tcBorders>
              <w:left w:val="single" w:sz="6" w:space="0" w:color="FFFFFF" w:themeColor="background1"/>
            </w:tcBorders>
            <w:shd w:val="clear" w:color="auto" w:fill="000000" w:themeFill="text1"/>
          </w:tcPr>
          <w:p w14:paraId="33DECDD7" w14:textId="77777777" w:rsidR="00A3519E" w:rsidRPr="00EC7E2F" w:rsidDel="00D73AFB" w:rsidRDefault="00A3519E" w:rsidP="005C64BD">
            <w:pPr>
              <w:pStyle w:val="RPSBodyText"/>
              <w:spacing w:before="120" w:after="120"/>
              <w:rPr>
                <w:rFonts w:asciiTheme="minorHAnsi" w:hAnsiTheme="minorHAnsi"/>
                <w:b/>
                <w:sz w:val="22"/>
                <w:szCs w:val="22"/>
              </w:rPr>
            </w:pPr>
            <w:r w:rsidRPr="00EC7E2F">
              <w:rPr>
                <w:rFonts w:asciiTheme="minorHAnsi" w:hAnsiTheme="minorHAnsi"/>
                <w:b/>
                <w:sz w:val="22"/>
                <w:szCs w:val="22"/>
              </w:rPr>
              <w:t>Title</w:t>
            </w:r>
          </w:p>
        </w:tc>
      </w:tr>
      <w:tr w:rsidR="00EC7E2F" w:rsidRPr="00EC7E2F" w14:paraId="26A17146" w14:textId="77777777" w:rsidTr="00EC7E2F">
        <w:tc>
          <w:tcPr>
            <w:tcW w:w="366" w:type="pct"/>
            <w:vAlign w:val="center"/>
          </w:tcPr>
          <w:p w14:paraId="546CC273" w14:textId="77777777" w:rsidR="00A3519E" w:rsidRPr="00EC7E2F" w:rsidRDefault="00A3519E" w:rsidP="005C64BD">
            <w:pPr>
              <w:pStyle w:val="RPSBodyText"/>
              <w:numPr>
                <w:ilvl w:val="0"/>
                <w:numId w:val="24"/>
              </w:numPr>
              <w:spacing w:before="40" w:after="40"/>
              <w:ind w:left="357" w:hanging="357"/>
              <w:rPr>
                <w:rFonts w:asciiTheme="minorHAnsi" w:hAnsiTheme="minorHAnsi"/>
                <w:sz w:val="22"/>
                <w:szCs w:val="22"/>
              </w:rPr>
            </w:pPr>
          </w:p>
        </w:tc>
        <w:tc>
          <w:tcPr>
            <w:tcW w:w="1104" w:type="pct"/>
            <w:shd w:val="clear" w:color="auto" w:fill="auto"/>
            <w:vAlign w:val="center"/>
          </w:tcPr>
          <w:p w14:paraId="6B6C9010" w14:textId="77777777" w:rsidR="00A3519E" w:rsidRPr="00EC7E2F" w:rsidRDefault="00A3519E" w:rsidP="005C64BD">
            <w:pPr>
              <w:pStyle w:val="RPSBodyText"/>
              <w:spacing w:before="40" w:after="40"/>
              <w:rPr>
                <w:rFonts w:asciiTheme="minorHAnsi" w:hAnsiTheme="minorHAnsi"/>
                <w:sz w:val="22"/>
                <w:szCs w:val="22"/>
              </w:rPr>
            </w:pPr>
            <w:r w:rsidRPr="00EC7E2F">
              <w:rPr>
                <w:rFonts w:asciiTheme="minorHAnsi" w:hAnsiTheme="minorHAnsi"/>
                <w:sz w:val="22"/>
                <w:szCs w:val="22"/>
              </w:rPr>
              <w:t>IAEA/CODEOC/2004</w:t>
            </w:r>
          </w:p>
        </w:tc>
        <w:tc>
          <w:tcPr>
            <w:tcW w:w="3530" w:type="pct"/>
            <w:shd w:val="clear" w:color="auto" w:fill="auto"/>
            <w:vAlign w:val="center"/>
          </w:tcPr>
          <w:p w14:paraId="3EDFB14B" w14:textId="77777777" w:rsidR="00A3519E" w:rsidRPr="00EC7E2F" w:rsidRDefault="00CF3D75" w:rsidP="005C64BD">
            <w:pPr>
              <w:pStyle w:val="RPSBodyText"/>
              <w:spacing w:before="40" w:after="40"/>
              <w:rPr>
                <w:rFonts w:asciiTheme="minorHAnsi" w:hAnsiTheme="minorHAnsi"/>
                <w:sz w:val="22"/>
                <w:szCs w:val="22"/>
              </w:rPr>
            </w:pPr>
            <w:hyperlink r:id="rId25" w:history="1">
              <w:r w:rsidR="00A3519E" w:rsidRPr="00EC7E2F">
                <w:rPr>
                  <w:rStyle w:val="Hyperlink"/>
                  <w:color w:val="auto"/>
                  <w:sz w:val="22"/>
                  <w:szCs w:val="22"/>
                </w:rPr>
                <w:t>Code of Conduct on the Safety and Security of Radioactive Sources</w:t>
              </w:r>
            </w:hyperlink>
            <w:r w:rsidR="00A3519E" w:rsidRPr="00EC7E2F">
              <w:rPr>
                <w:rFonts w:asciiTheme="minorHAnsi" w:hAnsiTheme="minorHAnsi"/>
                <w:sz w:val="22"/>
                <w:szCs w:val="22"/>
              </w:rPr>
              <w:t xml:space="preserve"> (2004) and the supplementary guidance that support the code, namely, Guidance on the Import and Export of Radioactive Sources and Guidance on the Management of Disused Radioactive Sources. </w:t>
            </w:r>
          </w:p>
        </w:tc>
      </w:tr>
    </w:tbl>
    <w:p w14:paraId="1A835AE8" w14:textId="77777777" w:rsidR="00A3519E" w:rsidRPr="00EC7E2F" w:rsidRDefault="00A3519E" w:rsidP="00A3519E">
      <w:pPr>
        <w:spacing w:before="0" w:after="200" w:line="276" w:lineRule="auto"/>
        <w:rPr>
          <w:color w:val="auto"/>
        </w:rPr>
      </w:pPr>
    </w:p>
    <w:p w14:paraId="3C432CE8" w14:textId="77777777" w:rsidR="00A3519E" w:rsidRPr="00EC7E2F" w:rsidRDefault="00A3519E" w:rsidP="00A3519E">
      <w:pPr>
        <w:spacing w:before="0" w:after="200" w:line="276" w:lineRule="auto"/>
        <w:rPr>
          <w:color w:val="auto"/>
        </w:rPr>
      </w:pPr>
      <w:r w:rsidRPr="00EC7E2F">
        <w:rPr>
          <w:color w:val="auto"/>
        </w:rPr>
        <w:br w:type="page"/>
      </w:r>
    </w:p>
    <w:p w14:paraId="781E83B7" w14:textId="16E92E1C" w:rsidR="00A3519E" w:rsidRPr="00EC7E2F" w:rsidRDefault="00A3519E" w:rsidP="00A3519E">
      <w:pPr>
        <w:pStyle w:val="Schedule"/>
      </w:pPr>
      <w:bookmarkStart w:id="108" w:name="_Toc14347638"/>
      <w:bookmarkStart w:id="109" w:name="_Toc65240901"/>
      <w:bookmarkStart w:id="110" w:name="_Toc65241192"/>
      <w:r w:rsidRPr="00EC7E2F">
        <w:lastRenderedPageBreak/>
        <w:t xml:space="preserve">Schedule </w:t>
      </w:r>
      <w:r w:rsidR="00A60D62" w:rsidRPr="00EC7E2F">
        <w:t>4</w:t>
      </w:r>
      <w:r w:rsidRPr="00EC7E2F">
        <w:t xml:space="preserve"> – National radiation incident reporting framework</w:t>
      </w:r>
      <w:bookmarkEnd w:id="108"/>
      <w:bookmarkEnd w:id="109"/>
      <w:bookmarkEnd w:id="110"/>
    </w:p>
    <w:p w14:paraId="45AFEF9A" w14:textId="18086659" w:rsidR="00A3519E" w:rsidRPr="00EC7E2F" w:rsidRDefault="00A3519E" w:rsidP="00A3519E">
      <w:pPr>
        <w:rPr>
          <w:color w:val="auto"/>
        </w:rPr>
      </w:pPr>
      <w:r w:rsidRPr="00EC7E2F">
        <w:rPr>
          <w:color w:val="auto"/>
        </w:rPr>
        <w:t>(</w:t>
      </w:r>
      <w:r w:rsidRPr="00EC7E2F">
        <w:rPr>
          <w:i/>
          <w:iCs/>
          <w:color w:val="auto"/>
        </w:rPr>
        <w:t>Refer to paragraph</w:t>
      </w:r>
      <w:r w:rsidR="00E21824" w:rsidRPr="00EC7E2F">
        <w:rPr>
          <w:color w:val="auto"/>
        </w:rPr>
        <w:t xml:space="preserve"> </w:t>
      </w:r>
      <w:r w:rsidR="00E21824" w:rsidRPr="00EC7E2F">
        <w:rPr>
          <w:i/>
          <w:color w:val="auto"/>
        </w:rPr>
        <w:fldChar w:fldCharType="begin"/>
      </w:r>
      <w:r w:rsidR="00E21824" w:rsidRPr="00EC7E2F">
        <w:rPr>
          <w:i/>
          <w:color w:val="auto"/>
        </w:rPr>
        <w:instrText xml:space="preserve"> REF _Ref13840397 \r \h  \* MERGEFORMAT </w:instrText>
      </w:r>
      <w:r w:rsidR="00E21824" w:rsidRPr="00EC7E2F">
        <w:rPr>
          <w:i/>
          <w:color w:val="auto"/>
        </w:rPr>
      </w:r>
      <w:r w:rsidR="00E21824" w:rsidRPr="00EC7E2F">
        <w:rPr>
          <w:i/>
          <w:color w:val="auto"/>
        </w:rPr>
        <w:fldChar w:fldCharType="separate"/>
      </w:r>
      <w:r w:rsidR="00873F7F" w:rsidRPr="00EC7E2F">
        <w:rPr>
          <w:i/>
          <w:color w:val="auto"/>
        </w:rPr>
        <w:t>32</w:t>
      </w:r>
      <w:r w:rsidR="00E21824" w:rsidRPr="00EC7E2F">
        <w:rPr>
          <w:i/>
          <w:color w:val="auto"/>
        </w:rPr>
        <w:fldChar w:fldCharType="end"/>
      </w:r>
      <w:r w:rsidR="00E21824" w:rsidRPr="00EC7E2F">
        <w:rPr>
          <w:color w:val="auto"/>
        </w:rPr>
        <w:t>)</w:t>
      </w:r>
    </w:p>
    <w:p w14:paraId="0987C4FC" w14:textId="77777777" w:rsidR="00A3519E" w:rsidRPr="00EC7E2F" w:rsidRDefault="00A3519E" w:rsidP="00A3519E">
      <w:pPr>
        <w:rPr>
          <w:color w:val="auto"/>
        </w:rPr>
      </w:pPr>
      <w:r w:rsidRPr="00EC7E2F">
        <w:rPr>
          <w:color w:val="auto"/>
        </w:rPr>
        <w:t>This schedule specifies the types of incidents that must be reported to ARPANSA for compilation in the Australian Radiation Incident Register (ARIR).</w:t>
      </w:r>
    </w:p>
    <w:p w14:paraId="389CA973" w14:textId="77777777" w:rsidR="00A3519E" w:rsidRPr="00EC7E2F" w:rsidRDefault="00A3519E" w:rsidP="00A3519E">
      <w:pPr>
        <w:rPr>
          <w:color w:val="auto"/>
        </w:rPr>
      </w:pPr>
      <w:r w:rsidRPr="00EC7E2F">
        <w:rPr>
          <w:color w:val="auto"/>
        </w:rPr>
        <w:t xml:space="preserve">A </w:t>
      </w:r>
      <w:r w:rsidRPr="00EC7E2F">
        <w:rPr>
          <w:b/>
          <w:color w:val="auto"/>
        </w:rPr>
        <w:t xml:space="preserve">radiation incident </w:t>
      </w:r>
      <w:r w:rsidRPr="00EC7E2F">
        <w:rPr>
          <w:color w:val="auto"/>
        </w:rPr>
        <w:t xml:space="preserve">is any unintended or ill-advised event when using </w:t>
      </w:r>
      <w:r w:rsidRPr="00EC7E2F">
        <w:rPr>
          <w:b/>
          <w:color w:val="auto"/>
        </w:rPr>
        <w:t>ionising radiation apparatus</w:t>
      </w:r>
      <w:r w:rsidRPr="00EC7E2F">
        <w:rPr>
          <w:color w:val="auto"/>
        </w:rPr>
        <w:t>, specified types of non-ionising radiation apparatus or radioactive substances, which results in, or has the potential to result in, an exposure to radiation to any person or the environment, outside the range of that normally expected for a particular practice, including events resulting from operator error, equipment failure, or the failure of management systems that warranted investigation.</w:t>
      </w:r>
    </w:p>
    <w:p w14:paraId="6D1D7991" w14:textId="7E10C408" w:rsidR="00A3519E" w:rsidRPr="00EC7E2F" w:rsidRDefault="00A3519E" w:rsidP="00A3519E">
      <w:pPr>
        <w:rPr>
          <w:color w:val="auto"/>
        </w:rPr>
      </w:pPr>
      <w:r w:rsidRPr="00EC7E2F">
        <w:rPr>
          <w:color w:val="auto"/>
        </w:rPr>
        <w:t xml:space="preserve">Paragraph </w:t>
      </w:r>
      <w:r w:rsidR="003508D0" w:rsidRPr="00EC7E2F">
        <w:rPr>
          <w:color w:val="auto"/>
        </w:rPr>
        <w:fldChar w:fldCharType="begin"/>
      </w:r>
      <w:r w:rsidR="003508D0" w:rsidRPr="00EC7E2F">
        <w:rPr>
          <w:color w:val="auto"/>
        </w:rPr>
        <w:instrText xml:space="preserve"> REF _Ref21430748 \r \h </w:instrText>
      </w:r>
      <w:r w:rsidR="003508D0" w:rsidRPr="00EC7E2F">
        <w:rPr>
          <w:color w:val="auto"/>
        </w:rPr>
      </w:r>
      <w:r w:rsidR="003508D0" w:rsidRPr="00EC7E2F">
        <w:rPr>
          <w:color w:val="auto"/>
        </w:rPr>
        <w:fldChar w:fldCharType="separate"/>
      </w:r>
      <w:r w:rsidR="00873F7F" w:rsidRPr="00EC7E2F">
        <w:rPr>
          <w:color w:val="auto"/>
        </w:rPr>
        <w:t>21</w:t>
      </w:r>
      <w:r w:rsidR="003508D0" w:rsidRPr="00EC7E2F">
        <w:rPr>
          <w:color w:val="auto"/>
        </w:rPr>
        <w:fldChar w:fldCharType="end"/>
      </w:r>
      <w:r w:rsidR="003508D0" w:rsidRPr="00EC7E2F">
        <w:rPr>
          <w:color w:val="auto"/>
        </w:rPr>
        <w:t xml:space="preserve"> </w:t>
      </w:r>
      <w:r w:rsidRPr="00EC7E2F">
        <w:rPr>
          <w:color w:val="auto"/>
        </w:rPr>
        <w:t>above provides that legislation in each jurisdiction must require notification of radiation incidents to the Authority. The Authority must provide information on radiation incidents of the following types to ARPANSA for inclusion in the ARIR. In some cases judgements will need to be made by the Authority in regard to whether an incident is too minor for reporting to the register.</w:t>
      </w:r>
    </w:p>
    <w:p w14:paraId="1ECD92E2" w14:textId="77777777" w:rsidR="00A3519E" w:rsidRPr="00EC7E2F" w:rsidRDefault="00A3519E" w:rsidP="00A3519E">
      <w:pPr>
        <w:ind w:left="426" w:hanging="426"/>
        <w:rPr>
          <w:b/>
          <w:i/>
          <w:color w:val="auto"/>
        </w:rPr>
      </w:pPr>
      <w:r w:rsidRPr="00EC7E2F">
        <w:rPr>
          <w:b/>
          <w:i/>
          <w:color w:val="auto"/>
        </w:rPr>
        <w:t>1.</w:t>
      </w:r>
      <w:r w:rsidRPr="00EC7E2F">
        <w:rPr>
          <w:b/>
          <w:i/>
          <w:color w:val="auto"/>
        </w:rPr>
        <w:tab/>
        <w:t>Medical exposure of patients</w:t>
      </w:r>
    </w:p>
    <w:p w14:paraId="4F88AE75" w14:textId="77777777" w:rsidR="00A3519E" w:rsidRPr="00EC7E2F" w:rsidRDefault="00A3519E" w:rsidP="00A3519E">
      <w:pPr>
        <w:pStyle w:val="Alphaaindented"/>
        <w:ind w:left="851" w:hanging="425"/>
        <w:rPr>
          <w:color w:val="auto"/>
        </w:rPr>
      </w:pPr>
      <w:r w:rsidRPr="00EC7E2F">
        <w:rPr>
          <w:color w:val="auto"/>
        </w:rPr>
        <w:t>(a)</w:t>
      </w:r>
      <w:r w:rsidRPr="00EC7E2F">
        <w:rPr>
          <w:color w:val="auto"/>
        </w:rPr>
        <w:tab/>
        <w:t>any diagnostic procedure other than as prescribed by the medical practitioner</w:t>
      </w:r>
    </w:p>
    <w:p w14:paraId="4999ADD9" w14:textId="77777777" w:rsidR="00A3519E" w:rsidRPr="00EC7E2F" w:rsidRDefault="00A3519E" w:rsidP="00A3519E">
      <w:pPr>
        <w:pStyle w:val="Alphaaindented"/>
        <w:ind w:left="851" w:hanging="425"/>
        <w:rPr>
          <w:color w:val="auto"/>
        </w:rPr>
      </w:pPr>
      <w:r w:rsidRPr="00EC7E2F">
        <w:rPr>
          <w:color w:val="auto"/>
        </w:rPr>
        <w:t>(b)</w:t>
      </w:r>
      <w:r w:rsidRPr="00EC7E2F">
        <w:rPr>
          <w:color w:val="auto"/>
        </w:rPr>
        <w:tab/>
        <w:t>any diagnostic procedure resulting in an observable acute radiation effect</w:t>
      </w:r>
    </w:p>
    <w:p w14:paraId="27AF3487" w14:textId="77777777" w:rsidR="00A3519E" w:rsidRPr="00EC7E2F" w:rsidRDefault="00A3519E" w:rsidP="00A3519E">
      <w:pPr>
        <w:pStyle w:val="Alphaaindented"/>
        <w:ind w:left="851" w:hanging="425"/>
        <w:rPr>
          <w:color w:val="auto"/>
        </w:rPr>
      </w:pPr>
      <w:r w:rsidRPr="00EC7E2F">
        <w:rPr>
          <w:color w:val="auto"/>
        </w:rPr>
        <w:t>(c)</w:t>
      </w:r>
      <w:r w:rsidRPr="00EC7E2F">
        <w:rPr>
          <w:color w:val="auto"/>
        </w:rPr>
        <w:tab/>
        <w:t>any therapeutic treatment delivered to either the wrong patient or the wrong tissue, or using the wrong radiopharmaceutical</w:t>
      </w:r>
    </w:p>
    <w:p w14:paraId="077ED897" w14:textId="77777777" w:rsidR="00A3519E" w:rsidRPr="00EC7E2F" w:rsidRDefault="00A3519E" w:rsidP="00A3519E">
      <w:pPr>
        <w:pStyle w:val="Alphaaindented"/>
        <w:ind w:left="851" w:hanging="425"/>
        <w:rPr>
          <w:color w:val="auto"/>
        </w:rPr>
      </w:pPr>
      <w:r w:rsidRPr="00EC7E2F">
        <w:rPr>
          <w:color w:val="auto"/>
        </w:rPr>
        <w:t>(d)</w:t>
      </w:r>
      <w:r w:rsidRPr="00EC7E2F">
        <w:rPr>
          <w:color w:val="auto"/>
        </w:rPr>
        <w:tab/>
        <w:t>when during the administration of a radioactive substance for diagnostic purposes, the activity of the substance administered exceeds the activity prescribed in the hospital/radiation practice standard protocol for that test by 50% or more</w:t>
      </w:r>
    </w:p>
    <w:p w14:paraId="2847DF84" w14:textId="77777777" w:rsidR="00A3519E" w:rsidRPr="00EC7E2F" w:rsidRDefault="00A3519E" w:rsidP="00A3519E">
      <w:pPr>
        <w:pStyle w:val="Alphaaindented"/>
        <w:ind w:left="851" w:hanging="425"/>
        <w:rPr>
          <w:color w:val="auto"/>
        </w:rPr>
      </w:pPr>
      <w:r w:rsidRPr="00EC7E2F">
        <w:rPr>
          <w:color w:val="auto"/>
        </w:rPr>
        <w:t>(e)</w:t>
      </w:r>
      <w:r w:rsidRPr="00EC7E2F">
        <w:rPr>
          <w:color w:val="auto"/>
        </w:rPr>
        <w:tab/>
        <w:t>when during the administration of a radioactive substance for therapeutic purposes, the activity administered differs from that prescribed by 15% or more</w:t>
      </w:r>
    </w:p>
    <w:p w14:paraId="68568971" w14:textId="77777777" w:rsidR="00A3519E" w:rsidRPr="00EC7E2F" w:rsidRDefault="00A3519E" w:rsidP="00A3519E">
      <w:pPr>
        <w:pStyle w:val="Alphaaindented"/>
        <w:ind w:left="851" w:hanging="425"/>
        <w:rPr>
          <w:color w:val="auto"/>
        </w:rPr>
      </w:pPr>
      <w:r w:rsidRPr="00EC7E2F">
        <w:rPr>
          <w:color w:val="auto"/>
        </w:rPr>
        <w:t>(f)</w:t>
      </w:r>
      <w:r w:rsidRPr="00EC7E2F">
        <w:rPr>
          <w:color w:val="auto"/>
        </w:rPr>
        <w:tab/>
        <w:t>when during administration of a therapeutic dose of radiation from a radiation apparatus or a sealed radioactive source, the dose delivered differs from the total prescribed treatment dose by more than 10%.</w:t>
      </w:r>
    </w:p>
    <w:p w14:paraId="5AE3A09F" w14:textId="77777777" w:rsidR="00A3519E" w:rsidRPr="00EC7E2F" w:rsidRDefault="00A3519E" w:rsidP="00A3519E">
      <w:pPr>
        <w:ind w:left="426" w:hanging="426"/>
        <w:rPr>
          <w:b/>
          <w:i/>
          <w:color w:val="auto"/>
        </w:rPr>
      </w:pPr>
      <w:r w:rsidRPr="00EC7E2F">
        <w:rPr>
          <w:b/>
          <w:i/>
          <w:color w:val="auto"/>
        </w:rPr>
        <w:t>2.</w:t>
      </w:r>
      <w:r w:rsidRPr="00EC7E2F">
        <w:rPr>
          <w:b/>
          <w:i/>
          <w:color w:val="auto"/>
        </w:rPr>
        <w:tab/>
        <w:t>Incidents that cause or may lead to radiation injuries or radiation doses exceeding the annual dose limits to workers or members of the public</w:t>
      </w:r>
    </w:p>
    <w:p w14:paraId="6995D52B" w14:textId="77777777" w:rsidR="00A3519E" w:rsidRPr="00EC7E2F" w:rsidRDefault="00A3519E" w:rsidP="00A3519E">
      <w:pPr>
        <w:pStyle w:val="Alphaaindented"/>
        <w:ind w:left="426" w:firstLine="0"/>
        <w:rPr>
          <w:color w:val="auto"/>
        </w:rPr>
      </w:pPr>
      <w:r w:rsidRPr="00EC7E2F">
        <w:rPr>
          <w:color w:val="auto"/>
        </w:rPr>
        <w:t xml:space="preserve">Note that situations where radiation injuries or high doses (exceeding 0.25 </w:t>
      </w:r>
      <w:proofErr w:type="spellStart"/>
      <w:r w:rsidRPr="00EC7E2F">
        <w:rPr>
          <w:color w:val="auto"/>
        </w:rPr>
        <w:t>Sv</w:t>
      </w:r>
      <w:proofErr w:type="spellEnd"/>
      <w:r w:rsidRPr="00EC7E2F">
        <w:rPr>
          <w:color w:val="auto"/>
        </w:rPr>
        <w:t xml:space="preserve"> whole body, 0.75 </w:t>
      </w:r>
      <w:proofErr w:type="spellStart"/>
      <w:r w:rsidRPr="00EC7E2F">
        <w:rPr>
          <w:color w:val="auto"/>
        </w:rPr>
        <w:t>Gy</w:t>
      </w:r>
      <w:proofErr w:type="spellEnd"/>
      <w:r w:rsidRPr="00EC7E2F">
        <w:rPr>
          <w:color w:val="auto"/>
        </w:rPr>
        <w:t xml:space="preserve"> organ dose, 6 </w:t>
      </w:r>
      <w:proofErr w:type="spellStart"/>
      <w:r w:rsidRPr="00EC7E2F">
        <w:rPr>
          <w:color w:val="auto"/>
        </w:rPr>
        <w:t>Gy</w:t>
      </w:r>
      <w:proofErr w:type="spellEnd"/>
      <w:r w:rsidRPr="00EC7E2F">
        <w:rPr>
          <w:color w:val="auto"/>
        </w:rPr>
        <w:t xml:space="preserve"> skin dose) occur must be reported to the ARIR as soon as possible, and within 24 hours. ARPANSA will report incidents exceeding these doses to the IAEA for inclusion on their severe incidents database.</w:t>
      </w:r>
    </w:p>
    <w:p w14:paraId="341FB18E" w14:textId="77777777" w:rsidR="00A3519E" w:rsidRPr="00EC7E2F" w:rsidRDefault="00A3519E" w:rsidP="00A3519E">
      <w:pPr>
        <w:ind w:left="426" w:hanging="426"/>
        <w:rPr>
          <w:b/>
          <w:i/>
          <w:color w:val="auto"/>
        </w:rPr>
      </w:pPr>
      <w:r w:rsidRPr="00EC7E2F">
        <w:rPr>
          <w:b/>
          <w:i/>
          <w:color w:val="auto"/>
        </w:rPr>
        <w:t>3.</w:t>
      </w:r>
      <w:r w:rsidRPr="00EC7E2F">
        <w:rPr>
          <w:b/>
          <w:i/>
          <w:color w:val="auto"/>
        </w:rPr>
        <w:tab/>
        <w:t>Lost or stolen radioactive sources or radiation apparatus</w:t>
      </w:r>
    </w:p>
    <w:p w14:paraId="3EEB73BF" w14:textId="77777777" w:rsidR="00A3519E" w:rsidRPr="00EC7E2F" w:rsidRDefault="00A3519E" w:rsidP="00A3519E">
      <w:pPr>
        <w:ind w:left="426" w:hanging="426"/>
        <w:rPr>
          <w:b/>
          <w:i/>
          <w:color w:val="auto"/>
        </w:rPr>
      </w:pPr>
      <w:r w:rsidRPr="00EC7E2F">
        <w:rPr>
          <w:b/>
          <w:i/>
          <w:color w:val="auto"/>
        </w:rPr>
        <w:t>4.</w:t>
      </w:r>
      <w:r w:rsidRPr="00EC7E2F">
        <w:rPr>
          <w:b/>
          <w:i/>
          <w:color w:val="auto"/>
        </w:rPr>
        <w:tab/>
        <w:t>Transport of radioactive material</w:t>
      </w:r>
    </w:p>
    <w:p w14:paraId="69C43416" w14:textId="77777777" w:rsidR="00A3519E" w:rsidRPr="00EC7E2F" w:rsidRDefault="00A3519E" w:rsidP="00A3519E">
      <w:pPr>
        <w:pStyle w:val="Alphaaindented"/>
        <w:ind w:left="851" w:hanging="425"/>
        <w:rPr>
          <w:color w:val="auto"/>
        </w:rPr>
      </w:pPr>
      <w:r w:rsidRPr="00EC7E2F">
        <w:rPr>
          <w:color w:val="auto"/>
        </w:rPr>
        <w:t>(a)</w:t>
      </w:r>
      <w:r w:rsidRPr="00EC7E2F">
        <w:rPr>
          <w:color w:val="auto"/>
        </w:rPr>
        <w:tab/>
        <w:t>where a package is damaged during freight handling or transport</w:t>
      </w:r>
    </w:p>
    <w:p w14:paraId="270F17B2" w14:textId="77777777" w:rsidR="00A3519E" w:rsidRPr="00EC7E2F" w:rsidRDefault="00A3519E" w:rsidP="00A3519E">
      <w:pPr>
        <w:pStyle w:val="Alphaaindented"/>
        <w:ind w:left="851" w:hanging="425"/>
        <w:rPr>
          <w:color w:val="auto"/>
        </w:rPr>
      </w:pPr>
      <w:r w:rsidRPr="00EC7E2F">
        <w:rPr>
          <w:color w:val="auto"/>
        </w:rPr>
        <w:t>(b)</w:t>
      </w:r>
      <w:r w:rsidRPr="00EC7E2F">
        <w:rPr>
          <w:color w:val="auto"/>
        </w:rPr>
        <w:tab/>
        <w:t>where a package is transported without the required documentation, placarding or labelling.</w:t>
      </w:r>
    </w:p>
    <w:p w14:paraId="090CCA21" w14:textId="77777777" w:rsidR="00A3519E" w:rsidRPr="00EC7E2F" w:rsidRDefault="00A3519E" w:rsidP="00A3519E">
      <w:pPr>
        <w:keepNext/>
        <w:ind w:left="425" w:hanging="425"/>
        <w:rPr>
          <w:b/>
          <w:i/>
          <w:color w:val="auto"/>
        </w:rPr>
      </w:pPr>
      <w:r w:rsidRPr="00EC7E2F">
        <w:rPr>
          <w:b/>
          <w:i/>
          <w:color w:val="auto"/>
        </w:rPr>
        <w:lastRenderedPageBreak/>
        <w:t>5.</w:t>
      </w:r>
      <w:r w:rsidRPr="00EC7E2F">
        <w:rPr>
          <w:b/>
          <w:i/>
          <w:color w:val="auto"/>
        </w:rPr>
        <w:tab/>
        <w:t xml:space="preserve">Unintentional or unauthorised discharges of radioactive materials into the environment </w:t>
      </w:r>
    </w:p>
    <w:p w14:paraId="4AB30BE2" w14:textId="2A6CF906" w:rsidR="00A3519E" w:rsidRPr="00EC7E2F" w:rsidRDefault="00A3519E" w:rsidP="00A3519E">
      <w:pPr>
        <w:ind w:left="425"/>
        <w:rPr>
          <w:color w:val="auto"/>
        </w:rPr>
      </w:pPr>
      <w:r w:rsidRPr="00EC7E2F">
        <w:rPr>
          <w:color w:val="auto"/>
        </w:rPr>
        <w:t>Where unintentional or unauthorised activity discharges exceeding 100 times the exempt activity for the radionuclide specified in Schedule 2 have occurred.</w:t>
      </w:r>
      <w:r w:rsidR="00BB52E4" w:rsidRPr="00EC7E2F">
        <w:rPr>
          <w:color w:val="auto"/>
        </w:rPr>
        <w:t xml:space="preserve"> </w:t>
      </w:r>
      <w:r w:rsidRPr="00EC7E2F">
        <w:rPr>
          <w:color w:val="auto"/>
        </w:rPr>
        <w:t>(Note: This provision does not apply to mining.)</w:t>
      </w:r>
    </w:p>
    <w:p w14:paraId="51DBCA45" w14:textId="77777777" w:rsidR="00A3519E" w:rsidRPr="00EC7E2F" w:rsidRDefault="00A3519E" w:rsidP="00A3519E">
      <w:pPr>
        <w:ind w:left="426" w:hanging="426"/>
        <w:rPr>
          <w:b/>
          <w:i/>
          <w:color w:val="auto"/>
        </w:rPr>
      </w:pPr>
      <w:r w:rsidRPr="00EC7E2F">
        <w:rPr>
          <w:b/>
          <w:i/>
          <w:color w:val="auto"/>
        </w:rPr>
        <w:t>6.</w:t>
      </w:r>
      <w:r w:rsidRPr="00EC7E2F">
        <w:rPr>
          <w:b/>
          <w:i/>
          <w:color w:val="auto"/>
        </w:rPr>
        <w:tab/>
        <w:t>Damage to, or malfunctioning of, a radiation apparatus or sealed source apparatus</w:t>
      </w:r>
    </w:p>
    <w:p w14:paraId="77EBABDA" w14:textId="77777777" w:rsidR="00A3519E" w:rsidRPr="00EC7E2F" w:rsidRDefault="00A3519E" w:rsidP="00A3519E">
      <w:pPr>
        <w:ind w:left="426"/>
        <w:rPr>
          <w:color w:val="auto"/>
        </w:rPr>
      </w:pPr>
      <w:r w:rsidRPr="00EC7E2F">
        <w:rPr>
          <w:color w:val="auto"/>
        </w:rPr>
        <w:t>Where the damage or malfunction could in any way affect the radiation safety of the apparatus, including issues such as shielding integrity or increased radiation levels.</w:t>
      </w:r>
    </w:p>
    <w:p w14:paraId="272CD4E4" w14:textId="77777777" w:rsidR="00A3519E" w:rsidRPr="00EC7E2F" w:rsidRDefault="00A3519E" w:rsidP="00A3519E">
      <w:pPr>
        <w:ind w:left="426" w:hanging="426"/>
        <w:rPr>
          <w:b/>
          <w:i/>
          <w:color w:val="auto"/>
        </w:rPr>
      </w:pPr>
      <w:r w:rsidRPr="00EC7E2F">
        <w:rPr>
          <w:b/>
          <w:i/>
          <w:color w:val="auto"/>
        </w:rPr>
        <w:t>7.</w:t>
      </w:r>
      <w:r w:rsidRPr="00EC7E2F">
        <w:rPr>
          <w:b/>
          <w:i/>
          <w:color w:val="auto"/>
        </w:rPr>
        <w:tab/>
        <w:t>Contamination with, or dispersal of, a radioactive material</w:t>
      </w:r>
    </w:p>
    <w:p w14:paraId="7DEFEAB1" w14:textId="77777777" w:rsidR="00A3519E" w:rsidRPr="00EC7E2F" w:rsidRDefault="00A3519E" w:rsidP="00A3519E">
      <w:pPr>
        <w:ind w:left="426"/>
        <w:rPr>
          <w:color w:val="auto"/>
        </w:rPr>
      </w:pPr>
      <w:r w:rsidRPr="00EC7E2F">
        <w:rPr>
          <w:color w:val="auto"/>
        </w:rPr>
        <w:t>Where a surface, substance or material is contaminated by a radioactive substance resulting from the spillage of more than 100 times the exempt activity of that substance specified in Schedule 2.</w:t>
      </w:r>
    </w:p>
    <w:p w14:paraId="780B8D85" w14:textId="77777777" w:rsidR="00A3519E" w:rsidRPr="00EC7E2F" w:rsidRDefault="00A3519E" w:rsidP="00A3519E">
      <w:pPr>
        <w:ind w:left="426" w:hanging="426"/>
        <w:rPr>
          <w:b/>
          <w:i/>
          <w:color w:val="auto"/>
        </w:rPr>
      </w:pPr>
      <w:r w:rsidRPr="00EC7E2F">
        <w:rPr>
          <w:b/>
          <w:i/>
          <w:color w:val="auto"/>
        </w:rPr>
        <w:t>8.</w:t>
      </w:r>
      <w:r w:rsidRPr="00EC7E2F">
        <w:rPr>
          <w:b/>
          <w:i/>
          <w:color w:val="auto"/>
        </w:rPr>
        <w:tab/>
        <w:t>Out of control source of radiation</w:t>
      </w:r>
    </w:p>
    <w:p w14:paraId="6E412605" w14:textId="77777777" w:rsidR="00A3519E" w:rsidRPr="00EC7E2F" w:rsidRDefault="00A3519E" w:rsidP="00A3519E">
      <w:pPr>
        <w:ind w:left="426"/>
        <w:rPr>
          <w:color w:val="auto"/>
        </w:rPr>
      </w:pPr>
      <w:r w:rsidRPr="00EC7E2F">
        <w:rPr>
          <w:color w:val="auto"/>
        </w:rPr>
        <w:t>Where a radiation source is out of control, for example, where a source is not safely secured or shielded, or contamination is not confined.</w:t>
      </w:r>
    </w:p>
    <w:p w14:paraId="545C6DA6" w14:textId="77777777" w:rsidR="00A3519E" w:rsidRPr="00EC7E2F" w:rsidRDefault="00A3519E" w:rsidP="00A3519E">
      <w:pPr>
        <w:ind w:left="426" w:hanging="426"/>
        <w:rPr>
          <w:b/>
          <w:i/>
          <w:color w:val="auto"/>
        </w:rPr>
      </w:pPr>
      <w:r w:rsidRPr="00EC7E2F">
        <w:rPr>
          <w:b/>
          <w:i/>
          <w:color w:val="auto"/>
        </w:rPr>
        <w:t>9.</w:t>
      </w:r>
      <w:r w:rsidRPr="00EC7E2F">
        <w:rPr>
          <w:b/>
          <w:i/>
          <w:color w:val="auto"/>
        </w:rPr>
        <w:tab/>
        <w:t>Non-ionising radiation</w:t>
      </w:r>
    </w:p>
    <w:p w14:paraId="78E75F6E" w14:textId="77777777" w:rsidR="00A3519E" w:rsidRPr="00EC7E2F" w:rsidRDefault="00A3519E" w:rsidP="00A3519E">
      <w:pPr>
        <w:ind w:left="426"/>
        <w:rPr>
          <w:color w:val="auto"/>
        </w:rPr>
      </w:pPr>
      <w:r w:rsidRPr="00EC7E2F">
        <w:rPr>
          <w:color w:val="auto"/>
        </w:rPr>
        <w:t>Where there is actual injury, or the potential for injury, as a result of operator error, damage or malfunction of equipment, or failure of management systems, for the types of non-ionising radiation equipment specified below:</w:t>
      </w:r>
    </w:p>
    <w:p w14:paraId="5F44EEE7" w14:textId="77777777" w:rsidR="00A3519E" w:rsidRPr="00EC7E2F" w:rsidRDefault="00A3519E" w:rsidP="00A3519E">
      <w:pPr>
        <w:pStyle w:val="Alphaaindented"/>
        <w:rPr>
          <w:color w:val="auto"/>
        </w:rPr>
      </w:pPr>
      <w:r w:rsidRPr="00EC7E2F">
        <w:rPr>
          <w:color w:val="auto"/>
        </w:rPr>
        <w:t>(</w:t>
      </w:r>
      <w:proofErr w:type="spellStart"/>
      <w:r w:rsidRPr="00EC7E2F">
        <w:rPr>
          <w:color w:val="auto"/>
        </w:rPr>
        <w:t>i</w:t>
      </w:r>
      <w:proofErr w:type="spellEnd"/>
      <w:r w:rsidRPr="00EC7E2F">
        <w:rPr>
          <w:color w:val="auto"/>
        </w:rPr>
        <w:t>)</w:t>
      </w:r>
      <w:r w:rsidRPr="00EC7E2F">
        <w:rPr>
          <w:color w:val="auto"/>
        </w:rPr>
        <w:tab/>
        <w:t>lasers</w:t>
      </w:r>
    </w:p>
    <w:p w14:paraId="728DFC24" w14:textId="77777777" w:rsidR="00A3519E" w:rsidRPr="00EC7E2F" w:rsidRDefault="00A3519E" w:rsidP="00A3519E">
      <w:pPr>
        <w:pStyle w:val="Alphaaindented"/>
        <w:rPr>
          <w:color w:val="auto"/>
        </w:rPr>
      </w:pPr>
      <w:r w:rsidRPr="00EC7E2F">
        <w:rPr>
          <w:color w:val="auto"/>
        </w:rPr>
        <w:t>(ii)</w:t>
      </w:r>
      <w:r w:rsidRPr="00EC7E2F">
        <w:rPr>
          <w:color w:val="auto"/>
        </w:rPr>
        <w:tab/>
        <w:t>radiofrequency generating equipment</w:t>
      </w:r>
    </w:p>
    <w:p w14:paraId="4C0EE451" w14:textId="77777777" w:rsidR="00A3519E" w:rsidRPr="00EC7E2F" w:rsidRDefault="00A3519E" w:rsidP="00A3519E">
      <w:pPr>
        <w:pStyle w:val="Alphaaindented"/>
        <w:rPr>
          <w:color w:val="auto"/>
        </w:rPr>
      </w:pPr>
      <w:r w:rsidRPr="00EC7E2F">
        <w:rPr>
          <w:color w:val="auto"/>
        </w:rPr>
        <w:t>(iii)</w:t>
      </w:r>
      <w:r w:rsidRPr="00EC7E2F">
        <w:rPr>
          <w:color w:val="auto"/>
        </w:rPr>
        <w:tab/>
        <w:t>man-made sources of ultraviolet radiation</w:t>
      </w:r>
    </w:p>
    <w:p w14:paraId="7259DF59" w14:textId="77777777" w:rsidR="00A3519E" w:rsidRPr="00EC7E2F" w:rsidRDefault="00A3519E" w:rsidP="00A3519E">
      <w:pPr>
        <w:pStyle w:val="Alphaaindented"/>
        <w:rPr>
          <w:color w:val="auto"/>
        </w:rPr>
      </w:pPr>
      <w:r w:rsidRPr="00EC7E2F">
        <w:rPr>
          <w:color w:val="auto"/>
        </w:rPr>
        <w:t>(iv)</w:t>
      </w:r>
      <w:r w:rsidRPr="00EC7E2F">
        <w:rPr>
          <w:color w:val="auto"/>
        </w:rPr>
        <w:tab/>
        <w:t>magnetic resonance imaging machines</w:t>
      </w:r>
    </w:p>
    <w:p w14:paraId="7CDA570F" w14:textId="77777777" w:rsidR="00A3519E" w:rsidRPr="00EC7E2F" w:rsidRDefault="00A3519E" w:rsidP="00A3519E">
      <w:pPr>
        <w:pStyle w:val="Alphaaindented"/>
        <w:rPr>
          <w:color w:val="auto"/>
        </w:rPr>
      </w:pPr>
      <w:r w:rsidRPr="00EC7E2F">
        <w:rPr>
          <w:color w:val="auto"/>
        </w:rPr>
        <w:t>(v)</w:t>
      </w:r>
      <w:r w:rsidRPr="00EC7E2F">
        <w:rPr>
          <w:color w:val="auto"/>
        </w:rPr>
        <w:tab/>
        <w:t>Intense pulsed light equipment.</w:t>
      </w:r>
    </w:p>
    <w:p w14:paraId="5F4AD2DB" w14:textId="77777777" w:rsidR="00A3519E" w:rsidRPr="00EC7E2F" w:rsidRDefault="00A3519E" w:rsidP="00A3519E">
      <w:pPr>
        <w:ind w:left="426" w:hanging="426"/>
        <w:rPr>
          <w:b/>
          <w:i/>
          <w:color w:val="auto"/>
        </w:rPr>
      </w:pPr>
      <w:r w:rsidRPr="00EC7E2F">
        <w:rPr>
          <w:b/>
          <w:i/>
          <w:color w:val="auto"/>
        </w:rPr>
        <w:t>10.</w:t>
      </w:r>
      <w:r w:rsidRPr="00EC7E2F">
        <w:rPr>
          <w:b/>
          <w:i/>
          <w:color w:val="auto"/>
        </w:rPr>
        <w:tab/>
        <w:t>Nuclear Incidents</w:t>
      </w:r>
    </w:p>
    <w:p w14:paraId="548817DD" w14:textId="77777777" w:rsidR="00A3519E" w:rsidRPr="00EC7E2F" w:rsidRDefault="00A3519E" w:rsidP="00A3519E">
      <w:pPr>
        <w:ind w:left="426"/>
        <w:rPr>
          <w:color w:val="auto"/>
        </w:rPr>
      </w:pPr>
      <w:r w:rsidRPr="00EC7E2F">
        <w:rPr>
          <w:color w:val="auto"/>
        </w:rPr>
        <w:t>Where events such as criticality incidents or those relating to the safety of a nuclear installation occur.</w:t>
      </w:r>
    </w:p>
    <w:p w14:paraId="0408603E" w14:textId="77777777" w:rsidR="00A3519E" w:rsidRPr="00EC7E2F" w:rsidRDefault="00A3519E" w:rsidP="00A3519E">
      <w:pPr>
        <w:ind w:left="426" w:hanging="426"/>
        <w:rPr>
          <w:b/>
          <w:i/>
          <w:color w:val="auto"/>
        </w:rPr>
      </w:pPr>
      <w:r w:rsidRPr="00EC7E2F">
        <w:rPr>
          <w:b/>
          <w:i/>
          <w:color w:val="auto"/>
        </w:rPr>
        <w:t>11.</w:t>
      </w:r>
      <w:r w:rsidRPr="00EC7E2F">
        <w:rPr>
          <w:b/>
          <w:i/>
          <w:color w:val="auto"/>
        </w:rPr>
        <w:tab/>
        <w:t xml:space="preserve">Other incidents </w:t>
      </w:r>
    </w:p>
    <w:p w14:paraId="5060CDAA" w14:textId="77777777" w:rsidR="00A3519E" w:rsidRPr="00EC7E2F" w:rsidRDefault="00A3519E" w:rsidP="00A3519E">
      <w:pPr>
        <w:ind w:left="426"/>
        <w:rPr>
          <w:color w:val="auto"/>
        </w:rPr>
      </w:pPr>
      <w:r w:rsidRPr="00EC7E2F">
        <w:rPr>
          <w:color w:val="auto"/>
        </w:rPr>
        <w:t>Such incidents that the Authority must report include near-miss situations that may serve as a warning to other users, such as situations where radiation monitors at the entrance of scrap metal processing factories and landfill sites are triggered.</w:t>
      </w:r>
    </w:p>
    <w:p w14:paraId="2CBED3DE" w14:textId="77777777" w:rsidR="00A3519E" w:rsidRPr="00EC7E2F" w:rsidRDefault="00A3519E" w:rsidP="00A3519E">
      <w:pPr>
        <w:rPr>
          <w:color w:val="auto"/>
        </w:rPr>
      </w:pPr>
    </w:p>
    <w:p w14:paraId="2FD2AEB6" w14:textId="77777777" w:rsidR="004567F5" w:rsidRPr="00EC7E2F" w:rsidRDefault="004567F5">
      <w:pPr>
        <w:spacing w:before="0" w:after="200" w:line="276" w:lineRule="auto"/>
        <w:rPr>
          <w:color w:val="auto"/>
        </w:rPr>
      </w:pPr>
      <w:r w:rsidRPr="00EC7E2F">
        <w:rPr>
          <w:color w:val="auto"/>
        </w:rPr>
        <w:br w:type="page"/>
      </w:r>
    </w:p>
    <w:p w14:paraId="40854566" w14:textId="218E0023" w:rsidR="004567F5" w:rsidRPr="00EC7E2F" w:rsidRDefault="004567F5" w:rsidP="004567F5">
      <w:pPr>
        <w:pStyle w:val="Schedule"/>
      </w:pPr>
      <w:bookmarkStart w:id="111" w:name="_Toc14347641"/>
      <w:bookmarkStart w:id="112" w:name="_Toc65240902"/>
      <w:bookmarkStart w:id="113" w:name="_Toc65241193"/>
      <w:r w:rsidRPr="00EC7E2F">
        <w:lastRenderedPageBreak/>
        <w:t>Glossary</w:t>
      </w:r>
      <w:bookmarkEnd w:id="111"/>
      <w:bookmarkEnd w:id="112"/>
      <w:bookmarkEnd w:id="113"/>
    </w:p>
    <w:tbl>
      <w:tblPr>
        <w:tblStyle w:val="GridTable4"/>
        <w:tblW w:w="5000" w:type="pct"/>
        <w:tblLook w:val="0480" w:firstRow="0" w:lastRow="0" w:firstColumn="1" w:lastColumn="0" w:noHBand="0" w:noVBand="1"/>
      </w:tblPr>
      <w:tblGrid>
        <w:gridCol w:w="2122"/>
        <w:gridCol w:w="7506"/>
      </w:tblGrid>
      <w:tr w:rsidR="00EC7E2F" w:rsidRPr="00EC7E2F" w14:paraId="3FFD1493"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3C42642" w14:textId="77777777" w:rsidR="004567F5" w:rsidRPr="00EC7E2F" w:rsidRDefault="004567F5" w:rsidP="000D5DB7">
            <w:pPr>
              <w:spacing w:before="60" w:after="60"/>
              <w:rPr>
                <w:color w:val="auto"/>
              </w:rPr>
            </w:pPr>
            <w:r w:rsidRPr="00EC7E2F">
              <w:rPr>
                <w:color w:val="auto"/>
              </w:rPr>
              <w:t>Absorbed dose</w:t>
            </w:r>
          </w:p>
        </w:tc>
        <w:tc>
          <w:tcPr>
            <w:tcW w:w="3898" w:type="pct"/>
          </w:tcPr>
          <w:p w14:paraId="26FC8167" w14:textId="13472D10" w:rsidR="004567F5" w:rsidRPr="00EC7E2F" w:rsidRDefault="004567F5" w:rsidP="003165D0">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 xml:space="preserve">The energy absorbed per unit mass by matter (e.g., tissue) from ionising radiation that impinges upon it. The SI unit for absorbed dose is joule per kilogram (J/kg), termed the </w:t>
            </w:r>
            <w:proofErr w:type="spellStart"/>
            <w:r w:rsidRPr="00EC7E2F">
              <w:rPr>
                <w:i/>
                <w:iCs/>
                <w:color w:val="auto"/>
              </w:rPr>
              <w:t>gray</w:t>
            </w:r>
            <w:proofErr w:type="spellEnd"/>
            <w:r w:rsidRPr="00EC7E2F">
              <w:rPr>
                <w:iCs/>
                <w:color w:val="auto"/>
              </w:rPr>
              <w:t xml:space="preserve"> </w:t>
            </w:r>
            <w:r w:rsidRPr="00EC7E2F">
              <w:rPr>
                <w:color w:val="auto"/>
              </w:rPr>
              <w:t>(</w:t>
            </w:r>
            <w:proofErr w:type="spellStart"/>
            <w:r w:rsidRPr="00EC7E2F">
              <w:rPr>
                <w:color w:val="auto"/>
              </w:rPr>
              <w:t>Gy</w:t>
            </w:r>
            <w:proofErr w:type="spellEnd"/>
            <w:r w:rsidRPr="00EC7E2F">
              <w:rPr>
                <w:color w:val="auto"/>
              </w:rPr>
              <w:t>).</w:t>
            </w:r>
            <w:r w:rsidR="00E323D4" w:rsidRPr="00EC7E2F">
              <w:rPr>
                <w:color w:val="auto"/>
              </w:rPr>
              <w:t xml:space="preserve"> </w:t>
            </w:r>
            <w:r w:rsidR="003165D0" w:rsidRPr="00EC7E2F">
              <w:rPr>
                <w:color w:val="auto"/>
              </w:rPr>
              <w:t>(</w:t>
            </w:r>
            <w:r w:rsidR="00E323D4" w:rsidRPr="00EC7E2F">
              <w:rPr>
                <w:color w:val="auto"/>
              </w:rPr>
              <w:t>See ‘equivalent dose’ belo</w:t>
            </w:r>
            <w:r w:rsidR="003165D0" w:rsidRPr="00EC7E2F">
              <w:rPr>
                <w:color w:val="auto"/>
              </w:rPr>
              <w:t>w)</w:t>
            </w:r>
          </w:p>
        </w:tc>
      </w:tr>
      <w:tr w:rsidR="00EC7E2F" w:rsidRPr="00EC7E2F" w14:paraId="1F169072"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35616D5F" w14:textId="77777777" w:rsidR="004567F5" w:rsidRPr="00EC7E2F" w:rsidRDefault="004567F5" w:rsidP="000D5DB7">
            <w:pPr>
              <w:spacing w:before="60" w:after="60"/>
              <w:rPr>
                <w:color w:val="auto"/>
              </w:rPr>
            </w:pPr>
            <w:r w:rsidRPr="00EC7E2F">
              <w:rPr>
                <w:color w:val="auto"/>
              </w:rPr>
              <w:t>Accident</w:t>
            </w:r>
          </w:p>
        </w:tc>
        <w:tc>
          <w:tcPr>
            <w:tcW w:w="3898" w:type="pct"/>
          </w:tcPr>
          <w:p w14:paraId="75AD9413"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rFonts w:eastAsia="Calibri"/>
                <w:color w:val="auto"/>
              </w:rPr>
              <w:t xml:space="preserve">Any unintended </w:t>
            </w:r>
            <w:r w:rsidRPr="00EC7E2F">
              <w:rPr>
                <w:rFonts w:eastAsia="Calibri"/>
                <w:iCs/>
                <w:color w:val="auto"/>
              </w:rPr>
              <w:t>event</w:t>
            </w:r>
            <w:r w:rsidRPr="00EC7E2F">
              <w:rPr>
                <w:rFonts w:eastAsia="Calibri"/>
                <w:color w:val="auto"/>
              </w:rPr>
              <w:t xml:space="preserve">, including operating errors, equipment </w:t>
            </w:r>
            <w:r w:rsidRPr="00EC7E2F">
              <w:rPr>
                <w:rFonts w:eastAsia="Calibri"/>
                <w:iCs/>
                <w:color w:val="auto"/>
              </w:rPr>
              <w:t xml:space="preserve">failures </w:t>
            </w:r>
            <w:r w:rsidRPr="00EC7E2F">
              <w:rPr>
                <w:rFonts w:eastAsia="Calibri"/>
                <w:color w:val="auto"/>
              </w:rPr>
              <w:t xml:space="preserve">and other mishaps, the consequences or potential consequences of which are not negligible from the point of view of </w:t>
            </w:r>
            <w:r w:rsidRPr="00EC7E2F">
              <w:rPr>
                <w:rFonts w:eastAsia="Calibri"/>
                <w:iCs/>
                <w:color w:val="auto"/>
              </w:rPr>
              <w:t>protection and safety</w:t>
            </w:r>
            <w:r w:rsidRPr="00EC7E2F">
              <w:rPr>
                <w:color w:val="auto"/>
              </w:rPr>
              <w:t>.</w:t>
            </w:r>
          </w:p>
        </w:tc>
      </w:tr>
      <w:tr w:rsidR="00EC7E2F" w:rsidRPr="00EC7E2F" w14:paraId="0CC846A5"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FB01C7D" w14:textId="77777777" w:rsidR="004567F5" w:rsidRPr="00EC7E2F" w:rsidRDefault="004567F5" w:rsidP="000D5DB7">
            <w:pPr>
              <w:spacing w:before="60" w:after="60"/>
              <w:rPr>
                <w:color w:val="auto"/>
              </w:rPr>
            </w:pPr>
            <w:r w:rsidRPr="00EC7E2F">
              <w:rPr>
                <w:color w:val="auto"/>
              </w:rPr>
              <w:t>Accreditation</w:t>
            </w:r>
          </w:p>
        </w:tc>
        <w:tc>
          <w:tcPr>
            <w:tcW w:w="3898" w:type="pct"/>
          </w:tcPr>
          <w:p w14:paraId="6241AE4A"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An authorisation by the Authority given to a person for that person to provide specified radiation protection services.</w:t>
            </w:r>
          </w:p>
        </w:tc>
      </w:tr>
      <w:tr w:rsidR="00EC7E2F" w:rsidRPr="00EC7E2F" w14:paraId="07CEFBAC"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7A4AE1C8" w14:textId="77777777" w:rsidR="004567F5" w:rsidRPr="00EC7E2F" w:rsidRDefault="004567F5" w:rsidP="000D5DB7">
            <w:pPr>
              <w:spacing w:before="60" w:after="60"/>
              <w:rPr>
                <w:color w:val="auto"/>
              </w:rPr>
            </w:pPr>
            <w:r w:rsidRPr="00EC7E2F">
              <w:rPr>
                <w:color w:val="auto"/>
              </w:rPr>
              <w:t>Authorisation</w:t>
            </w:r>
          </w:p>
        </w:tc>
        <w:tc>
          <w:tcPr>
            <w:tcW w:w="3898" w:type="pct"/>
          </w:tcPr>
          <w:p w14:paraId="25C4BE8D"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A written permission granted by the Authority to a person to perform specified practices or activities. The form of an authorisation can include a licence, registration, or accreditation.</w:t>
            </w:r>
          </w:p>
        </w:tc>
      </w:tr>
      <w:tr w:rsidR="00EC7E2F" w:rsidRPr="00EC7E2F" w14:paraId="16850A32"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2A999DCC" w14:textId="77777777" w:rsidR="004567F5" w:rsidRPr="00EC7E2F" w:rsidRDefault="004567F5" w:rsidP="000D5DB7">
            <w:pPr>
              <w:spacing w:before="60" w:after="60"/>
              <w:rPr>
                <w:color w:val="auto"/>
              </w:rPr>
            </w:pPr>
            <w:r w:rsidRPr="00EC7E2F">
              <w:rPr>
                <w:color w:val="auto"/>
              </w:rPr>
              <w:t>Clearance</w:t>
            </w:r>
          </w:p>
        </w:tc>
        <w:tc>
          <w:tcPr>
            <w:tcW w:w="3898" w:type="pct"/>
          </w:tcPr>
          <w:p w14:paraId="62476A4F"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 xml:space="preserve">Removal of </w:t>
            </w:r>
            <w:r w:rsidRPr="00EC7E2F">
              <w:rPr>
                <w:iCs/>
                <w:color w:val="auto"/>
              </w:rPr>
              <w:t xml:space="preserve">regulatory control </w:t>
            </w:r>
            <w:r w:rsidRPr="00EC7E2F">
              <w:rPr>
                <w:color w:val="auto"/>
              </w:rPr>
              <w:t xml:space="preserve">by the </w:t>
            </w:r>
            <w:r w:rsidRPr="00EC7E2F">
              <w:rPr>
                <w:iCs/>
                <w:color w:val="auto"/>
              </w:rPr>
              <w:t xml:space="preserve">Authority </w:t>
            </w:r>
            <w:r w:rsidRPr="00EC7E2F">
              <w:rPr>
                <w:color w:val="auto"/>
              </w:rPr>
              <w:t xml:space="preserve">from </w:t>
            </w:r>
            <w:r w:rsidRPr="00EC7E2F">
              <w:rPr>
                <w:iCs/>
                <w:color w:val="auto"/>
              </w:rPr>
              <w:t xml:space="preserve">radioactive material </w:t>
            </w:r>
            <w:r w:rsidRPr="00EC7E2F">
              <w:rPr>
                <w:color w:val="auto"/>
              </w:rPr>
              <w:t xml:space="preserve">or </w:t>
            </w:r>
            <w:r w:rsidRPr="00EC7E2F">
              <w:rPr>
                <w:iCs/>
                <w:color w:val="auto"/>
              </w:rPr>
              <w:t xml:space="preserve">radioactive </w:t>
            </w:r>
            <w:r w:rsidRPr="00EC7E2F">
              <w:rPr>
                <w:color w:val="auto"/>
              </w:rPr>
              <w:t xml:space="preserve">objects within notified or authorised </w:t>
            </w:r>
            <w:r w:rsidRPr="00EC7E2F">
              <w:rPr>
                <w:iCs/>
                <w:color w:val="auto"/>
              </w:rPr>
              <w:t>facilities and activities</w:t>
            </w:r>
            <w:r w:rsidRPr="00EC7E2F">
              <w:rPr>
                <w:color w:val="auto"/>
              </w:rPr>
              <w:t xml:space="preserve">. </w:t>
            </w:r>
          </w:p>
          <w:p w14:paraId="68C63250"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 xml:space="preserve">(From page 22 of the IAEA Safety Glossary 2016 available at </w:t>
            </w:r>
            <w:hyperlink r:id="rId26" w:history="1">
              <w:r w:rsidRPr="00EC7E2F">
                <w:rPr>
                  <w:rStyle w:val="Hyperlink"/>
                  <w:rFonts w:cstheme="minorHAnsi"/>
                  <w:color w:val="auto"/>
                </w:rPr>
                <w:t>https://www.iaea.org/resources/safety-standards/safety-glossary</w:t>
              </w:r>
            </w:hyperlink>
            <w:r w:rsidRPr="00EC7E2F">
              <w:rPr>
                <w:color w:val="auto"/>
              </w:rPr>
              <w:t>).</w:t>
            </w:r>
          </w:p>
        </w:tc>
      </w:tr>
      <w:tr w:rsidR="00EC7E2F" w:rsidRPr="00EC7E2F" w14:paraId="199BE21C"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748F4E0A" w14:textId="77777777" w:rsidR="004567F5" w:rsidRPr="00EC7E2F" w:rsidRDefault="004567F5" w:rsidP="000D5DB7">
            <w:pPr>
              <w:spacing w:before="60" w:after="60"/>
              <w:rPr>
                <w:color w:val="auto"/>
              </w:rPr>
            </w:pPr>
            <w:r w:rsidRPr="00EC7E2F">
              <w:rPr>
                <w:iCs/>
                <w:color w:val="auto"/>
              </w:rPr>
              <w:t>Committed effective dose</w:t>
            </w:r>
          </w:p>
        </w:tc>
        <w:tc>
          <w:tcPr>
            <w:tcW w:w="3898" w:type="pct"/>
          </w:tcPr>
          <w:p w14:paraId="38B1D742" w14:textId="74712CED"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 xml:space="preserve">The </w:t>
            </w:r>
            <w:r w:rsidRPr="00EC7E2F">
              <w:rPr>
                <w:b/>
                <w:color w:val="auto"/>
              </w:rPr>
              <w:t>effective dose</w:t>
            </w:r>
            <w:r w:rsidRPr="00EC7E2F">
              <w:rPr>
                <w:color w:val="auto"/>
              </w:rPr>
              <w:t xml:space="preserve"> that a person is committed to receive following the intake of radioactive material. This dose can be calculated over any time period. Typically the time period is 50 years after intake for adults and to age 70 for children.</w:t>
            </w:r>
            <w:r w:rsidR="003165D0" w:rsidRPr="00EC7E2F">
              <w:rPr>
                <w:color w:val="auto"/>
              </w:rPr>
              <w:t xml:space="preserve"> (See ‘Dose per unit intake’ below)</w:t>
            </w:r>
          </w:p>
        </w:tc>
      </w:tr>
      <w:tr w:rsidR="00EC7E2F" w:rsidRPr="00EC7E2F" w14:paraId="30D598D4"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0C3E0B91" w14:textId="77777777" w:rsidR="004567F5" w:rsidRPr="00EC7E2F" w:rsidRDefault="004567F5" w:rsidP="000D5DB7">
            <w:pPr>
              <w:spacing w:before="60" w:after="60"/>
              <w:rPr>
                <w:color w:val="auto"/>
              </w:rPr>
            </w:pPr>
            <w:r w:rsidRPr="00EC7E2F">
              <w:rPr>
                <w:iCs/>
                <w:color w:val="auto"/>
              </w:rPr>
              <w:t>Committed equivalent dose</w:t>
            </w:r>
          </w:p>
        </w:tc>
        <w:tc>
          <w:tcPr>
            <w:tcW w:w="3898" w:type="pct"/>
          </w:tcPr>
          <w:p w14:paraId="434E606A" w14:textId="0AA6D5AA"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 xml:space="preserve">The </w:t>
            </w:r>
            <w:r w:rsidRPr="00EC7E2F">
              <w:rPr>
                <w:b/>
                <w:color w:val="auto"/>
              </w:rPr>
              <w:t>equivalent dose</w:t>
            </w:r>
            <w:r w:rsidRPr="00EC7E2F">
              <w:rPr>
                <w:color w:val="auto"/>
              </w:rPr>
              <w:t xml:space="preserve"> that a person is committed to receive following the intake of radioactive material. This dose can be calculated over any time period. Typically the time period is 50 years after intake for adults and to age 70 for children.</w:t>
            </w:r>
            <w:r w:rsidR="003165D0" w:rsidRPr="00EC7E2F">
              <w:rPr>
                <w:color w:val="auto"/>
              </w:rPr>
              <w:t xml:space="preserve"> (See ‘Dose per unit intake’ below)</w:t>
            </w:r>
          </w:p>
        </w:tc>
      </w:tr>
      <w:tr w:rsidR="00EC7E2F" w:rsidRPr="00EC7E2F" w14:paraId="6C54B852"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04A6C6CD" w14:textId="77777777" w:rsidR="004567F5" w:rsidRPr="00EC7E2F" w:rsidRDefault="004567F5" w:rsidP="000D5DB7">
            <w:pPr>
              <w:spacing w:before="60" w:after="60"/>
              <w:rPr>
                <w:color w:val="auto"/>
              </w:rPr>
            </w:pPr>
            <w:r w:rsidRPr="00EC7E2F">
              <w:rPr>
                <w:color w:val="auto"/>
              </w:rPr>
              <w:t>Dose coefficient</w:t>
            </w:r>
          </w:p>
        </w:tc>
        <w:tc>
          <w:tcPr>
            <w:tcW w:w="3898" w:type="pct"/>
          </w:tcPr>
          <w:p w14:paraId="0D2555AE"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szCs w:val="23"/>
              </w:rPr>
            </w:pPr>
            <w:r w:rsidRPr="00EC7E2F">
              <w:rPr>
                <w:color w:val="auto"/>
                <w:szCs w:val="23"/>
              </w:rPr>
              <w:t xml:space="preserve">Primarily describes the </w:t>
            </w:r>
            <w:r w:rsidRPr="00EC7E2F">
              <w:rPr>
                <w:b/>
                <w:color w:val="auto"/>
                <w:szCs w:val="23"/>
              </w:rPr>
              <w:t>dose per unit intake</w:t>
            </w:r>
            <w:r w:rsidRPr="00EC7E2F">
              <w:rPr>
                <w:color w:val="auto"/>
                <w:szCs w:val="23"/>
              </w:rPr>
              <w:t>, but is also used to describe other coefficients linking quantities or concentrations of activity to doses or dose rates, such as the external dose rate at a specified distance above a contaminated surface.</w:t>
            </w:r>
          </w:p>
        </w:tc>
      </w:tr>
      <w:tr w:rsidR="00EC7E2F" w:rsidRPr="00EC7E2F" w14:paraId="69138F0D"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092FFFE7" w14:textId="77777777" w:rsidR="004567F5" w:rsidRPr="00EC7E2F" w:rsidRDefault="004567F5" w:rsidP="000D5DB7">
            <w:pPr>
              <w:spacing w:before="60" w:after="60"/>
              <w:rPr>
                <w:color w:val="auto"/>
              </w:rPr>
            </w:pPr>
            <w:r w:rsidRPr="00EC7E2F">
              <w:rPr>
                <w:color w:val="auto"/>
              </w:rPr>
              <w:t>Dose limit</w:t>
            </w:r>
          </w:p>
        </w:tc>
        <w:tc>
          <w:tcPr>
            <w:tcW w:w="3898" w:type="pct"/>
          </w:tcPr>
          <w:p w14:paraId="1178F9CB"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rFonts w:ascii="Calibri" w:eastAsiaTheme="minorHAnsi" w:hAnsi="Calibri" w:cs="Calibri"/>
                <w:color w:val="auto"/>
                <w:lang w:eastAsia="en-US"/>
              </w:rPr>
              <w:t>The value of the effective dose or the equivalent dose to individuals in planned exposure situations that is not to be exceeded.</w:t>
            </w:r>
          </w:p>
        </w:tc>
      </w:tr>
      <w:tr w:rsidR="00EC7E2F" w:rsidRPr="00EC7E2F" w14:paraId="7C3933C5"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2E63C94E" w14:textId="77777777" w:rsidR="004567F5" w:rsidRPr="00EC7E2F" w:rsidRDefault="004567F5" w:rsidP="000D5DB7">
            <w:pPr>
              <w:spacing w:before="60" w:after="60"/>
              <w:rPr>
                <w:color w:val="auto"/>
              </w:rPr>
            </w:pPr>
            <w:r w:rsidRPr="00EC7E2F">
              <w:rPr>
                <w:color w:val="auto"/>
              </w:rPr>
              <w:t>Dose per unit intake</w:t>
            </w:r>
          </w:p>
        </w:tc>
        <w:tc>
          <w:tcPr>
            <w:tcW w:w="3898" w:type="pct"/>
          </w:tcPr>
          <w:p w14:paraId="452E782C"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 xml:space="preserve">The </w:t>
            </w:r>
            <w:r w:rsidRPr="00EC7E2F">
              <w:rPr>
                <w:b/>
                <w:iCs/>
                <w:color w:val="auto"/>
              </w:rPr>
              <w:t>committed effective dose</w:t>
            </w:r>
            <w:r w:rsidRPr="00EC7E2F">
              <w:rPr>
                <w:color w:val="auto"/>
              </w:rPr>
              <w:t xml:space="preserve"> or the </w:t>
            </w:r>
            <w:r w:rsidRPr="00EC7E2F">
              <w:rPr>
                <w:b/>
                <w:iCs/>
                <w:color w:val="auto"/>
              </w:rPr>
              <w:t>committed equivalent dose</w:t>
            </w:r>
            <w:r w:rsidRPr="00EC7E2F">
              <w:rPr>
                <w:iCs/>
                <w:color w:val="auto"/>
              </w:rPr>
              <w:t xml:space="preserve"> </w:t>
            </w:r>
            <w:r w:rsidRPr="00EC7E2F">
              <w:rPr>
                <w:color w:val="auto"/>
              </w:rPr>
              <w:t xml:space="preserve">resulting from </w:t>
            </w:r>
            <w:r w:rsidRPr="00EC7E2F">
              <w:rPr>
                <w:iCs/>
                <w:color w:val="auto"/>
              </w:rPr>
              <w:t>intake</w:t>
            </w:r>
            <w:r w:rsidRPr="00EC7E2F">
              <w:rPr>
                <w:color w:val="auto"/>
              </w:rPr>
              <w:t xml:space="preserve">, by a specified means (usually ingestion or inhalation), of unit </w:t>
            </w:r>
            <w:r w:rsidRPr="00EC7E2F">
              <w:rPr>
                <w:iCs/>
                <w:color w:val="auto"/>
              </w:rPr>
              <w:t xml:space="preserve">activity </w:t>
            </w:r>
            <w:r w:rsidRPr="00EC7E2F">
              <w:rPr>
                <w:color w:val="auto"/>
              </w:rPr>
              <w:t>of a specified radionuclide in a specified chemical form.</w:t>
            </w:r>
          </w:p>
          <w:p w14:paraId="22C50ABA"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 xml:space="preserve">(From page 46 of the IAEA Safety Glossary 2016 available at </w:t>
            </w:r>
            <w:hyperlink r:id="rId27" w:history="1">
              <w:r w:rsidRPr="00EC7E2F">
                <w:rPr>
                  <w:rStyle w:val="Hyperlink"/>
                  <w:rFonts w:cstheme="minorHAnsi"/>
                  <w:color w:val="auto"/>
                </w:rPr>
                <w:t>https://www.iaea.org/resources/safety-standards/safety-glossary</w:t>
              </w:r>
            </w:hyperlink>
            <w:r w:rsidRPr="00EC7E2F">
              <w:rPr>
                <w:color w:val="auto"/>
              </w:rPr>
              <w:t>).</w:t>
            </w:r>
          </w:p>
        </w:tc>
      </w:tr>
      <w:tr w:rsidR="00EC7E2F" w:rsidRPr="00EC7E2F" w14:paraId="14DCBE91"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2FF0BFE9" w14:textId="77777777" w:rsidR="004567F5" w:rsidRPr="00EC7E2F" w:rsidRDefault="004567F5" w:rsidP="000D5DB7">
            <w:pPr>
              <w:spacing w:before="60" w:after="60"/>
              <w:rPr>
                <w:color w:val="auto"/>
              </w:rPr>
            </w:pPr>
            <w:r w:rsidRPr="00EC7E2F">
              <w:rPr>
                <w:color w:val="auto"/>
              </w:rPr>
              <w:t>Disposal</w:t>
            </w:r>
          </w:p>
        </w:tc>
        <w:tc>
          <w:tcPr>
            <w:tcW w:w="3898" w:type="pct"/>
          </w:tcPr>
          <w:p w14:paraId="41FF0B29"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 xml:space="preserve">Emplacement of </w:t>
            </w:r>
            <w:r w:rsidRPr="00EC7E2F">
              <w:rPr>
                <w:iCs/>
                <w:color w:val="auto"/>
              </w:rPr>
              <w:t xml:space="preserve">waste </w:t>
            </w:r>
            <w:r w:rsidRPr="00EC7E2F">
              <w:rPr>
                <w:color w:val="auto"/>
              </w:rPr>
              <w:t xml:space="preserve">in an appropriate </w:t>
            </w:r>
            <w:r w:rsidRPr="00EC7E2F">
              <w:rPr>
                <w:iCs/>
                <w:color w:val="auto"/>
              </w:rPr>
              <w:t xml:space="preserve">facility </w:t>
            </w:r>
            <w:r w:rsidRPr="00EC7E2F">
              <w:rPr>
                <w:color w:val="auto"/>
              </w:rPr>
              <w:t>without the intention of retrieval.</w:t>
            </w:r>
          </w:p>
          <w:p w14:paraId="705C029A"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 xml:space="preserve">(See also page 41 of the IAEA Safety Glossary 2016 available at </w:t>
            </w:r>
            <w:hyperlink r:id="rId28" w:history="1">
              <w:r w:rsidRPr="00EC7E2F">
                <w:rPr>
                  <w:rStyle w:val="Hyperlink"/>
                  <w:rFonts w:cstheme="minorHAnsi"/>
                  <w:color w:val="auto"/>
                </w:rPr>
                <w:t>https://www.iaea.org/resources/safety-standards/safety-glossary</w:t>
              </w:r>
            </w:hyperlink>
            <w:r w:rsidRPr="00EC7E2F">
              <w:rPr>
                <w:color w:val="auto"/>
              </w:rPr>
              <w:t>).</w:t>
            </w:r>
          </w:p>
        </w:tc>
      </w:tr>
      <w:tr w:rsidR="00EC7E2F" w:rsidRPr="00EC7E2F" w14:paraId="31223235"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73877473" w14:textId="77777777" w:rsidR="004567F5" w:rsidRPr="00EC7E2F" w:rsidRDefault="004567F5" w:rsidP="001F6778">
            <w:pPr>
              <w:keepNext/>
              <w:spacing w:before="60" w:after="60"/>
              <w:rPr>
                <w:color w:val="auto"/>
              </w:rPr>
            </w:pPr>
            <w:r w:rsidRPr="00EC7E2F">
              <w:rPr>
                <w:color w:val="auto"/>
              </w:rPr>
              <w:lastRenderedPageBreak/>
              <w:t>Effective dose</w:t>
            </w:r>
          </w:p>
        </w:tc>
        <w:tc>
          <w:tcPr>
            <w:tcW w:w="3898" w:type="pct"/>
          </w:tcPr>
          <w:p w14:paraId="2E8B4D53" w14:textId="77777777" w:rsidR="004567F5" w:rsidRPr="00EC7E2F" w:rsidRDefault="004567F5" w:rsidP="001F6778">
            <w:pPr>
              <w:keepNext/>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 xml:space="preserve">A measure of dose that takes into account both the type of radiation involved and the radiological sensitivities of the organs and tissues irradiated. </w:t>
            </w:r>
            <w:r w:rsidRPr="00EC7E2F">
              <w:rPr>
                <w:color w:val="auto"/>
                <w:lang w:val="en"/>
              </w:rPr>
              <w:t>It is the quantity obtained by multiplying the equivalent dose to various tissues and organs by a weighting factor appropriate to each and summing the products. (</w:t>
            </w:r>
            <w:r w:rsidRPr="00EC7E2F">
              <w:rPr>
                <w:color w:val="auto"/>
              </w:rPr>
              <w:t xml:space="preserve">The SI unit for </w:t>
            </w:r>
            <w:r w:rsidRPr="00EC7E2F">
              <w:rPr>
                <w:i/>
                <w:iCs/>
                <w:color w:val="auto"/>
              </w:rPr>
              <w:t>effective dose</w:t>
            </w:r>
            <w:r w:rsidRPr="00EC7E2F">
              <w:rPr>
                <w:iCs/>
                <w:color w:val="auto"/>
              </w:rPr>
              <w:t xml:space="preserve"> </w:t>
            </w:r>
            <w:r w:rsidRPr="00EC7E2F">
              <w:rPr>
                <w:color w:val="auto"/>
              </w:rPr>
              <w:t xml:space="preserve">is joule per kilogram (J/kg), termed the </w:t>
            </w:r>
            <w:r w:rsidRPr="00EC7E2F">
              <w:rPr>
                <w:i/>
                <w:iCs/>
                <w:color w:val="auto"/>
              </w:rPr>
              <w:t>sievert</w:t>
            </w:r>
            <w:r w:rsidRPr="00EC7E2F">
              <w:rPr>
                <w:iCs/>
                <w:color w:val="auto"/>
              </w:rPr>
              <w:t xml:space="preserve"> (</w:t>
            </w:r>
            <w:proofErr w:type="spellStart"/>
            <w:r w:rsidRPr="00EC7E2F">
              <w:rPr>
                <w:iCs/>
                <w:color w:val="auto"/>
              </w:rPr>
              <w:t>Sv</w:t>
            </w:r>
            <w:proofErr w:type="spellEnd"/>
            <w:r w:rsidRPr="00EC7E2F">
              <w:rPr>
                <w:iCs/>
                <w:color w:val="auto"/>
              </w:rPr>
              <w:t>)).</w:t>
            </w:r>
          </w:p>
        </w:tc>
      </w:tr>
      <w:tr w:rsidR="00EC7E2F" w:rsidRPr="00EC7E2F" w14:paraId="4CC2CD24"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07ECF8EB" w14:textId="77777777" w:rsidR="004567F5" w:rsidRPr="00EC7E2F" w:rsidRDefault="004567F5" w:rsidP="000D5DB7">
            <w:pPr>
              <w:spacing w:before="60" w:after="60"/>
              <w:rPr>
                <w:color w:val="auto"/>
              </w:rPr>
            </w:pPr>
            <w:r w:rsidRPr="00EC7E2F">
              <w:rPr>
                <w:color w:val="auto"/>
              </w:rPr>
              <w:t>Emergency exposure situation</w:t>
            </w:r>
          </w:p>
        </w:tc>
        <w:tc>
          <w:tcPr>
            <w:tcW w:w="3898" w:type="pct"/>
          </w:tcPr>
          <w:p w14:paraId="291604CC"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A situation of exposure that arises as a result of an accident, a malicious act, or any other unexpected event, and requires prompt action in order to avoid or reduce adverse consequences.</w:t>
            </w:r>
          </w:p>
        </w:tc>
      </w:tr>
      <w:tr w:rsidR="00EC7E2F" w:rsidRPr="00EC7E2F" w14:paraId="5267D073"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6844BF68" w14:textId="77777777" w:rsidR="004567F5" w:rsidRPr="00EC7E2F" w:rsidRDefault="004567F5" w:rsidP="000D5DB7">
            <w:pPr>
              <w:spacing w:before="60" w:after="60"/>
              <w:rPr>
                <w:color w:val="auto"/>
              </w:rPr>
            </w:pPr>
            <w:r w:rsidRPr="00EC7E2F">
              <w:rPr>
                <w:iCs/>
                <w:color w:val="auto"/>
              </w:rPr>
              <w:t>Equivalent dose</w:t>
            </w:r>
          </w:p>
        </w:tc>
        <w:tc>
          <w:tcPr>
            <w:tcW w:w="3898" w:type="pct"/>
          </w:tcPr>
          <w:p w14:paraId="306FF71D"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 xml:space="preserve">A measure of dose in organs and tissues that takes into account the type of radiation involved. It is the quantity obtained by multiplying the mean </w:t>
            </w:r>
            <w:r w:rsidRPr="00EC7E2F">
              <w:rPr>
                <w:b/>
                <w:color w:val="auto"/>
              </w:rPr>
              <w:t xml:space="preserve">absorbed dose </w:t>
            </w:r>
            <w:r w:rsidRPr="00EC7E2F">
              <w:rPr>
                <w:color w:val="auto"/>
              </w:rPr>
              <w:t>over the organ or tissue by a factor to allow for the different effectiveness of various ionising radiation in causing harm to tissue.</w:t>
            </w:r>
            <w:r w:rsidRPr="00EC7E2F">
              <w:rPr>
                <w:color w:val="auto"/>
                <w:lang w:val="en"/>
              </w:rPr>
              <w:t xml:space="preserve"> (</w:t>
            </w:r>
            <w:r w:rsidRPr="00EC7E2F">
              <w:rPr>
                <w:color w:val="auto"/>
              </w:rPr>
              <w:t xml:space="preserve">The SI unit for </w:t>
            </w:r>
            <w:r w:rsidRPr="00EC7E2F">
              <w:rPr>
                <w:i/>
                <w:iCs/>
                <w:color w:val="auto"/>
              </w:rPr>
              <w:t>equivalent dose</w:t>
            </w:r>
            <w:r w:rsidRPr="00EC7E2F">
              <w:rPr>
                <w:iCs/>
                <w:color w:val="auto"/>
              </w:rPr>
              <w:t xml:space="preserve"> </w:t>
            </w:r>
            <w:r w:rsidRPr="00EC7E2F">
              <w:rPr>
                <w:color w:val="auto"/>
              </w:rPr>
              <w:t xml:space="preserve">is joule per kilogram (J/kg), termed the </w:t>
            </w:r>
            <w:r w:rsidRPr="00EC7E2F">
              <w:rPr>
                <w:iCs/>
                <w:color w:val="auto"/>
              </w:rPr>
              <w:t>sievert (</w:t>
            </w:r>
            <w:proofErr w:type="spellStart"/>
            <w:r w:rsidRPr="00EC7E2F">
              <w:rPr>
                <w:iCs/>
                <w:color w:val="auto"/>
              </w:rPr>
              <w:t>Sv</w:t>
            </w:r>
            <w:proofErr w:type="spellEnd"/>
            <w:r w:rsidRPr="00EC7E2F">
              <w:rPr>
                <w:iCs/>
                <w:color w:val="auto"/>
              </w:rPr>
              <w:t>)</w:t>
            </w:r>
            <w:r w:rsidRPr="00EC7E2F">
              <w:rPr>
                <w:color w:val="auto"/>
              </w:rPr>
              <w:t xml:space="preserve">). </w:t>
            </w:r>
          </w:p>
        </w:tc>
      </w:tr>
      <w:tr w:rsidR="00EC7E2F" w:rsidRPr="00EC7E2F" w14:paraId="50B6F048"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73B4BF77" w14:textId="77777777" w:rsidR="004567F5" w:rsidRPr="00EC7E2F" w:rsidRDefault="004567F5" w:rsidP="000D5DB7">
            <w:pPr>
              <w:spacing w:before="60" w:after="60"/>
              <w:rPr>
                <w:color w:val="auto"/>
              </w:rPr>
            </w:pPr>
            <w:r w:rsidRPr="00EC7E2F">
              <w:rPr>
                <w:color w:val="auto"/>
              </w:rPr>
              <w:t>Existing exposure situation</w:t>
            </w:r>
          </w:p>
        </w:tc>
        <w:tc>
          <w:tcPr>
            <w:tcW w:w="3898" w:type="pct"/>
          </w:tcPr>
          <w:p w14:paraId="78222373"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rFonts w:ascii="Calibri" w:eastAsiaTheme="minorHAnsi" w:hAnsi="Calibri" w:cs="Calibri"/>
                <w:color w:val="auto"/>
                <w:lang w:eastAsia="en-US"/>
              </w:rPr>
              <w:t>A situation of exposure that already exists when a decision on the need for control needs to be taken. Existing exposure situations include exposure to natural background radiation that is amenable to control; exposure due to residual radioactive material that derives from past practices that were never subject to regulatory control; and exposure due to residual radioactive material deriving from a nuclear or radiological emergency after an emergency has been declared to be ended.</w:t>
            </w:r>
          </w:p>
        </w:tc>
      </w:tr>
      <w:tr w:rsidR="00EC7E2F" w:rsidRPr="00EC7E2F" w14:paraId="1D9B68D4"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152CDD97" w14:textId="77777777" w:rsidR="004567F5" w:rsidRPr="00EC7E2F" w:rsidRDefault="004567F5" w:rsidP="000D5DB7">
            <w:pPr>
              <w:spacing w:before="60" w:after="60"/>
              <w:rPr>
                <w:color w:val="auto"/>
              </w:rPr>
            </w:pPr>
            <w:r w:rsidRPr="00EC7E2F">
              <w:rPr>
                <w:color w:val="auto"/>
              </w:rPr>
              <w:t>Environment</w:t>
            </w:r>
          </w:p>
        </w:tc>
        <w:tc>
          <w:tcPr>
            <w:tcW w:w="3898" w:type="pct"/>
          </w:tcPr>
          <w:p w14:paraId="753D9EC0"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color w:val="auto"/>
                <w:lang w:eastAsia="en-US"/>
              </w:rPr>
            </w:pPr>
            <w:r w:rsidRPr="00EC7E2F">
              <w:rPr>
                <w:rFonts w:ascii="Calibri" w:eastAsiaTheme="minorHAnsi" w:hAnsi="Calibri" w:cs="Calibri"/>
                <w:color w:val="auto"/>
                <w:lang w:eastAsia="en-US"/>
              </w:rPr>
              <w:t>The conditions under which people, animals and plants live or develop and which sustain all life and development; especially such conditions as affected by human activities. Protection of the environment includes the protection and conservation of:</w:t>
            </w:r>
          </w:p>
          <w:p w14:paraId="58003518" w14:textId="77777777" w:rsidR="004567F5" w:rsidRPr="00EC7E2F" w:rsidRDefault="004567F5" w:rsidP="004567F5">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eastAsia="en-US"/>
              </w:rPr>
            </w:pPr>
            <w:r w:rsidRPr="00EC7E2F">
              <w:rPr>
                <w:rFonts w:ascii="Calibri" w:hAnsi="Calibri" w:cs="Calibri"/>
                <w:color w:val="auto"/>
                <w:lang w:eastAsia="en-US"/>
              </w:rPr>
              <w:t>non-human species, both animal and plant, and their biodiversity</w:t>
            </w:r>
          </w:p>
          <w:p w14:paraId="1B01B19D" w14:textId="77777777" w:rsidR="004567F5" w:rsidRPr="00EC7E2F" w:rsidRDefault="004567F5" w:rsidP="004567F5">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eastAsia="en-US"/>
              </w:rPr>
            </w:pPr>
            <w:r w:rsidRPr="00EC7E2F">
              <w:rPr>
                <w:rFonts w:ascii="Calibri" w:hAnsi="Calibri" w:cs="Calibri"/>
                <w:color w:val="auto"/>
                <w:lang w:eastAsia="en-US"/>
              </w:rPr>
              <w:t>environmental goods and services such as the production of food and feed</w:t>
            </w:r>
          </w:p>
          <w:p w14:paraId="2B0789FC" w14:textId="77777777" w:rsidR="004567F5" w:rsidRPr="00EC7E2F" w:rsidRDefault="004567F5" w:rsidP="004567F5">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eastAsia="en-US"/>
              </w:rPr>
            </w:pPr>
            <w:r w:rsidRPr="00EC7E2F">
              <w:rPr>
                <w:rFonts w:ascii="Calibri" w:hAnsi="Calibri" w:cs="Calibri"/>
                <w:color w:val="auto"/>
                <w:lang w:eastAsia="en-US"/>
              </w:rPr>
              <w:t>resources used in agriculture, forestry, fisheries and tourism</w:t>
            </w:r>
          </w:p>
          <w:p w14:paraId="5B4559FE" w14:textId="77777777" w:rsidR="004567F5" w:rsidRPr="00EC7E2F" w:rsidRDefault="004567F5" w:rsidP="004567F5">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eastAsia="en-US"/>
              </w:rPr>
            </w:pPr>
            <w:r w:rsidRPr="00EC7E2F">
              <w:rPr>
                <w:rFonts w:ascii="Calibri" w:hAnsi="Calibri" w:cs="Calibri"/>
                <w:color w:val="auto"/>
                <w:lang w:eastAsia="en-US"/>
              </w:rPr>
              <w:t>amenities used in spiritual, cultural and recreational activities</w:t>
            </w:r>
          </w:p>
          <w:p w14:paraId="0E9A5020" w14:textId="77777777" w:rsidR="004567F5" w:rsidRPr="00EC7E2F" w:rsidRDefault="004567F5" w:rsidP="004567F5">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Calibri" w:hAnsi="Calibri" w:cs="Calibri"/>
                <w:color w:val="auto"/>
                <w:lang w:eastAsia="en-US"/>
              </w:rPr>
            </w:pPr>
            <w:r w:rsidRPr="00EC7E2F">
              <w:rPr>
                <w:rFonts w:ascii="Calibri" w:hAnsi="Calibri" w:cs="Calibri"/>
                <w:color w:val="auto"/>
                <w:lang w:eastAsia="en-US"/>
              </w:rPr>
              <w:t>media such as soil, water and air</w:t>
            </w:r>
          </w:p>
          <w:p w14:paraId="51008FD9" w14:textId="77777777" w:rsidR="004567F5" w:rsidRPr="00EC7E2F" w:rsidRDefault="004567F5" w:rsidP="004567F5">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color w:val="auto"/>
              </w:rPr>
            </w:pPr>
            <w:r w:rsidRPr="00EC7E2F">
              <w:rPr>
                <w:rFonts w:ascii="Calibri" w:hAnsi="Calibri" w:cs="Calibri"/>
                <w:color w:val="auto"/>
              </w:rPr>
              <w:t>natural processes such as carbon, nitrogen and water cycles.</w:t>
            </w:r>
          </w:p>
        </w:tc>
      </w:tr>
      <w:tr w:rsidR="00EC7E2F" w:rsidRPr="00EC7E2F" w14:paraId="75A7E4E1"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E113D31" w14:textId="77777777" w:rsidR="004567F5" w:rsidRPr="00EC7E2F" w:rsidRDefault="004567F5" w:rsidP="000D5DB7">
            <w:pPr>
              <w:spacing w:before="60" w:after="60"/>
              <w:rPr>
                <w:color w:val="auto"/>
              </w:rPr>
            </w:pPr>
            <w:r w:rsidRPr="00EC7E2F">
              <w:rPr>
                <w:color w:val="auto"/>
              </w:rPr>
              <w:t>Exclusion</w:t>
            </w:r>
          </w:p>
        </w:tc>
        <w:tc>
          <w:tcPr>
            <w:tcW w:w="3898" w:type="pct"/>
          </w:tcPr>
          <w:p w14:paraId="26657923"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 xml:space="preserve">The deliberate excluding of a particular type of </w:t>
            </w:r>
            <w:r w:rsidRPr="00EC7E2F">
              <w:rPr>
                <w:iCs/>
                <w:color w:val="auto"/>
              </w:rPr>
              <w:t xml:space="preserve">exposure </w:t>
            </w:r>
            <w:r w:rsidRPr="00EC7E2F">
              <w:rPr>
                <w:color w:val="auto"/>
              </w:rPr>
              <w:t xml:space="preserve">from the scope of an instrument of </w:t>
            </w:r>
            <w:r w:rsidRPr="00EC7E2F">
              <w:rPr>
                <w:iCs/>
                <w:color w:val="auto"/>
              </w:rPr>
              <w:t xml:space="preserve">regulatory control </w:t>
            </w:r>
            <w:r w:rsidRPr="00EC7E2F">
              <w:rPr>
                <w:color w:val="auto"/>
              </w:rPr>
              <w:t xml:space="preserve">on the grounds that it is not considered amenable to </w:t>
            </w:r>
            <w:r w:rsidRPr="00EC7E2F">
              <w:rPr>
                <w:iCs/>
                <w:color w:val="auto"/>
              </w:rPr>
              <w:t xml:space="preserve">control </w:t>
            </w:r>
            <w:r w:rsidRPr="00EC7E2F">
              <w:rPr>
                <w:color w:val="auto"/>
              </w:rPr>
              <w:t xml:space="preserve">through the regulatory instrument in question. </w:t>
            </w:r>
          </w:p>
          <w:p w14:paraId="1DE502C4"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 xml:space="preserve">See also page 62 of the IAEA Safety Glossary 2016 available at </w:t>
            </w:r>
            <w:hyperlink r:id="rId29" w:history="1">
              <w:r w:rsidRPr="00EC7E2F">
                <w:rPr>
                  <w:rStyle w:val="Hyperlink"/>
                  <w:rFonts w:cstheme="minorHAnsi"/>
                  <w:color w:val="auto"/>
                </w:rPr>
                <w:t>https://www.iaea.org/resources/safety-standards/safety-glossary</w:t>
              </w:r>
            </w:hyperlink>
            <w:r w:rsidRPr="00EC7E2F">
              <w:rPr>
                <w:color w:val="auto"/>
              </w:rPr>
              <w:t>).</w:t>
            </w:r>
          </w:p>
        </w:tc>
      </w:tr>
      <w:tr w:rsidR="00EC7E2F" w:rsidRPr="00EC7E2F" w14:paraId="3F123C5D"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4504771C" w14:textId="77777777" w:rsidR="004567F5" w:rsidRPr="00EC7E2F" w:rsidRDefault="004567F5" w:rsidP="000D5DB7">
            <w:pPr>
              <w:spacing w:before="60" w:after="60"/>
              <w:rPr>
                <w:color w:val="auto"/>
              </w:rPr>
            </w:pPr>
            <w:r w:rsidRPr="00EC7E2F">
              <w:rPr>
                <w:color w:val="auto"/>
              </w:rPr>
              <w:t>Exemption</w:t>
            </w:r>
          </w:p>
        </w:tc>
        <w:tc>
          <w:tcPr>
            <w:tcW w:w="3898" w:type="pct"/>
          </w:tcPr>
          <w:p w14:paraId="575A5240"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spacing w:val="-2"/>
              </w:rPr>
            </w:pPr>
            <w:r w:rsidRPr="00EC7E2F">
              <w:rPr>
                <w:color w:val="auto"/>
                <w:spacing w:val="-2"/>
              </w:rPr>
              <w:t xml:space="preserve">The determination by a </w:t>
            </w:r>
            <w:r w:rsidRPr="00EC7E2F">
              <w:rPr>
                <w:iCs/>
                <w:color w:val="auto"/>
                <w:spacing w:val="-2"/>
              </w:rPr>
              <w:t xml:space="preserve">regulatory body </w:t>
            </w:r>
            <w:r w:rsidRPr="00EC7E2F">
              <w:rPr>
                <w:color w:val="auto"/>
                <w:spacing w:val="-2"/>
              </w:rPr>
              <w:t xml:space="preserve">that a </w:t>
            </w:r>
            <w:r w:rsidRPr="00EC7E2F">
              <w:rPr>
                <w:iCs/>
                <w:color w:val="auto"/>
                <w:spacing w:val="-2"/>
              </w:rPr>
              <w:t xml:space="preserve">source </w:t>
            </w:r>
            <w:r w:rsidRPr="00EC7E2F">
              <w:rPr>
                <w:color w:val="auto"/>
                <w:spacing w:val="-2"/>
              </w:rPr>
              <w:t xml:space="preserve">or </w:t>
            </w:r>
            <w:r w:rsidRPr="00EC7E2F">
              <w:rPr>
                <w:iCs/>
                <w:color w:val="auto"/>
                <w:spacing w:val="-2"/>
              </w:rPr>
              <w:t xml:space="preserve">practice </w:t>
            </w:r>
            <w:r w:rsidRPr="00EC7E2F">
              <w:rPr>
                <w:color w:val="auto"/>
                <w:spacing w:val="-2"/>
              </w:rPr>
              <w:t xml:space="preserve">need not be subject to some or all aspects of </w:t>
            </w:r>
            <w:r w:rsidRPr="00EC7E2F">
              <w:rPr>
                <w:iCs/>
                <w:color w:val="auto"/>
                <w:spacing w:val="-2"/>
              </w:rPr>
              <w:t xml:space="preserve">regulatory control </w:t>
            </w:r>
            <w:r w:rsidRPr="00EC7E2F">
              <w:rPr>
                <w:color w:val="auto"/>
                <w:spacing w:val="-2"/>
              </w:rPr>
              <w:t xml:space="preserve">on the basis that the </w:t>
            </w:r>
            <w:r w:rsidRPr="00EC7E2F">
              <w:rPr>
                <w:iCs/>
                <w:color w:val="auto"/>
                <w:spacing w:val="-2"/>
              </w:rPr>
              <w:t xml:space="preserve">exposure </w:t>
            </w:r>
            <w:r w:rsidRPr="00EC7E2F">
              <w:rPr>
                <w:color w:val="auto"/>
                <w:spacing w:val="-2"/>
              </w:rPr>
              <w:t xml:space="preserve">and the </w:t>
            </w:r>
            <w:r w:rsidRPr="00EC7E2F">
              <w:rPr>
                <w:iCs/>
                <w:color w:val="auto"/>
                <w:spacing w:val="-2"/>
              </w:rPr>
              <w:t xml:space="preserve">potential exposure </w:t>
            </w:r>
            <w:r w:rsidRPr="00EC7E2F">
              <w:rPr>
                <w:color w:val="auto"/>
                <w:spacing w:val="-2"/>
              </w:rPr>
              <w:t xml:space="preserve">due to the </w:t>
            </w:r>
            <w:r w:rsidRPr="00EC7E2F">
              <w:rPr>
                <w:iCs/>
                <w:color w:val="auto"/>
                <w:spacing w:val="-2"/>
              </w:rPr>
              <w:t xml:space="preserve">source </w:t>
            </w:r>
            <w:r w:rsidRPr="00EC7E2F">
              <w:rPr>
                <w:color w:val="auto"/>
                <w:spacing w:val="-2"/>
              </w:rPr>
              <w:t xml:space="preserve">or </w:t>
            </w:r>
            <w:r w:rsidRPr="00EC7E2F">
              <w:rPr>
                <w:iCs/>
                <w:color w:val="auto"/>
                <w:spacing w:val="-2"/>
              </w:rPr>
              <w:t xml:space="preserve">practice </w:t>
            </w:r>
            <w:r w:rsidRPr="00EC7E2F">
              <w:rPr>
                <w:color w:val="auto"/>
                <w:spacing w:val="-2"/>
              </w:rPr>
              <w:t xml:space="preserve">are too small to warrant the application of those aspects or that exemption is the optimum option for </w:t>
            </w:r>
            <w:r w:rsidRPr="00EC7E2F">
              <w:rPr>
                <w:iCs/>
                <w:color w:val="auto"/>
                <w:spacing w:val="-2"/>
              </w:rPr>
              <w:t xml:space="preserve">protection </w:t>
            </w:r>
            <w:r w:rsidRPr="00EC7E2F">
              <w:rPr>
                <w:color w:val="auto"/>
                <w:spacing w:val="-2"/>
              </w:rPr>
              <w:t xml:space="preserve">irrespective of the actual level of the </w:t>
            </w:r>
            <w:r w:rsidRPr="00EC7E2F">
              <w:rPr>
                <w:iCs/>
                <w:color w:val="auto"/>
                <w:spacing w:val="-2"/>
              </w:rPr>
              <w:t xml:space="preserve">doses </w:t>
            </w:r>
            <w:r w:rsidRPr="00EC7E2F">
              <w:rPr>
                <w:color w:val="auto"/>
                <w:spacing w:val="-2"/>
              </w:rPr>
              <w:t xml:space="preserve">or </w:t>
            </w:r>
            <w:r w:rsidRPr="00EC7E2F">
              <w:rPr>
                <w:iCs/>
                <w:color w:val="auto"/>
                <w:spacing w:val="-2"/>
              </w:rPr>
              <w:t>risks</w:t>
            </w:r>
            <w:r w:rsidRPr="00EC7E2F">
              <w:rPr>
                <w:color w:val="auto"/>
                <w:spacing w:val="-2"/>
              </w:rPr>
              <w:t>.</w:t>
            </w:r>
          </w:p>
        </w:tc>
      </w:tr>
      <w:tr w:rsidR="00EC7E2F" w:rsidRPr="00EC7E2F" w14:paraId="740DFEB4"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9A290D4" w14:textId="77777777" w:rsidR="004567F5" w:rsidRPr="00EC7E2F" w:rsidRDefault="004567F5" w:rsidP="001F6778">
            <w:pPr>
              <w:keepNext/>
              <w:spacing w:before="60" w:after="60"/>
              <w:rPr>
                <w:color w:val="auto"/>
              </w:rPr>
            </w:pPr>
            <w:r w:rsidRPr="00EC7E2F">
              <w:rPr>
                <w:color w:val="auto"/>
              </w:rPr>
              <w:lastRenderedPageBreak/>
              <w:t>Graded approach</w:t>
            </w:r>
          </w:p>
        </w:tc>
        <w:tc>
          <w:tcPr>
            <w:tcW w:w="3898" w:type="pct"/>
          </w:tcPr>
          <w:p w14:paraId="2C9AF513"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szCs w:val="20"/>
              </w:rPr>
            </w:pPr>
            <w:r w:rsidRPr="00EC7E2F">
              <w:rPr>
                <w:color w:val="auto"/>
                <w:szCs w:val="20"/>
              </w:rPr>
              <w:t>An approach where the stringency of the control measures and conditions to be applied is commensurate, to the extent practicable, with the likelihood and possible consequences of, and the level of risk associated with, a loss of control</w:t>
            </w:r>
          </w:p>
          <w:p w14:paraId="4FB8AE7F" w14:textId="52895425"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szCs w:val="20"/>
              </w:rPr>
            </w:pPr>
            <w:r w:rsidRPr="00EC7E2F">
              <w:rPr>
                <w:color w:val="auto"/>
                <w:szCs w:val="20"/>
              </w:rPr>
              <w:t>(Note that the graded approach is applied to the controls and does not imply a relaxation of the level of protection)</w:t>
            </w:r>
          </w:p>
          <w:p w14:paraId="796DF4BE" w14:textId="59D23871" w:rsidR="00CF24D2" w:rsidRPr="00EC7E2F" w:rsidRDefault="00CF24D2" w:rsidP="000D5DB7">
            <w:pPr>
              <w:spacing w:before="60" w:after="60"/>
              <w:cnfStyle w:val="000000100000" w:firstRow="0" w:lastRow="0" w:firstColumn="0" w:lastColumn="0" w:oddVBand="0" w:evenVBand="0" w:oddHBand="1" w:evenHBand="0" w:firstRowFirstColumn="0" w:firstRowLastColumn="0" w:lastRowFirstColumn="0" w:lastRowLastColumn="0"/>
              <w:rPr>
                <w:color w:val="auto"/>
                <w:szCs w:val="20"/>
              </w:rPr>
            </w:pPr>
            <w:r w:rsidRPr="00EC7E2F">
              <w:rPr>
                <w:color w:val="auto"/>
                <w:szCs w:val="20"/>
              </w:rPr>
              <w:t>(Note that In Australia this concept is referred to as risk-based regulation or risk-based approach)</w:t>
            </w:r>
          </w:p>
          <w:p w14:paraId="7B0B1ABF"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szCs w:val="20"/>
              </w:rPr>
            </w:pPr>
            <w:r w:rsidRPr="00EC7E2F">
              <w:rPr>
                <w:color w:val="auto"/>
                <w:szCs w:val="20"/>
              </w:rPr>
              <w:t xml:space="preserve">See also page 75 of the IAEA Safety Glossary, 2016 Revision, June 2016 available at </w:t>
            </w:r>
            <w:hyperlink r:id="rId30" w:history="1">
              <w:r w:rsidRPr="00EC7E2F">
                <w:rPr>
                  <w:rStyle w:val="Hyperlink"/>
                  <w:rFonts w:cstheme="minorHAnsi"/>
                  <w:color w:val="auto"/>
                  <w:szCs w:val="20"/>
                </w:rPr>
                <w:t>https://www.iaea.org/resources/safety-standards/safety-glossary</w:t>
              </w:r>
            </w:hyperlink>
          </w:p>
        </w:tc>
      </w:tr>
      <w:tr w:rsidR="00EC7E2F" w:rsidRPr="00EC7E2F" w14:paraId="5AD0E236"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57F14031" w14:textId="77777777" w:rsidR="004567F5" w:rsidRPr="00EC7E2F" w:rsidRDefault="004567F5" w:rsidP="000D5DB7">
            <w:pPr>
              <w:spacing w:before="60" w:after="60"/>
              <w:rPr>
                <w:color w:val="auto"/>
              </w:rPr>
            </w:pPr>
            <w:r w:rsidRPr="00EC7E2F">
              <w:rPr>
                <w:color w:val="auto"/>
              </w:rPr>
              <w:t>Ionising radiation</w:t>
            </w:r>
          </w:p>
        </w:tc>
        <w:tc>
          <w:tcPr>
            <w:tcW w:w="3898" w:type="pct"/>
          </w:tcPr>
          <w:p w14:paraId="5D387AEE"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 xml:space="preserve">Electromagnetic or particulate radiation capable of producing ions directly or indirectly, but does not include electromagnetic radiation of a wavelength greater than 100 nanometres. </w:t>
            </w:r>
            <w:r w:rsidRPr="00EC7E2F">
              <w:rPr>
                <w:color w:val="auto"/>
                <w:lang w:val="en"/>
              </w:rPr>
              <w:t>Examples are alpha particles, gamma rays, X-rays and neutrons. When these radiations pass through the tissues of the body, they have sufficient energy to damage DNA.</w:t>
            </w:r>
          </w:p>
        </w:tc>
      </w:tr>
      <w:tr w:rsidR="00EC7E2F" w:rsidRPr="00EC7E2F" w14:paraId="0D8A6359"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1A832516" w14:textId="77777777" w:rsidR="004567F5" w:rsidRPr="00EC7E2F" w:rsidRDefault="004567F5" w:rsidP="000D5DB7">
            <w:pPr>
              <w:spacing w:before="60" w:after="60"/>
              <w:rPr>
                <w:color w:val="auto"/>
              </w:rPr>
            </w:pPr>
            <w:r w:rsidRPr="00EC7E2F">
              <w:rPr>
                <w:color w:val="auto"/>
              </w:rPr>
              <w:t>Ionising radiation apparatus</w:t>
            </w:r>
          </w:p>
        </w:tc>
        <w:tc>
          <w:tcPr>
            <w:tcW w:w="3898" w:type="pct"/>
          </w:tcPr>
          <w:p w14:paraId="34326CF3"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An apparatus that produces ionising radiation when energised, or when assembled or repaired is capable of doing so when energised (e.g. a diagnostic X-ray machine or an industrial radiography X-ray machine).</w:t>
            </w:r>
          </w:p>
        </w:tc>
      </w:tr>
      <w:tr w:rsidR="00EC7E2F" w:rsidRPr="00EC7E2F" w14:paraId="35AA3CB5"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1112023C" w14:textId="77777777" w:rsidR="004567F5" w:rsidRPr="00EC7E2F" w:rsidRDefault="004567F5" w:rsidP="000D5DB7">
            <w:pPr>
              <w:spacing w:before="60" w:after="60"/>
              <w:rPr>
                <w:color w:val="auto"/>
              </w:rPr>
            </w:pPr>
            <w:r w:rsidRPr="00EC7E2F">
              <w:rPr>
                <w:color w:val="auto"/>
              </w:rPr>
              <w:t>Justification</w:t>
            </w:r>
          </w:p>
        </w:tc>
        <w:tc>
          <w:tcPr>
            <w:tcW w:w="3898" w:type="pct"/>
          </w:tcPr>
          <w:p w14:paraId="7AEC7469"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spacing w:val="-2"/>
              </w:rPr>
            </w:pPr>
            <w:r w:rsidRPr="00EC7E2F">
              <w:rPr>
                <w:color w:val="auto"/>
                <w:spacing w:val="-2"/>
              </w:rPr>
              <w:t>For a planned exposure situation, the process of determining whether a practice is overall, beneficial, i.e. whether the expected benefits to individuals and to society from introducing or continuing the practice outweigh the harm (including radiation detriment) resulting from the practice.</w:t>
            </w:r>
          </w:p>
          <w:p w14:paraId="5C3ADE53"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spacing w:val="-2"/>
              </w:rPr>
            </w:pPr>
            <w:r w:rsidRPr="00EC7E2F">
              <w:rPr>
                <w:color w:val="auto"/>
                <w:spacing w:val="-2"/>
              </w:rPr>
              <w:t xml:space="preserve">For an </w:t>
            </w:r>
            <w:r w:rsidRPr="00EC7E2F">
              <w:rPr>
                <w:iCs/>
                <w:color w:val="auto"/>
                <w:spacing w:val="-2"/>
              </w:rPr>
              <w:t xml:space="preserve">emergency exposure situation </w:t>
            </w:r>
            <w:r w:rsidRPr="00EC7E2F">
              <w:rPr>
                <w:color w:val="auto"/>
                <w:spacing w:val="-2"/>
              </w:rPr>
              <w:t xml:space="preserve">or an </w:t>
            </w:r>
            <w:r w:rsidRPr="00EC7E2F">
              <w:rPr>
                <w:iCs/>
                <w:color w:val="auto"/>
                <w:spacing w:val="-2"/>
              </w:rPr>
              <w:t xml:space="preserve">existing exposure situation, </w:t>
            </w:r>
            <w:r w:rsidRPr="00EC7E2F">
              <w:rPr>
                <w:color w:val="auto"/>
                <w:spacing w:val="-2"/>
              </w:rPr>
              <w:t xml:space="preserve">the </w:t>
            </w:r>
            <w:r w:rsidRPr="00EC7E2F">
              <w:rPr>
                <w:iCs/>
                <w:color w:val="auto"/>
                <w:spacing w:val="-2"/>
              </w:rPr>
              <w:t xml:space="preserve">process </w:t>
            </w:r>
            <w:r w:rsidRPr="00EC7E2F">
              <w:rPr>
                <w:color w:val="auto"/>
                <w:spacing w:val="-2"/>
              </w:rPr>
              <w:t xml:space="preserve">of determining whether a proposed </w:t>
            </w:r>
            <w:r w:rsidRPr="00EC7E2F">
              <w:rPr>
                <w:iCs/>
                <w:color w:val="auto"/>
                <w:spacing w:val="-2"/>
              </w:rPr>
              <w:t xml:space="preserve">protective action </w:t>
            </w:r>
            <w:r w:rsidRPr="00EC7E2F">
              <w:rPr>
                <w:color w:val="auto"/>
                <w:spacing w:val="-2"/>
              </w:rPr>
              <w:t xml:space="preserve">or </w:t>
            </w:r>
            <w:r w:rsidRPr="00EC7E2F">
              <w:rPr>
                <w:iCs/>
                <w:color w:val="auto"/>
                <w:spacing w:val="-2"/>
              </w:rPr>
              <w:t xml:space="preserve">remedial action </w:t>
            </w:r>
            <w:r w:rsidRPr="00EC7E2F">
              <w:rPr>
                <w:color w:val="auto"/>
                <w:spacing w:val="-2"/>
              </w:rPr>
              <w:t xml:space="preserve">is likely, overall, to be beneficial; i.e., whether the expected benefits to individuals and to society (including the reduction in </w:t>
            </w:r>
            <w:r w:rsidRPr="00EC7E2F">
              <w:rPr>
                <w:iCs/>
                <w:color w:val="auto"/>
                <w:spacing w:val="-2"/>
              </w:rPr>
              <w:t>radiation detriment</w:t>
            </w:r>
            <w:r w:rsidRPr="00EC7E2F">
              <w:rPr>
                <w:color w:val="auto"/>
                <w:spacing w:val="-2"/>
              </w:rPr>
              <w:t xml:space="preserve">) from introducing or continuing the </w:t>
            </w:r>
            <w:r w:rsidRPr="00EC7E2F">
              <w:rPr>
                <w:iCs/>
                <w:color w:val="auto"/>
                <w:spacing w:val="-2"/>
              </w:rPr>
              <w:t xml:space="preserve">protective action </w:t>
            </w:r>
            <w:r w:rsidRPr="00EC7E2F">
              <w:rPr>
                <w:color w:val="auto"/>
                <w:spacing w:val="-2"/>
              </w:rPr>
              <w:t xml:space="preserve">or </w:t>
            </w:r>
            <w:r w:rsidRPr="00EC7E2F">
              <w:rPr>
                <w:iCs/>
                <w:color w:val="auto"/>
                <w:spacing w:val="-2"/>
              </w:rPr>
              <w:t xml:space="preserve">remedial action </w:t>
            </w:r>
            <w:r w:rsidRPr="00EC7E2F">
              <w:rPr>
                <w:color w:val="auto"/>
                <w:spacing w:val="-2"/>
              </w:rPr>
              <w:t xml:space="preserve">outweigh the cost of such action and any harm or damage caused by the action. </w:t>
            </w:r>
          </w:p>
          <w:p w14:paraId="596FEB7F"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 xml:space="preserve">From page 89 of the IAEA Safety Glossary 2016 available at </w:t>
            </w:r>
            <w:hyperlink r:id="rId31" w:history="1">
              <w:r w:rsidRPr="00EC7E2F">
                <w:rPr>
                  <w:rStyle w:val="Hyperlink"/>
                  <w:rFonts w:cstheme="minorHAnsi"/>
                  <w:color w:val="auto"/>
                </w:rPr>
                <w:t>https://www.iaea.org/resources/safety-standards/safety-glossary</w:t>
              </w:r>
            </w:hyperlink>
            <w:r w:rsidRPr="00EC7E2F">
              <w:rPr>
                <w:color w:val="auto"/>
              </w:rPr>
              <w:t>)</w:t>
            </w:r>
          </w:p>
        </w:tc>
      </w:tr>
      <w:tr w:rsidR="00EC7E2F" w:rsidRPr="00EC7E2F" w14:paraId="6F53F4EC"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EE7AFDD" w14:textId="77777777" w:rsidR="004567F5" w:rsidRPr="00EC7E2F" w:rsidRDefault="004567F5" w:rsidP="000D5DB7">
            <w:pPr>
              <w:spacing w:before="60" w:after="60"/>
              <w:rPr>
                <w:color w:val="auto"/>
              </w:rPr>
            </w:pPr>
            <w:r w:rsidRPr="00EC7E2F">
              <w:rPr>
                <w:color w:val="auto"/>
              </w:rPr>
              <w:t>Legislation</w:t>
            </w:r>
          </w:p>
        </w:tc>
        <w:tc>
          <w:tcPr>
            <w:tcW w:w="3898" w:type="pct"/>
          </w:tcPr>
          <w:p w14:paraId="79528F64"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spacing w:val="-2"/>
              </w:rPr>
            </w:pPr>
            <w:r w:rsidRPr="00EC7E2F">
              <w:rPr>
                <w:color w:val="auto"/>
                <w:spacing w:val="-2"/>
              </w:rPr>
              <w:t>Acts of Parliament, regulations and other subordinate or disallowable instruments.</w:t>
            </w:r>
          </w:p>
        </w:tc>
      </w:tr>
      <w:tr w:rsidR="00EC7E2F" w:rsidRPr="00EC7E2F" w14:paraId="3ECB019F"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02E7FCD8" w14:textId="77777777" w:rsidR="004567F5" w:rsidRPr="00EC7E2F" w:rsidRDefault="004567F5" w:rsidP="000D5DB7">
            <w:pPr>
              <w:spacing w:before="60" w:after="60"/>
              <w:rPr>
                <w:color w:val="auto"/>
              </w:rPr>
            </w:pPr>
            <w:r w:rsidRPr="00EC7E2F">
              <w:rPr>
                <w:color w:val="auto"/>
              </w:rPr>
              <w:t>Licence</w:t>
            </w:r>
          </w:p>
        </w:tc>
        <w:tc>
          <w:tcPr>
            <w:tcW w:w="3898" w:type="pct"/>
          </w:tcPr>
          <w:p w14:paraId="18DBAEBB"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An authorisation granted by the Authority allowing a person to carry out a radiation practice.</w:t>
            </w:r>
          </w:p>
        </w:tc>
      </w:tr>
      <w:tr w:rsidR="00EC7E2F" w:rsidRPr="00EC7E2F" w14:paraId="43259F56"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0D09F866" w14:textId="1FDF5A32" w:rsidR="004567F5" w:rsidRPr="00EC7E2F" w:rsidRDefault="004F11D3" w:rsidP="000D5DB7">
            <w:pPr>
              <w:spacing w:before="60" w:after="60"/>
              <w:rPr>
                <w:color w:val="auto"/>
              </w:rPr>
            </w:pPr>
            <w:r w:rsidRPr="00EC7E2F">
              <w:rPr>
                <w:color w:val="auto"/>
              </w:rPr>
              <w:t>Limitation</w:t>
            </w:r>
          </w:p>
        </w:tc>
        <w:tc>
          <w:tcPr>
            <w:tcW w:w="3898" w:type="pct"/>
          </w:tcPr>
          <w:p w14:paraId="528B070B"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The requirement that radiation doses and risks must not exceed a value regarded as unacceptable.</w:t>
            </w:r>
          </w:p>
          <w:p w14:paraId="3A9A0E5B"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 xml:space="preserve">(See also principle 6 at page 21 of the </w:t>
            </w:r>
            <w:r w:rsidRPr="00EC7E2F">
              <w:rPr>
                <w:i/>
                <w:color w:val="auto"/>
              </w:rPr>
              <w:t>Fundamentals for Protection against Ionising Radiation</w:t>
            </w:r>
            <w:r w:rsidRPr="00EC7E2F">
              <w:rPr>
                <w:color w:val="auto"/>
              </w:rPr>
              <w:t>, Radiation Protection Series F-1)</w:t>
            </w:r>
          </w:p>
        </w:tc>
      </w:tr>
      <w:tr w:rsidR="00EC7E2F" w:rsidRPr="00EC7E2F" w14:paraId="40BEAD64"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50ED90F7" w14:textId="1F536CB2" w:rsidR="006C4DF9" w:rsidRPr="00EC7E2F" w:rsidRDefault="006C4DF9" w:rsidP="000D5DB7">
            <w:pPr>
              <w:spacing w:before="60" w:after="60"/>
              <w:rPr>
                <w:color w:val="auto"/>
              </w:rPr>
            </w:pPr>
            <w:r w:rsidRPr="00EC7E2F">
              <w:rPr>
                <w:color w:val="auto"/>
              </w:rPr>
              <w:t>Mutual recognition</w:t>
            </w:r>
          </w:p>
        </w:tc>
        <w:tc>
          <w:tcPr>
            <w:tcW w:w="3898" w:type="pct"/>
          </w:tcPr>
          <w:p w14:paraId="323B4BFB" w14:textId="7C8CA401" w:rsidR="001A5B77" w:rsidRPr="00EC7E2F" w:rsidRDefault="006C4DF9" w:rsidP="006C4DF9">
            <w:pPr>
              <w:spacing w:before="60" w:after="60"/>
              <w:cnfStyle w:val="000000000000" w:firstRow="0" w:lastRow="0" w:firstColumn="0" w:lastColumn="0" w:oddVBand="0" w:evenVBand="0" w:oddHBand="0" w:evenHBand="0" w:firstRowFirstColumn="0" w:firstRowLastColumn="0" w:lastRowFirstColumn="0" w:lastRowLastColumn="0"/>
              <w:rPr>
                <w:color w:val="auto"/>
                <w:lang w:val="en"/>
              </w:rPr>
            </w:pPr>
            <w:r w:rsidRPr="00EC7E2F">
              <w:rPr>
                <w:color w:val="auto"/>
                <w:lang w:val="en"/>
              </w:rPr>
              <w:t>Mutual recognition is the principle t</w:t>
            </w:r>
            <w:r w:rsidR="004F11D3" w:rsidRPr="00EC7E2F">
              <w:rPr>
                <w:color w:val="auto"/>
                <w:lang w:val="en"/>
              </w:rPr>
              <w:t>hat a person who has been licens</w:t>
            </w:r>
            <w:r w:rsidRPr="00EC7E2F">
              <w:rPr>
                <w:color w:val="auto"/>
                <w:lang w:val="en"/>
              </w:rPr>
              <w:t>ed or registered in one state or t</w:t>
            </w:r>
            <w:r w:rsidR="004F11D3" w:rsidRPr="00EC7E2F">
              <w:rPr>
                <w:color w:val="auto"/>
                <w:lang w:val="en"/>
              </w:rPr>
              <w:t>erritory, can apply to be licens</w:t>
            </w:r>
            <w:r w:rsidRPr="00EC7E2F">
              <w:rPr>
                <w:color w:val="auto"/>
                <w:lang w:val="en"/>
              </w:rPr>
              <w:t xml:space="preserve">ed or registered in another state or territory for an equivalent occupation. It is supported by the </w:t>
            </w:r>
            <w:r w:rsidRPr="00EC7E2F">
              <w:rPr>
                <w:i/>
                <w:iCs/>
                <w:color w:val="auto"/>
                <w:lang w:val="en"/>
              </w:rPr>
              <w:t xml:space="preserve">Mutual Recognition Act 1992 </w:t>
            </w:r>
            <w:r w:rsidRPr="00EC7E2F">
              <w:rPr>
                <w:color w:val="auto"/>
                <w:lang w:val="en"/>
              </w:rPr>
              <w:t>(MRA).</w:t>
            </w:r>
          </w:p>
          <w:p w14:paraId="44DF2C98" w14:textId="3D098B8C" w:rsidR="006C4DF9" w:rsidRPr="00EC7E2F" w:rsidRDefault="001A5B77" w:rsidP="006C4DF9">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lang w:val="en"/>
              </w:rPr>
              <w:t xml:space="preserve">(See </w:t>
            </w:r>
            <w:hyperlink r:id="rId32" w:history="1">
              <w:r w:rsidRPr="00EC7E2F">
                <w:rPr>
                  <w:rStyle w:val="Hyperlink"/>
                  <w:color w:val="auto"/>
                  <w:lang w:val="en"/>
                </w:rPr>
                <w:t>https://www.employment.gov.au/mutual-recognition</w:t>
              </w:r>
            </w:hyperlink>
            <w:r w:rsidRPr="00EC7E2F">
              <w:rPr>
                <w:color w:val="auto"/>
                <w:lang w:val="en"/>
              </w:rPr>
              <w:t xml:space="preserve">) </w:t>
            </w:r>
          </w:p>
        </w:tc>
      </w:tr>
      <w:tr w:rsidR="00EC7E2F" w:rsidRPr="00EC7E2F" w14:paraId="7FBACBBF"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155E7DC3" w14:textId="77777777" w:rsidR="004567F5" w:rsidRPr="00EC7E2F" w:rsidRDefault="004567F5" w:rsidP="000D5DB7">
            <w:pPr>
              <w:spacing w:before="60" w:after="60"/>
              <w:rPr>
                <w:color w:val="auto"/>
              </w:rPr>
            </w:pPr>
            <w:r w:rsidRPr="00EC7E2F">
              <w:rPr>
                <w:color w:val="auto"/>
              </w:rPr>
              <w:lastRenderedPageBreak/>
              <w:t>Non-ionising radiation</w:t>
            </w:r>
          </w:p>
        </w:tc>
        <w:tc>
          <w:tcPr>
            <w:tcW w:w="3898" w:type="pct"/>
          </w:tcPr>
          <w:p w14:paraId="650B5B4F"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Electromagnetic radiation of a wavelength greater than 100 nanometres.</w:t>
            </w:r>
          </w:p>
        </w:tc>
      </w:tr>
      <w:tr w:rsidR="00EC7E2F" w:rsidRPr="00EC7E2F" w14:paraId="2ACEBA38"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3C276DBA" w14:textId="77777777" w:rsidR="004567F5" w:rsidRPr="00EC7E2F" w:rsidRDefault="004567F5" w:rsidP="000D5DB7">
            <w:pPr>
              <w:spacing w:before="60" w:after="60"/>
              <w:rPr>
                <w:color w:val="auto"/>
              </w:rPr>
            </w:pPr>
            <w:r w:rsidRPr="00EC7E2F">
              <w:rPr>
                <w:color w:val="auto"/>
              </w:rPr>
              <w:t>Non-ionising radiation apparatus</w:t>
            </w:r>
          </w:p>
        </w:tc>
        <w:tc>
          <w:tcPr>
            <w:tcW w:w="3898" w:type="pct"/>
          </w:tcPr>
          <w:p w14:paraId="4FA93E7A"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An apparatus that when energised produces non-ionising radiation, or when assembled or repaired is capable of doing so (e.g. laser surgery equipment).</w:t>
            </w:r>
          </w:p>
        </w:tc>
      </w:tr>
      <w:tr w:rsidR="00EC7E2F" w:rsidRPr="00EC7E2F" w14:paraId="40390D45"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7CABF66" w14:textId="77777777" w:rsidR="004567F5" w:rsidRPr="00EC7E2F" w:rsidRDefault="004567F5" w:rsidP="000D5DB7">
            <w:pPr>
              <w:spacing w:before="60" w:after="60"/>
              <w:rPr>
                <w:color w:val="auto"/>
              </w:rPr>
            </w:pPr>
            <w:r w:rsidRPr="00EC7E2F">
              <w:rPr>
                <w:color w:val="auto"/>
              </w:rPr>
              <w:t>Notification</w:t>
            </w:r>
          </w:p>
        </w:tc>
        <w:tc>
          <w:tcPr>
            <w:tcW w:w="3898" w:type="pct"/>
          </w:tcPr>
          <w:p w14:paraId="181D89B8"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A document submitted to the Authority to notify an intention to carry out a practice or any other dealing with radiation apparatus or radioactive material.</w:t>
            </w:r>
          </w:p>
        </w:tc>
      </w:tr>
      <w:tr w:rsidR="00EC7E2F" w:rsidRPr="00EC7E2F" w14:paraId="2A78A97A"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67BED719" w14:textId="77777777" w:rsidR="004567F5" w:rsidRPr="00EC7E2F" w:rsidRDefault="004567F5" w:rsidP="000D5DB7">
            <w:pPr>
              <w:spacing w:before="60" w:after="60"/>
              <w:rPr>
                <w:color w:val="auto"/>
              </w:rPr>
            </w:pPr>
            <w:r w:rsidRPr="00EC7E2F">
              <w:rPr>
                <w:color w:val="auto"/>
              </w:rPr>
              <w:t>Nuclear installation</w:t>
            </w:r>
            <w:r w:rsidRPr="00EC7E2F">
              <w:rPr>
                <w:rStyle w:val="FootnoteReference"/>
                <w:rFonts w:cstheme="minorBidi"/>
                <w:i/>
                <w:iCs/>
                <w:color w:val="auto"/>
              </w:rPr>
              <w:footnoteReference w:id="1"/>
            </w:r>
          </w:p>
        </w:tc>
        <w:tc>
          <w:tcPr>
            <w:tcW w:w="3898" w:type="pct"/>
          </w:tcPr>
          <w:p w14:paraId="1F4EBB6B"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 xml:space="preserve">This term has the same meaning as defined in section 13 of the </w:t>
            </w:r>
            <w:r w:rsidRPr="00EC7E2F">
              <w:rPr>
                <w:i/>
                <w:color w:val="auto"/>
              </w:rPr>
              <w:t>Australian Radiation Protection and Nuclear Safety Act 1998</w:t>
            </w:r>
            <w:r w:rsidRPr="00EC7E2F">
              <w:rPr>
                <w:color w:val="auto"/>
              </w:rPr>
              <w:t xml:space="preserve">. </w:t>
            </w:r>
          </w:p>
        </w:tc>
      </w:tr>
      <w:tr w:rsidR="00EC7E2F" w:rsidRPr="00EC7E2F" w14:paraId="23B3F923"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720A6A3C" w14:textId="77777777" w:rsidR="004567F5" w:rsidRPr="00EC7E2F" w:rsidRDefault="004567F5" w:rsidP="000D5DB7">
            <w:pPr>
              <w:spacing w:before="60" w:after="60"/>
              <w:rPr>
                <w:color w:val="auto"/>
              </w:rPr>
            </w:pPr>
            <w:r w:rsidRPr="00EC7E2F">
              <w:rPr>
                <w:color w:val="auto"/>
              </w:rPr>
              <w:t>Optimisation</w:t>
            </w:r>
          </w:p>
        </w:tc>
        <w:tc>
          <w:tcPr>
            <w:tcW w:w="3898" w:type="pct"/>
          </w:tcPr>
          <w:p w14:paraId="149A737D"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spacing w:val="-2"/>
              </w:rPr>
            </w:pPr>
            <w:r w:rsidRPr="00EC7E2F">
              <w:rPr>
                <w:color w:val="auto"/>
                <w:spacing w:val="-2"/>
              </w:rPr>
              <w:t xml:space="preserve">The </w:t>
            </w:r>
            <w:r w:rsidRPr="00EC7E2F">
              <w:rPr>
                <w:iCs/>
                <w:color w:val="auto"/>
                <w:spacing w:val="-2"/>
              </w:rPr>
              <w:t xml:space="preserve">process </w:t>
            </w:r>
            <w:r w:rsidRPr="00EC7E2F">
              <w:rPr>
                <w:color w:val="auto"/>
                <w:spacing w:val="-2"/>
              </w:rPr>
              <w:t xml:space="preserve">of determining what level of </w:t>
            </w:r>
            <w:r w:rsidRPr="00EC7E2F">
              <w:rPr>
                <w:iCs/>
                <w:color w:val="auto"/>
                <w:spacing w:val="-2"/>
              </w:rPr>
              <w:t xml:space="preserve">protection and safety </w:t>
            </w:r>
            <w:r w:rsidRPr="00EC7E2F">
              <w:rPr>
                <w:color w:val="auto"/>
                <w:spacing w:val="-2"/>
              </w:rPr>
              <w:t xml:space="preserve">would result in the magnitude of individual </w:t>
            </w:r>
            <w:r w:rsidRPr="00EC7E2F">
              <w:rPr>
                <w:iCs/>
                <w:color w:val="auto"/>
                <w:spacing w:val="-2"/>
              </w:rPr>
              <w:t>doses</w:t>
            </w:r>
            <w:r w:rsidRPr="00EC7E2F">
              <w:rPr>
                <w:color w:val="auto"/>
                <w:spacing w:val="-2"/>
              </w:rPr>
              <w:t>, the number of individuals (</w:t>
            </w:r>
            <w:r w:rsidRPr="00EC7E2F">
              <w:rPr>
                <w:iCs/>
                <w:color w:val="auto"/>
                <w:spacing w:val="-2"/>
              </w:rPr>
              <w:t xml:space="preserve">workers </w:t>
            </w:r>
            <w:r w:rsidRPr="00EC7E2F">
              <w:rPr>
                <w:color w:val="auto"/>
                <w:spacing w:val="-2"/>
              </w:rPr>
              <w:t xml:space="preserve">and </w:t>
            </w:r>
            <w:r w:rsidRPr="00EC7E2F">
              <w:rPr>
                <w:iCs/>
                <w:color w:val="auto"/>
                <w:spacing w:val="-2"/>
              </w:rPr>
              <w:t>members of the public</w:t>
            </w:r>
            <w:r w:rsidRPr="00EC7E2F">
              <w:rPr>
                <w:color w:val="auto"/>
                <w:spacing w:val="-2"/>
              </w:rPr>
              <w:t xml:space="preserve">) subject to </w:t>
            </w:r>
            <w:r w:rsidRPr="00EC7E2F">
              <w:rPr>
                <w:iCs/>
                <w:color w:val="auto"/>
                <w:spacing w:val="-2"/>
              </w:rPr>
              <w:t xml:space="preserve">exposure </w:t>
            </w:r>
            <w:r w:rsidRPr="00EC7E2F">
              <w:rPr>
                <w:color w:val="auto"/>
                <w:spacing w:val="-2"/>
              </w:rPr>
              <w:t xml:space="preserve">and the likelihood of </w:t>
            </w:r>
            <w:r w:rsidRPr="00EC7E2F">
              <w:rPr>
                <w:iCs/>
                <w:color w:val="auto"/>
                <w:spacing w:val="-2"/>
              </w:rPr>
              <w:t xml:space="preserve">exposure </w:t>
            </w:r>
            <w:r w:rsidRPr="00EC7E2F">
              <w:rPr>
                <w:color w:val="auto"/>
                <w:spacing w:val="-2"/>
              </w:rPr>
              <w:t>being as low as reasonably achievable, economic and social factors being taken into account.</w:t>
            </w:r>
          </w:p>
          <w:p w14:paraId="044D4746"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 xml:space="preserve">(See also page 121 of IAEA Safety Glossary 2016 available at </w:t>
            </w:r>
            <w:hyperlink r:id="rId33" w:history="1">
              <w:r w:rsidRPr="00EC7E2F">
                <w:rPr>
                  <w:rStyle w:val="Hyperlink"/>
                  <w:rFonts w:cstheme="minorHAnsi"/>
                  <w:color w:val="auto"/>
                </w:rPr>
                <w:t>https://www.iaea.org/resources/safety-standards/safety-glossary</w:t>
              </w:r>
            </w:hyperlink>
            <w:r w:rsidRPr="00EC7E2F">
              <w:rPr>
                <w:color w:val="auto"/>
              </w:rPr>
              <w:t>)</w:t>
            </w:r>
          </w:p>
        </w:tc>
      </w:tr>
      <w:tr w:rsidR="00EC7E2F" w:rsidRPr="00EC7E2F" w14:paraId="2BAECFA1"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4A6969BD" w14:textId="199CFA7E" w:rsidR="004567F5" w:rsidRPr="00EC7E2F" w:rsidRDefault="004F11D3" w:rsidP="000D5DB7">
            <w:pPr>
              <w:spacing w:before="60" w:after="60"/>
              <w:rPr>
                <w:color w:val="auto"/>
              </w:rPr>
            </w:pPr>
            <w:r w:rsidRPr="00EC7E2F">
              <w:rPr>
                <w:color w:val="auto"/>
              </w:rPr>
              <w:t>Planned exposure s</w:t>
            </w:r>
            <w:r w:rsidR="004567F5" w:rsidRPr="00EC7E2F">
              <w:rPr>
                <w:color w:val="auto"/>
              </w:rPr>
              <w:t>ituati</w:t>
            </w:r>
            <w:r w:rsidRPr="00EC7E2F">
              <w:rPr>
                <w:color w:val="auto"/>
              </w:rPr>
              <w:t>on</w:t>
            </w:r>
          </w:p>
        </w:tc>
        <w:tc>
          <w:tcPr>
            <w:tcW w:w="3898" w:type="pct"/>
          </w:tcPr>
          <w:p w14:paraId="490A5013"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Situations where radiation protection can be planned in advance, before exposures occur and where the magnitude and extent of exposures can be reasonably predicted.</w:t>
            </w:r>
          </w:p>
        </w:tc>
      </w:tr>
      <w:tr w:rsidR="00EC7E2F" w:rsidRPr="00EC7E2F" w14:paraId="152F5128"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C602E73" w14:textId="77777777" w:rsidR="004567F5" w:rsidRPr="00EC7E2F" w:rsidRDefault="004567F5" w:rsidP="000D5DB7">
            <w:pPr>
              <w:spacing w:before="60" w:after="60"/>
              <w:rPr>
                <w:color w:val="auto"/>
              </w:rPr>
            </w:pPr>
            <w:r w:rsidRPr="00EC7E2F">
              <w:rPr>
                <w:color w:val="auto"/>
              </w:rPr>
              <w:t>Protection of the environment</w:t>
            </w:r>
          </w:p>
        </w:tc>
        <w:tc>
          <w:tcPr>
            <w:tcW w:w="3898" w:type="pct"/>
          </w:tcPr>
          <w:p w14:paraId="40E2DF3F"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 xml:space="preserve">Protection and conservation of: non-human species, both animal and plant, and their biodiversity; environmental goods and services such as the production of </w:t>
            </w:r>
            <w:r w:rsidRPr="00EC7E2F">
              <w:rPr>
                <w:iCs/>
                <w:color w:val="auto"/>
              </w:rPr>
              <w:t xml:space="preserve">food </w:t>
            </w:r>
            <w:r w:rsidRPr="00EC7E2F">
              <w:rPr>
                <w:color w:val="auto"/>
              </w:rPr>
              <w:t>and feed; resources used in agriculture, forestry, fisheries and tourism; amenities used in spiritual, cultural and recreational activities; media such as soil, water and air; and natural processes such as carbon, nitrogen and water cycles.</w:t>
            </w:r>
          </w:p>
          <w:p w14:paraId="5A9B5C43"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 xml:space="preserve">(From page 57 of the IAEA Safety Glossary 2016 available at </w:t>
            </w:r>
            <w:hyperlink r:id="rId34" w:history="1">
              <w:r w:rsidRPr="00EC7E2F">
                <w:rPr>
                  <w:rStyle w:val="Hyperlink"/>
                  <w:rFonts w:cstheme="minorHAnsi"/>
                  <w:color w:val="auto"/>
                </w:rPr>
                <w:t>https://www.iaea.org/resources/safety-standards/safety-glossary</w:t>
              </w:r>
            </w:hyperlink>
            <w:r w:rsidRPr="00EC7E2F">
              <w:rPr>
                <w:color w:val="auto"/>
              </w:rPr>
              <w:t>).</w:t>
            </w:r>
          </w:p>
        </w:tc>
      </w:tr>
      <w:tr w:rsidR="00EC7E2F" w:rsidRPr="00EC7E2F" w14:paraId="1F87CF23"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534924B3" w14:textId="77777777" w:rsidR="004567F5" w:rsidRPr="00EC7E2F" w:rsidRDefault="004567F5" w:rsidP="000D5DB7">
            <w:pPr>
              <w:spacing w:before="60" w:after="60"/>
              <w:rPr>
                <w:color w:val="auto"/>
              </w:rPr>
            </w:pPr>
            <w:r w:rsidRPr="00EC7E2F">
              <w:rPr>
                <w:color w:val="auto"/>
              </w:rPr>
              <w:t>Radiation</w:t>
            </w:r>
          </w:p>
        </w:tc>
        <w:tc>
          <w:tcPr>
            <w:tcW w:w="3898" w:type="pct"/>
          </w:tcPr>
          <w:p w14:paraId="3811D792"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See “ionising radiation” and “non-ionising radiation” above.</w:t>
            </w:r>
          </w:p>
        </w:tc>
      </w:tr>
      <w:tr w:rsidR="00EC7E2F" w:rsidRPr="00EC7E2F" w14:paraId="3E8AFEBF"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822360D" w14:textId="77777777" w:rsidR="004567F5" w:rsidRPr="00EC7E2F" w:rsidRDefault="004567F5" w:rsidP="000D5DB7">
            <w:pPr>
              <w:spacing w:before="60" w:after="60"/>
              <w:rPr>
                <w:color w:val="auto"/>
              </w:rPr>
            </w:pPr>
            <w:r w:rsidRPr="00EC7E2F">
              <w:rPr>
                <w:color w:val="auto"/>
              </w:rPr>
              <w:t>Radiation apparatus</w:t>
            </w:r>
          </w:p>
        </w:tc>
        <w:tc>
          <w:tcPr>
            <w:tcW w:w="3898" w:type="pct"/>
          </w:tcPr>
          <w:p w14:paraId="13805D61"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An ionising radiation apparatus or a non-ionising radiation apparatus.</w:t>
            </w:r>
          </w:p>
        </w:tc>
      </w:tr>
      <w:tr w:rsidR="00EC7E2F" w:rsidRPr="00EC7E2F" w14:paraId="4A71B335"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755BBB2D" w14:textId="77777777" w:rsidR="004567F5" w:rsidRPr="00EC7E2F" w:rsidRDefault="004567F5" w:rsidP="000D5DB7">
            <w:pPr>
              <w:spacing w:before="60" w:after="60"/>
              <w:rPr>
                <w:color w:val="auto"/>
                <w:highlight w:val="yellow"/>
              </w:rPr>
            </w:pPr>
            <w:r w:rsidRPr="00EC7E2F">
              <w:rPr>
                <w:color w:val="auto"/>
              </w:rPr>
              <w:t>Radiation Health Committee (RHC)</w:t>
            </w:r>
          </w:p>
        </w:tc>
        <w:tc>
          <w:tcPr>
            <w:tcW w:w="3898" w:type="pct"/>
          </w:tcPr>
          <w:p w14:paraId="5B28ACB9" w14:textId="38DAA520"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 xml:space="preserve">A committee formed under section 22 of the </w:t>
            </w:r>
            <w:r w:rsidRPr="00EC7E2F">
              <w:rPr>
                <w:i/>
                <w:color w:val="auto"/>
              </w:rPr>
              <w:t>Australian Radiation Protection and Nuclear Safety Act 1998</w:t>
            </w:r>
            <w:r w:rsidRPr="00EC7E2F">
              <w:rPr>
                <w:color w:val="auto"/>
              </w:rPr>
              <w:t>.</w:t>
            </w:r>
            <w:r w:rsidR="00BB52E4" w:rsidRPr="00EC7E2F">
              <w:rPr>
                <w:color w:val="auto"/>
              </w:rPr>
              <w:t xml:space="preserve"> </w:t>
            </w:r>
            <w:r w:rsidRPr="00EC7E2F">
              <w:rPr>
                <w:color w:val="auto"/>
              </w:rPr>
              <w:t>Subsection 23(1) lists the RHC’s functions as follows:</w:t>
            </w:r>
          </w:p>
          <w:p w14:paraId="42772D51" w14:textId="77777777" w:rsidR="004567F5" w:rsidRPr="00EC7E2F" w:rsidRDefault="004567F5" w:rsidP="000D5DB7">
            <w:pPr>
              <w:pStyle w:val="RPSBodyTextalpha"/>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(a) to advise the CEO and the Council on matters relating to radiation protection</w:t>
            </w:r>
          </w:p>
          <w:p w14:paraId="71125CC8" w14:textId="77777777" w:rsidR="004567F5" w:rsidRPr="00EC7E2F" w:rsidRDefault="004567F5" w:rsidP="000D5DB7">
            <w:pPr>
              <w:pStyle w:val="RPSBodyTextalpha"/>
              <w:numPr>
                <w:ilvl w:val="0"/>
                <w:numId w:val="0"/>
              </w:numPr>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 xml:space="preserve">(b) </w:t>
            </w:r>
            <w:r w:rsidRPr="00EC7E2F">
              <w:rPr>
                <w:rFonts w:cstheme="minorHAnsi"/>
                <w:color w:val="auto"/>
              </w:rPr>
              <w:t>to develop policies and to prepare draft publications for the promotion of uniform national standards of radiation protection</w:t>
            </w:r>
          </w:p>
          <w:p w14:paraId="687E551F" w14:textId="77777777" w:rsidR="004567F5" w:rsidRPr="00EC7E2F" w:rsidRDefault="004567F5" w:rsidP="000D5DB7">
            <w:pPr>
              <w:pStyle w:val="RPSBodyTextalpha"/>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auto"/>
                <w:spacing w:val="-2"/>
              </w:rPr>
            </w:pPr>
            <w:r w:rsidRPr="00EC7E2F">
              <w:rPr>
                <w:color w:val="auto"/>
                <w:spacing w:val="-2"/>
              </w:rPr>
              <w:t xml:space="preserve">(c) </w:t>
            </w:r>
            <w:r w:rsidRPr="00EC7E2F">
              <w:rPr>
                <w:rFonts w:cstheme="minorHAnsi"/>
                <w:color w:val="auto"/>
                <w:spacing w:val="-2"/>
              </w:rPr>
              <w:t>to formulate draft national policies, codes and standards in relation to radiation protection for consideration by the Commonwealth, the States and the Territories</w:t>
            </w:r>
          </w:p>
          <w:p w14:paraId="519478D4" w14:textId="77777777" w:rsidR="004567F5" w:rsidRPr="00EC7E2F" w:rsidRDefault="004567F5" w:rsidP="000D5DB7">
            <w:pPr>
              <w:pStyle w:val="RPSBodyTextalpha"/>
              <w:numPr>
                <w:ilvl w:val="0"/>
                <w:numId w:val="0"/>
              </w:numPr>
              <w:cnfStyle w:val="000000000000" w:firstRow="0" w:lastRow="0" w:firstColumn="0" w:lastColumn="0" w:oddVBand="0" w:evenVBand="0" w:oddHBand="0" w:evenHBand="0" w:firstRowFirstColumn="0" w:firstRowLastColumn="0" w:lastRowFirstColumn="0" w:lastRowLastColumn="0"/>
              <w:rPr>
                <w:rFonts w:cstheme="minorHAnsi"/>
                <w:color w:val="auto"/>
              </w:rPr>
            </w:pPr>
            <w:r w:rsidRPr="00EC7E2F">
              <w:rPr>
                <w:rFonts w:cstheme="minorHAnsi"/>
                <w:color w:val="auto"/>
              </w:rPr>
              <w:t>(d) from time to time, to review national policies, codes and standards in relation to radiation protection to ensure that they continue to substantially reflect world best practice</w:t>
            </w:r>
          </w:p>
          <w:p w14:paraId="47EC2C71" w14:textId="77777777" w:rsidR="004567F5" w:rsidRPr="00EC7E2F" w:rsidRDefault="004567F5" w:rsidP="000D5DB7">
            <w:pPr>
              <w:pStyle w:val="RPSBodyTextalpha"/>
              <w:numPr>
                <w:ilvl w:val="0"/>
                <w:numId w:val="0"/>
              </w:numPr>
              <w:cnfStyle w:val="000000000000" w:firstRow="0" w:lastRow="0" w:firstColumn="0" w:lastColumn="0" w:oddVBand="0" w:evenVBand="0" w:oddHBand="0" w:evenHBand="0" w:firstRowFirstColumn="0" w:firstRowLastColumn="0" w:lastRowFirstColumn="0" w:lastRowLastColumn="0"/>
              <w:rPr>
                <w:color w:val="auto"/>
                <w:lang w:val="en-US"/>
              </w:rPr>
            </w:pPr>
            <w:r w:rsidRPr="00EC7E2F">
              <w:rPr>
                <w:rFonts w:cstheme="minorHAnsi"/>
                <w:color w:val="auto"/>
              </w:rPr>
              <w:t>(e) to consult publicly in the development and review of policies, codes and standards in relation to radiation protection.</w:t>
            </w:r>
          </w:p>
        </w:tc>
      </w:tr>
      <w:tr w:rsidR="00EC7E2F" w:rsidRPr="00EC7E2F" w14:paraId="19CA4434"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06F4CF06" w14:textId="77777777" w:rsidR="004567F5" w:rsidRPr="00EC7E2F" w:rsidRDefault="004567F5" w:rsidP="000D5DB7">
            <w:pPr>
              <w:keepNext/>
              <w:keepLines/>
              <w:spacing w:before="60" w:after="60"/>
              <w:rPr>
                <w:color w:val="auto"/>
              </w:rPr>
            </w:pPr>
            <w:r w:rsidRPr="00EC7E2F">
              <w:rPr>
                <w:color w:val="auto"/>
              </w:rPr>
              <w:lastRenderedPageBreak/>
              <w:t>Radiation incident</w:t>
            </w:r>
          </w:p>
        </w:tc>
        <w:tc>
          <w:tcPr>
            <w:tcW w:w="3898" w:type="pct"/>
          </w:tcPr>
          <w:p w14:paraId="78B6D9B1" w14:textId="77777777" w:rsidR="004567F5" w:rsidRPr="00EC7E2F" w:rsidRDefault="004567F5" w:rsidP="000D5DB7">
            <w:pPr>
              <w:keepNext/>
              <w:keepLines/>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A radiation incident is any unintended or ill-advised event when using ionising radiation apparatus, specified types of non-ionising radiation apparatus or radioactive substances, which results in, or has the potential to result in, an exposure to radiation to any person or the environment, outside the range of that normally expected for a particular practice, including events resulting from operator error, equipment failure, or the failure of management systems that warranted investigation.</w:t>
            </w:r>
          </w:p>
        </w:tc>
      </w:tr>
      <w:tr w:rsidR="00EC7E2F" w:rsidRPr="00EC7E2F" w14:paraId="549A05FF"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7FA73DC0" w14:textId="77777777" w:rsidR="004567F5" w:rsidRPr="00EC7E2F" w:rsidRDefault="004567F5" w:rsidP="000D5DB7">
            <w:pPr>
              <w:spacing w:before="60" w:after="60"/>
              <w:rPr>
                <w:color w:val="auto"/>
              </w:rPr>
            </w:pPr>
            <w:r w:rsidRPr="00EC7E2F">
              <w:rPr>
                <w:color w:val="auto"/>
              </w:rPr>
              <w:t>Radiation practice</w:t>
            </w:r>
          </w:p>
        </w:tc>
        <w:tc>
          <w:tcPr>
            <w:tcW w:w="3898" w:type="pct"/>
          </w:tcPr>
          <w:p w14:paraId="4DF8FE2A"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Any human activity that introduces additional sources or exposure pathways or extends exposure to additional people or modifies the network of exposure pathways from existing sources, so as to increase the exposure or the likelihood of exposure of people or the number of people exposed to radiation.</w:t>
            </w:r>
          </w:p>
          <w:p w14:paraId="643B5E35"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 xml:space="preserve">(See also page 129 of the IAEA Safety Glossary 2016 available at </w:t>
            </w:r>
            <w:hyperlink r:id="rId35" w:history="1">
              <w:r w:rsidRPr="00EC7E2F">
                <w:rPr>
                  <w:rStyle w:val="Hyperlink"/>
                  <w:rFonts w:cstheme="minorHAnsi"/>
                  <w:color w:val="auto"/>
                </w:rPr>
                <w:t>https://www.iaea.org/resources/safety-standards/safety-glossary</w:t>
              </w:r>
            </w:hyperlink>
            <w:r w:rsidRPr="00EC7E2F">
              <w:rPr>
                <w:color w:val="auto"/>
              </w:rPr>
              <w:t>).</w:t>
            </w:r>
          </w:p>
        </w:tc>
      </w:tr>
      <w:tr w:rsidR="00EC7E2F" w:rsidRPr="00EC7E2F" w14:paraId="4A4D8351"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3E4F34F" w14:textId="77777777" w:rsidR="004567F5" w:rsidRPr="00EC7E2F" w:rsidRDefault="004567F5" w:rsidP="000D5DB7">
            <w:pPr>
              <w:spacing w:before="60" w:after="60"/>
              <w:rPr>
                <w:color w:val="auto"/>
              </w:rPr>
            </w:pPr>
            <w:r w:rsidRPr="00EC7E2F">
              <w:rPr>
                <w:color w:val="auto"/>
              </w:rPr>
              <w:t>Radiation risk</w:t>
            </w:r>
          </w:p>
        </w:tc>
        <w:tc>
          <w:tcPr>
            <w:tcW w:w="3898" w:type="pct"/>
          </w:tcPr>
          <w:p w14:paraId="7156F836"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Detrimental health effects of exposure to ionising radiation including the likelihood of such effects occurring, and other risks including environmental risks, that might arise from exposure to ionising radiation, the presence of radioactive material (including radioactive waste) or its release to the environment, or a loss of control over a nuclear reactor core, nuclear chain reaction, radioactive source or any other source of radiation; alone or in combination.</w:t>
            </w:r>
          </w:p>
          <w:p w14:paraId="307D19A4"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For non-ionising radiation it means health effects and health risks associated with acute or prolonged exposure to non-ionising radiation such as ultraviolet radiation, radiofrequency radiation, optical radiation and other types of non-ionising radiation, either in occupational settings or as members of the public.</w:t>
            </w:r>
          </w:p>
        </w:tc>
      </w:tr>
      <w:tr w:rsidR="00EC7E2F" w:rsidRPr="00EC7E2F" w14:paraId="01592221"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1AB392FE" w14:textId="77777777" w:rsidR="004567F5" w:rsidRPr="00EC7E2F" w:rsidRDefault="004567F5" w:rsidP="000D5DB7">
            <w:pPr>
              <w:spacing w:before="60" w:after="60"/>
              <w:rPr>
                <w:color w:val="auto"/>
              </w:rPr>
            </w:pPr>
            <w:r w:rsidRPr="00EC7E2F">
              <w:rPr>
                <w:color w:val="auto"/>
              </w:rPr>
              <w:t>Radiation source</w:t>
            </w:r>
          </w:p>
        </w:tc>
        <w:tc>
          <w:tcPr>
            <w:tcW w:w="3898" w:type="pct"/>
          </w:tcPr>
          <w:p w14:paraId="761AE892"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Anything that may emit ionising radiation or non-ionising radiation.</w:t>
            </w:r>
          </w:p>
        </w:tc>
      </w:tr>
      <w:tr w:rsidR="00EC7E2F" w:rsidRPr="00EC7E2F" w14:paraId="31EBC203"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37EED7B" w14:textId="77777777" w:rsidR="004567F5" w:rsidRPr="00EC7E2F" w:rsidRDefault="004567F5" w:rsidP="000D5DB7">
            <w:pPr>
              <w:spacing w:before="60" w:after="60"/>
              <w:rPr>
                <w:color w:val="auto"/>
              </w:rPr>
            </w:pPr>
            <w:r w:rsidRPr="00EC7E2F">
              <w:rPr>
                <w:color w:val="auto"/>
              </w:rPr>
              <w:t>Radioactive material</w:t>
            </w:r>
          </w:p>
        </w:tc>
        <w:tc>
          <w:tcPr>
            <w:tcW w:w="3898" w:type="pct"/>
          </w:tcPr>
          <w:p w14:paraId="476968F1"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Any material that emits ionising radiation spontaneously.</w:t>
            </w:r>
          </w:p>
        </w:tc>
      </w:tr>
      <w:tr w:rsidR="00EC7E2F" w:rsidRPr="00EC7E2F" w14:paraId="60290FA6"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3C7ECC79" w14:textId="77777777" w:rsidR="004567F5" w:rsidRPr="00EC7E2F" w:rsidRDefault="004567F5" w:rsidP="000D5DB7">
            <w:pPr>
              <w:spacing w:before="60" w:after="60"/>
              <w:rPr>
                <w:color w:val="auto"/>
              </w:rPr>
            </w:pPr>
            <w:r w:rsidRPr="00EC7E2F">
              <w:rPr>
                <w:color w:val="auto"/>
              </w:rPr>
              <w:t>Reference level</w:t>
            </w:r>
          </w:p>
        </w:tc>
        <w:tc>
          <w:tcPr>
            <w:tcW w:w="3898" w:type="pct"/>
          </w:tcPr>
          <w:p w14:paraId="67772090"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For an emergency exposure situation or an existing exposure situation, the level of dose, risk or activity concentration above which it is not appropriate to plan to allow exposures to occur and below which optimisation of protection and safety would continue to be implemented.</w:t>
            </w:r>
          </w:p>
        </w:tc>
      </w:tr>
      <w:tr w:rsidR="00EC7E2F" w:rsidRPr="00EC7E2F" w14:paraId="0A243E6C"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224A3D41" w14:textId="77777777" w:rsidR="004567F5" w:rsidRPr="00EC7E2F" w:rsidRDefault="004567F5" w:rsidP="000D5DB7">
            <w:pPr>
              <w:spacing w:before="60" w:after="60"/>
              <w:rPr>
                <w:color w:val="auto"/>
              </w:rPr>
            </w:pPr>
            <w:r w:rsidRPr="00EC7E2F">
              <w:rPr>
                <w:color w:val="auto"/>
              </w:rPr>
              <w:t>Registration</w:t>
            </w:r>
          </w:p>
        </w:tc>
        <w:tc>
          <w:tcPr>
            <w:tcW w:w="3898" w:type="pct"/>
          </w:tcPr>
          <w:p w14:paraId="151CBA50"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An authorisation by the Authority for a radiation apparatus or sealed source apparatus, or for premises in which radiation sources are used.</w:t>
            </w:r>
          </w:p>
        </w:tc>
      </w:tr>
      <w:tr w:rsidR="00EC7E2F" w:rsidRPr="00EC7E2F" w14:paraId="37AA5F3A"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2B7B60EB" w14:textId="77777777" w:rsidR="004567F5" w:rsidRPr="00EC7E2F" w:rsidRDefault="004567F5" w:rsidP="000D5DB7">
            <w:pPr>
              <w:spacing w:before="60" w:after="60"/>
              <w:rPr>
                <w:color w:val="auto"/>
              </w:rPr>
            </w:pPr>
            <w:r w:rsidRPr="00EC7E2F">
              <w:rPr>
                <w:color w:val="auto"/>
              </w:rPr>
              <w:t>Responsible person</w:t>
            </w:r>
          </w:p>
        </w:tc>
        <w:tc>
          <w:tcPr>
            <w:tcW w:w="3898" w:type="pct"/>
          </w:tcPr>
          <w:p w14:paraId="3741ED3D"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spacing w:val="-2"/>
              </w:rPr>
            </w:pPr>
            <w:r w:rsidRPr="00EC7E2F">
              <w:rPr>
                <w:color w:val="auto"/>
                <w:spacing w:val="-2"/>
              </w:rPr>
              <w:t>‘Responsible Person’ in relation to any radioactive source, ionising or non-ionising radiation apparatus, nuclear installation, prescribed radiation facility or premises on which unsealed radioactive sources are stored or used means the person:</w:t>
            </w:r>
          </w:p>
          <w:p w14:paraId="038E9E59" w14:textId="45C88A34" w:rsidR="00FF168A" w:rsidRPr="00EC7E2F" w:rsidRDefault="004567F5" w:rsidP="009327EB">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color w:val="auto"/>
                <w:spacing w:val="-4"/>
              </w:rPr>
            </w:pPr>
            <w:r w:rsidRPr="00EC7E2F">
              <w:rPr>
                <w:color w:val="auto"/>
                <w:spacing w:val="-4"/>
              </w:rPr>
              <w:t>having overall management responsibility including responsibility for the security and maintenance of source</w:t>
            </w:r>
            <w:r w:rsidR="00FF168A" w:rsidRPr="00EC7E2F">
              <w:rPr>
                <w:color w:val="auto"/>
                <w:spacing w:val="-4"/>
              </w:rPr>
              <w:t>s</w:t>
            </w:r>
            <w:r w:rsidRPr="00EC7E2F">
              <w:rPr>
                <w:color w:val="auto"/>
                <w:spacing w:val="-4"/>
              </w:rPr>
              <w:t>, apparatus, installation</w:t>
            </w:r>
            <w:r w:rsidR="00FF168A" w:rsidRPr="00EC7E2F">
              <w:rPr>
                <w:color w:val="auto"/>
                <w:spacing w:val="-4"/>
              </w:rPr>
              <w:t>s or facilities</w:t>
            </w:r>
          </w:p>
          <w:p w14:paraId="1865E212" w14:textId="351BB8D5" w:rsidR="004567F5" w:rsidRPr="00EC7E2F" w:rsidRDefault="004567F5" w:rsidP="009327EB">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having overall control over who may use the source or apparatus, installation or facility</w:t>
            </w:r>
          </w:p>
          <w:p w14:paraId="179E86E9" w14:textId="77777777" w:rsidR="004567F5" w:rsidRPr="00EC7E2F" w:rsidRDefault="004567F5" w:rsidP="004567F5">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in whose name the source, apparatus, installation or facility, would be registered if this is required.</w:t>
            </w:r>
          </w:p>
        </w:tc>
      </w:tr>
      <w:tr w:rsidR="00EC7E2F" w:rsidRPr="00EC7E2F" w14:paraId="2C93741B"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1E1411F5" w14:textId="77777777" w:rsidR="004567F5" w:rsidRPr="00EC7E2F" w:rsidRDefault="004567F5" w:rsidP="000D5DB7">
            <w:pPr>
              <w:keepNext/>
              <w:keepLines/>
              <w:spacing w:before="60" w:after="60"/>
              <w:rPr>
                <w:color w:val="auto"/>
              </w:rPr>
            </w:pPr>
            <w:r w:rsidRPr="00EC7E2F">
              <w:rPr>
                <w:color w:val="auto"/>
              </w:rPr>
              <w:lastRenderedPageBreak/>
              <w:t>Safety assessment</w:t>
            </w:r>
          </w:p>
        </w:tc>
        <w:tc>
          <w:tcPr>
            <w:tcW w:w="3898" w:type="pct"/>
          </w:tcPr>
          <w:p w14:paraId="0301AE56" w14:textId="77777777" w:rsidR="004567F5" w:rsidRPr="00EC7E2F" w:rsidRDefault="004567F5" w:rsidP="000D5DB7">
            <w:pPr>
              <w:keepNext/>
              <w:keepLines/>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iCs/>
                <w:color w:val="auto"/>
              </w:rPr>
              <w:t xml:space="preserve">Assessment </w:t>
            </w:r>
            <w:r w:rsidRPr="00EC7E2F">
              <w:rPr>
                <w:color w:val="auto"/>
              </w:rPr>
              <w:t xml:space="preserve">of all aspects of </w:t>
            </w:r>
            <w:r w:rsidRPr="00EC7E2F">
              <w:rPr>
                <w:iCs/>
                <w:color w:val="auto"/>
              </w:rPr>
              <w:t xml:space="preserve">facilities and activities </w:t>
            </w:r>
            <w:r w:rsidRPr="00EC7E2F">
              <w:rPr>
                <w:color w:val="auto"/>
              </w:rPr>
              <w:t xml:space="preserve">that are relevant to </w:t>
            </w:r>
            <w:r w:rsidRPr="00EC7E2F">
              <w:rPr>
                <w:iCs/>
                <w:color w:val="auto"/>
              </w:rPr>
              <w:t xml:space="preserve">protection and safety. </w:t>
            </w:r>
            <w:r w:rsidRPr="00EC7E2F">
              <w:rPr>
                <w:color w:val="auto"/>
              </w:rPr>
              <w:t xml:space="preserve">For an </w:t>
            </w:r>
            <w:r w:rsidRPr="00EC7E2F">
              <w:rPr>
                <w:iCs/>
                <w:color w:val="auto"/>
              </w:rPr>
              <w:t>authorized facility</w:t>
            </w:r>
            <w:r w:rsidRPr="00EC7E2F">
              <w:rPr>
                <w:color w:val="auto"/>
              </w:rPr>
              <w:t xml:space="preserve">, this includes </w:t>
            </w:r>
            <w:r w:rsidRPr="00EC7E2F">
              <w:rPr>
                <w:iCs/>
                <w:color w:val="auto"/>
              </w:rPr>
              <w:t>siting</w:t>
            </w:r>
            <w:r w:rsidRPr="00EC7E2F">
              <w:rPr>
                <w:color w:val="auto"/>
              </w:rPr>
              <w:t xml:space="preserve">, </w:t>
            </w:r>
            <w:r w:rsidRPr="00EC7E2F">
              <w:rPr>
                <w:iCs/>
                <w:color w:val="auto"/>
              </w:rPr>
              <w:t xml:space="preserve">design </w:t>
            </w:r>
            <w:r w:rsidRPr="00EC7E2F">
              <w:rPr>
                <w:color w:val="auto"/>
              </w:rPr>
              <w:t xml:space="preserve">and </w:t>
            </w:r>
            <w:r w:rsidRPr="00EC7E2F">
              <w:rPr>
                <w:iCs/>
                <w:color w:val="auto"/>
              </w:rPr>
              <w:t xml:space="preserve">operation </w:t>
            </w:r>
            <w:r w:rsidRPr="00EC7E2F">
              <w:rPr>
                <w:color w:val="auto"/>
              </w:rPr>
              <w:t xml:space="preserve">of the </w:t>
            </w:r>
            <w:r w:rsidRPr="00EC7E2F">
              <w:rPr>
                <w:iCs/>
                <w:color w:val="auto"/>
              </w:rPr>
              <w:t>facility</w:t>
            </w:r>
            <w:r w:rsidRPr="00EC7E2F">
              <w:rPr>
                <w:color w:val="auto"/>
              </w:rPr>
              <w:t xml:space="preserve">. This will normally include </w:t>
            </w:r>
            <w:r w:rsidRPr="00EC7E2F">
              <w:rPr>
                <w:iCs/>
                <w:color w:val="auto"/>
              </w:rPr>
              <w:t>risk assessment</w:t>
            </w:r>
            <w:r w:rsidRPr="00EC7E2F">
              <w:rPr>
                <w:color w:val="auto"/>
              </w:rPr>
              <w:t xml:space="preserve">. </w:t>
            </w:r>
          </w:p>
          <w:p w14:paraId="7289D3E9" w14:textId="77777777" w:rsidR="004567F5" w:rsidRPr="00EC7E2F" w:rsidRDefault="004567F5" w:rsidP="000D5DB7">
            <w:pPr>
              <w:keepNext/>
              <w:keepLines/>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 xml:space="preserve">(See also page 12 of IAEA Safety Glossary 2016 available at </w:t>
            </w:r>
            <w:hyperlink r:id="rId36" w:history="1">
              <w:r w:rsidRPr="00EC7E2F">
                <w:rPr>
                  <w:rStyle w:val="Hyperlink"/>
                  <w:rFonts w:cstheme="minorHAnsi"/>
                  <w:color w:val="auto"/>
                </w:rPr>
                <w:t>https://www.iaea.org/resources/safety-standards/safety-glossary</w:t>
              </w:r>
            </w:hyperlink>
            <w:r w:rsidRPr="00EC7E2F">
              <w:rPr>
                <w:color w:val="auto"/>
              </w:rPr>
              <w:t>).</w:t>
            </w:r>
          </w:p>
        </w:tc>
      </w:tr>
      <w:tr w:rsidR="00EC7E2F" w:rsidRPr="00EC7E2F" w14:paraId="703AA2A9"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2FD9EDED" w14:textId="77777777" w:rsidR="004567F5" w:rsidRPr="00EC7E2F" w:rsidRDefault="004567F5" w:rsidP="000D5DB7">
            <w:pPr>
              <w:spacing w:before="60" w:after="60"/>
              <w:rPr>
                <w:color w:val="auto"/>
              </w:rPr>
            </w:pPr>
            <w:r w:rsidRPr="00EC7E2F">
              <w:rPr>
                <w:color w:val="auto"/>
              </w:rPr>
              <w:t>Sealed source</w:t>
            </w:r>
          </w:p>
        </w:tc>
        <w:tc>
          <w:tcPr>
            <w:tcW w:w="3898" w:type="pct"/>
          </w:tcPr>
          <w:p w14:paraId="568966D3"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Radioactive material that is permanently sealed in a capsule, or closely bound and in solid form.</w:t>
            </w:r>
          </w:p>
        </w:tc>
      </w:tr>
      <w:tr w:rsidR="00EC7E2F" w:rsidRPr="00EC7E2F" w14:paraId="5A59D80B" w14:textId="77777777" w:rsidTr="00EC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147F30D2" w14:textId="77777777" w:rsidR="004567F5" w:rsidRPr="00EC7E2F" w:rsidRDefault="004567F5" w:rsidP="000D5DB7">
            <w:pPr>
              <w:spacing w:before="60" w:after="60"/>
              <w:rPr>
                <w:color w:val="auto"/>
              </w:rPr>
            </w:pPr>
            <w:r w:rsidRPr="00EC7E2F">
              <w:rPr>
                <w:color w:val="auto"/>
              </w:rPr>
              <w:t>Sealed source apparatus</w:t>
            </w:r>
          </w:p>
        </w:tc>
        <w:tc>
          <w:tcPr>
            <w:tcW w:w="3898" w:type="pct"/>
          </w:tcPr>
          <w:p w14:paraId="6E80B2D7" w14:textId="77777777" w:rsidR="004567F5" w:rsidRPr="00EC7E2F" w:rsidRDefault="004567F5" w:rsidP="000D5DB7">
            <w:pPr>
              <w:spacing w:before="60" w:after="60"/>
              <w:cnfStyle w:val="000000100000" w:firstRow="0" w:lastRow="0" w:firstColumn="0" w:lastColumn="0" w:oddVBand="0" w:evenVBand="0" w:oddHBand="1" w:evenHBand="0" w:firstRowFirstColumn="0" w:firstRowLastColumn="0" w:lastRowFirstColumn="0" w:lastRowLastColumn="0"/>
              <w:rPr>
                <w:color w:val="auto"/>
              </w:rPr>
            </w:pPr>
            <w:r w:rsidRPr="00EC7E2F">
              <w:rPr>
                <w:color w:val="auto"/>
              </w:rPr>
              <w:t>An apparatus that produces ionising radiation by virtue of the fact that it contains radioactive material in the form of a sealed source.</w:t>
            </w:r>
          </w:p>
        </w:tc>
      </w:tr>
      <w:tr w:rsidR="00EC7E2F" w:rsidRPr="00EC7E2F" w14:paraId="268F4726" w14:textId="77777777" w:rsidTr="00EC7E2F">
        <w:tc>
          <w:tcPr>
            <w:cnfStyle w:val="001000000000" w:firstRow="0" w:lastRow="0" w:firstColumn="1" w:lastColumn="0" w:oddVBand="0" w:evenVBand="0" w:oddHBand="0" w:evenHBand="0" w:firstRowFirstColumn="0" w:firstRowLastColumn="0" w:lastRowFirstColumn="0" w:lastRowLastColumn="0"/>
            <w:tcW w:w="1102" w:type="pct"/>
          </w:tcPr>
          <w:p w14:paraId="43C1F43D" w14:textId="77777777" w:rsidR="004567F5" w:rsidRPr="00EC7E2F" w:rsidRDefault="004567F5" w:rsidP="000D5DB7">
            <w:pPr>
              <w:spacing w:before="60" w:after="60"/>
              <w:rPr>
                <w:color w:val="auto"/>
              </w:rPr>
            </w:pPr>
            <w:r w:rsidRPr="00EC7E2F">
              <w:rPr>
                <w:color w:val="auto"/>
              </w:rPr>
              <w:t>Tanning unit</w:t>
            </w:r>
          </w:p>
        </w:tc>
        <w:tc>
          <w:tcPr>
            <w:tcW w:w="3898" w:type="pct"/>
          </w:tcPr>
          <w:p w14:paraId="02C3A4A0" w14:textId="77777777" w:rsidR="004567F5" w:rsidRPr="00EC7E2F" w:rsidRDefault="004567F5" w:rsidP="000D5DB7">
            <w:pPr>
              <w:spacing w:before="60" w:after="60"/>
              <w:cnfStyle w:val="000000000000" w:firstRow="0" w:lastRow="0" w:firstColumn="0" w:lastColumn="0" w:oddVBand="0" w:evenVBand="0" w:oddHBand="0" w:evenHBand="0" w:firstRowFirstColumn="0" w:firstRowLastColumn="0" w:lastRowFirstColumn="0" w:lastRowLastColumn="0"/>
              <w:rPr>
                <w:color w:val="auto"/>
              </w:rPr>
            </w:pPr>
            <w:r w:rsidRPr="00EC7E2F">
              <w:rPr>
                <w:color w:val="auto"/>
              </w:rPr>
              <w:t>A</w:t>
            </w:r>
            <w:r w:rsidRPr="00EC7E2F">
              <w:rPr>
                <w:color w:val="auto"/>
                <w:lang w:val="en-US"/>
              </w:rPr>
              <w:t xml:space="preserve">n electrically powered appliance or installation intended to produce tanning of the human skin by </w:t>
            </w:r>
            <w:proofErr w:type="spellStart"/>
            <w:r w:rsidRPr="00EC7E2F">
              <w:rPr>
                <w:color w:val="auto"/>
                <w:lang w:val="en-US"/>
              </w:rPr>
              <w:t>utilising</w:t>
            </w:r>
            <w:proofErr w:type="spellEnd"/>
            <w:r w:rsidRPr="00EC7E2F">
              <w:rPr>
                <w:color w:val="auto"/>
                <w:lang w:val="en-US"/>
              </w:rPr>
              <w:t xml:space="preserve"> ultraviolet radiation.</w:t>
            </w:r>
          </w:p>
        </w:tc>
      </w:tr>
    </w:tbl>
    <w:p w14:paraId="61A9390C" w14:textId="77777777" w:rsidR="004567F5" w:rsidRPr="00EC7E2F" w:rsidRDefault="004567F5" w:rsidP="004567F5">
      <w:pPr>
        <w:spacing w:after="60"/>
        <w:ind w:left="567" w:hanging="567"/>
        <w:rPr>
          <w:b/>
          <w:color w:val="auto"/>
        </w:rPr>
      </w:pPr>
    </w:p>
    <w:p w14:paraId="33FE73B3" w14:textId="77777777" w:rsidR="0078373B" w:rsidRPr="00EC7E2F" w:rsidRDefault="0078373B" w:rsidP="00F82986">
      <w:pPr>
        <w:spacing w:before="0" w:after="200" w:line="276" w:lineRule="auto"/>
        <w:rPr>
          <w:color w:val="auto"/>
        </w:rPr>
      </w:pPr>
    </w:p>
    <w:sectPr w:rsidR="0078373B" w:rsidRPr="00EC7E2F" w:rsidSect="00CE1153">
      <w:footerReference w:type="default" r:id="rId37"/>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CB375E" w14:textId="77777777" w:rsidR="002B73DC" w:rsidRDefault="002B73DC" w:rsidP="00301FE6">
      <w:pPr>
        <w:spacing w:before="0" w:line="240" w:lineRule="auto"/>
      </w:pPr>
      <w:r>
        <w:separator/>
      </w:r>
    </w:p>
  </w:endnote>
  <w:endnote w:type="continuationSeparator" w:id="0">
    <w:p w14:paraId="645F2968" w14:textId="77777777" w:rsidR="002B73DC" w:rsidRDefault="002B73DC" w:rsidP="00301FE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Te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FA891" w14:textId="4E9C4A1A" w:rsidR="002A43EC" w:rsidRDefault="002A43EC">
    <w:pPr>
      <w:pStyle w:val="Footer"/>
      <w:jc w:val="center"/>
    </w:pPr>
  </w:p>
  <w:p w14:paraId="205D46F3" w14:textId="77777777" w:rsidR="002A43EC" w:rsidRDefault="002A43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1013412"/>
      <w:docPartObj>
        <w:docPartGallery w:val="Page Numbers (Bottom of Page)"/>
        <w:docPartUnique/>
      </w:docPartObj>
    </w:sdtPr>
    <w:sdtEndPr/>
    <w:sdtContent>
      <w:sdt>
        <w:sdtPr>
          <w:id w:val="-1197994248"/>
          <w:docPartObj>
            <w:docPartGallery w:val="Page Numbers (Top of Page)"/>
            <w:docPartUnique/>
          </w:docPartObj>
        </w:sdtPr>
        <w:sdtEndPr/>
        <w:sdtContent>
          <w:p w14:paraId="6620361A" w14:textId="528574C2" w:rsidR="002A43EC" w:rsidRPr="00BC128E" w:rsidRDefault="002A43EC" w:rsidP="00BC128E">
            <w:pPr>
              <w:pStyle w:val="Footer"/>
              <w:tabs>
                <w:tab w:val="clear" w:pos="4513"/>
                <w:tab w:val="clear" w:pos="9026"/>
                <w:tab w:val="center" w:pos="7088"/>
                <w:tab w:val="right" w:pos="9639"/>
              </w:tabs>
              <w:spacing w:before="120"/>
              <w:rPr>
                <w:sz w:val="18"/>
                <w:szCs w:val="18"/>
              </w:rPr>
            </w:pPr>
            <w:r w:rsidRPr="00FF6AB9">
              <w:rPr>
                <w:noProof/>
                <w:sz w:val="18"/>
              </w:rPr>
              <w:drawing>
                <wp:anchor distT="0" distB="0" distL="114300" distR="114300" simplePos="0" relativeHeight="251663360" behindDoc="0" locked="0" layoutInCell="1" allowOverlap="1" wp14:anchorId="2762D11D" wp14:editId="14FCFC89">
                  <wp:simplePos x="0" y="0"/>
                  <wp:positionH relativeFrom="column">
                    <wp:posOffset>0</wp:posOffset>
                  </wp:positionH>
                  <wp:positionV relativeFrom="paragraph">
                    <wp:posOffset>175895</wp:posOffset>
                  </wp:positionV>
                  <wp:extent cx="6120000" cy="54000"/>
                  <wp:effectExtent l="0" t="0" r="0" b="3175"/>
                  <wp:wrapTopAndBottom/>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BC128E">
              <w:rPr>
                <w:sz w:val="18"/>
              </w:rPr>
              <w:t>National Directory for Radiation Protection</w:t>
            </w:r>
            <w:r>
              <w:rPr>
                <w:sz w:val="18"/>
              </w:rPr>
              <w:t xml:space="preserve"> – 2nd Edition</w:t>
            </w:r>
            <w:r w:rsidRPr="00203CCE">
              <w:rPr>
                <w:sz w:val="18"/>
                <w:szCs w:val="18"/>
              </w:rPr>
              <w:tab/>
            </w:r>
            <w:r w:rsidRPr="00203CCE">
              <w:rPr>
                <w:sz w:val="18"/>
                <w:szCs w:val="18"/>
              </w:rPr>
              <w:tab/>
            </w:r>
            <w:r w:rsidRPr="00CE1153">
              <w:rPr>
                <w:sz w:val="18"/>
                <w:szCs w:val="18"/>
              </w:rPr>
              <w:fldChar w:fldCharType="begin"/>
            </w:r>
            <w:r w:rsidRPr="00CE1153">
              <w:rPr>
                <w:sz w:val="18"/>
                <w:szCs w:val="18"/>
              </w:rPr>
              <w:instrText xml:space="preserve"> PAGE   \* MERGEFORMAT </w:instrText>
            </w:r>
            <w:r w:rsidRPr="00CE1153">
              <w:rPr>
                <w:sz w:val="18"/>
                <w:szCs w:val="18"/>
              </w:rPr>
              <w:fldChar w:fldCharType="separate"/>
            </w:r>
            <w:r>
              <w:rPr>
                <w:noProof/>
                <w:sz w:val="18"/>
                <w:szCs w:val="18"/>
              </w:rPr>
              <w:t>ii</w:t>
            </w:r>
            <w:r w:rsidRPr="00CE1153">
              <w:rPr>
                <w:noProof/>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6398428"/>
      <w:docPartObj>
        <w:docPartGallery w:val="Page Numbers (Bottom of Page)"/>
        <w:docPartUnique/>
      </w:docPartObj>
    </w:sdtPr>
    <w:sdtEndPr/>
    <w:sdtContent>
      <w:sdt>
        <w:sdtPr>
          <w:id w:val="-1223439902"/>
          <w:docPartObj>
            <w:docPartGallery w:val="Page Numbers (Top of Page)"/>
            <w:docPartUnique/>
          </w:docPartObj>
        </w:sdtPr>
        <w:sdtEndPr/>
        <w:sdtContent>
          <w:p w14:paraId="2921DA85" w14:textId="250D1D66" w:rsidR="002A43EC" w:rsidRPr="00BC128E" w:rsidRDefault="002A43EC" w:rsidP="00BC128E">
            <w:pPr>
              <w:pStyle w:val="Footer"/>
              <w:tabs>
                <w:tab w:val="clear" w:pos="4513"/>
                <w:tab w:val="clear" w:pos="9026"/>
                <w:tab w:val="center" w:pos="7088"/>
                <w:tab w:val="right" w:pos="9639"/>
              </w:tabs>
              <w:spacing w:before="120"/>
              <w:rPr>
                <w:sz w:val="18"/>
                <w:szCs w:val="18"/>
              </w:rPr>
            </w:pPr>
            <w:r w:rsidRPr="00FF6AB9">
              <w:rPr>
                <w:noProof/>
                <w:sz w:val="18"/>
              </w:rPr>
              <w:drawing>
                <wp:anchor distT="0" distB="0" distL="114300" distR="114300" simplePos="0" relativeHeight="251661312" behindDoc="0" locked="0" layoutInCell="1" allowOverlap="1" wp14:anchorId="12C8F224" wp14:editId="63ABEC41">
                  <wp:simplePos x="0" y="0"/>
                  <wp:positionH relativeFrom="column">
                    <wp:posOffset>0</wp:posOffset>
                  </wp:positionH>
                  <wp:positionV relativeFrom="paragraph">
                    <wp:posOffset>175895</wp:posOffset>
                  </wp:positionV>
                  <wp:extent cx="6120000" cy="54000"/>
                  <wp:effectExtent l="0" t="0" r="0" b="3175"/>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a:solidFill>
                            <a:schemeClr val="accent1"/>
                          </a:solidFill>
                        </pic:spPr>
                      </pic:pic>
                    </a:graphicData>
                  </a:graphic>
                  <wp14:sizeRelH relativeFrom="page">
                    <wp14:pctWidth>0</wp14:pctWidth>
                  </wp14:sizeRelH>
                  <wp14:sizeRelV relativeFrom="page">
                    <wp14:pctHeight>0</wp14:pctHeight>
                  </wp14:sizeRelV>
                </wp:anchor>
              </w:drawing>
            </w:r>
            <w:r w:rsidRPr="00BC128E">
              <w:rPr>
                <w:sz w:val="18"/>
              </w:rPr>
              <w:t>National Directory for Radiation Protection</w:t>
            </w:r>
            <w:r>
              <w:rPr>
                <w:sz w:val="18"/>
              </w:rPr>
              <w:t xml:space="preserve"> – 2nd Edition</w:t>
            </w:r>
            <w:r w:rsidRPr="00203CCE">
              <w:rPr>
                <w:sz w:val="18"/>
                <w:szCs w:val="18"/>
              </w:rPr>
              <w:tab/>
            </w:r>
            <w:r w:rsidRPr="00203CCE">
              <w:rPr>
                <w:sz w:val="18"/>
                <w:szCs w:val="18"/>
              </w:rPr>
              <w:tab/>
            </w:r>
            <w:r w:rsidRPr="00203CCE">
              <w:rPr>
                <w:sz w:val="18"/>
                <w:szCs w:val="18"/>
              </w:rPr>
              <w:fldChar w:fldCharType="begin"/>
            </w:r>
            <w:r w:rsidRPr="00203CCE">
              <w:rPr>
                <w:sz w:val="18"/>
                <w:szCs w:val="18"/>
              </w:rPr>
              <w:instrText xml:space="preserve"> PAGE  \* Arabic  \* MERGEFORMAT </w:instrText>
            </w:r>
            <w:r w:rsidRPr="00203CCE">
              <w:rPr>
                <w:sz w:val="18"/>
                <w:szCs w:val="18"/>
              </w:rPr>
              <w:fldChar w:fldCharType="separate"/>
            </w:r>
            <w:r>
              <w:rPr>
                <w:noProof/>
                <w:sz w:val="18"/>
                <w:szCs w:val="18"/>
              </w:rPr>
              <w:t>5</w:t>
            </w:r>
            <w:r w:rsidRPr="00203CCE">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8E594F" w14:textId="77777777" w:rsidR="002B73DC" w:rsidRDefault="002B73DC" w:rsidP="00301FE6">
      <w:pPr>
        <w:spacing w:before="0" w:line="240" w:lineRule="auto"/>
      </w:pPr>
      <w:r>
        <w:separator/>
      </w:r>
    </w:p>
  </w:footnote>
  <w:footnote w:type="continuationSeparator" w:id="0">
    <w:p w14:paraId="267F9832" w14:textId="77777777" w:rsidR="002B73DC" w:rsidRDefault="002B73DC" w:rsidP="00301FE6">
      <w:pPr>
        <w:spacing w:before="0" w:line="240" w:lineRule="auto"/>
      </w:pPr>
      <w:r>
        <w:continuationSeparator/>
      </w:r>
    </w:p>
  </w:footnote>
  <w:footnote w:id="1">
    <w:p w14:paraId="0E4D8738" w14:textId="77777777" w:rsidR="002A43EC" w:rsidRDefault="002A43EC" w:rsidP="004567F5">
      <w:pPr>
        <w:pStyle w:val="FootnoteText"/>
      </w:pPr>
      <w:r w:rsidRPr="008035D5">
        <w:rPr>
          <w:rStyle w:val="FootnoteReference"/>
        </w:rPr>
        <w:footnoteRef/>
      </w:r>
      <w:r>
        <w:tab/>
      </w:r>
      <w:r w:rsidRPr="008035D5">
        <w:t>Certain types of nuclear installation</w:t>
      </w:r>
      <w:r>
        <w:t>s</w:t>
      </w:r>
      <w:r w:rsidRPr="008035D5">
        <w:t xml:space="preserve"> may be prohibited in Australian jurisdictions by government policy or other legislation</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86F23"/>
    <w:multiLevelType w:val="hybridMultilevel"/>
    <w:tmpl w:val="D486A6A8"/>
    <w:lvl w:ilvl="0" w:tplc="0C090013">
      <w:start w:val="1"/>
      <w:numFmt w:val="upperRoman"/>
      <w:lvlText w:val="%1."/>
      <w:lvlJc w:val="right"/>
      <w:pPr>
        <w:ind w:left="2160" w:hanging="360"/>
      </w:pPr>
    </w:lvl>
    <w:lvl w:ilvl="1" w:tplc="0C090001">
      <w:start w:val="1"/>
      <w:numFmt w:val="bullet"/>
      <w:lvlText w:val=""/>
      <w:lvlJc w:val="left"/>
      <w:pPr>
        <w:ind w:left="2880" w:hanging="360"/>
      </w:pPr>
      <w:rPr>
        <w:rFonts w:ascii="Symbol" w:hAnsi="Symbol"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 w15:restartNumberingAfterBreak="0">
    <w:nsid w:val="04B83340"/>
    <w:multiLevelType w:val="hybridMultilevel"/>
    <w:tmpl w:val="DBDAEEB6"/>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09B759B4"/>
    <w:multiLevelType w:val="hybridMultilevel"/>
    <w:tmpl w:val="2536F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706228"/>
    <w:multiLevelType w:val="hybridMultilevel"/>
    <w:tmpl w:val="AE465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8C44BA"/>
    <w:multiLevelType w:val="hybridMultilevel"/>
    <w:tmpl w:val="8E8AE424"/>
    <w:lvl w:ilvl="0" w:tplc="9A70439C">
      <w:start w:val="1"/>
      <w:numFmt w:val="lowerLetter"/>
      <w:lvlText w:val="%1)"/>
      <w:lvlJc w:val="left"/>
      <w:pPr>
        <w:ind w:left="1224" w:hanging="360"/>
      </w:pPr>
      <w:rPr>
        <w:rFonts w:hint="default"/>
      </w:rPr>
    </w:lvl>
    <w:lvl w:ilvl="1" w:tplc="FFFFFFFF">
      <w:start w:val="1"/>
      <w:numFmt w:val="upperRoman"/>
      <w:lvlText w:val="%2."/>
      <w:lvlJc w:val="right"/>
      <w:pPr>
        <w:ind w:left="1944" w:hanging="360"/>
      </w:pPr>
    </w:lvl>
    <w:lvl w:ilvl="2" w:tplc="FFFFFFFF">
      <w:start w:val="1"/>
      <w:numFmt w:val="bullet"/>
      <w:lvlText w:val=""/>
      <w:lvlJc w:val="left"/>
      <w:pPr>
        <w:ind w:left="2664" w:hanging="180"/>
      </w:pPr>
      <w:rPr>
        <w:rFonts w:ascii="Symbol" w:hAnsi="Symbol" w:hint="default"/>
      </w:r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5" w15:restartNumberingAfterBreak="0">
    <w:nsid w:val="0EC71040"/>
    <w:multiLevelType w:val="hybridMultilevel"/>
    <w:tmpl w:val="15D29EF0"/>
    <w:lvl w:ilvl="0" w:tplc="0C09000F">
      <w:start w:val="1"/>
      <w:numFmt w:val="decimal"/>
      <w:lvlText w:val="%1."/>
      <w:lvlJc w:val="left"/>
      <w:pPr>
        <w:ind w:left="786"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100AB1"/>
    <w:multiLevelType w:val="hybridMultilevel"/>
    <w:tmpl w:val="53AC5C10"/>
    <w:lvl w:ilvl="0" w:tplc="E8465814">
      <w:start w:val="1"/>
      <w:numFmt w:val="lowerRoman"/>
      <w:pStyle w:val="ListParagraph"/>
      <w:lvlText w:val="%1)"/>
      <w:lvlJc w:val="left"/>
      <w:pPr>
        <w:ind w:left="1227" w:hanging="360"/>
      </w:pPr>
      <w:rPr>
        <w:rFonts w:hint="default"/>
      </w:rPr>
    </w:lvl>
    <w:lvl w:ilvl="1" w:tplc="0C090019" w:tentative="1">
      <w:start w:val="1"/>
      <w:numFmt w:val="lowerLetter"/>
      <w:lvlText w:val="%2."/>
      <w:lvlJc w:val="left"/>
      <w:pPr>
        <w:ind w:left="1946" w:hanging="360"/>
      </w:pPr>
    </w:lvl>
    <w:lvl w:ilvl="2" w:tplc="0C09001B" w:tentative="1">
      <w:start w:val="1"/>
      <w:numFmt w:val="lowerRoman"/>
      <w:lvlText w:val="%3."/>
      <w:lvlJc w:val="right"/>
      <w:pPr>
        <w:ind w:left="2666" w:hanging="180"/>
      </w:pPr>
    </w:lvl>
    <w:lvl w:ilvl="3" w:tplc="0C09000F" w:tentative="1">
      <w:start w:val="1"/>
      <w:numFmt w:val="decimal"/>
      <w:lvlText w:val="%4."/>
      <w:lvlJc w:val="left"/>
      <w:pPr>
        <w:ind w:left="3386" w:hanging="360"/>
      </w:pPr>
    </w:lvl>
    <w:lvl w:ilvl="4" w:tplc="0C090019" w:tentative="1">
      <w:start w:val="1"/>
      <w:numFmt w:val="lowerLetter"/>
      <w:lvlText w:val="%5."/>
      <w:lvlJc w:val="left"/>
      <w:pPr>
        <w:ind w:left="4106" w:hanging="360"/>
      </w:pPr>
    </w:lvl>
    <w:lvl w:ilvl="5" w:tplc="0C09001B" w:tentative="1">
      <w:start w:val="1"/>
      <w:numFmt w:val="lowerRoman"/>
      <w:lvlText w:val="%6."/>
      <w:lvlJc w:val="right"/>
      <w:pPr>
        <w:ind w:left="4826" w:hanging="180"/>
      </w:pPr>
    </w:lvl>
    <w:lvl w:ilvl="6" w:tplc="0C09000F" w:tentative="1">
      <w:start w:val="1"/>
      <w:numFmt w:val="decimal"/>
      <w:lvlText w:val="%7."/>
      <w:lvlJc w:val="left"/>
      <w:pPr>
        <w:ind w:left="5546" w:hanging="360"/>
      </w:pPr>
    </w:lvl>
    <w:lvl w:ilvl="7" w:tplc="0C090019" w:tentative="1">
      <w:start w:val="1"/>
      <w:numFmt w:val="lowerLetter"/>
      <w:lvlText w:val="%8."/>
      <w:lvlJc w:val="left"/>
      <w:pPr>
        <w:ind w:left="6266" w:hanging="360"/>
      </w:pPr>
    </w:lvl>
    <w:lvl w:ilvl="8" w:tplc="0C09001B" w:tentative="1">
      <w:start w:val="1"/>
      <w:numFmt w:val="lowerRoman"/>
      <w:lvlText w:val="%9."/>
      <w:lvlJc w:val="right"/>
      <w:pPr>
        <w:ind w:left="6986" w:hanging="180"/>
      </w:pPr>
    </w:lvl>
  </w:abstractNum>
  <w:abstractNum w:abstractNumId="7" w15:restartNumberingAfterBreak="0">
    <w:nsid w:val="16C53F21"/>
    <w:multiLevelType w:val="hybridMultilevel"/>
    <w:tmpl w:val="23BC5376"/>
    <w:lvl w:ilvl="0" w:tplc="FA205F9A">
      <w:start w:val="1"/>
      <w:numFmt w:val="lowerLetter"/>
      <w:lvlText w:val="%1)"/>
      <w:lvlJc w:val="left"/>
      <w:pPr>
        <w:ind w:left="1224" w:hanging="360"/>
      </w:pPr>
      <w:rPr>
        <w:rFonts w:hint="default"/>
      </w:rPr>
    </w:lvl>
    <w:lvl w:ilvl="1" w:tplc="FFFFFFFF">
      <w:start w:val="1"/>
      <w:numFmt w:val="upperRoman"/>
      <w:lvlText w:val="%2."/>
      <w:lvlJc w:val="right"/>
      <w:pPr>
        <w:ind w:left="1944" w:hanging="360"/>
      </w:pPr>
    </w:lvl>
    <w:lvl w:ilvl="2" w:tplc="FFFFFFFF">
      <w:start w:val="1"/>
      <w:numFmt w:val="bullet"/>
      <w:lvlText w:val=""/>
      <w:lvlJc w:val="left"/>
      <w:pPr>
        <w:ind w:left="2664" w:hanging="180"/>
      </w:pPr>
      <w:rPr>
        <w:rFonts w:ascii="Symbol" w:hAnsi="Symbol" w:hint="default"/>
      </w:r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8" w15:restartNumberingAfterBreak="0">
    <w:nsid w:val="16C94E4C"/>
    <w:multiLevelType w:val="hybridMultilevel"/>
    <w:tmpl w:val="07C8C21A"/>
    <w:lvl w:ilvl="0" w:tplc="734A3E9A">
      <w:start w:val="1"/>
      <w:numFmt w:val="lowerLetter"/>
      <w:lvlText w:val="%1)"/>
      <w:lvlJc w:val="left"/>
      <w:pPr>
        <w:ind w:left="1224" w:hanging="360"/>
      </w:pPr>
      <w:rPr>
        <w:rFonts w:hint="default"/>
      </w:rPr>
    </w:lvl>
    <w:lvl w:ilvl="1" w:tplc="FFFFFFFF">
      <w:start w:val="1"/>
      <w:numFmt w:val="upperRoman"/>
      <w:lvlText w:val="%2."/>
      <w:lvlJc w:val="right"/>
      <w:pPr>
        <w:ind w:left="1944" w:hanging="360"/>
      </w:pPr>
    </w:lvl>
    <w:lvl w:ilvl="2" w:tplc="FFFFFFFF">
      <w:start w:val="1"/>
      <w:numFmt w:val="bullet"/>
      <w:lvlText w:val=""/>
      <w:lvlJc w:val="left"/>
      <w:pPr>
        <w:ind w:left="2664" w:hanging="180"/>
      </w:pPr>
      <w:rPr>
        <w:rFonts w:ascii="Symbol" w:hAnsi="Symbol" w:hint="default"/>
      </w:r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9" w15:restartNumberingAfterBreak="0">
    <w:nsid w:val="1F8018F8"/>
    <w:multiLevelType w:val="hybridMultilevel"/>
    <w:tmpl w:val="3FBA4CB0"/>
    <w:lvl w:ilvl="0" w:tplc="B08203E2">
      <w:start w:val="1"/>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B57F25"/>
    <w:multiLevelType w:val="hybridMultilevel"/>
    <w:tmpl w:val="ECF29798"/>
    <w:lvl w:ilvl="0" w:tplc="FE6058C8">
      <w:start w:val="1"/>
      <w:numFmt w:val="lowerLetter"/>
      <w:lvlText w:val="%1)"/>
      <w:lvlJc w:val="left"/>
      <w:pPr>
        <w:ind w:left="1224" w:hanging="360"/>
      </w:pPr>
      <w:rPr>
        <w:rFonts w:hint="default"/>
      </w:rPr>
    </w:lvl>
    <w:lvl w:ilvl="1" w:tplc="FFFFFFFF">
      <w:start w:val="1"/>
      <w:numFmt w:val="upperRoman"/>
      <w:lvlText w:val="%2."/>
      <w:lvlJc w:val="right"/>
      <w:pPr>
        <w:ind w:left="1944" w:hanging="360"/>
      </w:pPr>
    </w:lvl>
    <w:lvl w:ilvl="2" w:tplc="FFFFFFFF">
      <w:start w:val="1"/>
      <w:numFmt w:val="bullet"/>
      <w:lvlText w:val=""/>
      <w:lvlJc w:val="left"/>
      <w:pPr>
        <w:ind w:left="2664" w:hanging="180"/>
      </w:pPr>
      <w:rPr>
        <w:rFonts w:ascii="Symbol" w:hAnsi="Symbol" w:hint="default"/>
      </w:r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1" w15:restartNumberingAfterBreak="0">
    <w:nsid w:val="2DA66E7C"/>
    <w:multiLevelType w:val="hybridMultilevel"/>
    <w:tmpl w:val="B86EC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5B63CE"/>
    <w:multiLevelType w:val="hybridMultilevel"/>
    <w:tmpl w:val="51964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E72BB2"/>
    <w:multiLevelType w:val="hybridMultilevel"/>
    <w:tmpl w:val="3FBA4CB0"/>
    <w:lvl w:ilvl="0" w:tplc="B08203E2">
      <w:start w:val="1"/>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717E08"/>
    <w:multiLevelType w:val="hybridMultilevel"/>
    <w:tmpl w:val="98100B6A"/>
    <w:lvl w:ilvl="0" w:tplc="B6E29B40">
      <w:start w:val="6"/>
      <w:numFmt w:val="lowerLetter"/>
      <w:lvlText w:val="%1)"/>
      <w:lvlJc w:val="left"/>
      <w:pPr>
        <w:ind w:left="1224" w:hanging="360"/>
      </w:pPr>
      <w:rPr>
        <w:rFonts w:hint="default"/>
      </w:rPr>
    </w:lvl>
    <w:lvl w:ilvl="1" w:tplc="FFFFFFFF">
      <w:start w:val="1"/>
      <w:numFmt w:val="upperRoman"/>
      <w:lvlText w:val="%2."/>
      <w:lvlJc w:val="right"/>
      <w:pPr>
        <w:ind w:left="1944" w:hanging="360"/>
      </w:pPr>
    </w:lvl>
    <w:lvl w:ilvl="2" w:tplc="FFFFFFFF">
      <w:start w:val="1"/>
      <w:numFmt w:val="bullet"/>
      <w:lvlText w:val=""/>
      <w:lvlJc w:val="left"/>
      <w:pPr>
        <w:ind w:left="2664" w:hanging="180"/>
      </w:pPr>
      <w:rPr>
        <w:rFonts w:ascii="Symbol" w:hAnsi="Symbol" w:hint="default"/>
      </w:r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5" w15:restartNumberingAfterBreak="0">
    <w:nsid w:val="3C537969"/>
    <w:multiLevelType w:val="multilevel"/>
    <w:tmpl w:val="43966838"/>
    <w:lvl w:ilvl="0">
      <w:start w:val="1"/>
      <w:numFmt w:val="decimal"/>
      <w:lvlText w:val="%1."/>
      <w:lvlJc w:val="left"/>
      <w:pPr>
        <w:ind w:left="680" w:hanging="680"/>
      </w:pPr>
      <w:rPr>
        <w:rFonts w:ascii="Calibri" w:hAnsi="Calibri" w:hint="default"/>
        <w:b/>
        <w:i w:val="0"/>
        <w:color w:val="4E1A74"/>
        <w:sz w:val="32"/>
      </w:rPr>
    </w:lvl>
    <w:lvl w:ilvl="1">
      <w:start w:val="1"/>
      <w:numFmt w:val="decimal"/>
      <w:lvlText w:val="%1.%2"/>
      <w:lvlJc w:val="left"/>
      <w:pPr>
        <w:ind w:left="7768" w:hanging="680"/>
      </w:pPr>
      <w:rPr>
        <w:rFonts w:ascii="Calibri" w:hAnsi="Calibri" w:hint="default"/>
        <w:b/>
        <w:i w:val="0"/>
        <w:color w:val="4E1A74"/>
        <w:sz w:val="28"/>
      </w:rPr>
    </w:lvl>
    <w:lvl w:ilvl="2">
      <w:start w:val="1"/>
      <w:numFmt w:val="decimal"/>
      <w:pStyle w:val="Heading3"/>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lvlText w:val="%1.%2.%4"/>
      <w:lvlJc w:val="left"/>
      <w:pPr>
        <w:ind w:left="864" w:hanging="864"/>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RPSBodyTextalpha"/>
      <w:lvlText w:val="(%5)"/>
      <w:lvlJc w:val="left"/>
      <w:pPr>
        <w:ind w:left="1008" w:hanging="1008"/>
      </w:pPr>
      <w:rPr>
        <w:rFonts w:hint="default"/>
      </w:rPr>
    </w:lvl>
    <w:lvl w:ilvl="5">
      <w:start w:val="1"/>
      <w:numFmt w:val="lowerRoman"/>
      <w:pStyle w:val="RPSRomanBodyText"/>
      <w:lvlText w:val="(%6)"/>
      <w:lvlJc w:val="left"/>
      <w:pPr>
        <w:ind w:left="1152" w:hanging="1152"/>
      </w:pPr>
      <w:rPr>
        <w:rFonts w:ascii="Calibri" w:hAnsi="Calibri" w:hint="default"/>
        <w:sz w:val="22"/>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3F277477"/>
    <w:multiLevelType w:val="hybridMultilevel"/>
    <w:tmpl w:val="7AEE891C"/>
    <w:lvl w:ilvl="0" w:tplc="9A70439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46C26EE"/>
    <w:multiLevelType w:val="hybridMultilevel"/>
    <w:tmpl w:val="293AEC2C"/>
    <w:lvl w:ilvl="0" w:tplc="DCD8E99C">
      <w:start w:val="1"/>
      <w:numFmt w:val="decimal"/>
      <w:pStyle w:val="Paranumbered"/>
      <w:lvlText w:val="%1"/>
      <w:lvlJc w:val="left"/>
      <w:pPr>
        <w:ind w:left="502" w:hanging="360"/>
      </w:pPr>
      <w:rPr>
        <w:i w:val="0"/>
        <w:iCs w:val="0"/>
        <w:caps w:val="0"/>
        <w:smallCaps w:val="0"/>
        <w:strike w:val="0"/>
        <w:dstrike w:val="0"/>
        <w:vanish w:val="0"/>
        <w:color w:val="444444"/>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ED8CC46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6838B7"/>
    <w:multiLevelType w:val="hybridMultilevel"/>
    <w:tmpl w:val="47501494"/>
    <w:lvl w:ilvl="0" w:tplc="FFFFFFFF">
      <w:start w:val="1"/>
      <w:numFmt w:val="lowerLetter"/>
      <w:lvlText w:val="%1)"/>
      <w:lvlJc w:val="left"/>
      <w:pPr>
        <w:ind w:left="870" w:hanging="360"/>
      </w:pPr>
    </w:lvl>
    <w:lvl w:ilvl="1" w:tplc="FFFFFFFF">
      <w:start w:val="1"/>
      <w:numFmt w:val="upperRoman"/>
      <w:lvlText w:val="%2."/>
      <w:lvlJc w:val="right"/>
      <w:pPr>
        <w:ind w:left="1590" w:hanging="360"/>
      </w:pPr>
    </w:lvl>
    <w:lvl w:ilvl="2" w:tplc="FFFFFFFF">
      <w:start w:val="1"/>
      <w:numFmt w:val="bullet"/>
      <w:lvlText w:val=""/>
      <w:lvlJc w:val="left"/>
      <w:pPr>
        <w:ind w:left="2310" w:hanging="180"/>
      </w:pPr>
      <w:rPr>
        <w:rFonts w:ascii="Symbol" w:hAnsi="Symbol" w:hint="default"/>
      </w:r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9" w15:restartNumberingAfterBreak="0">
    <w:nsid w:val="567D3345"/>
    <w:multiLevelType w:val="hybridMultilevel"/>
    <w:tmpl w:val="3E0A60C0"/>
    <w:lvl w:ilvl="0" w:tplc="2F82EDDC">
      <w:start w:val="1"/>
      <w:numFmt w:val="lowerLetter"/>
      <w:pStyle w:val="List1"/>
      <w:lvlText w:val="%1)"/>
      <w:lvlJc w:val="left"/>
      <w:pPr>
        <w:ind w:left="870" w:hanging="360"/>
      </w:pPr>
      <w:rPr>
        <w:rFonts w:hint="default"/>
      </w:rPr>
    </w:lvl>
    <w:lvl w:ilvl="1" w:tplc="FFFFFFFF">
      <w:start w:val="1"/>
      <w:numFmt w:val="upperRoman"/>
      <w:lvlText w:val="%2."/>
      <w:lvlJc w:val="right"/>
      <w:pPr>
        <w:ind w:left="1590" w:hanging="360"/>
      </w:pPr>
    </w:lvl>
    <w:lvl w:ilvl="2" w:tplc="FFFFFFFF">
      <w:start w:val="1"/>
      <w:numFmt w:val="bullet"/>
      <w:lvlText w:val=""/>
      <w:lvlJc w:val="left"/>
      <w:pPr>
        <w:ind w:left="2310" w:hanging="180"/>
      </w:pPr>
      <w:rPr>
        <w:rFonts w:ascii="Symbol" w:hAnsi="Symbol" w:hint="default"/>
      </w:r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20" w15:restartNumberingAfterBreak="0">
    <w:nsid w:val="59D20758"/>
    <w:multiLevelType w:val="hybridMultilevel"/>
    <w:tmpl w:val="F272ACBC"/>
    <w:lvl w:ilvl="0" w:tplc="0C09001B">
      <w:start w:val="1"/>
      <w:numFmt w:val="lowerRoman"/>
      <w:lvlText w:val="%1."/>
      <w:lvlJc w:val="righ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1" w15:restartNumberingAfterBreak="0">
    <w:nsid w:val="5EEA0597"/>
    <w:multiLevelType w:val="hybridMultilevel"/>
    <w:tmpl w:val="4C6C3C56"/>
    <w:lvl w:ilvl="0" w:tplc="0C090013">
      <w:start w:val="1"/>
      <w:numFmt w:val="upperRoman"/>
      <w:lvlText w:val="%1."/>
      <w:lvlJc w:val="right"/>
      <w:pPr>
        <w:ind w:left="1080" w:hanging="360"/>
      </w:pPr>
    </w:lvl>
    <w:lvl w:ilvl="1" w:tplc="0C09001B">
      <w:start w:val="1"/>
      <w:numFmt w:val="lowerRoman"/>
      <w:lvlText w:val="%2."/>
      <w:lvlJc w:val="righ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A0E6671"/>
    <w:multiLevelType w:val="hybridMultilevel"/>
    <w:tmpl w:val="97CE4FC4"/>
    <w:lvl w:ilvl="0" w:tplc="BFE436A6">
      <w:start w:val="5"/>
      <w:numFmt w:val="lowerLetter"/>
      <w:lvlText w:val="%1)"/>
      <w:lvlJc w:val="left"/>
      <w:pPr>
        <w:ind w:left="1224" w:hanging="360"/>
      </w:pPr>
      <w:rPr>
        <w:rFonts w:hint="default"/>
      </w:rPr>
    </w:lvl>
    <w:lvl w:ilvl="1" w:tplc="FFFFFFFF">
      <w:start w:val="1"/>
      <w:numFmt w:val="upperRoman"/>
      <w:lvlText w:val="%2."/>
      <w:lvlJc w:val="right"/>
      <w:pPr>
        <w:ind w:left="1944" w:hanging="360"/>
      </w:pPr>
    </w:lvl>
    <w:lvl w:ilvl="2" w:tplc="FFFFFFFF">
      <w:start w:val="1"/>
      <w:numFmt w:val="bullet"/>
      <w:lvlText w:val=""/>
      <w:lvlJc w:val="left"/>
      <w:pPr>
        <w:ind w:left="2664" w:hanging="180"/>
      </w:pPr>
      <w:rPr>
        <w:rFonts w:ascii="Symbol" w:hAnsi="Symbol" w:hint="default"/>
      </w:r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23" w15:restartNumberingAfterBreak="0">
    <w:nsid w:val="6BC241D1"/>
    <w:multiLevelType w:val="hybridMultilevel"/>
    <w:tmpl w:val="79C2974C"/>
    <w:lvl w:ilvl="0" w:tplc="0C090013">
      <w:start w:val="1"/>
      <w:numFmt w:val="upperRoman"/>
      <w:lvlText w:val="%1."/>
      <w:lvlJc w:val="right"/>
      <w:pPr>
        <w:ind w:left="2160" w:hanging="360"/>
      </w:pPr>
    </w:lvl>
    <w:lvl w:ilvl="1" w:tplc="0C090019">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4" w15:restartNumberingAfterBreak="0">
    <w:nsid w:val="6DCC08D4"/>
    <w:multiLevelType w:val="hybridMultilevel"/>
    <w:tmpl w:val="BD2A70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31D6C68"/>
    <w:multiLevelType w:val="hybridMultilevel"/>
    <w:tmpl w:val="31F4E2F6"/>
    <w:lvl w:ilvl="0" w:tplc="2500CC52">
      <w:start w:val="1"/>
      <w:numFmt w:val="lowerLetter"/>
      <w:lvlText w:val="%1)"/>
      <w:lvlJc w:val="left"/>
      <w:pPr>
        <w:ind w:left="1224" w:hanging="360"/>
      </w:pPr>
      <w:rPr>
        <w:rFonts w:hint="default"/>
      </w:rPr>
    </w:lvl>
    <w:lvl w:ilvl="1" w:tplc="FFFFFFFF">
      <w:start w:val="1"/>
      <w:numFmt w:val="upperRoman"/>
      <w:lvlText w:val="%2."/>
      <w:lvlJc w:val="right"/>
      <w:pPr>
        <w:ind w:left="1944" w:hanging="360"/>
      </w:pPr>
    </w:lvl>
    <w:lvl w:ilvl="2" w:tplc="FFFFFFFF">
      <w:start w:val="1"/>
      <w:numFmt w:val="bullet"/>
      <w:lvlText w:val=""/>
      <w:lvlJc w:val="left"/>
      <w:pPr>
        <w:ind w:left="2664" w:hanging="180"/>
      </w:pPr>
      <w:rPr>
        <w:rFonts w:ascii="Symbol" w:hAnsi="Symbol" w:hint="default"/>
      </w:r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26" w15:restartNumberingAfterBreak="0">
    <w:nsid w:val="7D2127EE"/>
    <w:multiLevelType w:val="hybridMultilevel"/>
    <w:tmpl w:val="61EC02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D3D6153"/>
    <w:multiLevelType w:val="hybridMultilevel"/>
    <w:tmpl w:val="A736765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17"/>
  </w:num>
  <w:num w:numId="3">
    <w:abstractNumId w:val="27"/>
  </w:num>
  <w:num w:numId="4">
    <w:abstractNumId w:val="6"/>
  </w:num>
  <w:num w:numId="5">
    <w:abstractNumId w:val="18"/>
  </w:num>
  <w:num w:numId="6">
    <w:abstractNumId w:val="17"/>
    <w:lvlOverride w:ilvl="0">
      <w:startOverride w:val="22"/>
    </w:lvlOverride>
  </w:num>
  <w:num w:numId="7">
    <w:abstractNumId w:val="1"/>
  </w:num>
  <w:num w:numId="8">
    <w:abstractNumId w:val="24"/>
  </w:num>
  <w:num w:numId="9">
    <w:abstractNumId w:val="21"/>
  </w:num>
  <w:num w:numId="10">
    <w:abstractNumId w:val="23"/>
  </w:num>
  <w:num w:numId="11">
    <w:abstractNumId w:val="18"/>
    <w:lvlOverride w:ilvl="0">
      <w:startOverride w:val="1"/>
    </w:lvlOverride>
  </w:num>
  <w:num w:numId="12">
    <w:abstractNumId w:val="12"/>
  </w:num>
  <w:num w:numId="13">
    <w:abstractNumId w:val="8"/>
  </w:num>
  <w:num w:numId="14">
    <w:abstractNumId w:val="19"/>
  </w:num>
  <w:num w:numId="15">
    <w:abstractNumId w:val="19"/>
    <w:lvlOverride w:ilvl="0">
      <w:startOverride w:val="1"/>
    </w:lvlOverride>
  </w:num>
  <w:num w:numId="16">
    <w:abstractNumId w:val="4"/>
  </w:num>
  <w:num w:numId="17">
    <w:abstractNumId w:val="7"/>
  </w:num>
  <w:num w:numId="18">
    <w:abstractNumId w:val="25"/>
  </w:num>
  <w:num w:numId="19">
    <w:abstractNumId w:val="10"/>
  </w:num>
  <w:num w:numId="20">
    <w:abstractNumId w:val="26"/>
  </w:num>
  <w:num w:numId="21">
    <w:abstractNumId w:val="20"/>
  </w:num>
  <w:num w:numId="22">
    <w:abstractNumId w:val="5"/>
  </w:num>
  <w:num w:numId="23">
    <w:abstractNumId w:val="13"/>
  </w:num>
  <w:num w:numId="24">
    <w:abstractNumId w:val="9"/>
  </w:num>
  <w:num w:numId="25">
    <w:abstractNumId w:val="16"/>
  </w:num>
  <w:num w:numId="26">
    <w:abstractNumId w:val="22"/>
  </w:num>
  <w:num w:numId="27">
    <w:abstractNumId w:val="14"/>
  </w:num>
  <w:num w:numId="28">
    <w:abstractNumId w:val="15"/>
  </w:num>
  <w:num w:numId="29">
    <w:abstractNumId w:val="11"/>
  </w:num>
  <w:num w:numId="30">
    <w:abstractNumId w:val="3"/>
  </w:num>
  <w:num w:numId="31">
    <w:abstractNumId w:val="2"/>
  </w:num>
  <w:num w:numId="32">
    <w:abstractNumId w:val="17"/>
  </w:num>
  <w:num w:numId="33">
    <w:abstractNumId w:val="17"/>
  </w:num>
  <w:num w:numId="34">
    <w:abstractNumId w:val="17"/>
  </w:num>
  <w:num w:numId="35">
    <w:abstractNumId w:val="17"/>
  </w:num>
  <w:num w:numId="36">
    <w:abstractNumId w:val="0"/>
  </w:num>
  <w:num w:numId="37">
    <w:abstractNumId w:val="19"/>
    <w:lvlOverride w:ilvl="0">
      <w:startOverride w:val="1"/>
    </w:lvlOverride>
  </w:num>
  <w:num w:numId="38">
    <w:abstractNumId w:val="19"/>
    <w:lvlOverride w:ilvl="0">
      <w:startOverride w:val="1"/>
    </w:lvlOverride>
  </w:num>
  <w:num w:numId="39">
    <w:abstractNumId w:val="6"/>
    <w:lvlOverride w:ilvl="0">
      <w:startOverride w:val="1"/>
    </w:lvlOverride>
  </w:num>
  <w:num w:numId="40">
    <w:abstractNumId w:val="19"/>
    <w:lvlOverride w:ilvl="0">
      <w:startOverride w:val="1"/>
    </w:lvlOverride>
  </w:num>
  <w:num w:numId="41">
    <w:abstractNumId w:val="19"/>
    <w:lvlOverride w:ilvl="0">
      <w:startOverride w:val="1"/>
    </w:lvlOverride>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00F"/>
    <w:rsid w:val="0000228D"/>
    <w:rsid w:val="00003DDC"/>
    <w:rsid w:val="00003E8C"/>
    <w:rsid w:val="0000658D"/>
    <w:rsid w:val="0000704A"/>
    <w:rsid w:val="0001175F"/>
    <w:rsid w:val="00011A1E"/>
    <w:rsid w:val="000123AC"/>
    <w:rsid w:val="0001240B"/>
    <w:rsid w:val="00012510"/>
    <w:rsid w:val="000159A3"/>
    <w:rsid w:val="0001624A"/>
    <w:rsid w:val="00024BC5"/>
    <w:rsid w:val="00024E97"/>
    <w:rsid w:val="00032BD5"/>
    <w:rsid w:val="00037C09"/>
    <w:rsid w:val="000403DE"/>
    <w:rsid w:val="00040E14"/>
    <w:rsid w:val="00041B4B"/>
    <w:rsid w:val="00042B28"/>
    <w:rsid w:val="0004439A"/>
    <w:rsid w:val="0004595F"/>
    <w:rsid w:val="00047911"/>
    <w:rsid w:val="00051375"/>
    <w:rsid w:val="0005139B"/>
    <w:rsid w:val="00051525"/>
    <w:rsid w:val="00051A5A"/>
    <w:rsid w:val="00052AD8"/>
    <w:rsid w:val="00054176"/>
    <w:rsid w:val="00055B57"/>
    <w:rsid w:val="00055BE9"/>
    <w:rsid w:val="00055E6C"/>
    <w:rsid w:val="0006058B"/>
    <w:rsid w:val="0006213B"/>
    <w:rsid w:val="000628D5"/>
    <w:rsid w:val="00062E9B"/>
    <w:rsid w:val="0006427D"/>
    <w:rsid w:val="00065ACB"/>
    <w:rsid w:val="00067EE4"/>
    <w:rsid w:val="00070000"/>
    <w:rsid w:val="000703F4"/>
    <w:rsid w:val="000744AF"/>
    <w:rsid w:val="00075383"/>
    <w:rsid w:val="0007716F"/>
    <w:rsid w:val="00077F66"/>
    <w:rsid w:val="000802D0"/>
    <w:rsid w:val="00080BBC"/>
    <w:rsid w:val="00080E6C"/>
    <w:rsid w:val="00081BED"/>
    <w:rsid w:val="000821FA"/>
    <w:rsid w:val="00084507"/>
    <w:rsid w:val="00084BA4"/>
    <w:rsid w:val="0008505D"/>
    <w:rsid w:val="00085FB9"/>
    <w:rsid w:val="000879C3"/>
    <w:rsid w:val="00087EB6"/>
    <w:rsid w:val="00093152"/>
    <w:rsid w:val="00095F18"/>
    <w:rsid w:val="000976BC"/>
    <w:rsid w:val="00097F7A"/>
    <w:rsid w:val="000A0706"/>
    <w:rsid w:val="000A0827"/>
    <w:rsid w:val="000A09F9"/>
    <w:rsid w:val="000A22D1"/>
    <w:rsid w:val="000A4739"/>
    <w:rsid w:val="000A73DB"/>
    <w:rsid w:val="000A7758"/>
    <w:rsid w:val="000B0BB2"/>
    <w:rsid w:val="000B4355"/>
    <w:rsid w:val="000B4699"/>
    <w:rsid w:val="000B70A6"/>
    <w:rsid w:val="000C1113"/>
    <w:rsid w:val="000C17F1"/>
    <w:rsid w:val="000C3BDA"/>
    <w:rsid w:val="000C4169"/>
    <w:rsid w:val="000C4320"/>
    <w:rsid w:val="000D046F"/>
    <w:rsid w:val="000D0901"/>
    <w:rsid w:val="000D143C"/>
    <w:rsid w:val="000D1446"/>
    <w:rsid w:val="000D1E0B"/>
    <w:rsid w:val="000D5DB7"/>
    <w:rsid w:val="000D7F33"/>
    <w:rsid w:val="000D7F8B"/>
    <w:rsid w:val="000E0161"/>
    <w:rsid w:val="000E2299"/>
    <w:rsid w:val="000E2903"/>
    <w:rsid w:val="000E7242"/>
    <w:rsid w:val="000F2583"/>
    <w:rsid w:val="000F268D"/>
    <w:rsid w:val="000F3150"/>
    <w:rsid w:val="000F4031"/>
    <w:rsid w:val="000F45BF"/>
    <w:rsid w:val="000F4F10"/>
    <w:rsid w:val="000F5BEF"/>
    <w:rsid w:val="000F69F9"/>
    <w:rsid w:val="000F74BD"/>
    <w:rsid w:val="000F7F51"/>
    <w:rsid w:val="001022E1"/>
    <w:rsid w:val="00102595"/>
    <w:rsid w:val="00106ED4"/>
    <w:rsid w:val="00107570"/>
    <w:rsid w:val="00107C35"/>
    <w:rsid w:val="00107C55"/>
    <w:rsid w:val="001138F3"/>
    <w:rsid w:val="0011590C"/>
    <w:rsid w:val="001214BA"/>
    <w:rsid w:val="00121EDC"/>
    <w:rsid w:val="00122781"/>
    <w:rsid w:val="00124419"/>
    <w:rsid w:val="001259CB"/>
    <w:rsid w:val="00125A4B"/>
    <w:rsid w:val="00125CAC"/>
    <w:rsid w:val="00126F3D"/>
    <w:rsid w:val="00127797"/>
    <w:rsid w:val="001338FB"/>
    <w:rsid w:val="00141885"/>
    <w:rsid w:val="00141BB9"/>
    <w:rsid w:val="00141CC9"/>
    <w:rsid w:val="00142CE9"/>
    <w:rsid w:val="00143ED8"/>
    <w:rsid w:val="00144533"/>
    <w:rsid w:val="00145507"/>
    <w:rsid w:val="001455F6"/>
    <w:rsid w:val="001467EE"/>
    <w:rsid w:val="00147014"/>
    <w:rsid w:val="00147D82"/>
    <w:rsid w:val="0015052A"/>
    <w:rsid w:val="00151415"/>
    <w:rsid w:val="00151E65"/>
    <w:rsid w:val="0015409F"/>
    <w:rsid w:val="00155C60"/>
    <w:rsid w:val="00161B29"/>
    <w:rsid w:val="00163D7B"/>
    <w:rsid w:val="00163DA6"/>
    <w:rsid w:val="00165630"/>
    <w:rsid w:val="00167C3B"/>
    <w:rsid w:val="00172A01"/>
    <w:rsid w:val="00172ED0"/>
    <w:rsid w:val="00173210"/>
    <w:rsid w:val="0017399E"/>
    <w:rsid w:val="00175C8D"/>
    <w:rsid w:val="001760B1"/>
    <w:rsid w:val="00185402"/>
    <w:rsid w:val="001857CC"/>
    <w:rsid w:val="00187508"/>
    <w:rsid w:val="001913E6"/>
    <w:rsid w:val="00192EDD"/>
    <w:rsid w:val="00194F93"/>
    <w:rsid w:val="001A1579"/>
    <w:rsid w:val="001A172B"/>
    <w:rsid w:val="001A1F0C"/>
    <w:rsid w:val="001A4F30"/>
    <w:rsid w:val="001A5B77"/>
    <w:rsid w:val="001A5C0D"/>
    <w:rsid w:val="001A6D33"/>
    <w:rsid w:val="001A7001"/>
    <w:rsid w:val="001A783B"/>
    <w:rsid w:val="001B18F4"/>
    <w:rsid w:val="001B2F21"/>
    <w:rsid w:val="001B5D33"/>
    <w:rsid w:val="001B67DA"/>
    <w:rsid w:val="001B6ED0"/>
    <w:rsid w:val="001C073C"/>
    <w:rsid w:val="001C64CB"/>
    <w:rsid w:val="001C7CA9"/>
    <w:rsid w:val="001D148C"/>
    <w:rsid w:val="001D15FC"/>
    <w:rsid w:val="001D22D4"/>
    <w:rsid w:val="001D22F2"/>
    <w:rsid w:val="001D2C4C"/>
    <w:rsid w:val="001D30B4"/>
    <w:rsid w:val="001D4D39"/>
    <w:rsid w:val="001D5830"/>
    <w:rsid w:val="001D5D4A"/>
    <w:rsid w:val="001D5EA4"/>
    <w:rsid w:val="001D5FC5"/>
    <w:rsid w:val="001D6018"/>
    <w:rsid w:val="001D70F5"/>
    <w:rsid w:val="001D72D2"/>
    <w:rsid w:val="001D7A01"/>
    <w:rsid w:val="001E1F8C"/>
    <w:rsid w:val="001E238E"/>
    <w:rsid w:val="001E3533"/>
    <w:rsid w:val="001E4E36"/>
    <w:rsid w:val="001E6745"/>
    <w:rsid w:val="001E6A4D"/>
    <w:rsid w:val="001E6AF4"/>
    <w:rsid w:val="001F2E2A"/>
    <w:rsid w:val="001F2ECB"/>
    <w:rsid w:val="001F4B33"/>
    <w:rsid w:val="001F5B50"/>
    <w:rsid w:val="001F66AA"/>
    <w:rsid w:val="001F6778"/>
    <w:rsid w:val="001F7E1F"/>
    <w:rsid w:val="00202197"/>
    <w:rsid w:val="002023E8"/>
    <w:rsid w:val="0020477A"/>
    <w:rsid w:val="00205ED2"/>
    <w:rsid w:val="002060F3"/>
    <w:rsid w:val="00211DC0"/>
    <w:rsid w:val="00212EFF"/>
    <w:rsid w:val="00213DD9"/>
    <w:rsid w:val="0021486F"/>
    <w:rsid w:val="002168BC"/>
    <w:rsid w:val="00222C40"/>
    <w:rsid w:val="00226CC1"/>
    <w:rsid w:val="00227280"/>
    <w:rsid w:val="0022781B"/>
    <w:rsid w:val="00227C88"/>
    <w:rsid w:val="00231232"/>
    <w:rsid w:val="0023501E"/>
    <w:rsid w:val="0023548F"/>
    <w:rsid w:val="002379D4"/>
    <w:rsid w:val="0024219B"/>
    <w:rsid w:val="00243B5C"/>
    <w:rsid w:val="00245F21"/>
    <w:rsid w:val="00247E72"/>
    <w:rsid w:val="002511BA"/>
    <w:rsid w:val="00254776"/>
    <w:rsid w:val="002554EE"/>
    <w:rsid w:val="00262C35"/>
    <w:rsid w:val="002648AD"/>
    <w:rsid w:val="002658CF"/>
    <w:rsid w:val="0027262B"/>
    <w:rsid w:val="002737EC"/>
    <w:rsid w:val="0027444A"/>
    <w:rsid w:val="00275BDD"/>
    <w:rsid w:val="002764D4"/>
    <w:rsid w:val="00277A11"/>
    <w:rsid w:val="00284887"/>
    <w:rsid w:val="00287196"/>
    <w:rsid w:val="00291AD5"/>
    <w:rsid w:val="00292834"/>
    <w:rsid w:val="00293188"/>
    <w:rsid w:val="002948A9"/>
    <w:rsid w:val="0029509D"/>
    <w:rsid w:val="00297BA2"/>
    <w:rsid w:val="00297DE9"/>
    <w:rsid w:val="002A1CAC"/>
    <w:rsid w:val="002A2AD7"/>
    <w:rsid w:val="002A2B71"/>
    <w:rsid w:val="002A3BC4"/>
    <w:rsid w:val="002A43EC"/>
    <w:rsid w:val="002A489B"/>
    <w:rsid w:val="002A6C40"/>
    <w:rsid w:val="002A6D2C"/>
    <w:rsid w:val="002A70AF"/>
    <w:rsid w:val="002B3E3C"/>
    <w:rsid w:val="002B3FCE"/>
    <w:rsid w:val="002B4652"/>
    <w:rsid w:val="002B4B10"/>
    <w:rsid w:val="002B5B94"/>
    <w:rsid w:val="002B616C"/>
    <w:rsid w:val="002B6987"/>
    <w:rsid w:val="002B73DC"/>
    <w:rsid w:val="002B76FB"/>
    <w:rsid w:val="002C15AC"/>
    <w:rsid w:val="002C7403"/>
    <w:rsid w:val="002C7923"/>
    <w:rsid w:val="002C7932"/>
    <w:rsid w:val="002D0791"/>
    <w:rsid w:val="002D1D5B"/>
    <w:rsid w:val="002D5A2E"/>
    <w:rsid w:val="002D72E4"/>
    <w:rsid w:val="002D7771"/>
    <w:rsid w:val="002E0F95"/>
    <w:rsid w:val="002E3909"/>
    <w:rsid w:val="002E3A79"/>
    <w:rsid w:val="002E4D48"/>
    <w:rsid w:val="002E6CC0"/>
    <w:rsid w:val="002F007A"/>
    <w:rsid w:val="002F15BD"/>
    <w:rsid w:val="002F188F"/>
    <w:rsid w:val="002F21E0"/>
    <w:rsid w:val="002F37EB"/>
    <w:rsid w:val="002F41C5"/>
    <w:rsid w:val="002F4C2C"/>
    <w:rsid w:val="002F6567"/>
    <w:rsid w:val="002F7D7C"/>
    <w:rsid w:val="0030037B"/>
    <w:rsid w:val="00301233"/>
    <w:rsid w:val="00301834"/>
    <w:rsid w:val="00301B68"/>
    <w:rsid w:val="00301FE6"/>
    <w:rsid w:val="0030557C"/>
    <w:rsid w:val="00305A21"/>
    <w:rsid w:val="00306013"/>
    <w:rsid w:val="00310CFF"/>
    <w:rsid w:val="00311002"/>
    <w:rsid w:val="00311C3F"/>
    <w:rsid w:val="00312330"/>
    <w:rsid w:val="00315723"/>
    <w:rsid w:val="00315EBE"/>
    <w:rsid w:val="003165D0"/>
    <w:rsid w:val="003168C6"/>
    <w:rsid w:val="0032069E"/>
    <w:rsid w:val="00321B57"/>
    <w:rsid w:val="00323F07"/>
    <w:rsid w:val="0032497C"/>
    <w:rsid w:val="00324C1C"/>
    <w:rsid w:val="0032712D"/>
    <w:rsid w:val="0033196E"/>
    <w:rsid w:val="00332958"/>
    <w:rsid w:val="003329EB"/>
    <w:rsid w:val="00333365"/>
    <w:rsid w:val="00333D30"/>
    <w:rsid w:val="003344C0"/>
    <w:rsid w:val="00335ADD"/>
    <w:rsid w:val="0034020A"/>
    <w:rsid w:val="003402F2"/>
    <w:rsid w:val="00343662"/>
    <w:rsid w:val="0034452B"/>
    <w:rsid w:val="00344A88"/>
    <w:rsid w:val="003450C7"/>
    <w:rsid w:val="00350653"/>
    <w:rsid w:val="003508D0"/>
    <w:rsid w:val="00350F69"/>
    <w:rsid w:val="00351DD8"/>
    <w:rsid w:val="0035282E"/>
    <w:rsid w:val="00353AF5"/>
    <w:rsid w:val="00354FA6"/>
    <w:rsid w:val="003559AA"/>
    <w:rsid w:val="003564F8"/>
    <w:rsid w:val="003579F6"/>
    <w:rsid w:val="00360B36"/>
    <w:rsid w:val="003643A4"/>
    <w:rsid w:val="003651EB"/>
    <w:rsid w:val="003658D7"/>
    <w:rsid w:val="00365E87"/>
    <w:rsid w:val="00366E98"/>
    <w:rsid w:val="0037042E"/>
    <w:rsid w:val="0037302F"/>
    <w:rsid w:val="0037358A"/>
    <w:rsid w:val="003736D7"/>
    <w:rsid w:val="00373E2C"/>
    <w:rsid w:val="00374189"/>
    <w:rsid w:val="0037434D"/>
    <w:rsid w:val="00374F26"/>
    <w:rsid w:val="00381F75"/>
    <w:rsid w:val="00382E68"/>
    <w:rsid w:val="00382EA3"/>
    <w:rsid w:val="003833CD"/>
    <w:rsid w:val="00384C0A"/>
    <w:rsid w:val="003851D2"/>
    <w:rsid w:val="00385814"/>
    <w:rsid w:val="0038681A"/>
    <w:rsid w:val="00390053"/>
    <w:rsid w:val="00392053"/>
    <w:rsid w:val="003947D5"/>
    <w:rsid w:val="00394E7C"/>
    <w:rsid w:val="00395C33"/>
    <w:rsid w:val="003969A6"/>
    <w:rsid w:val="00397B5F"/>
    <w:rsid w:val="003A0E56"/>
    <w:rsid w:val="003A1DD4"/>
    <w:rsid w:val="003A360E"/>
    <w:rsid w:val="003B1BF9"/>
    <w:rsid w:val="003B4DDB"/>
    <w:rsid w:val="003B5A01"/>
    <w:rsid w:val="003B6370"/>
    <w:rsid w:val="003B642D"/>
    <w:rsid w:val="003B73A9"/>
    <w:rsid w:val="003B7AA9"/>
    <w:rsid w:val="003C03D8"/>
    <w:rsid w:val="003C2C9F"/>
    <w:rsid w:val="003C471E"/>
    <w:rsid w:val="003C765C"/>
    <w:rsid w:val="003D03C4"/>
    <w:rsid w:val="003D0846"/>
    <w:rsid w:val="003D0A94"/>
    <w:rsid w:val="003D3B1B"/>
    <w:rsid w:val="003D4082"/>
    <w:rsid w:val="003D6583"/>
    <w:rsid w:val="003D67AC"/>
    <w:rsid w:val="003D79C9"/>
    <w:rsid w:val="003E168E"/>
    <w:rsid w:val="003E1C53"/>
    <w:rsid w:val="003E1F16"/>
    <w:rsid w:val="003E2D80"/>
    <w:rsid w:val="003E622A"/>
    <w:rsid w:val="003F387F"/>
    <w:rsid w:val="003F39A4"/>
    <w:rsid w:val="003F5800"/>
    <w:rsid w:val="003F6388"/>
    <w:rsid w:val="003F753A"/>
    <w:rsid w:val="003F7EFF"/>
    <w:rsid w:val="0040064D"/>
    <w:rsid w:val="004016AF"/>
    <w:rsid w:val="00401EBC"/>
    <w:rsid w:val="00404717"/>
    <w:rsid w:val="00404A15"/>
    <w:rsid w:val="0040518C"/>
    <w:rsid w:val="0040667A"/>
    <w:rsid w:val="00407F54"/>
    <w:rsid w:val="00410BF1"/>
    <w:rsid w:val="00412300"/>
    <w:rsid w:val="0041320F"/>
    <w:rsid w:val="004159BA"/>
    <w:rsid w:val="00417CE0"/>
    <w:rsid w:val="004204E6"/>
    <w:rsid w:val="00420A1A"/>
    <w:rsid w:val="00420D0D"/>
    <w:rsid w:val="00426DC2"/>
    <w:rsid w:val="00427703"/>
    <w:rsid w:val="00430154"/>
    <w:rsid w:val="00433523"/>
    <w:rsid w:val="0043719C"/>
    <w:rsid w:val="004444A8"/>
    <w:rsid w:val="00446DD1"/>
    <w:rsid w:val="00447DB1"/>
    <w:rsid w:val="004567F5"/>
    <w:rsid w:val="00464AB5"/>
    <w:rsid w:val="0046526A"/>
    <w:rsid w:val="004655BC"/>
    <w:rsid w:val="00465ED8"/>
    <w:rsid w:val="00466DDF"/>
    <w:rsid w:val="00467B49"/>
    <w:rsid w:val="004738A8"/>
    <w:rsid w:val="004748FA"/>
    <w:rsid w:val="00477DB7"/>
    <w:rsid w:val="004815C4"/>
    <w:rsid w:val="00482014"/>
    <w:rsid w:val="004824B0"/>
    <w:rsid w:val="004840CC"/>
    <w:rsid w:val="00484981"/>
    <w:rsid w:val="00485227"/>
    <w:rsid w:val="00485284"/>
    <w:rsid w:val="0048604E"/>
    <w:rsid w:val="004876A9"/>
    <w:rsid w:val="00490216"/>
    <w:rsid w:val="004903A1"/>
    <w:rsid w:val="004919FA"/>
    <w:rsid w:val="00492489"/>
    <w:rsid w:val="00494665"/>
    <w:rsid w:val="00494CE9"/>
    <w:rsid w:val="00495E42"/>
    <w:rsid w:val="00495ECC"/>
    <w:rsid w:val="0049609B"/>
    <w:rsid w:val="004964A5"/>
    <w:rsid w:val="00496AA5"/>
    <w:rsid w:val="0049753E"/>
    <w:rsid w:val="004A10E5"/>
    <w:rsid w:val="004A1E6C"/>
    <w:rsid w:val="004A2812"/>
    <w:rsid w:val="004A426F"/>
    <w:rsid w:val="004A4792"/>
    <w:rsid w:val="004A7A09"/>
    <w:rsid w:val="004B26E1"/>
    <w:rsid w:val="004B28B9"/>
    <w:rsid w:val="004B2BDD"/>
    <w:rsid w:val="004B30A4"/>
    <w:rsid w:val="004B5016"/>
    <w:rsid w:val="004B5067"/>
    <w:rsid w:val="004B5420"/>
    <w:rsid w:val="004C02F2"/>
    <w:rsid w:val="004C0EA1"/>
    <w:rsid w:val="004C2308"/>
    <w:rsid w:val="004C2F24"/>
    <w:rsid w:val="004C36C1"/>
    <w:rsid w:val="004C6DB4"/>
    <w:rsid w:val="004C7322"/>
    <w:rsid w:val="004C761C"/>
    <w:rsid w:val="004D158F"/>
    <w:rsid w:val="004D27E2"/>
    <w:rsid w:val="004D5608"/>
    <w:rsid w:val="004D60A8"/>
    <w:rsid w:val="004E03CB"/>
    <w:rsid w:val="004E1A36"/>
    <w:rsid w:val="004E1EE1"/>
    <w:rsid w:val="004E4095"/>
    <w:rsid w:val="004E5ACC"/>
    <w:rsid w:val="004E6453"/>
    <w:rsid w:val="004E65F1"/>
    <w:rsid w:val="004E661D"/>
    <w:rsid w:val="004F0C6A"/>
    <w:rsid w:val="004F11D3"/>
    <w:rsid w:val="004F1AD6"/>
    <w:rsid w:val="004F1F4A"/>
    <w:rsid w:val="004F2CAB"/>
    <w:rsid w:val="004F36DF"/>
    <w:rsid w:val="004F3C0F"/>
    <w:rsid w:val="004F44C7"/>
    <w:rsid w:val="005004AA"/>
    <w:rsid w:val="00501E17"/>
    <w:rsid w:val="00502BF3"/>
    <w:rsid w:val="00503AF8"/>
    <w:rsid w:val="00503D09"/>
    <w:rsid w:val="00504F52"/>
    <w:rsid w:val="00506F7E"/>
    <w:rsid w:val="00511211"/>
    <w:rsid w:val="005114C4"/>
    <w:rsid w:val="0051377A"/>
    <w:rsid w:val="005137BD"/>
    <w:rsid w:val="005151A9"/>
    <w:rsid w:val="00516138"/>
    <w:rsid w:val="005166C2"/>
    <w:rsid w:val="00517311"/>
    <w:rsid w:val="00517E07"/>
    <w:rsid w:val="005214FE"/>
    <w:rsid w:val="00521B98"/>
    <w:rsid w:val="00521C4B"/>
    <w:rsid w:val="0052500A"/>
    <w:rsid w:val="00525EC6"/>
    <w:rsid w:val="005269ED"/>
    <w:rsid w:val="00526EF1"/>
    <w:rsid w:val="005319FB"/>
    <w:rsid w:val="00532F3C"/>
    <w:rsid w:val="00533C4E"/>
    <w:rsid w:val="005345BD"/>
    <w:rsid w:val="005347F6"/>
    <w:rsid w:val="00535477"/>
    <w:rsid w:val="005375EC"/>
    <w:rsid w:val="00550023"/>
    <w:rsid w:val="00550B97"/>
    <w:rsid w:val="00551947"/>
    <w:rsid w:val="00552E91"/>
    <w:rsid w:val="00555FDB"/>
    <w:rsid w:val="00556661"/>
    <w:rsid w:val="00556998"/>
    <w:rsid w:val="005572E7"/>
    <w:rsid w:val="00560424"/>
    <w:rsid w:val="005621FB"/>
    <w:rsid w:val="005624FA"/>
    <w:rsid w:val="00566493"/>
    <w:rsid w:val="00567500"/>
    <w:rsid w:val="005702ED"/>
    <w:rsid w:val="005708AF"/>
    <w:rsid w:val="00571F4B"/>
    <w:rsid w:val="00572B26"/>
    <w:rsid w:val="00572DDB"/>
    <w:rsid w:val="00573E40"/>
    <w:rsid w:val="00575278"/>
    <w:rsid w:val="00575617"/>
    <w:rsid w:val="0057566C"/>
    <w:rsid w:val="0058204B"/>
    <w:rsid w:val="00582096"/>
    <w:rsid w:val="005826AA"/>
    <w:rsid w:val="00585312"/>
    <w:rsid w:val="00585D82"/>
    <w:rsid w:val="00586431"/>
    <w:rsid w:val="00587D84"/>
    <w:rsid w:val="005908A8"/>
    <w:rsid w:val="00591181"/>
    <w:rsid w:val="00591A19"/>
    <w:rsid w:val="00594045"/>
    <w:rsid w:val="00594C2A"/>
    <w:rsid w:val="00594E3E"/>
    <w:rsid w:val="00594E99"/>
    <w:rsid w:val="00596CF7"/>
    <w:rsid w:val="00597129"/>
    <w:rsid w:val="005971EF"/>
    <w:rsid w:val="0059786C"/>
    <w:rsid w:val="005A4069"/>
    <w:rsid w:val="005A440B"/>
    <w:rsid w:val="005A4776"/>
    <w:rsid w:val="005A5CBB"/>
    <w:rsid w:val="005B410C"/>
    <w:rsid w:val="005B4A47"/>
    <w:rsid w:val="005B4CC3"/>
    <w:rsid w:val="005B6AFF"/>
    <w:rsid w:val="005B7A11"/>
    <w:rsid w:val="005C0659"/>
    <w:rsid w:val="005C243E"/>
    <w:rsid w:val="005C4743"/>
    <w:rsid w:val="005C5074"/>
    <w:rsid w:val="005C64BD"/>
    <w:rsid w:val="005C7000"/>
    <w:rsid w:val="005D1AC4"/>
    <w:rsid w:val="005D3870"/>
    <w:rsid w:val="005D6DCF"/>
    <w:rsid w:val="005D7912"/>
    <w:rsid w:val="005D7F71"/>
    <w:rsid w:val="005E0231"/>
    <w:rsid w:val="005E04FC"/>
    <w:rsid w:val="005E0B08"/>
    <w:rsid w:val="005E1E1E"/>
    <w:rsid w:val="005E27D2"/>
    <w:rsid w:val="005E2EDA"/>
    <w:rsid w:val="005E3E9F"/>
    <w:rsid w:val="005E5377"/>
    <w:rsid w:val="005F05C6"/>
    <w:rsid w:val="005F1056"/>
    <w:rsid w:val="005F11A3"/>
    <w:rsid w:val="005F24AB"/>
    <w:rsid w:val="005F2784"/>
    <w:rsid w:val="005F28DD"/>
    <w:rsid w:val="005F3E70"/>
    <w:rsid w:val="005F4CA9"/>
    <w:rsid w:val="005F7E16"/>
    <w:rsid w:val="006017D2"/>
    <w:rsid w:val="00601D79"/>
    <w:rsid w:val="006028E8"/>
    <w:rsid w:val="00602A2E"/>
    <w:rsid w:val="00604625"/>
    <w:rsid w:val="00604ABA"/>
    <w:rsid w:val="00605160"/>
    <w:rsid w:val="00605D29"/>
    <w:rsid w:val="0060748F"/>
    <w:rsid w:val="0061261F"/>
    <w:rsid w:val="00612FB0"/>
    <w:rsid w:val="00613883"/>
    <w:rsid w:val="00613A1F"/>
    <w:rsid w:val="0061522F"/>
    <w:rsid w:val="006166AC"/>
    <w:rsid w:val="0061739F"/>
    <w:rsid w:val="00617F91"/>
    <w:rsid w:val="0062249C"/>
    <w:rsid w:val="00622C8B"/>
    <w:rsid w:val="0062493E"/>
    <w:rsid w:val="00624FC1"/>
    <w:rsid w:val="0062699F"/>
    <w:rsid w:val="00630B5B"/>
    <w:rsid w:val="00631B0C"/>
    <w:rsid w:val="00631B49"/>
    <w:rsid w:val="00634770"/>
    <w:rsid w:val="00634A08"/>
    <w:rsid w:val="00635222"/>
    <w:rsid w:val="0063603F"/>
    <w:rsid w:val="00636B60"/>
    <w:rsid w:val="00637A1A"/>
    <w:rsid w:val="00640533"/>
    <w:rsid w:val="006416F7"/>
    <w:rsid w:val="00642D25"/>
    <w:rsid w:val="00642DB5"/>
    <w:rsid w:val="006437E0"/>
    <w:rsid w:val="006450F1"/>
    <w:rsid w:val="006462E0"/>
    <w:rsid w:val="006463DB"/>
    <w:rsid w:val="00647E21"/>
    <w:rsid w:val="006517D9"/>
    <w:rsid w:val="00651E54"/>
    <w:rsid w:val="00654576"/>
    <w:rsid w:val="006558D5"/>
    <w:rsid w:val="00656B72"/>
    <w:rsid w:val="006576AC"/>
    <w:rsid w:val="00657CF3"/>
    <w:rsid w:val="0066051A"/>
    <w:rsid w:val="006609AC"/>
    <w:rsid w:val="00660AFC"/>
    <w:rsid w:val="006625FF"/>
    <w:rsid w:val="00662A0F"/>
    <w:rsid w:val="00665F1A"/>
    <w:rsid w:val="006670FA"/>
    <w:rsid w:val="00672398"/>
    <w:rsid w:val="00672758"/>
    <w:rsid w:val="006747A8"/>
    <w:rsid w:val="00674CED"/>
    <w:rsid w:val="006772EE"/>
    <w:rsid w:val="006779C4"/>
    <w:rsid w:val="00680B74"/>
    <w:rsid w:val="006822DF"/>
    <w:rsid w:val="00682B6F"/>
    <w:rsid w:val="00683084"/>
    <w:rsid w:val="006848A1"/>
    <w:rsid w:val="006849FF"/>
    <w:rsid w:val="0068669D"/>
    <w:rsid w:val="00691C70"/>
    <w:rsid w:val="00691F32"/>
    <w:rsid w:val="00692909"/>
    <w:rsid w:val="00692B40"/>
    <w:rsid w:val="00695764"/>
    <w:rsid w:val="00695DFE"/>
    <w:rsid w:val="006A1CB1"/>
    <w:rsid w:val="006A3AB2"/>
    <w:rsid w:val="006A3B21"/>
    <w:rsid w:val="006A4444"/>
    <w:rsid w:val="006A48D6"/>
    <w:rsid w:val="006A52AC"/>
    <w:rsid w:val="006A5AFB"/>
    <w:rsid w:val="006B3C92"/>
    <w:rsid w:val="006B45D7"/>
    <w:rsid w:val="006B5718"/>
    <w:rsid w:val="006B6306"/>
    <w:rsid w:val="006C2034"/>
    <w:rsid w:val="006C3D8D"/>
    <w:rsid w:val="006C4008"/>
    <w:rsid w:val="006C48B2"/>
    <w:rsid w:val="006C4DF9"/>
    <w:rsid w:val="006C76EB"/>
    <w:rsid w:val="006C7F54"/>
    <w:rsid w:val="006C7FC7"/>
    <w:rsid w:val="006D0847"/>
    <w:rsid w:val="006D41FB"/>
    <w:rsid w:val="006E11DF"/>
    <w:rsid w:val="006E2D59"/>
    <w:rsid w:val="006E57CF"/>
    <w:rsid w:val="006E6A53"/>
    <w:rsid w:val="006E7635"/>
    <w:rsid w:val="006F014F"/>
    <w:rsid w:val="006F15BB"/>
    <w:rsid w:val="006F49AD"/>
    <w:rsid w:val="006F57CB"/>
    <w:rsid w:val="006F639D"/>
    <w:rsid w:val="006F74D0"/>
    <w:rsid w:val="00701630"/>
    <w:rsid w:val="00702778"/>
    <w:rsid w:val="00702BFA"/>
    <w:rsid w:val="007038C6"/>
    <w:rsid w:val="007055A7"/>
    <w:rsid w:val="0070720D"/>
    <w:rsid w:val="0070721E"/>
    <w:rsid w:val="0071031A"/>
    <w:rsid w:val="00711A52"/>
    <w:rsid w:val="00714224"/>
    <w:rsid w:val="007150FE"/>
    <w:rsid w:val="00715C05"/>
    <w:rsid w:val="00716242"/>
    <w:rsid w:val="00716631"/>
    <w:rsid w:val="0071673B"/>
    <w:rsid w:val="0071793B"/>
    <w:rsid w:val="00720276"/>
    <w:rsid w:val="0072082D"/>
    <w:rsid w:val="007209BA"/>
    <w:rsid w:val="00721B20"/>
    <w:rsid w:val="00721E2B"/>
    <w:rsid w:val="00722185"/>
    <w:rsid w:val="00722FDA"/>
    <w:rsid w:val="0072325A"/>
    <w:rsid w:val="007234EF"/>
    <w:rsid w:val="0072368E"/>
    <w:rsid w:val="007245B2"/>
    <w:rsid w:val="00725CAD"/>
    <w:rsid w:val="00725DD5"/>
    <w:rsid w:val="00726BC6"/>
    <w:rsid w:val="00726F8F"/>
    <w:rsid w:val="00730470"/>
    <w:rsid w:val="00730F7F"/>
    <w:rsid w:val="007312DE"/>
    <w:rsid w:val="00731B8F"/>
    <w:rsid w:val="0073271A"/>
    <w:rsid w:val="007355ED"/>
    <w:rsid w:val="00736FE2"/>
    <w:rsid w:val="00737652"/>
    <w:rsid w:val="00740A8E"/>
    <w:rsid w:val="00742E59"/>
    <w:rsid w:val="007442AC"/>
    <w:rsid w:val="00744541"/>
    <w:rsid w:val="00744A9B"/>
    <w:rsid w:val="00745B40"/>
    <w:rsid w:val="00746BB6"/>
    <w:rsid w:val="00751736"/>
    <w:rsid w:val="00751BD2"/>
    <w:rsid w:val="00751FFA"/>
    <w:rsid w:val="00754AC5"/>
    <w:rsid w:val="0075505E"/>
    <w:rsid w:val="00755F39"/>
    <w:rsid w:val="007566F6"/>
    <w:rsid w:val="00757389"/>
    <w:rsid w:val="0076238F"/>
    <w:rsid w:val="007624AD"/>
    <w:rsid w:val="00764F34"/>
    <w:rsid w:val="00767D04"/>
    <w:rsid w:val="00770282"/>
    <w:rsid w:val="00770A02"/>
    <w:rsid w:val="00770EEE"/>
    <w:rsid w:val="00771AB3"/>
    <w:rsid w:val="00773E61"/>
    <w:rsid w:val="00774BA0"/>
    <w:rsid w:val="00775195"/>
    <w:rsid w:val="0077551A"/>
    <w:rsid w:val="007757C6"/>
    <w:rsid w:val="0078373B"/>
    <w:rsid w:val="00783E1A"/>
    <w:rsid w:val="007845E6"/>
    <w:rsid w:val="00785156"/>
    <w:rsid w:val="00786F26"/>
    <w:rsid w:val="00792271"/>
    <w:rsid w:val="00792433"/>
    <w:rsid w:val="00794B98"/>
    <w:rsid w:val="00794D60"/>
    <w:rsid w:val="007952CC"/>
    <w:rsid w:val="00795D5B"/>
    <w:rsid w:val="00796467"/>
    <w:rsid w:val="007A04A9"/>
    <w:rsid w:val="007A0D85"/>
    <w:rsid w:val="007A125A"/>
    <w:rsid w:val="007A1D11"/>
    <w:rsid w:val="007A2976"/>
    <w:rsid w:val="007A298B"/>
    <w:rsid w:val="007A3E00"/>
    <w:rsid w:val="007A4101"/>
    <w:rsid w:val="007A4A24"/>
    <w:rsid w:val="007A500C"/>
    <w:rsid w:val="007A50C7"/>
    <w:rsid w:val="007A64A7"/>
    <w:rsid w:val="007A66E1"/>
    <w:rsid w:val="007A6B1E"/>
    <w:rsid w:val="007A6C06"/>
    <w:rsid w:val="007B03AD"/>
    <w:rsid w:val="007B0E32"/>
    <w:rsid w:val="007B0E5D"/>
    <w:rsid w:val="007B2792"/>
    <w:rsid w:val="007B600F"/>
    <w:rsid w:val="007B6E47"/>
    <w:rsid w:val="007C1963"/>
    <w:rsid w:val="007C3913"/>
    <w:rsid w:val="007C4C38"/>
    <w:rsid w:val="007D150D"/>
    <w:rsid w:val="007D4F15"/>
    <w:rsid w:val="007D5AE0"/>
    <w:rsid w:val="007D5D22"/>
    <w:rsid w:val="007D7C00"/>
    <w:rsid w:val="007E1902"/>
    <w:rsid w:val="007E216E"/>
    <w:rsid w:val="007E25CE"/>
    <w:rsid w:val="007E5A9B"/>
    <w:rsid w:val="007E6CE0"/>
    <w:rsid w:val="007E780F"/>
    <w:rsid w:val="007F2DE0"/>
    <w:rsid w:val="007F5CD6"/>
    <w:rsid w:val="007F64AE"/>
    <w:rsid w:val="00800542"/>
    <w:rsid w:val="0080190F"/>
    <w:rsid w:val="008049AF"/>
    <w:rsid w:val="008137DB"/>
    <w:rsid w:val="0081701B"/>
    <w:rsid w:val="00817E2F"/>
    <w:rsid w:val="00821157"/>
    <w:rsid w:val="00821BCC"/>
    <w:rsid w:val="0082342A"/>
    <w:rsid w:val="00826574"/>
    <w:rsid w:val="00831240"/>
    <w:rsid w:val="00834104"/>
    <w:rsid w:val="00834A64"/>
    <w:rsid w:val="008367DE"/>
    <w:rsid w:val="008371EF"/>
    <w:rsid w:val="00837607"/>
    <w:rsid w:val="008379AB"/>
    <w:rsid w:val="008379AE"/>
    <w:rsid w:val="00841C1D"/>
    <w:rsid w:val="0084216A"/>
    <w:rsid w:val="00843C54"/>
    <w:rsid w:val="00844EC9"/>
    <w:rsid w:val="00847AB0"/>
    <w:rsid w:val="00847B80"/>
    <w:rsid w:val="008509A0"/>
    <w:rsid w:val="00851545"/>
    <w:rsid w:val="00854034"/>
    <w:rsid w:val="00854FD4"/>
    <w:rsid w:val="008609EA"/>
    <w:rsid w:val="00861656"/>
    <w:rsid w:val="00861657"/>
    <w:rsid w:val="00864079"/>
    <w:rsid w:val="00864487"/>
    <w:rsid w:val="00864B71"/>
    <w:rsid w:val="00870B2B"/>
    <w:rsid w:val="0087134A"/>
    <w:rsid w:val="008716CE"/>
    <w:rsid w:val="00871E0F"/>
    <w:rsid w:val="008725D6"/>
    <w:rsid w:val="00872D65"/>
    <w:rsid w:val="00872FED"/>
    <w:rsid w:val="00873F7F"/>
    <w:rsid w:val="00874B24"/>
    <w:rsid w:val="00875F1A"/>
    <w:rsid w:val="0087623C"/>
    <w:rsid w:val="00880289"/>
    <w:rsid w:val="00880D7E"/>
    <w:rsid w:val="008812D3"/>
    <w:rsid w:val="008821C5"/>
    <w:rsid w:val="00882C05"/>
    <w:rsid w:val="00883587"/>
    <w:rsid w:val="0088581F"/>
    <w:rsid w:val="00885871"/>
    <w:rsid w:val="00886317"/>
    <w:rsid w:val="008863A0"/>
    <w:rsid w:val="00886603"/>
    <w:rsid w:val="00886E35"/>
    <w:rsid w:val="00890EF1"/>
    <w:rsid w:val="00892778"/>
    <w:rsid w:val="008931B2"/>
    <w:rsid w:val="00894802"/>
    <w:rsid w:val="00895693"/>
    <w:rsid w:val="00896B1A"/>
    <w:rsid w:val="008976B6"/>
    <w:rsid w:val="00897BC8"/>
    <w:rsid w:val="008A004F"/>
    <w:rsid w:val="008A1D97"/>
    <w:rsid w:val="008A3DD5"/>
    <w:rsid w:val="008A40FC"/>
    <w:rsid w:val="008A473A"/>
    <w:rsid w:val="008A4767"/>
    <w:rsid w:val="008B5DF6"/>
    <w:rsid w:val="008B6219"/>
    <w:rsid w:val="008C1E85"/>
    <w:rsid w:val="008C23F4"/>
    <w:rsid w:val="008C32E8"/>
    <w:rsid w:val="008C5379"/>
    <w:rsid w:val="008C5FA2"/>
    <w:rsid w:val="008C6D48"/>
    <w:rsid w:val="008C7B59"/>
    <w:rsid w:val="008D0378"/>
    <w:rsid w:val="008D3ED2"/>
    <w:rsid w:val="008D59B2"/>
    <w:rsid w:val="008E1862"/>
    <w:rsid w:val="008E22C2"/>
    <w:rsid w:val="008E2FCC"/>
    <w:rsid w:val="008E6130"/>
    <w:rsid w:val="008E6B3B"/>
    <w:rsid w:val="008E78C3"/>
    <w:rsid w:val="008F3259"/>
    <w:rsid w:val="008F38EE"/>
    <w:rsid w:val="008F3CE6"/>
    <w:rsid w:val="008F4B6B"/>
    <w:rsid w:val="008F6316"/>
    <w:rsid w:val="008F7029"/>
    <w:rsid w:val="00901D05"/>
    <w:rsid w:val="00905DDC"/>
    <w:rsid w:val="00905E4E"/>
    <w:rsid w:val="00906896"/>
    <w:rsid w:val="00907EF1"/>
    <w:rsid w:val="00910083"/>
    <w:rsid w:val="00913F53"/>
    <w:rsid w:val="00916F1D"/>
    <w:rsid w:val="00917D50"/>
    <w:rsid w:val="009202E3"/>
    <w:rsid w:val="00920587"/>
    <w:rsid w:val="00920832"/>
    <w:rsid w:val="009227EA"/>
    <w:rsid w:val="009235B5"/>
    <w:rsid w:val="00925670"/>
    <w:rsid w:val="00926BDB"/>
    <w:rsid w:val="00927662"/>
    <w:rsid w:val="00927A48"/>
    <w:rsid w:val="00927F43"/>
    <w:rsid w:val="00931654"/>
    <w:rsid w:val="00932651"/>
    <w:rsid w:val="009327EB"/>
    <w:rsid w:val="009367B2"/>
    <w:rsid w:val="00936EB4"/>
    <w:rsid w:val="0094085F"/>
    <w:rsid w:val="00941995"/>
    <w:rsid w:val="00942275"/>
    <w:rsid w:val="009438CF"/>
    <w:rsid w:val="009444D8"/>
    <w:rsid w:val="00946021"/>
    <w:rsid w:val="0094628F"/>
    <w:rsid w:val="00946633"/>
    <w:rsid w:val="0094768C"/>
    <w:rsid w:val="00947FCA"/>
    <w:rsid w:val="00950866"/>
    <w:rsid w:val="00950CB8"/>
    <w:rsid w:val="009513DB"/>
    <w:rsid w:val="009517C7"/>
    <w:rsid w:val="0095348A"/>
    <w:rsid w:val="00954366"/>
    <w:rsid w:val="009549BA"/>
    <w:rsid w:val="00954EC7"/>
    <w:rsid w:val="009569F9"/>
    <w:rsid w:val="009608E9"/>
    <w:rsid w:val="00960978"/>
    <w:rsid w:val="00961CF6"/>
    <w:rsid w:val="009630C6"/>
    <w:rsid w:val="00963828"/>
    <w:rsid w:val="00963FBE"/>
    <w:rsid w:val="00964431"/>
    <w:rsid w:val="009728A0"/>
    <w:rsid w:val="00974EAD"/>
    <w:rsid w:val="009801CF"/>
    <w:rsid w:val="00980F59"/>
    <w:rsid w:val="00981A2D"/>
    <w:rsid w:val="009824E4"/>
    <w:rsid w:val="00982EC1"/>
    <w:rsid w:val="009831ED"/>
    <w:rsid w:val="0098324F"/>
    <w:rsid w:val="00983C29"/>
    <w:rsid w:val="00983CB8"/>
    <w:rsid w:val="009857C2"/>
    <w:rsid w:val="00985CA7"/>
    <w:rsid w:val="00987690"/>
    <w:rsid w:val="00990781"/>
    <w:rsid w:val="00992597"/>
    <w:rsid w:val="00993803"/>
    <w:rsid w:val="00994CDD"/>
    <w:rsid w:val="00994E87"/>
    <w:rsid w:val="009965B7"/>
    <w:rsid w:val="009A1CFD"/>
    <w:rsid w:val="009A2CE6"/>
    <w:rsid w:val="009A2DD3"/>
    <w:rsid w:val="009A6843"/>
    <w:rsid w:val="009A6F0D"/>
    <w:rsid w:val="009A7477"/>
    <w:rsid w:val="009B0A1F"/>
    <w:rsid w:val="009B1456"/>
    <w:rsid w:val="009B2918"/>
    <w:rsid w:val="009B39E5"/>
    <w:rsid w:val="009B588B"/>
    <w:rsid w:val="009B58C7"/>
    <w:rsid w:val="009B5CDF"/>
    <w:rsid w:val="009B62BC"/>
    <w:rsid w:val="009C0AA4"/>
    <w:rsid w:val="009C34A1"/>
    <w:rsid w:val="009C40D8"/>
    <w:rsid w:val="009C449A"/>
    <w:rsid w:val="009C4CBB"/>
    <w:rsid w:val="009C5CB7"/>
    <w:rsid w:val="009C717F"/>
    <w:rsid w:val="009C77E4"/>
    <w:rsid w:val="009C7E2D"/>
    <w:rsid w:val="009D098B"/>
    <w:rsid w:val="009D13F8"/>
    <w:rsid w:val="009D16DF"/>
    <w:rsid w:val="009D192D"/>
    <w:rsid w:val="009D214E"/>
    <w:rsid w:val="009D2D02"/>
    <w:rsid w:val="009D2F32"/>
    <w:rsid w:val="009D6E2C"/>
    <w:rsid w:val="009E4A94"/>
    <w:rsid w:val="009E50D8"/>
    <w:rsid w:val="009E5150"/>
    <w:rsid w:val="009F0416"/>
    <w:rsid w:val="009F0505"/>
    <w:rsid w:val="009F3881"/>
    <w:rsid w:val="009F3E68"/>
    <w:rsid w:val="009F46C7"/>
    <w:rsid w:val="009F6C4A"/>
    <w:rsid w:val="00A01459"/>
    <w:rsid w:val="00A01BB6"/>
    <w:rsid w:val="00A02A30"/>
    <w:rsid w:val="00A03B93"/>
    <w:rsid w:val="00A0468B"/>
    <w:rsid w:val="00A06700"/>
    <w:rsid w:val="00A12879"/>
    <w:rsid w:val="00A1362B"/>
    <w:rsid w:val="00A13994"/>
    <w:rsid w:val="00A1407F"/>
    <w:rsid w:val="00A179B7"/>
    <w:rsid w:val="00A211C3"/>
    <w:rsid w:val="00A22E10"/>
    <w:rsid w:val="00A23B92"/>
    <w:rsid w:val="00A2440E"/>
    <w:rsid w:val="00A2445F"/>
    <w:rsid w:val="00A24DCA"/>
    <w:rsid w:val="00A24DE6"/>
    <w:rsid w:val="00A266C6"/>
    <w:rsid w:val="00A26897"/>
    <w:rsid w:val="00A26DAC"/>
    <w:rsid w:val="00A270F7"/>
    <w:rsid w:val="00A3154D"/>
    <w:rsid w:val="00A31C8B"/>
    <w:rsid w:val="00A3214C"/>
    <w:rsid w:val="00A333D3"/>
    <w:rsid w:val="00A3438F"/>
    <w:rsid w:val="00A3519E"/>
    <w:rsid w:val="00A3584E"/>
    <w:rsid w:val="00A36F75"/>
    <w:rsid w:val="00A406A0"/>
    <w:rsid w:val="00A420D1"/>
    <w:rsid w:val="00A43AEF"/>
    <w:rsid w:val="00A47409"/>
    <w:rsid w:val="00A5016D"/>
    <w:rsid w:val="00A5116C"/>
    <w:rsid w:val="00A51478"/>
    <w:rsid w:val="00A52055"/>
    <w:rsid w:val="00A522C8"/>
    <w:rsid w:val="00A53584"/>
    <w:rsid w:val="00A54D07"/>
    <w:rsid w:val="00A54DAB"/>
    <w:rsid w:val="00A54F39"/>
    <w:rsid w:val="00A56E9C"/>
    <w:rsid w:val="00A56FE1"/>
    <w:rsid w:val="00A60D62"/>
    <w:rsid w:val="00A62276"/>
    <w:rsid w:val="00A66F8D"/>
    <w:rsid w:val="00A75707"/>
    <w:rsid w:val="00A75C32"/>
    <w:rsid w:val="00A77031"/>
    <w:rsid w:val="00A83F4A"/>
    <w:rsid w:val="00A8699D"/>
    <w:rsid w:val="00A95DE6"/>
    <w:rsid w:val="00AA14F3"/>
    <w:rsid w:val="00AA2A8C"/>
    <w:rsid w:val="00AA4BC5"/>
    <w:rsid w:val="00AA505A"/>
    <w:rsid w:val="00AA6910"/>
    <w:rsid w:val="00AB065A"/>
    <w:rsid w:val="00AB0925"/>
    <w:rsid w:val="00AB0939"/>
    <w:rsid w:val="00AB0C2E"/>
    <w:rsid w:val="00AB16E6"/>
    <w:rsid w:val="00AB180D"/>
    <w:rsid w:val="00AB1B1F"/>
    <w:rsid w:val="00AB32EF"/>
    <w:rsid w:val="00AC1465"/>
    <w:rsid w:val="00AC4B55"/>
    <w:rsid w:val="00AC7328"/>
    <w:rsid w:val="00AD1908"/>
    <w:rsid w:val="00AD35B5"/>
    <w:rsid w:val="00AD4999"/>
    <w:rsid w:val="00AD5715"/>
    <w:rsid w:val="00AD743D"/>
    <w:rsid w:val="00AE0EEA"/>
    <w:rsid w:val="00AE1787"/>
    <w:rsid w:val="00AE3C15"/>
    <w:rsid w:val="00AE3CFF"/>
    <w:rsid w:val="00AE6AC9"/>
    <w:rsid w:val="00AE78FB"/>
    <w:rsid w:val="00AF0138"/>
    <w:rsid w:val="00AF016D"/>
    <w:rsid w:val="00AF0378"/>
    <w:rsid w:val="00AF1AD3"/>
    <w:rsid w:val="00AF4613"/>
    <w:rsid w:val="00AF5006"/>
    <w:rsid w:val="00AF5B1B"/>
    <w:rsid w:val="00AF5C34"/>
    <w:rsid w:val="00AF6145"/>
    <w:rsid w:val="00AF7AD9"/>
    <w:rsid w:val="00B00EA8"/>
    <w:rsid w:val="00B027CD"/>
    <w:rsid w:val="00B0308F"/>
    <w:rsid w:val="00B0317D"/>
    <w:rsid w:val="00B062CE"/>
    <w:rsid w:val="00B07167"/>
    <w:rsid w:val="00B113D3"/>
    <w:rsid w:val="00B14A97"/>
    <w:rsid w:val="00B157C6"/>
    <w:rsid w:val="00B176C5"/>
    <w:rsid w:val="00B21800"/>
    <w:rsid w:val="00B21DE2"/>
    <w:rsid w:val="00B22AC5"/>
    <w:rsid w:val="00B24226"/>
    <w:rsid w:val="00B24B2F"/>
    <w:rsid w:val="00B24B56"/>
    <w:rsid w:val="00B25A69"/>
    <w:rsid w:val="00B26930"/>
    <w:rsid w:val="00B31EEF"/>
    <w:rsid w:val="00B32071"/>
    <w:rsid w:val="00B3265B"/>
    <w:rsid w:val="00B328C9"/>
    <w:rsid w:val="00B334DC"/>
    <w:rsid w:val="00B33E2F"/>
    <w:rsid w:val="00B34F6F"/>
    <w:rsid w:val="00B35847"/>
    <w:rsid w:val="00B35965"/>
    <w:rsid w:val="00B3792D"/>
    <w:rsid w:val="00B40955"/>
    <w:rsid w:val="00B4114A"/>
    <w:rsid w:val="00B42711"/>
    <w:rsid w:val="00B439F7"/>
    <w:rsid w:val="00B43C0A"/>
    <w:rsid w:val="00B454CF"/>
    <w:rsid w:val="00B4588A"/>
    <w:rsid w:val="00B45B69"/>
    <w:rsid w:val="00B45FF2"/>
    <w:rsid w:val="00B4623A"/>
    <w:rsid w:val="00B517D0"/>
    <w:rsid w:val="00B5302B"/>
    <w:rsid w:val="00B53B3A"/>
    <w:rsid w:val="00B552EC"/>
    <w:rsid w:val="00B5751E"/>
    <w:rsid w:val="00B627DC"/>
    <w:rsid w:val="00B63EB9"/>
    <w:rsid w:val="00B645ED"/>
    <w:rsid w:val="00B7126E"/>
    <w:rsid w:val="00B755EB"/>
    <w:rsid w:val="00B761CE"/>
    <w:rsid w:val="00B8222D"/>
    <w:rsid w:val="00B83E2F"/>
    <w:rsid w:val="00B84BC3"/>
    <w:rsid w:val="00B84D95"/>
    <w:rsid w:val="00B85B4F"/>
    <w:rsid w:val="00B864DC"/>
    <w:rsid w:val="00B873D8"/>
    <w:rsid w:val="00B90545"/>
    <w:rsid w:val="00B931ED"/>
    <w:rsid w:val="00B96200"/>
    <w:rsid w:val="00B9757B"/>
    <w:rsid w:val="00BA04EA"/>
    <w:rsid w:val="00BA0AE8"/>
    <w:rsid w:val="00BA0E42"/>
    <w:rsid w:val="00BA1808"/>
    <w:rsid w:val="00BA1867"/>
    <w:rsid w:val="00BA21E9"/>
    <w:rsid w:val="00BA2905"/>
    <w:rsid w:val="00BA5504"/>
    <w:rsid w:val="00BA6769"/>
    <w:rsid w:val="00BB1EA9"/>
    <w:rsid w:val="00BB3674"/>
    <w:rsid w:val="00BB43D3"/>
    <w:rsid w:val="00BB52E4"/>
    <w:rsid w:val="00BB53EC"/>
    <w:rsid w:val="00BB748A"/>
    <w:rsid w:val="00BC128E"/>
    <w:rsid w:val="00BC186D"/>
    <w:rsid w:val="00BC1B65"/>
    <w:rsid w:val="00BC2B4B"/>
    <w:rsid w:val="00BC4D84"/>
    <w:rsid w:val="00BC519D"/>
    <w:rsid w:val="00BC5BAD"/>
    <w:rsid w:val="00BC5E2F"/>
    <w:rsid w:val="00BC6D81"/>
    <w:rsid w:val="00BC7B99"/>
    <w:rsid w:val="00BD307B"/>
    <w:rsid w:val="00BD3C5B"/>
    <w:rsid w:val="00BD3D3C"/>
    <w:rsid w:val="00BD4D47"/>
    <w:rsid w:val="00BD4DDC"/>
    <w:rsid w:val="00BD5771"/>
    <w:rsid w:val="00BD6343"/>
    <w:rsid w:val="00BD7038"/>
    <w:rsid w:val="00BD79AC"/>
    <w:rsid w:val="00BE0FAC"/>
    <w:rsid w:val="00BE1180"/>
    <w:rsid w:val="00BE39EF"/>
    <w:rsid w:val="00BE3BAF"/>
    <w:rsid w:val="00BE3E62"/>
    <w:rsid w:val="00BE622B"/>
    <w:rsid w:val="00BE7025"/>
    <w:rsid w:val="00BF04DE"/>
    <w:rsid w:val="00BF233F"/>
    <w:rsid w:val="00BF39A1"/>
    <w:rsid w:val="00BF41FA"/>
    <w:rsid w:val="00BF43C4"/>
    <w:rsid w:val="00BF552E"/>
    <w:rsid w:val="00BF599B"/>
    <w:rsid w:val="00BF7CA4"/>
    <w:rsid w:val="00C01777"/>
    <w:rsid w:val="00C01D14"/>
    <w:rsid w:val="00C04121"/>
    <w:rsid w:val="00C046D7"/>
    <w:rsid w:val="00C07D9E"/>
    <w:rsid w:val="00C10BF7"/>
    <w:rsid w:val="00C1555A"/>
    <w:rsid w:val="00C20298"/>
    <w:rsid w:val="00C21810"/>
    <w:rsid w:val="00C223E0"/>
    <w:rsid w:val="00C24653"/>
    <w:rsid w:val="00C253EF"/>
    <w:rsid w:val="00C27CDE"/>
    <w:rsid w:val="00C326F0"/>
    <w:rsid w:val="00C34174"/>
    <w:rsid w:val="00C34471"/>
    <w:rsid w:val="00C35B0C"/>
    <w:rsid w:val="00C371CC"/>
    <w:rsid w:val="00C4099E"/>
    <w:rsid w:val="00C420D1"/>
    <w:rsid w:val="00C42A75"/>
    <w:rsid w:val="00C43352"/>
    <w:rsid w:val="00C43660"/>
    <w:rsid w:val="00C46B65"/>
    <w:rsid w:val="00C470A1"/>
    <w:rsid w:val="00C477F1"/>
    <w:rsid w:val="00C47B95"/>
    <w:rsid w:val="00C501EA"/>
    <w:rsid w:val="00C517AA"/>
    <w:rsid w:val="00C523B0"/>
    <w:rsid w:val="00C52C47"/>
    <w:rsid w:val="00C53364"/>
    <w:rsid w:val="00C53D73"/>
    <w:rsid w:val="00C602B7"/>
    <w:rsid w:val="00C62694"/>
    <w:rsid w:val="00C6275D"/>
    <w:rsid w:val="00C64AD3"/>
    <w:rsid w:val="00C64C63"/>
    <w:rsid w:val="00C64D2F"/>
    <w:rsid w:val="00C66A41"/>
    <w:rsid w:val="00C66E7B"/>
    <w:rsid w:val="00C66F1D"/>
    <w:rsid w:val="00C716FB"/>
    <w:rsid w:val="00C72D62"/>
    <w:rsid w:val="00C751AD"/>
    <w:rsid w:val="00C803AD"/>
    <w:rsid w:val="00C81B43"/>
    <w:rsid w:val="00C82244"/>
    <w:rsid w:val="00C82D40"/>
    <w:rsid w:val="00C858B7"/>
    <w:rsid w:val="00C86DF5"/>
    <w:rsid w:val="00C87B21"/>
    <w:rsid w:val="00C87C39"/>
    <w:rsid w:val="00C9133A"/>
    <w:rsid w:val="00C91368"/>
    <w:rsid w:val="00C9240D"/>
    <w:rsid w:val="00C92F0C"/>
    <w:rsid w:val="00C93A0B"/>
    <w:rsid w:val="00C95FAE"/>
    <w:rsid w:val="00C969CE"/>
    <w:rsid w:val="00CA06DC"/>
    <w:rsid w:val="00CA57BA"/>
    <w:rsid w:val="00CB0DFE"/>
    <w:rsid w:val="00CB1ADE"/>
    <w:rsid w:val="00CB1CC0"/>
    <w:rsid w:val="00CB23FA"/>
    <w:rsid w:val="00CB243D"/>
    <w:rsid w:val="00CB3935"/>
    <w:rsid w:val="00CB3C84"/>
    <w:rsid w:val="00CB5247"/>
    <w:rsid w:val="00CC0146"/>
    <w:rsid w:val="00CC19AE"/>
    <w:rsid w:val="00CC211C"/>
    <w:rsid w:val="00CC296C"/>
    <w:rsid w:val="00CC298A"/>
    <w:rsid w:val="00CC2CDB"/>
    <w:rsid w:val="00CC2FE8"/>
    <w:rsid w:val="00CC4CB3"/>
    <w:rsid w:val="00CC50AE"/>
    <w:rsid w:val="00CC6884"/>
    <w:rsid w:val="00CC7A40"/>
    <w:rsid w:val="00CC7E6D"/>
    <w:rsid w:val="00CD1073"/>
    <w:rsid w:val="00CD23FA"/>
    <w:rsid w:val="00CD3E5B"/>
    <w:rsid w:val="00CD59C1"/>
    <w:rsid w:val="00CD6BDF"/>
    <w:rsid w:val="00CE1153"/>
    <w:rsid w:val="00CE12EC"/>
    <w:rsid w:val="00CE13C4"/>
    <w:rsid w:val="00CE17DE"/>
    <w:rsid w:val="00CE263C"/>
    <w:rsid w:val="00CE30D1"/>
    <w:rsid w:val="00CE3514"/>
    <w:rsid w:val="00CE43EE"/>
    <w:rsid w:val="00CE557E"/>
    <w:rsid w:val="00CE7F4E"/>
    <w:rsid w:val="00CF0C19"/>
    <w:rsid w:val="00CF24D2"/>
    <w:rsid w:val="00CF3D75"/>
    <w:rsid w:val="00CF438D"/>
    <w:rsid w:val="00D00C6D"/>
    <w:rsid w:val="00D01FD3"/>
    <w:rsid w:val="00D0253D"/>
    <w:rsid w:val="00D036D1"/>
    <w:rsid w:val="00D03D88"/>
    <w:rsid w:val="00D04411"/>
    <w:rsid w:val="00D06020"/>
    <w:rsid w:val="00D069E5"/>
    <w:rsid w:val="00D07434"/>
    <w:rsid w:val="00D113F2"/>
    <w:rsid w:val="00D12339"/>
    <w:rsid w:val="00D12B35"/>
    <w:rsid w:val="00D1420F"/>
    <w:rsid w:val="00D1607A"/>
    <w:rsid w:val="00D163F4"/>
    <w:rsid w:val="00D1712D"/>
    <w:rsid w:val="00D21EBF"/>
    <w:rsid w:val="00D2380A"/>
    <w:rsid w:val="00D26753"/>
    <w:rsid w:val="00D26A1C"/>
    <w:rsid w:val="00D274CD"/>
    <w:rsid w:val="00D3276B"/>
    <w:rsid w:val="00D33CC0"/>
    <w:rsid w:val="00D35254"/>
    <w:rsid w:val="00D357A2"/>
    <w:rsid w:val="00D35C1D"/>
    <w:rsid w:val="00D36581"/>
    <w:rsid w:val="00D37711"/>
    <w:rsid w:val="00D40EC6"/>
    <w:rsid w:val="00D412FA"/>
    <w:rsid w:val="00D41D77"/>
    <w:rsid w:val="00D42747"/>
    <w:rsid w:val="00D44BF9"/>
    <w:rsid w:val="00D45635"/>
    <w:rsid w:val="00D456BD"/>
    <w:rsid w:val="00D50836"/>
    <w:rsid w:val="00D53CC7"/>
    <w:rsid w:val="00D540DD"/>
    <w:rsid w:val="00D557E0"/>
    <w:rsid w:val="00D604EA"/>
    <w:rsid w:val="00D65F37"/>
    <w:rsid w:val="00D70454"/>
    <w:rsid w:val="00D71741"/>
    <w:rsid w:val="00D7359D"/>
    <w:rsid w:val="00D7394E"/>
    <w:rsid w:val="00D740CC"/>
    <w:rsid w:val="00D75632"/>
    <w:rsid w:val="00D758CE"/>
    <w:rsid w:val="00D766DF"/>
    <w:rsid w:val="00D767EA"/>
    <w:rsid w:val="00D77CD4"/>
    <w:rsid w:val="00D80ADB"/>
    <w:rsid w:val="00D81682"/>
    <w:rsid w:val="00D82F02"/>
    <w:rsid w:val="00D84E18"/>
    <w:rsid w:val="00D84EBC"/>
    <w:rsid w:val="00D86806"/>
    <w:rsid w:val="00D904DC"/>
    <w:rsid w:val="00D916C0"/>
    <w:rsid w:val="00D917A4"/>
    <w:rsid w:val="00D9332D"/>
    <w:rsid w:val="00D9600E"/>
    <w:rsid w:val="00D9721C"/>
    <w:rsid w:val="00D973A3"/>
    <w:rsid w:val="00D973DF"/>
    <w:rsid w:val="00DA0496"/>
    <w:rsid w:val="00DA2A4C"/>
    <w:rsid w:val="00DA5CDF"/>
    <w:rsid w:val="00DB2039"/>
    <w:rsid w:val="00DB357A"/>
    <w:rsid w:val="00DB4A21"/>
    <w:rsid w:val="00DB6915"/>
    <w:rsid w:val="00DB7766"/>
    <w:rsid w:val="00DC0910"/>
    <w:rsid w:val="00DC132F"/>
    <w:rsid w:val="00DC22FD"/>
    <w:rsid w:val="00DC2B1A"/>
    <w:rsid w:val="00DC32B7"/>
    <w:rsid w:val="00DC40B4"/>
    <w:rsid w:val="00DC4D5C"/>
    <w:rsid w:val="00DC5B95"/>
    <w:rsid w:val="00DD08C9"/>
    <w:rsid w:val="00DD1ADF"/>
    <w:rsid w:val="00DD23A8"/>
    <w:rsid w:val="00DD336F"/>
    <w:rsid w:val="00DD512C"/>
    <w:rsid w:val="00DD5EE2"/>
    <w:rsid w:val="00DD613A"/>
    <w:rsid w:val="00DD6EC3"/>
    <w:rsid w:val="00DE0218"/>
    <w:rsid w:val="00DE0449"/>
    <w:rsid w:val="00DE11AC"/>
    <w:rsid w:val="00DE2B0B"/>
    <w:rsid w:val="00DE502B"/>
    <w:rsid w:val="00DE6227"/>
    <w:rsid w:val="00DE6E28"/>
    <w:rsid w:val="00DF0DA4"/>
    <w:rsid w:val="00DF1517"/>
    <w:rsid w:val="00DF172D"/>
    <w:rsid w:val="00DF1E6B"/>
    <w:rsid w:val="00DF26EF"/>
    <w:rsid w:val="00DF2F93"/>
    <w:rsid w:val="00DF510C"/>
    <w:rsid w:val="00DF5941"/>
    <w:rsid w:val="00DF7FFA"/>
    <w:rsid w:val="00E02F84"/>
    <w:rsid w:val="00E045AB"/>
    <w:rsid w:val="00E04DC5"/>
    <w:rsid w:val="00E07CC8"/>
    <w:rsid w:val="00E07F37"/>
    <w:rsid w:val="00E12054"/>
    <w:rsid w:val="00E1695C"/>
    <w:rsid w:val="00E1697F"/>
    <w:rsid w:val="00E17992"/>
    <w:rsid w:val="00E17CB6"/>
    <w:rsid w:val="00E17D55"/>
    <w:rsid w:val="00E17DDD"/>
    <w:rsid w:val="00E20769"/>
    <w:rsid w:val="00E21824"/>
    <w:rsid w:val="00E218EE"/>
    <w:rsid w:val="00E21C84"/>
    <w:rsid w:val="00E223BE"/>
    <w:rsid w:val="00E22D32"/>
    <w:rsid w:val="00E24DDA"/>
    <w:rsid w:val="00E250D5"/>
    <w:rsid w:val="00E2698D"/>
    <w:rsid w:val="00E272B3"/>
    <w:rsid w:val="00E323D4"/>
    <w:rsid w:val="00E32414"/>
    <w:rsid w:val="00E34886"/>
    <w:rsid w:val="00E350DE"/>
    <w:rsid w:val="00E35158"/>
    <w:rsid w:val="00E35777"/>
    <w:rsid w:val="00E4175F"/>
    <w:rsid w:val="00E426F6"/>
    <w:rsid w:val="00E44A7F"/>
    <w:rsid w:val="00E45D71"/>
    <w:rsid w:val="00E4694A"/>
    <w:rsid w:val="00E50B0C"/>
    <w:rsid w:val="00E50B26"/>
    <w:rsid w:val="00E5144B"/>
    <w:rsid w:val="00E566A7"/>
    <w:rsid w:val="00E576A3"/>
    <w:rsid w:val="00E57EBE"/>
    <w:rsid w:val="00E6067C"/>
    <w:rsid w:val="00E609AC"/>
    <w:rsid w:val="00E61B03"/>
    <w:rsid w:val="00E61C16"/>
    <w:rsid w:val="00E61C84"/>
    <w:rsid w:val="00E61CE9"/>
    <w:rsid w:val="00E61FE2"/>
    <w:rsid w:val="00E63219"/>
    <w:rsid w:val="00E64C66"/>
    <w:rsid w:val="00E65396"/>
    <w:rsid w:val="00E659A0"/>
    <w:rsid w:val="00E66769"/>
    <w:rsid w:val="00E668CC"/>
    <w:rsid w:val="00E70FCC"/>
    <w:rsid w:val="00E71782"/>
    <w:rsid w:val="00E72AD9"/>
    <w:rsid w:val="00E73CC6"/>
    <w:rsid w:val="00E73FA4"/>
    <w:rsid w:val="00E761B7"/>
    <w:rsid w:val="00E82112"/>
    <w:rsid w:val="00E82C2C"/>
    <w:rsid w:val="00E848D6"/>
    <w:rsid w:val="00E85567"/>
    <w:rsid w:val="00E86F75"/>
    <w:rsid w:val="00E87C2A"/>
    <w:rsid w:val="00E903AD"/>
    <w:rsid w:val="00E915EB"/>
    <w:rsid w:val="00E92301"/>
    <w:rsid w:val="00E92C05"/>
    <w:rsid w:val="00E937ED"/>
    <w:rsid w:val="00E93DE4"/>
    <w:rsid w:val="00E93EA5"/>
    <w:rsid w:val="00E94463"/>
    <w:rsid w:val="00E94589"/>
    <w:rsid w:val="00E94814"/>
    <w:rsid w:val="00E957B0"/>
    <w:rsid w:val="00E957CD"/>
    <w:rsid w:val="00E9666B"/>
    <w:rsid w:val="00E96D8B"/>
    <w:rsid w:val="00E97D74"/>
    <w:rsid w:val="00EA1052"/>
    <w:rsid w:val="00EA10C0"/>
    <w:rsid w:val="00EA1224"/>
    <w:rsid w:val="00EA15D1"/>
    <w:rsid w:val="00EA1ADF"/>
    <w:rsid w:val="00EA4F17"/>
    <w:rsid w:val="00EA5664"/>
    <w:rsid w:val="00EA580C"/>
    <w:rsid w:val="00EA66F0"/>
    <w:rsid w:val="00EA6C82"/>
    <w:rsid w:val="00EA7375"/>
    <w:rsid w:val="00EB709D"/>
    <w:rsid w:val="00EC2289"/>
    <w:rsid w:val="00EC2D9F"/>
    <w:rsid w:val="00EC3269"/>
    <w:rsid w:val="00EC44CD"/>
    <w:rsid w:val="00EC5F94"/>
    <w:rsid w:val="00EC6402"/>
    <w:rsid w:val="00EC7E2F"/>
    <w:rsid w:val="00ED063E"/>
    <w:rsid w:val="00ED1C41"/>
    <w:rsid w:val="00ED219F"/>
    <w:rsid w:val="00ED3E85"/>
    <w:rsid w:val="00ED4AEC"/>
    <w:rsid w:val="00ED5941"/>
    <w:rsid w:val="00ED62EF"/>
    <w:rsid w:val="00ED64D4"/>
    <w:rsid w:val="00ED696C"/>
    <w:rsid w:val="00EE0205"/>
    <w:rsid w:val="00EE3622"/>
    <w:rsid w:val="00EE5530"/>
    <w:rsid w:val="00EE701B"/>
    <w:rsid w:val="00EF0B4F"/>
    <w:rsid w:val="00EF0BCB"/>
    <w:rsid w:val="00EF1299"/>
    <w:rsid w:val="00EF2041"/>
    <w:rsid w:val="00EF2101"/>
    <w:rsid w:val="00EF50B6"/>
    <w:rsid w:val="00EF6A40"/>
    <w:rsid w:val="00F001C6"/>
    <w:rsid w:val="00F015D0"/>
    <w:rsid w:val="00F038D8"/>
    <w:rsid w:val="00F06092"/>
    <w:rsid w:val="00F0610C"/>
    <w:rsid w:val="00F06DDC"/>
    <w:rsid w:val="00F07DF3"/>
    <w:rsid w:val="00F13991"/>
    <w:rsid w:val="00F15134"/>
    <w:rsid w:val="00F16C0F"/>
    <w:rsid w:val="00F23B0D"/>
    <w:rsid w:val="00F240B2"/>
    <w:rsid w:val="00F264FA"/>
    <w:rsid w:val="00F26617"/>
    <w:rsid w:val="00F272F6"/>
    <w:rsid w:val="00F27DAA"/>
    <w:rsid w:val="00F27E68"/>
    <w:rsid w:val="00F30FFD"/>
    <w:rsid w:val="00F31CE5"/>
    <w:rsid w:val="00F32764"/>
    <w:rsid w:val="00F3665E"/>
    <w:rsid w:val="00F37DCE"/>
    <w:rsid w:val="00F45557"/>
    <w:rsid w:val="00F46676"/>
    <w:rsid w:val="00F5096A"/>
    <w:rsid w:val="00F51762"/>
    <w:rsid w:val="00F522F2"/>
    <w:rsid w:val="00F5338A"/>
    <w:rsid w:val="00F537F3"/>
    <w:rsid w:val="00F55082"/>
    <w:rsid w:val="00F56A21"/>
    <w:rsid w:val="00F57E9A"/>
    <w:rsid w:val="00F6358D"/>
    <w:rsid w:val="00F63C9C"/>
    <w:rsid w:val="00F6510A"/>
    <w:rsid w:val="00F65FFF"/>
    <w:rsid w:val="00F74364"/>
    <w:rsid w:val="00F751C7"/>
    <w:rsid w:val="00F7624A"/>
    <w:rsid w:val="00F76907"/>
    <w:rsid w:val="00F76FE1"/>
    <w:rsid w:val="00F828BC"/>
    <w:rsid w:val="00F82913"/>
    <w:rsid w:val="00F82986"/>
    <w:rsid w:val="00F82FB0"/>
    <w:rsid w:val="00F83D03"/>
    <w:rsid w:val="00F84E06"/>
    <w:rsid w:val="00F8579C"/>
    <w:rsid w:val="00F85D6A"/>
    <w:rsid w:val="00F87232"/>
    <w:rsid w:val="00F90735"/>
    <w:rsid w:val="00F91A6D"/>
    <w:rsid w:val="00F93005"/>
    <w:rsid w:val="00F93879"/>
    <w:rsid w:val="00F96856"/>
    <w:rsid w:val="00F9714E"/>
    <w:rsid w:val="00FA0889"/>
    <w:rsid w:val="00FA37DF"/>
    <w:rsid w:val="00FA4F97"/>
    <w:rsid w:val="00FA7CAF"/>
    <w:rsid w:val="00FB2C70"/>
    <w:rsid w:val="00FB7192"/>
    <w:rsid w:val="00FC1010"/>
    <w:rsid w:val="00FC117E"/>
    <w:rsid w:val="00FC17E4"/>
    <w:rsid w:val="00FC2A86"/>
    <w:rsid w:val="00FC5576"/>
    <w:rsid w:val="00FC56B0"/>
    <w:rsid w:val="00FC6B6B"/>
    <w:rsid w:val="00FC7A20"/>
    <w:rsid w:val="00FC7C51"/>
    <w:rsid w:val="00FC7ED3"/>
    <w:rsid w:val="00FD0879"/>
    <w:rsid w:val="00FD0B2F"/>
    <w:rsid w:val="00FD2B02"/>
    <w:rsid w:val="00FD2DE6"/>
    <w:rsid w:val="00FD3302"/>
    <w:rsid w:val="00FD42D6"/>
    <w:rsid w:val="00FD643D"/>
    <w:rsid w:val="00FD7001"/>
    <w:rsid w:val="00FE0BC5"/>
    <w:rsid w:val="00FE0DC6"/>
    <w:rsid w:val="00FE0FFE"/>
    <w:rsid w:val="00FE4C06"/>
    <w:rsid w:val="00FE4EBE"/>
    <w:rsid w:val="00FE5B70"/>
    <w:rsid w:val="00FE67A4"/>
    <w:rsid w:val="00FE6FAC"/>
    <w:rsid w:val="00FF07C5"/>
    <w:rsid w:val="00FF07FF"/>
    <w:rsid w:val="00FF112B"/>
    <w:rsid w:val="00FF168A"/>
    <w:rsid w:val="00FF4CE9"/>
    <w:rsid w:val="00FF4EA3"/>
    <w:rsid w:val="00FF5A32"/>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isiresearchsoft-com/cwyw" w:name="citation"/>
  <w:shapeDefaults>
    <o:shapedefaults v:ext="edit" spidmax="4097"/>
    <o:shapelayout v:ext="edit">
      <o:idmap v:ext="edit" data="1"/>
    </o:shapelayout>
  </w:shapeDefaults>
  <w:decimalSymbol w:val="."/>
  <w:listSeparator w:val=","/>
  <w14:docId w14:val="1493C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28E"/>
    <w:pPr>
      <w:spacing w:before="120" w:after="0" w:line="264" w:lineRule="auto"/>
    </w:pPr>
    <w:rPr>
      <w:rFonts w:eastAsia="Times New Roman" w:cs="Times New Roman"/>
      <w:color w:val="444444"/>
      <w:lang w:eastAsia="en-AU"/>
    </w:rPr>
  </w:style>
  <w:style w:type="paragraph" w:styleId="Heading1">
    <w:name w:val="heading 1"/>
    <w:basedOn w:val="Normal"/>
    <w:next w:val="Normal"/>
    <w:link w:val="Heading1Char"/>
    <w:uiPriority w:val="9"/>
    <w:qFormat/>
    <w:rsid w:val="00EC7E2F"/>
    <w:pPr>
      <w:keepNext/>
      <w:keepLines/>
      <w:spacing w:before="480"/>
      <w:outlineLvl w:val="0"/>
    </w:pPr>
    <w:rPr>
      <w:rFonts w:eastAsiaTheme="majorEastAsia" w:cstheme="majorBidi"/>
      <w:b/>
      <w:bCs/>
      <w:color w:val="000000" w:themeColor="text1"/>
      <w:sz w:val="40"/>
      <w:szCs w:val="28"/>
    </w:rPr>
  </w:style>
  <w:style w:type="paragraph" w:styleId="Heading2">
    <w:name w:val="heading 2"/>
    <w:basedOn w:val="Normal"/>
    <w:next w:val="Normal"/>
    <w:link w:val="Heading2Char"/>
    <w:uiPriority w:val="9"/>
    <w:unhideWhenUsed/>
    <w:qFormat/>
    <w:rsid w:val="00EC7E2F"/>
    <w:pPr>
      <w:keepNext/>
      <w:keepLines/>
      <w:spacing w:before="200"/>
      <w:outlineLvl w:val="1"/>
    </w:pPr>
    <w:rPr>
      <w:rFonts w:eastAsiaTheme="majorEastAsia" w:cstheme="majorBidi"/>
      <w:b/>
      <w:bCs/>
      <w:color w:val="000000" w:themeColor="text1"/>
      <w:sz w:val="32"/>
      <w:szCs w:val="26"/>
    </w:rPr>
  </w:style>
  <w:style w:type="paragraph" w:styleId="Heading3">
    <w:name w:val="heading 3"/>
    <w:basedOn w:val="Normal"/>
    <w:next w:val="Normal"/>
    <w:link w:val="Heading3Char"/>
    <w:unhideWhenUsed/>
    <w:qFormat/>
    <w:rsid w:val="00EC7E2F"/>
    <w:pPr>
      <w:keepNext/>
      <w:numPr>
        <w:ilvl w:val="2"/>
        <w:numId w:val="28"/>
      </w:numPr>
      <w:autoSpaceDE w:val="0"/>
      <w:autoSpaceDN w:val="0"/>
      <w:adjustRightInd w:val="0"/>
      <w:spacing w:line="240" w:lineRule="auto"/>
      <w:jc w:val="both"/>
      <w:outlineLvl w:val="2"/>
    </w:pPr>
    <w:rPr>
      <w:rFonts w:ascii="Calibri" w:hAnsi="Calibri" w:cs="TimesTen-Bold"/>
      <w:b/>
      <w:bCs/>
      <w:i/>
      <w:color w:val="000000" w:themeColor="text1"/>
      <w:sz w:val="24"/>
      <w:szCs w:val="26"/>
    </w:rPr>
  </w:style>
  <w:style w:type="paragraph" w:styleId="Heading7">
    <w:name w:val="heading 7"/>
    <w:basedOn w:val="Normal"/>
    <w:next w:val="Normal"/>
    <w:link w:val="Heading7Char"/>
    <w:uiPriority w:val="9"/>
    <w:unhideWhenUsed/>
    <w:qFormat/>
    <w:rsid w:val="004567F5"/>
    <w:pPr>
      <w:keepNext/>
      <w:keepLines/>
      <w:numPr>
        <w:ilvl w:val="6"/>
        <w:numId w:val="28"/>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567F5"/>
    <w:pPr>
      <w:keepNext/>
      <w:keepLines/>
      <w:numPr>
        <w:ilvl w:val="7"/>
        <w:numId w:val="28"/>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567F5"/>
    <w:pPr>
      <w:keepNext/>
      <w:keepLines/>
      <w:numPr>
        <w:ilvl w:val="8"/>
        <w:numId w:val="28"/>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7E2F"/>
    <w:rPr>
      <w:rFonts w:eastAsiaTheme="majorEastAsia" w:cstheme="majorBidi"/>
      <w:b/>
      <w:bCs/>
      <w:color w:val="000000" w:themeColor="text1"/>
      <w:sz w:val="32"/>
      <w:szCs w:val="26"/>
      <w:lang w:eastAsia="en-AU"/>
    </w:rPr>
  </w:style>
  <w:style w:type="character" w:customStyle="1" w:styleId="Heading1Char">
    <w:name w:val="Heading 1 Char"/>
    <w:basedOn w:val="DefaultParagraphFont"/>
    <w:link w:val="Heading1"/>
    <w:uiPriority w:val="9"/>
    <w:rsid w:val="00EC7E2F"/>
    <w:rPr>
      <w:rFonts w:eastAsiaTheme="majorEastAsia" w:cstheme="majorBidi"/>
      <w:b/>
      <w:bCs/>
      <w:color w:val="000000" w:themeColor="text1"/>
      <w:sz w:val="40"/>
      <w:szCs w:val="28"/>
      <w:lang w:eastAsia="en-AU"/>
    </w:rPr>
  </w:style>
  <w:style w:type="paragraph" w:styleId="Title">
    <w:name w:val="Title"/>
    <w:basedOn w:val="Normal"/>
    <w:next w:val="Normal"/>
    <w:link w:val="TitleChar"/>
    <w:uiPriority w:val="10"/>
    <w:qFormat/>
    <w:rsid w:val="00EC7E2F"/>
    <w:pPr>
      <w:spacing w:before="0" w:after="300" w:line="240" w:lineRule="auto"/>
      <w:contextualSpacing/>
      <w:jc w:val="center"/>
    </w:pPr>
    <w:rPr>
      <w:rFonts w:ascii="Calibri" w:eastAsiaTheme="majorEastAsia" w:hAnsi="Calibri" w:cstheme="majorBidi"/>
      <w:color w:val="000000" w:themeColor="text1"/>
      <w:spacing w:val="5"/>
      <w:kern w:val="28"/>
      <w:sz w:val="52"/>
      <w:szCs w:val="52"/>
      <w:lang w:eastAsia="en-US"/>
    </w:rPr>
  </w:style>
  <w:style w:type="character" w:customStyle="1" w:styleId="TitleChar">
    <w:name w:val="Title Char"/>
    <w:basedOn w:val="DefaultParagraphFont"/>
    <w:link w:val="Title"/>
    <w:uiPriority w:val="10"/>
    <w:rsid w:val="00EC7E2F"/>
    <w:rPr>
      <w:rFonts w:ascii="Calibri" w:eastAsiaTheme="majorEastAsia" w:hAnsi="Calibri" w:cstheme="majorBidi"/>
      <w:color w:val="000000" w:themeColor="text1"/>
      <w:spacing w:val="5"/>
      <w:kern w:val="28"/>
      <w:sz w:val="52"/>
      <w:szCs w:val="52"/>
    </w:rPr>
  </w:style>
  <w:style w:type="character" w:styleId="Hyperlink">
    <w:name w:val="Hyperlink"/>
    <w:uiPriority w:val="99"/>
    <w:rsid w:val="005908A8"/>
    <w:rPr>
      <w:rFonts w:asciiTheme="minorHAnsi" w:hAnsiTheme="minorHAnsi"/>
      <w:color w:val="1F497D" w:themeColor="text2"/>
      <w:u w:val="single"/>
    </w:rPr>
  </w:style>
  <w:style w:type="paragraph" w:styleId="FootnoteText">
    <w:name w:val="footnote text"/>
    <w:basedOn w:val="Normal"/>
    <w:link w:val="FootnoteTextChar"/>
    <w:unhideWhenUsed/>
    <w:rsid w:val="00301FE6"/>
    <w:pPr>
      <w:spacing w:before="60"/>
      <w:ind w:left="284" w:hanging="284"/>
    </w:pPr>
    <w:rPr>
      <w:sz w:val="18"/>
    </w:rPr>
  </w:style>
  <w:style w:type="character" w:customStyle="1" w:styleId="FootnoteTextChar">
    <w:name w:val="Footnote Text Char"/>
    <w:basedOn w:val="DefaultParagraphFont"/>
    <w:link w:val="FootnoteText"/>
    <w:rsid w:val="00301FE6"/>
    <w:rPr>
      <w:rFonts w:eastAsia="Times New Roman" w:cs="Times New Roman"/>
      <w:color w:val="444444"/>
      <w:sz w:val="18"/>
      <w:lang w:eastAsia="en-AU"/>
    </w:rPr>
  </w:style>
  <w:style w:type="character" w:styleId="FootnoteReference">
    <w:name w:val="footnote reference"/>
    <w:basedOn w:val="DefaultParagraphFont"/>
    <w:semiHidden/>
    <w:unhideWhenUsed/>
    <w:rsid w:val="00301FE6"/>
    <w:rPr>
      <w:vertAlign w:val="superscript"/>
    </w:rPr>
  </w:style>
  <w:style w:type="paragraph" w:customStyle="1" w:styleId="Paranumbered">
    <w:name w:val="Para numbered"/>
    <w:basedOn w:val="Normal"/>
    <w:qFormat/>
    <w:rsid w:val="00BC128E"/>
    <w:pPr>
      <w:numPr>
        <w:numId w:val="2"/>
      </w:numPr>
      <w:ind w:left="357" w:hanging="357"/>
    </w:pPr>
    <w:rPr>
      <w:rFonts w:eastAsia="Calibri"/>
      <w:lang w:eastAsia="en-US"/>
    </w:rPr>
  </w:style>
  <w:style w:type="paragraph" w:customStyle="1" w:styleId="List1">
    <w:name w:val="List1"/>
    <w:basedOn w:val="Normal"/>
    <w:link w:val="listChar"/>
    <w:qFormat/>
    <w:rsid w:val="00BC128E"/>
    <w:pPr>
      <w:numPr>
        <w:numId w:val="14"/>
      </w:numPr>
      <w:ind w:left="867" w:hanging="357"/>
    </w:pPr>
  </w:style>
  <w:style w:type="character" w:customStyle="1" w:styleId="listChar">
    <w:name w:val="list Char"/>
    <w:basedOn w:val="DefaultParagraphFont"/>
    <w:link w:val="List1"/>
    <w:rsid w:val="00BC128E"/>
    <w:rPr>
      <w:rFonts w:eastAsia="Times New Roman" w:cs="Times New Roman"/>
      <w:color w:val="444444"/>
      <w:lang w:eastAsia="en-AU"/>
    </w:rPr>
  </w:style>
  <w:style w:type="character" w:styleId="CommentReference">
    <w:name w:val="annotation reference"/>
    <w:basedOn w:val="DefaultParagraphFont"/>
    <w:uiPriority w:val="99"/>
    <w:semiHidden/>
    <w:unhideWhenUsed/>
    <w:rsid w:val="00301FE6"/>
    <w:rPr>
      <w:sz w:val="16"/>
      <w:szCs w:val="16"/>
    </w:rPr>
  </w:style>
  <w:style w:type="paragraph" w:styleId="CommentText">
    <w:name w:val="annotation text"/>
    <w:basedOn w:val="Normal"/>
    <w:link w:val="CommentTextChar"/>
    <w:uiPriority w:val="99"/>
    <w:unhideWhenUsed/>
    <w:rsid w:val="00301FE6"/>
    <w:pPr>
      <w:spacing w:after="200"/>
    </w:pPr>
    <w:rPr>
      <w:rFonts w:eastAsiaTheme="minorHAnsi" w:cstheme="minorBidi"/>
      <w:sz w:val="20"/>
      <w:lang w:eastAsia="en-US"/>
    </w:rPr>
  </w:style>
  <w:style w:type="character" w:customStyle="1" w:styleId="CommentTextChar">
    <w:name w:val="Comment Text Char"/>
    <w:basedOn w:val="DefaultParagraphFont"/>
    <w:link w:val="CommentText"/>
    <w:uiPriority w:val="99"/>
    <w:rsid w:val="00301FE6"/>
    <w:rPr>
      <w:color w:val="444444"/>
      <w:sz w:val="20"/>
    </w:rPr>
  </w:style>
  <w:style w:type="paragraph" w:customStyle="1" w:styleId="Default">
    <w:name w:val="Default"/>
    <w:rsid w:val="00301FE6"/>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01FE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FE6"/>
    <w:rPr>
      <w:rFonts w:ascii="Tahoma" w:eastAsia="Times New Roman" w:hAnsi="Tahoma" w:cs="Tahoma"/>
      <w:color w:val="444444"/>
      <w:sz w:val="16"/>
      <w:szCs w:val="16"/>
      <w:lang w:eastAsia="en-AU"/>
    </w:rPr>
  </w:style>
  <w:style w:type="paragraph" w:styleId="ListParagraph">
    <w:name w:val="List Paragraph"/>
    <w:basedOn w:val="Normal"/>
    <w:uiPriority w:val="1"/>
    <w:qFormat/>
    <w:rsid w:val="00BC128E"/>
    <w:pPr>
      <w:numPr>
        <w:numId w:val="4"/>
      </w:numPr>
      <w:spacing w:before="60" w:after="60"/>
      <w:ind w:left="1435" w:hanging="567"/>
    </w:pPr>
    <w:rPr>
      <w:rFonts w:eastAsiaTheme="minorHAnsi"/>
      <w:lang w:eastAsia="x-none"/>
    </w:rPr>
  </w:style>
  <w:style w:type="table" w:styleId="TableGrid">
    <w:name w:val="Table Grid"/>
    <w:basedOn w:val="TableNormal"/>
    <w:uiPriority w:val="59"/>
    <w:rsid w:val="00A3519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edule">
    <w:name w:val="Schedule"/>
    <w:qFormat/>
    <w:rsid w:val="00EC7E2F"/>
    <w:pPr>
      <w:keepNext/>
      <w:autoSpaceDE w:val="0"/>
      <w:autoSpaceDN w:val="0"/>
      <w:adjustRightInd w:val="0"/>
      <w:spacing w:after="360" w:line="240" w:lineRule="auto"/>
      <w:ind w:left="2160" w:hanging="2160"/>
      <w:outlineLvl w:val="0"/>
    </w:pPr>
    <w:rPr>
      <w:rFonts w:ascii="Calibri" w:eastAsia="Times New Roman" w:hAnsi="Calibri" w:cs="Georgia"/>
      <w:b/>
      <w:bCs/>
      <w:spacing w:val="-4"/>
      <w:sz w:val="32"/>
      <w:szCs w:val="36"/>
    </w:rPr>
  </w:style>
  <w:style w:type="paragraph" w:customStyle="1" w:styleId="RPSBodyText">
    <w:name w:val="RPS Body Text"/>
    <w:basedOn w:val="Default"/>
    <w:next w:val="Default"/>
    <w:uiPriority w:val="99"/>
    <w:rsid w:val="00A3519E"/>
    <w:rPr>
      <w:rFonts w:ascii="Georgia" w:eastAsia="Calibri" w:hAnsi="Georgia"/>
      <w:color w:val="auto"/>
      <w:lang w:val="en-AU"/>
    </w:rPr>
  </w:style>
  <w:style w:type="table" w:customStyle="1" w:styleId="GenericARPANSA">
    <w:name w:val="Generic ARPANSA"/>
    <w:basedOn w:val="TableNormal"/>
    <w:uiPriority w:val="99"/>
    <w:rsid w:val="00EC7E2F"/>
    <w:pPr>
      <w:spacing w:before="60" w:after="60" w:line="240" w:lineRule="auto"/>
      <w:jc w:val="center"/>
    </w:pPr>
    <w:rPr>
      <w:color w:val="444444"/>
    </w:rPr>
    <w:tblPr>
      <w:tblStyleRowBandSize w:val="1"/>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auto"/>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4EBFB"/>
      </w:tcPr>
    </w:tblStylePr>
  </w:style>
  <w:style w:type="paragraph" w:customStyle="1" w:styleId="Normalindenta">
    <w:name w:val="Normal indent a"/>
    <w:aliases w:val="b,c..."/>
    <w:basedOn w:val="Normal"/>
    <w:rsid w:val="00A3519E"/>
    <w:pPr>
      <w:spacing w:before="0" w:after="120" w:line="240" w:lineRule="auto"/>
      <w:jc w:val="both"/>
    </w:pPr>
    <w:rPr>
      <w:rFonts w:ascii="Georgia" w:hAnsi="Georgia"/>
      <w:sz w:val="20"/>
      <w:szCs w:val="20"/>
      <w:lang w:eastAsia="en-US"/>
    </w:rPr>
  </w:style>
  <w:style w:type="paragraph" w:customStyle="1" w:styleId="Alphaaindented">
    <w:name w:val="Alpha (a) indented"/>
    <w:basedOn w:val="Normal"/>
    <w:qFormat/>
    <w:rsid w:val="00A3519E"/>
    <w:pPr>
      <w:ind w:left="1134" w:hanging="454"/>
    </w:pPr>
    <w:rPr>
      <w:rFonts w:eastAsiaTheme="minorHAnsi" w:cstheme="minorBidi"/>
      <w:lang w:eastAsia="en-US"/>
    </w:rPr>
  </w:style>
  <w:style w:type="paragraph" w:styleId="CommentSubject">
    <w:name w:val="annotation subject"/>
    <w:basedOn w:val="CommentText"/>
    <w:next w:val="CommentText"/>
    <w:link w:val="CommentSubjectChar"/>
    <w:uiPriority w:val="99"/>
    <w:semiHidden/>
    <w:unhideWhenUsed/>
    <w:rsid w:val="00B40955"/>
    <w:pPr>
      <w:spacing w:after="0" w:line="240" w:lineRule="auto"/>
    </w:pPr>
    <w:rPr>
      <w:rFonts w:eastAsia="Times New Roman" w:cs="Times New Roman"/>
      <w:b/>
      <w:bCs/>
      <w:szCs w:val="20"/>
      <w:lang w:eastAsia="en-AU"/>
    </w:rPr>
  </w:style>
  <w:style w:type="character" w:customStyle="1" w:styleId="CommentSubjectChar">
    <w:name w:val="Comment Subject Char"/>
    <w:basedOn w:val="CommentTextChar"/>
    <w:link w:val="CommentSubject"/>
    <w:uiPriority w:val="99"/>
    <w:semiHidden/>
    <w:rsid w:val="00B40955"/>
    <w:rPr>
      <w:rFonts w:eastAsia="Times New Roman" w:cs="Times New Roman"/>
      <w:b/>
      <w:bCs/>
      <w:color w:val="444444"/>
      <w:sz w:val="20"/>
      <w:szCs w:val="20"/>
      <w:lang w:eastAsia="en-AU"/>
    </w:rPr>
  </w:style>
  <w:style w:type="character" w:customStyle="1" w:styleId="Heading3Char">
    <w:name w:val="Heading 3 Char"/>
    <w:basedOn w:val="DefaultParagraphFont"/>
    <w:link w:val="Heading3"/>
    <w:rsid w:val="00EC7E2F"/>
    <w:rPr>
      <w:rFonts w:ascii="Calibri" w:eastAsia="Times New Roman" w:hAnsi="Calibri" w:cs="TimesTen-Bold"/>
      <w:b/>
      <w:bCs/>
      <w:i/>
      <w:color w:val="000000" w:themeColor="text1"/>
      <w:sz w:val="24"/>
      <w:szCs w:val="26"/>
      <w:lang w:eastAsia="en-AU"/>
    </w:rPr>
  </w:style>
  <w:style w:type="character" w:customStyle="1" w:styleId="Heading7Char">
    <w:name w:val="Heading 7 Char"/>
    <w:basedOn w:val="DefaultParagraphFont"/>
    <w:link w:val="Heading7"/>
    <w:uiPriority w:val="9"/>
    <w:rsid w:val="004567F5"/>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4567F5"/>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rsid w:val="004567F5"/>
    <w:rPr>
      <w:rFonts w:asciiTheme="majorHAnsi" w:eastAsiaTheme="majorEastAsia" w:hAnsiTheme="majorHAnsi" w:cstheme="majorBidi"/>
      <w:i/>
      <w:iCs/>
      <w:color w:val="404040" w:themeColor="text1" w:themeTint="BF"/>
      <w:sz w:val="20"/>
      <w:szCs w:val="20"/>
      <w:lang w:eastAsia="en-AU"/>
    </w:rPr>
  </w:style>
  <w:style w:type="paragraph" w:customStyle="1" w:styleId="RPSBodyTextalpha">
    <w:name w:val="RPS Body Text alpha"/>
    <w:basedOn w:val="Normal"/>
    <w:rsid w:val="004567F5"/>
    <w:pPr>
      <w:numPr>
        <w:ilvl w:val="4"/>
        <w:numId w:val="28"/>
      </w:numPr>
      <w:spacing w:before="60"/>
    </w:pPr>
    <w:rPr>
      <w:rFonts w:eastAsiaTheme="minorHAnsi" w:cs="TimesNewRomanPSMT"/>
      <w:lang w:eastAsia="en-US"/>
    </w:rPr>
  </w:style>
  <w:style w:type="paragraph" w:customStyle="1" w:styleId="RPSRomanBodyText">
    <w:name w:val="RPS Roman Body Text"/>
    <w:basedOn w:val="RPSBodyTextalpha"/>
    <w:autoRedefine/>
    <w:rsid w:val="004567F5"/>
    <w:pPr>
      <w:numPr>
        <w:ilvl w:val="5"/>
      </w:numPr>
    </w:pPr>
  </w:style>
  <w:style w:type="paragraph" w:styleId="TOCHeading">
    <w:name w:val="TOC Heading"/>
    <w:basedOn w:val="Heading1"/>
    <w:next w:val="Normal"/>
    <w:uiPriority w:val="39"/>
    <w:unhideWhenUsed/>
    <w:qFormat/>
    <w:rsid w:val="008A004F"/>
    <w:pPr>
      <w:spacing w:before="240" w:line="259" w:lineRule="auto"/>
      <w:outlineLvl w:val="9"/>
    </w:pPr>
    <w:rPr>
      <w:rFonts w:asciiTheme="majorHAnsi" w:hAnsiTheme="majorHAns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591181"/>
    <w:pPr>
      <w:tabs>
        <w:tab w:val="right" w:pos="9639"/>
      </w:tabs>
    </w:pPr>
    <w:rPr>
      <w:rFonts w:cstheme="minorHAnsi"/>
      <w:b/>
      <w:bCs/>
      <w:i/>
      <w:iCs/>
      <w:noProof/>
      <w:color w:val="4E1A74"/>
      <w:sz w:val="24"/>
      <w:szCs w:val="24"/>
    </w:rPr>
  </w:style>
  <w:style w:type="paragraph" w:styleId="TOC2">
    <w:name w:val="toc 2"/>
    <w:basedOn w:val="Normal"/>
    <w:next w:val="Normal"/>
    <w:autoRedefine/>
    <w:uiPriority w:val="39"/>
    <w:unhideWhenUsed/>
    <w:rsid w:val="00591181"/>
    <w:pPr>
      <w:tabs>
        <w:tab w:val="right" w:leader="dot" w:pos="9628"/>
      </w:tabs>
      <w:spacing w:before="60"/>
    </w:pPr>
    <w:rPr>
      <w:rFonts w:cstheme="minorHAnsi"/>
      <w:b/>
      <w:bCs/>
    </w:rPr>
  </w:style>
  <w:style w:type="paragraph" w:styleId="TOC3">
    <w:name w:val="toc 3"/>
    <w:basedOn w:val="Normal"/>
    <w:next w:val="Normal"/>
    <w:autoRedefine/>
    <w:uiPriority w:val="39"/>
    <w:unhideWhenUsed/>
    <w:rsid w:val="00C477F1"/>
    <w:pPr>
      <w:spacing w:before="0"/>
      <w:ind w:left="440"/>
    </w:pPr>
    <w:rPr>
      <w:rFonts w:cstheme="minorHAnsi"/>
      <w:sz w:val="20"/>
      <w:szCs w:val="20"/>
    </w:rPr>
  </w:style>
  <w:style w:type="paragraph" w:styleId="TOC4">
    <w:name w:val="toc 4"/>
    <w:basedOn w:val="Normal"/>
    <w:next w:val="Normal"/>
    <w:autoRedefine/>
    <w:uiPriority w:val="39"/>
    <w:unhideWhenUsed/>
    <w:rsid w:val="00C477F1"/>
    <w:pPr>
      <w:spacing w:before="0"/>
      <w:ind w:left="660"/>
    </w:pPr>
    <w:rPr>
      <w:rFonts w:cstheme="minorHAnsi"/>
      <w:sz w:val="20"/>
      <w:szCs w:val="20"/>
    </w:rPr>
  </w:style>
  <w:style w:type="paragraph" w:styleId="TOC5">
    <w:name w:val="toc 5"/>
    <w:basedOn w:val="Normal"/>
    <w:next w:val="Normal"/>
    <w:autoRedefine/>
    <w:uiPriority w:val="39"/>
    <w:unhideWhenUsed/>
    <w:rsid w:val="00C477F1"/>
    <w:pPr>
      <w:spacing w:before="0"/>
      <w:ind w:left="880"/>
    </w:pPr>
    <w:rPr>
      <w:rFonts w:cstheme="minorHAnsi"/>
      <w:sz w:val="20"/>
      <w:szCs w:val="20"/>
    </w:rPr>
  </w:style>
  <w:style w:type="paragraph" w:styleId="TOC6">
    <w:name w:val="toc 6"/>
    <w:basedOn w:val="Normal"/>
    <w:next w:val="Normal"/>
    <w:autoRedefine/>
    <w:uiPriority w:val="39"/>
    <w:unhideWhenUsed/>
    <w:rsid w:val="00C477F1"/>
    <w:pPr>
      <w:spacing w:before="0"/>
      <w:ind w:left="1100"/>
    </w:pPr>
    <w:rPr>
      <w:rFonts w:cstheme="minorHAnsi"/>
      <w:sz w:val="20"/>
      <w:szCs w:val="20"/>
    </w:rPr>
  </w:style>
  <w:style w:type="paragraph" w:styleId="TOC7">
    <w:name w:val="toc 7"/>
    <w:basedOn w:val="Normal"/>
    <w:next w:val="Normal"/>
    <w:autoRedefine/>
    <w:uiPriority w:val="39"/>
    <w:unhideWhenUsed/>
    <w:rsid w:val="00C477F1"/>
    <w:pPr>
      <w:spacing w:before="0"/>
      <w:ind w:left="1320"/>
    </w:pPr>
    <w:rPr>
      <w:rFonts w:cstheme="minorHAnsi"/>
      <w:sz w:val="20"/>
      <w:szCs w:val="20"/>
    </w:rPr>
  </w:style>
  <w:style w:type="paragraph" w:styleId="TOC8">
    <w:name w:val="toc 8"/>
    <w:basedOn w:val="Normal"/>
    <w:next w:val="Normal"/>
    <w:autoRedefine/>
    <w:uiPriority w:val="39"/>
    <w:unhideWhenUsed/>
    <w:rsid w:val="00C477F1"/>
    <w:pPr>
      <w:spacing w:before="0"/>
      <w:ind w:left="1540"/>
    </w:pPr>
    <w:rPr>
      <w:rFonts w:cstheme="minorHAnsi"/>
      <w:sz w:val="20"/>
      <w:szCs w:val="20"/>
    </w:rPr>
  </w:style>
  <w:style w:type="paragraph" w:styleId="TOC9">
    <w:name w:val="toc 9"/>
    <w:basedOn w:val="Normal"/>
    <w:next w:val="Normal"/>
    <w:autoRedefine/>
    <w:uiPriority w:val="39"/>
    <w:unhideWhenUsed/>
    <w:rsid w:val="00C477F1"/>
    <w:pPr>
      <w:spacing w:before="0"/>
      <w:ind w:left="1760"/>
    </w:pPr>
    <w:rPr>
      <w:rFonts w:cstheme="minorHAnsi"/>
      <w:sz w:val="20"/>
      <w:szCs w:val="20"/>
    </w:rPr>
  </w:style>
  <w:style w:type="character" w:styleId="FollowedHyperlink">
    <w:name w:val="FollowedHyperlink"/>
    <w:basedOn w:val="DefaultParagraphFont"/>
    <w:uiPriority w:val="99"/>
    <w:semiHidden/>
    <w:unhideWhenUsed/>
    <w:rsid w:val="00D904DC"/>
    <w:rPr>
      <w:color w:val="800080" w:themeColor="followedHyperlink"/>
      <w:u w:val="single"/>
    </w:rPr>
  </w:style>
  <w:style w:type="paragraph" w:styleId="Header">
    <w:name w:val="header"/>
    <w:basedOn w:val="Normal"/>
    <w:link w:val="HeaderChar"/>
    <w:uiPriority w:val="99"/>
    <w:unhideWhenUsed/>
    <w:rsid w:val="0083124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831240"/>
    <w:rPr>
      <w:rFonts w:eastAsia="Times New Roman" w:cs="Times New Roman"/>
      <w:lang w:eastAsia="en-AU"/>
    </w:rPr>
  </w:style>
  <w:style w:type="paragraph" w:styleId="Footer">
    <w:name w:val="footer"/>
    <w:basedOn w:val="Normal"/>
    <w:link w:val="FooterChar"/>
    <w:unhideWhenUsed/>
    <w:rsid w:val="00831240"/>
    <w:pPr>
      <w:tabs>
        <w:tab w:val="center" w:pos="4513"/>
        <w:tab w:val="right" w:pos="9026"/>
      </w:tabs>
      <w:spacing w:before="0" w:line="240" w:lineRule="auto"/>
    </w:pPr>
  </w:style>
  <w:style w:type="character" w:customStyle="1" w:styleId="FooterChar">
    <w:name w:val="Footer Char"/>
    <w:basedOn w:val="DefaultParagraphFont"/>
    <w:link w:val="Footer"/>
    <w:rsid w:val="00831240"/>
    <w:rPr>
      <w:rFonts w:eastAsia="Times New Roman" w:cs="Times New Roman"/>
      <w:lang w:eastAsia="en-AU"/>
    </w:rPr>
  </w:style>
  <w:style w:type="paragraph" w:customStyle="1" w:styleId="Text">
    <w:name w:val="Text"/>
    <w:basedOn w:val="Normal"/>
    <w:uiPriority w:val="99"/>
    <w:rsid w:val="00730F7F"/>
    <w:pPr>
      <w:suppressAutoHyphens/>
      <w:autoSpaceDE w:val="0"/>
      <w:autoSpaceDN w:val="0"/>
      <w:adjustRightInd w:val="0"/>
      <w:spacing w:before="240" w:after="113" w:line="340" w:lineRule="atLeast"/>
    </w:pPr>
    <w:rPr>
      <w:rFonts w:ascii="Calibri" w:hAnsi="Calibri" w:cs="Calibri"/>
      <w:color w:val="000000"/>
      <w:szCs w:val="24"/>
      <w:lang w:val="en-US"/>
    </w:rPr>
  </w:style>
  <w:style w:type="paragraph" w:customStyle="1" w:styleId="TechRep">
    <w:name w:val="Tech Rep"/>
    <w:basedOn w:val="Normal"/>
    <w:link w:val="TechRepChar"/>
    <w:qFormat/>
    <w:rsid w:val="00730F7F"/>
    <w:pPr>
      <w:spacing w:before="240" w:after="240"/>
      <w:jc w:val="both"/>
    </w:pPr>
    <w:rPr>
      <w:rFonts w:ascii="Calibri" w:eastAsia="Calibri" w:hAnsi="Calibri"/>
      <w:szCs w:val="24"/>
      <w:lang w:eastAsia="en-US"/>
    </w:rPr>
  </w:style>
  <w:style w:type="character" w:customStyle="1" w:styleId="TechRepChar">
    <w:name w:val="Tech Rep Char"/>
    <w:link w:val="TechRep"/>
    <w:rsid w:val="00730F7F"/>
    <w:rPr>
      <w:rFonts w:ascii="Calibri" w:eastAsia="Calibri" w:hAnsi="Calibri" w:cs="Times New Roman"/>
      <w:color w:val="444444"/>
      <w:szCs w:val="24"/>
    </w:rPr>
  </w:style>
  <w:style w:type="paragraph" w:customStyle="1" w:styleId="GlossaryTerm">
    <w:name w:val="Glossary Term"/>
    <w:basedOn w:val="Normal"/>
    <w:qFormat/>
    <w:rsid w:val="00EC7E2F"/>
    <w:pPr>
      <w:keepNext/>
      <w:tabs>
        <w:tab w:val="left" w:pos="0"/>
        <w:tab w:val="right" w:pos="9242"/>
      </w:tabs>
      <w:spacing w:before="240"/>
      <w:ind w:left="284" w:hanging="284"/>
    </w:pPr>
    <w:rPr>
      <w:rFonts w:ascii="Calibri" w:eastAsia="Calibri" w:hAnsi="Calibri" w:cs="Courier New"/>
      <w:b/>
      <w:color w:val="auto"/>
      <w:lang w:eastAsia="en-US"/>
    </w:rPr>
  </w:style>
  <w:style w:type="paragraph" w:styleId="Revision">
    <w:name w:val="Revision"/>
    <w:hidden/>
    <w:uiPriority w:val="99"/>
    <w:semiHidden/>
    <w:rsid w:val="00464AB5"/>
    <w:pPr>
      <w:spacing w:after="0" w:line="240" w:lineRule="auto"/>
    </w:pPr>
    <w:rPr>
      <w:rFonts w:eastAsia="Times New Roman" w:cs="Times New Roman"/>
      <w:color w:val="444444"/>
      <w:lang w:eastAsia="en-AU"/>
    </w:rPr>
  </w:style>
  <w:style w:type="table" w:styleId="ListTable3">
    <w:name w:val="List Table 3"/>
    <w:basedOn w:val="TableNormal"/>
    <w:uiPriority w:val="48"/>
    <w:rsid w:val="00EC7E2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4">
    <w:name w:val="Grid Table 4"/>
    <w:basedOn w:val="TableNormal"/>
    <w:uiPriority w:val="49"/>
    <w:rsid w:val="00EC7E2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989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arpansa.gov.au" TargetMode="External"/><Relationship Id="rId18" Type="http://schemas.openxmlformats.org/officeDocument/2006/relationships/hyperlink" Target="http://www.arpansa.gov.au" TargetMode="External"/><Relationship Id="rId26" Type="http://schemas.openxmlformats.org/officeDocument/2006/relationships/hyperlink" Target="https://www.iaea.org/resources/safety-standards/safety-glossary" TargetMode="External"/><Relationship Id="rId39" Type="http://schemas.openxmlformats.org/officeDocument/2006/relationships/theme" Target="theme/theme1.xml"/><Relationship Id="rId21" Type="http://schemas.openxmlformats.org/officeDocument/2006/relationships/hyperlink" Target="https://www.arpansa.gov.au/regulation-and-licensing/regulatory-publications/radiation-protection-series" TargetMode="External"/><Relationship Id="rId34" Type="http://schemas.openxmlformats.org/officeDocument/2006/relationships/hyperlink" Target="https://www.iaea.org/resources/safety-standards/safety-glossary" TargetMode="External"/><Relationship Id="rId7" Type="http://schemas.openxmlformats.org/officeDocument/2006/relationships/endnotes" Target="endnotes.xml"/><Relationship Id="rId12" Type="http://schemas.openxmlformats.org/officeDocument/2006/relationships/hyperlink" Target="http://www.dpmc.gov.au/government/commonwealth-coat-arms" TargetMode="External"/><Relationship Id="rId17" Type="http://schemas.openxmlformats.org/officeDocument/2006/relationships/hyperlink" Target="mailto:info@arpansa.gov.au" TargetMode="External"/><Relationship Id="rId25" Type="http://schemas.openxmlformats.org/officeDocument/2006/relationships/hyperlink" Target="https://www.iaea.org/topics/codes-of-conduct" TargetMode="External"/><Relationship Id="rId33" Type="http://schemas.openxmlformats.org/officeDocument/2006/relationships/hyperlink" Target="https://www.iaea.org/resources/safety-standards/safety-glossar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pmc.gov.au/government/commonwealth-coat-arms" TargetMode="External"/><Relationship Id="rId20" Type="http://schemas.openxmlformats.org/officeDocument/2006/relationships/hyperlink" Target="http://www.health.gov.au/internet/main/publishing.nsf/Content/health-pubhlth-strateg-bio-index.htm" TargetMode="External"/><Relationship Id="rId29" Type="http://schemas.openxmlformats.org/officeDocument/2006/relationships/hyperlink" Target="https://www.iaea.org/resources/safety-standards/safety-gloss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 TargetMode="External"/><Relationship Id="rId24" Type="http://schemas.openxmlformats.org/officeDocument/2006/relationships/hyperlink" Target="https://www.arpansa.gov.au/regulation-and-licensing/regulatory-publications" TargetMode="External"/><Relationship Id="rId32" Type="http://schemas.openxmlformats.org/officeDocument/2006/relationships/hyperlink" Target="https://www.employment.gov.au/mutual-recognition"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creativecommons.org/licenses/by/3.0/au" TargetMode="External"/><Relationship Id="rId23" Type="http://schemas.openxmlformats.org/officeDocument/2006/relationships/hyperlink" Target="https://www.epa.gov/radiation/federal-guidance-report-no-12-external-exposure-radionuclides-air-water-and-soil" TargetMode="External"/><Relationship Id="rId28" Type="http://schemas.openxmlformats.org/officeDocument/2006/relationships/hyperlink" Target="https://www.iaea.org/resources/safety-standards/safety-glossary" TargetMode="External"/><Relationship Id="rId36" Type="http://schemas.openxmlformats.org/officeDocument/2006/relationships/hyperlink" Target="https://www.iaea.org/resources/safety-standards/safety-glossary" TargetMode="Externa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yperlink" Target="https://www.iaea.org/resources/safety-standards/safety-glossar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rpansa.gov.au" TargetMode="External"/><Relationship Id="rId22" Type="http://schemas.openxmlformats.org/officeDocument/2006/relationships/hyperlink" Target="http://www.icrp.org/publications.asp" TargetMode="External"/><Relationship Id="rId27" Type="http://schemas.openxmlformats.org/officeDocument/2006/relationships/hyperlink" Target="https://www.iaea.org/resources/safety-standards/safety-glossary" TargetMode="External"/><Relationship Id="rId30" Type="http://schemas.openxmlformats.org/officeDocument/2006/relationships/hyperlink" Target="https://www.iaea.org/resources/safety-standards/safety-glossary" TargetMode="External"/><Relationship Id="rId35" Type="http://schemas.openxmlformats.org/officeDocument/2006/relationships/hyperlink" Target="https://www.iaea.org/resources/safety-standards/safety-glossary" TargetMode="Externa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B0A18-4292-4F15-8563-51F73B0DF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7202</Words>
  <Characters>41054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National Directory for Radiation Protection</vt:lpstr>
    </vt:vector>
  </TitlesOfParts>
  <Company/>
  <LinksUpToDate>false</LinksUpToDate>
  <CharactersWithSpaces>48160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Directory for Radiation Protection</dc:title>
  <dc:creator/>
  <cp:lastModifiedBy/>
  <cp:revision>1</cp:revision>
  <dcterms:created xsi:type="dcterms:W3CDTF">2021-11-09T00:02:00Z</dcterms:created>
  <dcterms:modified xsi:type="dcterms:W3CDTF">2021-11-09T00:02:00Z</dcterms:modified>
</cp:coreProperties>
</file>