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6FF839A6" w:rsidR="003B4D69" w:rsidRDefault="009D61FB" w:rsidP="003B4D69">
      <w:pPr>
        <w:jc w:val="center"/>
        <w:rPr>
          <w:b/>
        </w:rPr>
      </w:pPr>
      <w:r>
        <w:rPr>
          <w:b/>
          <w:noProof/>
          <w:lang w:eastAsia="en-AU"/>
        </w:rPr>
        <w:drawing>
          <wp:anchor distT="0" distB="0" distL="114300" distR="114300" simplePos="0" relativeHeight="251658240" behindDoc="1" locked="0" layoutInCell="1" allowOverlap="1" wp14:anchorId="4C4BD0CC" wp14:editId="37278F29">
            <wp:simplePos x="0" y="0"/>
            <wp:positionH relativeFrom="page">
              <wp:align>left</wp:align>
            </wp:positionH>
            <wp:positionV relativeFrom="paragraph">
              <wp:posOffset>-791465</wp:posOffset>
            </wp:positionV>
            <wp:extent cx="7559195" cy="10692000"/>
            <wp:effectExtent l="0" t="0" r="381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PF-Self Assessment cover 18-19.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195" cy="10692000"/>
                    </a:xfrm>
                    <a:prstGeom prst="rect">
                      <a:avLst/>
                    </a:prstGeom>
                  </pic:spPr>
                </pic:pic>
              </a:graphicData>
            </a:graphic>
            <wp14:sizeRelH relativeFrom="page">
              <wp14:pctWidth>0</wp14:pctWidth>
            </wp14:sizeRelH>
            <wp14:sizeRelV relativeFrom="page">
              <wp14:pctHeight>0</wp14:pctHeight>
            </wp14:sizeRelV>
          </wp:anchor>
        </w:drawing>
      </w:r>
    </w:p>
    <w:p w14:paraId="75D25E75" w14:textId="77777777" w:rsidR="009D61FB" w:rsidRDefault="009D61FB" w:rsidP="003B4D69">
      <w:pPr>
        <w:jc w:val="center"/>
        <w:rPr>
          <w:b/>
        </w:rPr>
      </w:pPr>
    </w:p>
    <w:p w14:paraId="75825BE4" w14:textId="247E6CD3" w:rsidR="5BEE2A0A" w:rsidRDefault="5BEE2A0A" w:rsidP="5BEE2A0A"/>
    <w:p w14:paraId="5DAB6C7B" w14:textId="1ABE3B6C" w:rsidR="003B4D69" w:rsidRDefault="003B4D69" w:rsidP="003B4D69"/>
    <w:p w14:paraId="3B18EFEC" w14:textId="40F54345" w:rsidR="00CD74EC" w:rsidRDefault="00CD74EC" w:rsidP="501E5E53">
      <w:pPr>
        <w:pStyle w:val="Subtitle"/>
      </w:pPr>
    </w:p>
    <w:p w14:paraId="171F2EC0" w14:textId="5F91D0AC" w:rsidR="003C5476" w:rsidRDefault="003C5476" w:rsidP="003C5476"/>
    <w:p w14:paraId="1F9ED4F8" w14:textId="4038B10D" w:rsidR="003C5476" w:rsidRDefault="003C5476" w:rsidP="003C5476"/>
    <w:p w14:paraId="75616C49" w14:textId="74E2A299" w:rsidR="003C5476" w:rsidRPr="003C5476" w:rsidRDefault="003C5476" w:rsidP="003C5476"/>
    <w:p w14:paraId="63CDBC12" w14:textId="1F6038C7" w:rsidR="00CE449D" w:rsidRDefault="00CE449D" w:rsidP="00CE449D">
      <w:bookmarkStart w:id="0" w:name="_Toc471308202"/>
    </w:p>
    <w:p w14:paraId="480AE763" w14:textId="7D855DB2" w:rsidR="00CE449D" w:rsidRDefault="00CE449D" w:rsidP="00CE449D"/>
    <w:p w14:paraId="06ECBB66" w14:textId="250CF25E" w:rsidR="00CE449D" w:rsidRDefault="00CE449D" w:rsidP="00CE449D"/>
    <w:p w14:paraId="57176CC6" w14:textId="5CEE0F06" w:rsidR="00CE449D" w:rsidRPr="00CE449D" w:rsidRDefault="00CE449D" w:rsidP="00CE449D"/>
    <w:p w14:paraId="3DD7C3B0" w14:textId="45D03509" w:rsidR="00CE449D" w:rsidRPr="00CE449D" w:rsidRDefault="00CE449D" w:rsidP="00CE449D">
      <w:pPr>
        <w:ind w:left="-284"/>
      </w:pPr>
    </w:p>
    <w:p w14:paraId="6A05A809" w14:textId="29B8C24F" w:rsidR="00CD74EC" w:rsidRDefault="00CD74EC">
      <w:pPr>
        <w:rPr>
          <w:rFonts w:ascii="Calibri" w:eastAsiaTheme="majorEastAsia" w:hAnsi="Calibri" w:cstheme="majorBidi"/>
          <w:i/>
          <w:iCs/>
          <w:color w:val="4E1A74"/>
          <w:spacing w:val="15"/>
          <w:sz w:val="24"/>
          <w:szCs w:val="24"/>
        </w:rPr>
      </w:pPr>
      <w:r>
        <w:br w:type="page"/>
      </w:r>
    </w:p>
    <w:p w14:paraId="4101652C" w14:textId="77777777" w:rsidR="003B4D69" w:rsidRDefault="003B4D69" w:rsidP="003B4D69">
      <w:pPr>
        <w:pStyle w:val="Subtitle"/>
        <w:sectPr w:rsidR="003B4D69" w:rsidSect="00561938">
          <w:footerReference w:type="default" r:id="rId13"/>
          <w:headerReference w:type="first" r:id="rId14"/>
          <w:footerReference w:type="first" r:id="rId15"/>
          <w:pgSz w:w="11906" w:h="16838"/>
          <w:pgMar w:top="1021" w:right="1021" w:bottom="1021" w:left="1021" w:header="709" w:footer="709" w:gutter="0"/>
          <w:cols w:space="708"/>
          <w:titlePg/>
          <w:docGrid w:linePitch="360"/>
        </w:sectPr>
      </w:pPr>
    </w:p>
    <w:p w14:paraId="406425CA" w14:textId="77777777" w:rsidR="00561938" w:rsidRPr="004219C4" w:rsidRDefault="00561938" w:rsidP="00E007C3">
      <w:pPr>
        <w:spacing w:before="0"/>
        <w:rPr>
          <w:b/>
          <w:color w:val="4E1A74" w:themeColor="text2"/>
          <w:sz w:val="32"/>
        </w:rPr>
      </w:pPr>
      <w:bookmarkStart w:id="1" w:name="_Toc536807656"/>
      <w:bookmarkStart w:id="2" w:name="_Toc12883985"/>
      <w:r w:rsidRPr="004219C4">
        <w:rPr>
          <w:b/>
          <w:color w:val="4E1A74" w:themeColor="text2"/>
          <w:sz w:val="32"/>
        </w:rPr>
        <w:lastRenderedPageBreak/>
        <w:t>C</w:t>
      </w:r>
      <w:r>
        <w:rPr>
          <w:b/>
          <w:color w:val="4E1A74" w:themeColor="text2"/>
          <w:sz w:val="32"/>
        </w:rPr>
        <w:t>ontents</w:t>
      </w:r>
    </w:p>
    <w:p w14:paraId="0813A066" w14:textId="05FF0DC0" w:rsidR="003A0BC5" w:rsidRDefault="00926189">
      <w:pPr>
        <w:pStyle w:val="TOC1"/>
        <w:rPr>
          <w:rFonts w:eastAsiaTheme="minorEastAsia"/>
          <w:b w:val="0"/>
          <w:noProof/>
          <w:color w:val="auto"/>
          <w:lang w:eastAsia="en-AU"/>
        </w:rPr>
      </w:pPr>
      <w:r>
        <w:rPr>
          <w:bCs/>
          <w:color w:val="2B579A"/>
          <w:shd w:val="clear" w:color="auto" w:fill="E6E6E6"/>
        </w:rPr>
        <w:fldChar w:fldCharType="begin"/>
      </w:r>
      <w:r>
        <w:rPr>
          <w:bCs/>
        </w:rPr>
        <w:instrText xml:space="preserve"> TOC \o "1-2" \h \z \u </w:instrText>
      </w:r>
      <w:r>
        <w:rPr>
          <w:bCs/>
          <w:color w:val="2B579A"/>
          <w:shd w:val="clear" w:color="auto" w:fill="E6E6E6"/>
        </w:rPr>
        <w:fldChar w:fldCharType="separate"/>
      </w:r>
      <w:hyperlink w:anchor="_Toc25225253" w:history="1">
        <w:r w:rsidR="003A0BC5" w:rsidRPr="00690A8C">
          <w:rPr>
            <w:rStyle w:val="Hyperlink"/>
            <w:noProof/>
          </w:rPr>
          <w:t>Executive summary</w:t>
        </w:r>
        <w:r w:rsidR="003A0BC5">
          <w:rPr>
            <w:noProof/>
            <w:webHidden/>
          </w:rPr>
          <w:tab/>
        </w:r>
        <w:r w:rsidR="003A0BC5">
          <w:rPr>
            <w:noProof/>
            <w:webHidden/>
          </w:rPr>
          <w:fldChar w:fldCharType="begin"/>
        </w:r>
        <w:r w:rsidR="003A0BC5">
          <w:rPr>
            <w:noProof/>
            <w:webHidden/>
          </w:rPr>
          <w:instrText xml:space="preserve"> PAGEREF _Toc25225253 \h </w:instrText>
        </w:r>
        <w:r w:rsidR="003A0BC5">
          <w:rPr>
            <w:noProof/>
            <w:webHidden/>
          </w:rPr>
        </w:r>
        <w:r w:rsidR="003A0BC5">
          <w:rPr>
            <w:noProof/>
            <w:webHidden/>
          </w:rPr>
          <w:fldChar w:fldCharType="separate"/>
        </w:r>
        <w:r w:rsidR="003A0BC5">
          <w:rPr>
            <w:noProof/>
            <w:webHidden/>
          </w:rPr>
          <w:t>ii</w:t>
        </w:r>
        <w:r w:rsidR="003A0BC5">
          <w:rPr>
            <w:noProof/>
            <w:webHidden/>
          </w:rPr>
          <w:fldChar w:fldCharType="end"/>
        </w:r>
      </w:hyperlink>
    </w:p>
    <w:p w14:paraId="5102B627" w14:textId="1285D08D" w:rsidR="003A0BC5" w:rsidRDefault="006D092A">
      <w:pPr>
        <w:pStyle w:val="TOC1"/>
        <w:rPr>
          <w:rFonts w:eastAsiaTheme="minorEastAsia"/>
          <w:b w:val="0"/>
          <w:noProof/>
          <w:color w:val="auto"/>
          <w:lang w:eastAsia="en-AU"/>
        </w:rPr>
      </w:pPr>
      <w:hyperlink w:anchor="_Toc25225255" w:history="1">
        <w:r w:rsidR="003A0BC5" w:rsidRPr="00690A8C">
          <w:rPr>
            <w:rStyle w:val="Hyperlink"/>
            <w:noProof/>
          </w:rPr>
          <w:t>Introduction</w:t>
        </w:r>
        <w:r w:rsidR="003A0BC5">
          <w:rPr>
            <w:noProof/>
            <w:webHidden/>
          </w:rPr>
          <w:tab/>
        </w:r>
        <w:r w:rsidR="003A0BC5">
          <w:rPr>
            <w:noProof/>
            <w:webHidden/>
          </w:rPr>
          <w:fldChar w:fldCharType="begin"/>
        </w:r>
        <w:r w:rsidR="003A0BC5">
          <w:rPr>
            <w:noProof/>
            <w:webHidden/>
          </w:rPr>
          <w:instrText xml:space="preserve"> PAGEREF _Toc25225255 \h </w:instrText>
        </w:r>
        <w:r w:rsidR="003A0BC5">
          <w:rPr>
            <w:noProof/>
            <w:webHidden/>
          </w:rPr>
        </w:r>
        <w:r w:rsidR="003A0BC5">
          <w:rPr>
            <w:noProof/>
            <w:webHidden/>
          </w:rPr>
          <w:fldChar w:fldCharType="separate"/>
        </w:r>
        <w:r w:rsidR="003A0BC5">
          <w:rPr>
            <w:noProof/>
            <w:webHidden/>
          </w:rPr>
          <w:t>1</w:t>
        </w:r>
        <w:r w:rsidR="003A0BC5">
          <w:rPr>
            <w:noProof/>
            <w:webHidden/>
          </w:rPr>
          <w:fldChar w:fldCharType="end"/>
        </w:r>
      </w:hyperlink>
    </w:p>
    <w:p w14:paraId="7012E62F" w14:textId="13FDAD85" w:rsidR="003A0BC5" w:rsidRDefault="006D092A">
      <w:pPr>
        <w:pStyle w:val="TOC2"/>
        <w:rPr>
          <w:rFonts w:eastAsiaTheme="minorEastAsia"/>
          <w:color w:val="auto"/>
          <w:lang w:eastAsia="en-AU"/>
        </w:rPr>
      </w:pPr>
      <w:hyperlink w:anchor="_Toc25225256" w:history="1">
        <w:r w:rsidR="003A0BC5" w:rsidRPr="00690A8C">
          <w:rPr>
            <w:rStyle w:val="Hyperlink"/>
          </w:rPr>
          <w:t>About the Agency</w:t>
        </w:r>
        <w:r w:rsidR="003A0BC5">
          <w:rPr>
            <w:webHidden/>
          </w:rPr>
          <w:tab/>
        </w:r>
        <w:r w:rsidR="003A0BC5">
          <w:rPr>
            <w:webHidden/>
          </w:rPr>
          <w:fldChar w:fldCharType="begin"/>
        </w:r>
        <w:r w:rsidR="003A0BC5">
          <w:rPr>
            <w:webHidden/>
          </w:rPr>
          <w:instrText xml:space="preserve"> PAGEREF _Toc25225256 \h </w:instrText>
        </w:r>
        <w:r w:rsidR="003A0BC5">
          <w:rPr>
            <w:webHidden/>
          </w:rPr>
        </w:r>
        <w:r w:rsidR="003A0BC5">
          <w:rPr>
            <w:webHidden/>
          </w:rPr>
          <w:fldChar w:fldCharType="separate"/>
        </w:r>
        <w:r w:rsidR="003A0BC5">
          <w:rPr>
            <w:webHidden/>
          </w:rPr>
          <w:t>1</w:t>
        </w:r>
        <w:r w:rsidR="003A0BC5">
          <w:rPr>
            <w:webHidden/>
          </w:rPr>
          <w:fldChar w:fldCharType="end"/>
        </w:r>
      </w:hyperlink>
    </w:p>
    <w:p w14:paraId="2015881F" w14:textId="6767BE5C" w:rsidR="003A0BC5" w:rsidRDefault="006D092A">
      <w:pPr>
        <w:pStyle w:val="TOC2"/>
        <w:rPr>
          <w:rFonts w:eastAsiaTheme="minorEastAsia"/>
          <w:color w:val="auto"/>
          <w:lang w:eastAsia="en-AU"/>
        </w:rPr>
      </w:pPr>
      <w:hyperlink w:anchor="_Toc25225257" w:history="1">
        <w:r w:rsidR="003A0BC5" w:rsidRPr="00690A8C">
          <w:rPr>
            <w:rStyle w:val="Hyperlink"/>
          </w:rPr>
          <w:t>Impacts during the reporting period</w:t>
        </w:r>
        <w:r w:rsidR="003A0BC5">
          <w:rPr>
            <w:webHidden/>
          </w:rPr>
          <w:tab/>
        </w:r>
        <w:r w:rsidR="003A0BC5">
          <w:rPr>
            <w:webHidden/>
          </w:rPr>
          <w:fldChar w:fldCharType="begin"/>
        </w:r>
        <w:r w:rsidR="003A0BC5">
          <w:rPr>
            <w:webHidden/>
          </w:rPr>
          <w:instrText xml:space="preserve"> PAGEREF _Toc25225257 \h </w:instrText>
        </w:r>
        <w:r w:rsidR="003A0BC5">
          <w:rPr>
            <w:webHidden/>
          </w:rPr>
        </w:r>
        <w:r w:rsidR="003A0BC5">
          <w:rPr>
            <w:webHidden/>
          </w:rPr>
          <w:fldChar w:fldCharType="separate"/>
        </w:r>
        <w:r w:rsidR="003A0BC5">
          <w:rPr>
            <w:webHidden/>
          </w:rPr>
          <w:t>1</w:t>
        </w:r>
        <w:r w:rsidR="003A0BC5">
          <w:rPr>
            <w:webHidden/>
          </w:rPr>
          <w:fldChar w:fldCharType="end"/>
        </w:r>
      </w:hyperlink>
    </w:p>
    <w:p w14:paraId="7513C83A" w14:textId="5F8D5441" w:rsidR="003A0BC5" w:rsidRDefault="006D092A">
      <w:pPr>
        <w:pStyle w:val="TOC2"/>
        <w:rPr>
          <w:rFonts w:eastAsiaTheme="minorEastAsia"/>
          <w:color w:val="auto"/>
          <w:lang w:eastAsia="en-AU"/>
        </w:rPr>
      </w:pPr>
      <w:hyperlink w:anchor="_Toc25225258" w:history="1">
        <w:r w:rsidR="003A0BC5" w:rsidRPr="00690A8C">
          <w:rPr>
            <w:rStyle w:val="Hyperlink"/>
          </w:rPr>
          <w:t>Regulator performance framework</w:t>
        </w:r>
        <w:r w:rsidR="003A0BC5">
          <w:rPr>
            <w:webHidden/>
          </w:rPr>
          <w:tab/>
        </w:r>
        <w:r w:rsidR="003A0BC5">
          <w:rPr>
            <w:webHidden/>
          </w:rPr>
          <w:fldChar w:fldCharType="begin"/>
        </w:r>
        <w:r w:rsidR="003A0BC5">
          <w:rPr>
            <w:webHidden/>
          </w:rPr>
          <w:instrText xml:space="preserve"> PAGEREF _Toc25225258 \h </w:instrText>
        </w:r>
        <w:r w:rsidR="003A0BC5">
          <w:rPr>
            <w:webHidden/>
          </w:rPr>
        </w:r>
        <w:r w:rsidR="003A0BC5">
          <w:rPr>
            <w:webHidden/>
          </w:rPr>
          <w:fldChar w:fldCharType="separate"/>
        </w:r>
        <w:r w:rsidR="003A0BC5">
          <w:rPr>
            <w:webHidden/>
          </w:rPr>
          <w:t>2</w:t>
        </w:r>
        <w:r w:rsidR="003A0BC5">
          <w:rPr>
            <w:webHidden/>
          </w:rPr>
          <w:fldChar w:fldCharType="end"/>
        </w:r>
      </w:hyperlink>
    </w:p>
    <w:p w14:paraId="12F55767" w14:textId="1689CA5A" w:rsidR="003A0BC5" w:rsidRDefault="006D092A">
      <w:pPr>
        <w:pStyle w:val="TOC2"/>
        <w:rPr>
          <w:rFonts w:eastAsiaTheme="minorEastAsia"/>
          <w:color w:val="auto"/>
          <w:lang w:eastAsia="en-AU"/>
        </w:rPr>
      </w:pPr>
      <w:hyperlink w:anchor="_Toc25225259" w:history="1">
        <w:r w:rsidR="003A0BC5" w:rsidRPr="00690A8C">
          <w:rPr>
            <w:rStyle w:val="Hyperlink"/>
            <w:shd w:val="clear" w:color="auto" w:fill="FFFFFF"/>
          </w:rPr>
          <w:t>Assessment team and methodology</w:t>
        </w:r>
        <w:r w:rsidR="003A0BC5">
          <w:rPr>
            <w:webHidden/>
          </w:rPr>
          <w:tab/>
        </w:r>
        <w:r w:rsidR="003A0BC5">
          <w:rPr>
            <w:webHidden/>
          </w:rPr>
          <w:fldChar w:fldCharType="begin"/>
        </w:r>
        <w:r w:rsidR="003A0BC5">
          <w:rPr>
            <w:webHidden/>
          </w:rPr>
          <w:instrText xml:space="preserve"> PAGEREF _Toc25225259 \h </w:instrText>
        </w:r>
        <w:r w:rsidR="003A0BC5">
          <w:rPr>
            <w:webHidden/>
          </w:rPr>
        </w:r>
        <w:r w:rsidR="003A0BC5">
          <w:rPr>
            <w:webHidden/>
          </w:rPr>
          <w:fldChar w:fldCharType="separate"/>
        </w:r>
        <w:r w:rsidR="003A0BC5">
          <w:rPr>
            <w:webHidden/>
          </w:rPr>
          <w:t>3</w:t>
        </w:r>
        <w:r w:rsidR="003A0BC5">
          <w:rPr>
            <w:webHidden/>
          </w:rPr>
          <w:fldChar w:fldCharType="end"/>
        </w:r>
      </w:hyperlink>
    </w:p>
    <w:p w14:paraId="6926C77B" w14:textId="59C0180E" w:rsidR="003A0BC5" w:rsidRDefault="006D092A">
      <w:pPr>
        <w:pStyle w:val="TOC2"/>
        <w:rPr>
          <w:rFonts w:eastAsiaTheme="minorEastAsia"/>
          <w:color w:val="auto"/>
          <w:lang w:eastAsia="en-AU"/>
        </w:rPr>
      </w:pPr>
      <w:hyperlink w:anchor="_Toc25225260" w:history="1">
        <w:r w:rsidR="003A0BC5" w:rsidRPr="00690A8C">
          <w:rPr>
            <w:rStyle w:val="Hyperlink"/>
          </w:rPr>
          <w:t>External validation</w:t>
        </w:r>
        <w:r w:rsidR="003A0BC5">
          <w:rPr>
            <w:webHidden/>
          </w:rPr>
          <w:tab/>
        </w:r>
        <w:r w:rsidR="003A0BC5">
          <w:rPr>
            <w:webHidden/>
          </w:rPr>
          <w:fldChar w:fldCharType="begin"/>
        </w:r>
        <w:r w:rsidR="003A0BC5">
          <w:rPr>
            <w:webHidden/>
          </w:rPr>
          <w:instrText xml:space="preserve"> PAGEREF _Toc25225260 \h </w:instrText>
        </w:r>
        <w:r w:rsidR="003A0BC5">
          <w:rPr>
            <w:webHidden/>
          </w:rPr>
        </w:r>
        <w:r w:rsidR="003A0BC5">
          <w:rPr>
            <w:webHidden/>
          </w:rPr>
          <w:fldChar w:fldCharType="separate"/>
        </w:r>
        <w:r w:rsidR="003A0BC5">
          <w:rPr>
            <w:webHidden/>
          </w:rPr>
          <w:t>4</w:t>
        </w:r>
        <w:r w:rsidR="003A0BC5">
          <w:rPr>
            <w:webHidden/>
          </w:rPr>
          <w:fldChar w:fldCharType="end"/>
        </w:r>
      </w:hyperlink>
    </w:p>
    <w:p w14:paraId="0FBFBB50" w14:textId="0A64AED6" w:rsidR="003A0BC5" w:rsidRDefault="006D092A">
      <w:pPr>
        <w:pStyle w:val="TOC2"/>
        <w:rPr>
          <w:rFonts w:eastAsiaTheme="minorEastAsia"/>
          <w:color w:val="auto"/>
          <w:lang w:eastAsia="en-AU"/>
        </w:rPr>
      </w:pPr>
      <w:hyperlink w:anchor="_Toc25225261" w:history="1">
        <w:r w:rsidR="003A0BC5" w:rsidRPr="00690A8C">
          <w:rPr>
            <w:rStyle w:val="Hyperlink"/>
          </w:rPr>
          <w:t>Certification by the Accountable Authority</w:t>
        </w:r>
        <w:r w:rsidR="003A0BC5">
          <w:rPr>
            <w:webHidden/>
          </w:rPr>
          <w:tab/>
        </w:r>
        <w:r w:rsidR="003A0BC5">
          <w:rPr>
            <w:webHidden/>
          </w:rPr>
          <w:fldChar w:fldCharType="begin"/>
        </w:r>
        <w:r w:rsidR="003A0BC5">
          <w:rPr>
            <w:webHidden/>
          </w:rPr>
          <w:instrText xml:space="preserve"> PAGEREF _Toc25225261 \h </w:instrText>
        </w:r>
        <w:r w:rsidR="003A0BC5">
          <w:rPr>
            <w:webHidden/>
          </w:rPr>
        </w:r>
        <w:r w:rsidR="003A0BC5">
          <w:rPr>
            <w:webHidden/>
          </w:rPr>
          <w:fldChar w:fldCharType="separate"/>
        </w:r>
        <w:r w:rsidR="003A0BC5">
          <w:rPr>
            <w:webHidden/>
          </w:rPr>
          <w:t>4</w:t>
        </w:r>
        <w:r w:rsidR="003A0BC5">
          <w:rPr>
            <w:webHidden/>
          </w:rPr>
          <w:fldChar w:fldCharType="end"/>
        </w:r>
      </w:hyperlink>
    </w:p>
    <w:p w14:paraId="4981A8AE" w14:textId="53838AC3" w:rsidR="003A0BC5" w:rsidRDefault="006D092A">
      <w:pPr>
        <w:pStyle w:val="TOC1"/>
        <w:rPr>
          <w:rFonts w:eastAsiaTheme="minorEastAsia"/>
          <w:b w:val="0"/>
          <w:noProof/>
          <w:color w:val="auto"/>
          <w:lang w:eastAsia="en-AU"/>
        </w:rPr>
      </w:pPr>
      <w:hyperlink w:anchor="_Toc25225262" w:history="1">
        <w:r w:rsidR="003A0BC5" w:rsidRPr="00690A8C">
          <w:rPr>
            <w:rStyle w:val="Hyperlink"/>
            <w:noProof/>
            <w:lang w:eastAsia="en-AU"/>
          </w:rPr>
          <w:t xml:space="preserve">Overall </w:t>
        </w:r>
        <w:r w:rsidR="003A0BC5" w:rsidRPr="00690A8C">
          <w:rPr>
            <w:rStyle w:val="Hyperlink"/>
            <w:noProof/>
          </w:rPr>
          <w:t>assessment</w:t>
        </w:r>
        <w:r w:rsidR="003A0BC5">
          <w:rPr>
            <w:noProof/>
            <w:webHidden/>
          </w:rPr>
          <w:tab/>
        </w:r>
        <w:r w:rsidR="003A0BC5">
          <w:rPr>
            <w:noProof/>
            <w:webHidden/>
          </w:rPr>
          <w:fldChar w:fldCharType="begin"/>
        </w:r>
        <w:r w:rsidR="003A0BC5">
          <w:rPr>
            <w:noProof/>
            <w:webHidden/>
          </w:rPr>
          <w:instrText xml:space="preserve"> PAGEREF _Toc25225262 \h </w:instrText>
        </w:r>
        <w:r w:rsidR="003A0BC5">
          <w:rPr>
            <w:noProof/>
            <w:webHidden/>
          </w:rPr>
        </w:r>
        <w:r w:rsidR="003A0BC5">
          <w:rPr>
            <w:noProof/>
            <w:webHidden/>
          </w:rPr>
          <w:fldChar w:fldCharType="separate"/>
        </w:r>
        <w:r w:rsidR="003A0BC5">
          <w:rPr>
            <w:noProof/>
            <w:webHidden/>
          </w:rPr>
          <w:t>5</w:t>
        </w:r>
        <w:r w:rsidR="003A0BC5">
          <w:rPr>
            <w:noProof/>
            <w:webHidden/>
          </w:rPr>
          <w:fldChar w:fldCharType="end"/>
        </w:r>
      </w:hyperlink>
    </w:p>
    <w:p w14:paraId="0E30F308" w14:textId="4BBDB0B9" w:rsidR="003A0BC5" w:rsidRDefault="006D092A">
      <w:pPr>
        <w:pStyle w:val="TOC2"/>
        <w:rPr>
          <w:rFonts w:eastAsiaTheme="minorEastAsia"/>
          <w:color w:val="auto"/>
          <w:lang w:eastAsia="en-AU"/>
        </w:rPr>
      </w:pPr>
      <w:hyperlink w:anchor="_Toc25225263" w:history="1">
        <w:r w:rsidR="003A0BC5" w:rsidRPr="00690A8C">
          <w:rPr>
            <w:rStyle w:val="Hyperlink"/>
          </w:rPr>
          <w:t>Summary of self-assessment results</w:t>
        </w:r>
        <w:r w:rsidR="003A0BC5">
          <w:rPr>
            <w:webHidden/>
          </w:rPr>
          <w:tab/>
        </w:r>
        <w:r w:rsidR="003A0BC5">
          <w:rPr>
            <w:webHidden/>
          </w:rPr>
          <w:fldChar w:fldCharType="begin"/>
        </w:r>
        <w:r w:rsidR="003A0BC5">
          <w:rPr>
            <w:webHidden/>
          </w:rPr>
          <w:instrText xml:space="preserve"> PAGEREF _Toc25225263 \h </w:instrText>
        </w:r>
        <w:r w:rsidR="003A0BC5">
          <w:rPr>
            <w:webHidden/>
          </w:rPr>
        </w:r>
        <w:r w:rsidR="003A0BC5">
          <w:rPr>
            <w:webHidden/>
          </w:rPr>
          <w:fldChar w:fldCharType="separate"/>
        </w:r>
        <w:r w:rsidR="003A0BC5">
          <w:rPr>
            <w:webHidden/>
          </w:rPr>
          <w:t>5</w:t>
        </w:r>
        <w:r w:rsidR="003A0BC5">
          <w:rPr>
            <w:webHidden/>
          </w:rPr>
          <w:fldChar w:fldCharType="end"/>
        </w:r>
      </w:hyperlink>
    </w:p>
    <w:p w14:paraId="06E828E4" w14:textId="3D4A3371" w:rsidR="003A0BC5" w:rsidRDefault="006D092A">
      <w:pPr>
        <w:pStyle w:val="TOC2"/>
        <w:rPr>
          <w:rFonts w:eastAsiaTheme="minorEastAsia"/>
          <w:color w:val="auto"/>
          <w:lang w:eastAsia="en-AU"/>
        </w:rPr>
      </w:pPr>
      <w:hyperlink w:anchor="_Toc25225264" w:history="1">
        <w:r w:rsidR="003A0BC5" w:rsidRPr="00690A8C">
          <w:rPr>
            <w:rStyle w:val="Hyperlink"/>
          </w:rPr>
          <w:t>Opportunities for improvement</w:t>
        </w:r>
        <w:r w:rsidR="003A0BC5">
          <w:rPr>
            <w:webHidden/>
          </w:rPr>
          <w:tab/>
        </w:r>
        <w:r w:rsidR="003A0BC5">
          <w:rPr>
            <w:webHidden/>
          </w:rPr>
          <w:fldChar w:fldCharType="begin"/>
        </w:r>
        <w:r w:rsidR="003A0BC5">
          <w:rPr>
            <w:webHidden/>
          </w:rPr>
          <w:instrText xml:space="preserve"> PAGEREF _Toc25225264 \h </w:instrText>
        </w:r>
        <w:r w:rsidR="003A0BC5">
          <w:rPr>
            <w:webHidden/>
          </w:rPr>
        </w:r>
        <w:r w:rsidR="003A0BC5">
          <w:rPr>
            <w:webHidden/>
          </w:rPr>
          <w:fldChar w:fldCharType="separate"/>
        </w:r>
        <w:r w:rsidR="003A0BC5">
          <w:rPr>
            <w:webHidden/>
          </w:rPr>
          <w:t>6</w:t>
        </w:r>
        <w:r w:rsidR="003A0BC5">
          <w:rPr>
            <w:webHidden/>
          </w:rPr>
          <w:fldChar w:fldCharType="end"/>
        </w:r>
      </w:hyperlink>
    </w:p>
    <w:p w14:paraId="13756209" w14:textId="1F0D9060" w:rsidR="003A0BC5" w:rsidRDefault="006D092A">
      <w:pPr>
        <w:pStyle w:val="TOC1"/>
        <w:rPr>
          <w:rFonts w:eastAsiaTheme="minorEastAsia"/>
          <w:b w:val="0"/>
          <w:noProof/>
          <w:color w:val="auto"/>
          <w:lang w:eastAsia="en-AU"/>
        </w:rPr>
      </w:pPr>
      <w:hyperlink w:anchor="_Toc25225265" w:history="1">
        <w:r w:rsidR="003A0BC5" w:rsidRPr="00690A8C">
          <w:rPr>
            <w:rStyle w:val="Hyperlink"/>
            <w:noProof/>
          </w:rPr>
          <w:t>2018-19 Performance reporting</w:t>
        </w:r>
        <w:r w:rsidR="003A0BC5">
          <w:rPr>
            <w:noProof/>
            <w:webHidden/>
          </w:rPr>
          <w:tab/>
        </w:r>
        <w:r w:rsidR="003A0BC5">
          <w:rPr>
            <w:noProof/>
            <w:webHidden/>
          </w:rPr>
          <w:fldChar w:fldCharType="begin"/>
        </w:r>
        <w:r w:rsidR="003A0BC5">
          <w:rPr>
            <w:noProof/>
            <w:webHidden/>
          </w:rPr>
          <w:instrText xml:space="preserve"> PAGEREF _Toc25225265 \h </w:instrText>
        </w:r>
        <w:r w:rsidR="003A0BC5">
          <w:rPr>
            <w:noProof/>
            <w:webHidden/>
          </w:rPr>
        </w:r>
        <w:r w:rsidR="003A0BC5">
          <w:rPr>
            <w:noProof/>
            <w:webHidden/>
          </w:rPr>
          <w:fldChar w:fldCharType="separate"/>
        </w:r>
        <w:r w:rsidR="003A0BC5">
          <w:rPr>
            <w:noProof/>
            <w:webHidden/>
          </w:rPr>
          <w:t>7</w:t>
        </w:r>
        <w:r w:rsidR="003A0BC5">
          <w:rPr>
            <w:noProof/>
            <w:webHidden/>
          </w:rPr>
          <w:fldChar w:fldCharType="end"/>
        </w:r>
      </w:hyperlink>
    </w:p>
    <w:p w14:paraId="193EB762" w14:textId="74882C99" w:rsidR="003A0BC5" w:rsidRDefault="006D092A">
      <w:pPr>
        <w:pStyle w:val="TOC2"/>
        <w:rPr>
          <w:rFonts w:eastAsiaTheme="minorEastAsia"/>
          <w:color w:val="auto"/>
          <w:lang w:eastAsia="en-AU"/>
        </w:rPr>
      </w:pPr>
      <w:hyperlink w:anchor="_Toc25225266" w:history="1">
        <w:r w:rsidR="003A0BC5" w:rsidRPr="00690A8C">
          <w:rPr>
            <w:rStyle w:val="Hyperlink"/>
          </w:rPr>
          <w:t>KPI 1 - Regulators do not unnecessarily impede the efficient operation of regulated entities</w:t>
        </w:r>
        <w:r w:rsidR="003A0BC5">
          <w:rPr>
            <w:webHidden/>
          </w:rPr>
          <w:tab/>
        </w:r>
        <w:r w:rsidR="003A0BC5">
          <w:rPr>
            <w:webHidden/>
          </w:rPr>
          <w:fldChar w:fldCharType="begin"/>
        </w:r>
        <w:r w:rsidR="003A0BC5">
          <w:rPr>
            <w:webHidden/>
          </w:rPr>
          <w:instrText xml:space="preserve"> PAGEREF _Toc25225266 \h </w:instrText>
        </w:r>
        <w:r w:rsidR="003A0BC5">
          <w:rPr>
            <w:webHidden/>
          </w:rPr>
        </w:r>
        <w:r w:rsidR="003A0BC5">
          <w:rPr>
            <w:webHidden/>
          </w:rPr>
          <w:fldChar w:fldCharType="separate"/>
        </w:r>
        <w:r w:rsidR="003A0BC5">
          <w:rPr>
            <w:webHidden/>
          </w:rPr>
          <w:t>7</w:t>
        </w:r>
        <w:r w:rsidR="003A0BC5">
          <w:rPr>
            <w:webHidden/>
          </w:rPr>
          <w:fldChar w:fldCharType="end"/>
        </w:r>
      </w:hyperlink>
    </w:p>
    <w:p w14:paraId="160DE25A" w14:textId="1421F4BC" w:rsidR="003A0BC5" w:rsidRDefault="006D092A">
      <w:pPr>
        <w:pStyle w:val="TOC2"/>
        <w:rPr>
          <w:rFonts w:eastAsiaTheme="minorEastAsia"/>
          <w:color w:val="auto"/>
          <w:lang w:eastAsia="en-AU"/>
        </w:rPr>
      </w:pPr>
      <w:hyperlink w:anchor="_Toc25225267" w:history="1">
        <w:r w:rsidR="003A0BC5" w:rsidRPr="00690A8C">
          <w:rPr>
            <w:rStyle w:val="Hyperlink"/>
          </w:rPr>
          <w:t>KPI 2 - Communication with regulated entities is clear, targeted and effective</w:t>
        </w:r>
        <w:r w:rsidR="003A0BC5">
          <w:rPr>
            <w:webHidden/>
          </w:rPr>
          <w:tab/>
        </w:r>
        <w:r w:rsidR="003A0BC5">
          <w:rPr>
            <w:webHidden/>
          </w:rPr>
          <w:fldChar w:fldCharType="begin"/>
        </w:r>
        <w:r w:rsidR="003A0BC5">
          <w:rPr>
            <w:webHidden/>
          </w:rPr>
          <w:instrText xml:space="preserve"> PAGEREF _Toc25225267 \h </w:instrText>
        </w:r>
        <w:r w:rsidR="003A0BC5">
          <w:rPr>
            <w:webHidden/>
          </w:rPr>
        </w:r>
        <w:r w:rsidR="003A0BC5">
          <w:rPr>
            <w:webHidden/>
          </w:rPr>
          <w:fldChar w:fldCharType="separate"/>
        </w:r>
        <w:r w:rsidR="003A0BC5">
          <w:rPr>
            <w:webHidden/>
          </w:rPr>
          <w:t>10</w:t>
        </w:r>
        <w:r w:rsidR="003A0BC5">
          <w:rPr>
            <w:webHidden/>
          </w:rPr>
          <w:fldChar w:fldCharType="end"/>
        </w:r>
      </w:hyperlink>
    </w:p>
    <w:p w14:paraId="2DB14F91" w14:textId="2C236623" w:rsidR="003A0BC5" w:rsidRDefault="006D092A">
      <w:pPr>
        <w:pStyle w:val="TOC2"/>
        <w:rPr>
          <w:rFonts w:eastAsiaTheme="minorEastAsia"/>
          <w:color w:val="auto"/>
          <w:lang w:eastAsia="en-AU"/>
        </w:rPr>
      </w:pPr>
      <w:hyperlink w:anchor="_Toc25225268" w:history="1">
        <w:r w:rsidR="003A0BC5" w:rsidRPr="00690A8C">
          <w:rPr>
            <w:rStyle w:val="Hyperlink"/>
          </w:rPr>
          <w:t>KPI 3 - Actions undertaken by regulators are proportionate to the regulatory risk</w:t>
        </w:r>
        <w:r w:rsidR="003A0BC5">
          <w:rPr>
            <w:webHidden/>
          </w:rPr>
          <w:tab/>
        </w:r>
        <w:r w:rsidR="003A0BC5">
          <w:rPr>
            <w:webHidden/>
          </w:rPr>
          <w:fldChar w:fldCharType="begin"/>
        </w:r>
        <w:r w:rsidR="003A0BC5">
          <w:rPr>
            <w:webHidden/>
          </w:rPr>
          <w:instrText xml:space="preserve"> PAGEREF _Toc25225268 \h </w:instrText>
        </w:r>
        <w:r w:rsidR="003A0BC5">
          <w:rPr>
            <w:webHidden/>
          </w:rPr>
        </w:r>
        <w:r w:rsidR="003A0BC5">
          <w:rPr>
            <w:webHidden/>
          </w:rPr>
          <w:fldChar w:fldCharType="separate"/>
        </w:r>
        <w:r w:rsidR="003A0BC5">
          <w:rPr>
            <w:webHidden/>
          </w:rPr>
          <w:t>13</w:t>
        </w:r>
        <w:r w:rsidR="003A0BC5">
          <w:rPr>
            <w:webHidden/>
          </w:rPr>
          <w:fldChar w:fldCharType="end"/>
        </w:r>
      </w:hyperlink>
    </w:p>
    <w:p w14:paraId="06464259" w14:textId="6497E96C" w:rsidR="003A0BC5" w:rsidRDefault="006D092A">
      <w:pPr>
        <w:pStyle w:val="TOC2"/>
        <w:rPr>
          <w:rFonts w:eastAsiaTheme="minorEastAsia"/>
          <w:color w:val="auto"/>
          <w:lang w:eastAsia="en-AU"/>
        </w:rPr>
      </w:pPr>
      <w:hyperlink w:anchor="_Toc25225269" w:history="1">
        <w:r w:rsidR="003A0BC5" w:rsidRPr="00690A8C">
          <w:rPr>
            <w:rStyle w:val="Hyperlink"/>
          </w:rPr>
          <w:t>KPI 4 - Compliance and monitoring approaches are streamlined and co-ordinated</w:t>
        </w:r>
        <w:r w:rsidR="003A0BC5">
          <w:rPr>
            <w:webHidden/>
          </w:rPr>
          <w:tab/>
        </w:r>
        <w:r w:rsidR="003A0BC5">
          <w:rPr>
            <w:webHidden/>
          </w:rPr>
          <w:fldChar w:fldCharType="begin"/>
        </w:r>
        <w:r w:rsidR="003A0BC5">
          <w:rPr>
            <w:webHidden/>
          </w:rPr>
          <w:instrText xml:space="preserve"> PAGEREF _Toc25225269 \h </w:instrText>
        </w:r>
        <w:r w:rsidR="003A0BC5">
          <w:rPr>
            <w:webHidden/>
          </w:rPr>
        </w:r>
        <w:r w:rsidR="003A0BC5">
          <w:rPr>
            <w:webHidden/>
          </w:rPr>
          <w:fldChar w:fldCharType="separate"/>
        </w:r>
        <w:r w:rsidR="003A0BC5">
          <w:rPr>
            <w:webHidden/>
          </w:rPr>
          <w:t>15</w:t>
        </w:r>
        <w:r w:rsidR="003A0BC5">
          <w:rPr>
            <w:webHidden/>
          </w:rPr>
          <w:fldChar w:fldCharType="end"/>
        </w:r>
      </w:hyperlink>
    </w:p>
    <w:p w14:paraId="506C0D8C" w14:textId="63AF8819" w:rsidR="003A0BC5" w:rsidRDefault="006D092A">
      <w:pPr>
        <w:pStyle w:val="TOC2"/>
        <w:rPr>
          <w:rFonts w:eastAsiaTheme="minorEastAsia"/>
          <w:color w:val="auto"/>
          <w:lang w:eastAsia="en-AU"/>
        </w:rPr>
      </w:pPr>
      <w:hyperlink w:anchor="_Toc25225270" w:history="1">
        <w:r w:rsidR="003A0BC5" w:rsidRPr="00690A8C">
          <w:rPr>
            <w:rStyle w:val="Hyperlink"/>
          </w:rPr>
          <w:t>KPI 5 - Regulators are open and transparent in their dealings with regulated entities</w:t>
        </w:r>
        <w:r w:rsidR="003A0BC5">
          <w:rPr>
            <w:webHidden/>
          </w:rPr>
          <w:tab/>
        </w:r>
        <w:r w:rsidR="003A0BC5">
          <w:rPr>
            <w:webHidden/>
          </w:rPr>
          <w:fldChar w:fldCharType="begin"/>
        </w:r>
        <w:r w:rsidR="003A0BC5">
          <w:rPr>
            <w:webHidden/>
          </w:rPr>
          <w:instrText xml:space="preserve"> PAGEREF _Toc25225270 \h </w:instrText>
        </w:r>
        <w:r w:rsidR="003A0BC5">
          <w:rPr>
            <w:webHidden/>
          </w:rPr>
        </w:r>
        <w:r w:rsidR="003A0BC5">
          <w:rPr>
            <w:webHidden/>
          </w:rPr>
          <w:fldChar w:fldCharType="separate"/>
        </w:r>
        <w:r w:rsidR="003A0BC5">
          <w:rPr>
            <w:webHidden/>
          </w:rPr>
          <w:t>18</w:t>
        </w:r>
        <w:r w:rsidR="003A0BC5">
          <w:rPr>
            <w:webHidden/>
          </w:rPr>
          <w:fldChar w:fldCharType="end"/>
        </w:r>
      </w:hyperlink>
    </w:p>
    <w:p w14:paraId="5C509D0F" w14:textId="6C53AB5C" w:rsidR="003A0BC5" w:rsidRDefault="006D092A">
      <w:pPr>
        <w:pStyle w:val="TOC2"/>
        <w:rPr>
          <w:rFonts w:eastAsiaTheme="minorEastAsia"/>
          <w:color w:val="auto"/>
          <w:lang w:eastAsia="en-AU"/>
        </w:rPr>
      </w:pPr>
      <w:hyperlink w:anchor="_Toc25225271" w:history="1">
        <w:r w:rsidR="003A0BC5" w:rsidRPr="00690A8C">
          <w:rPr>
            <w:rStyle w:val="Hyperlink"/>
          </w:rPr>
          <w:t>KPI 6 - Regulators actively contribute to the continuous improvement of regulatory frameworks</w:t>
        </w:r>
        <w:r w:rsidR="003A0BC5">
          <w:rPr>
            <w:webHidden/>
          </w:rPr>
          <w:tab/>
        </w:r>
        <w:r w:rsidR="003A0BC5">
          <w:rPr>
            <w:webHidden/>
          </w:rPr>
          <w:fldChar w:fldCharType="begin"/>
        </w:r>
        <w:r w:rsidR="003A0BC5">
          <w:rPr>
            <w:webHidden/>
          </w:rPr>
          <w:instrText xml:space="preserve"> PAGEREF _Toc25225271 \h </w:instrText>
        </w:r>
        <w:r w:rsidR="003A0BC5">
          <w:rPr>
            <w:webHidden/>
          </w:rPr>
        </w:r>
        <w:r w:rsidR="003A0BC5">
          <w:rPr>
            <w:webHidden/>
          </w:rPr>
          <w:fldChar w:fldCharType="separate"/>
        </w:r>
        <w:r w:rsidR="003A0BC5">
          <w:rPr>
            <w:webHidden/>
          </w:rPr>
          <w:t>21</w:t>
        </w:r>
        <w:r w:rsidR="003A0BC5">
          <w:rPr>
            <w:webHidden/>
          </w:rPr>
          <w:fldChar w:fldCharType="end"/>
        </w:r>
      </w:hyperlink>
    </w:p>
    <w:p w14:paraId="1BA62331" w14:textId="0D58C4E3" w:rsidR="003A0BC5" w:rsidRDefault="006D092A">
      <w:pPr>
        <w:pStyle w:val="TOC1"/>
        <w:rPr>
          <w:rFonts w:eastAsiaTheme="minorEastAsia"/>
          <w:b w:val="0"/>
          <w:noProof/>
          <w:color w:val="auto"/>
          <w:lang w:eastAsia="en-AU"/>
        </w:rPr>
      </w:pPr>
      <w:hyperlink w:anchor="_Toc25225272" w:history="1">
        <w:r w:rsidR="003A0BC5" w:rsidRPr="00690A8C">
          <w:rPr>
            <w:rStyle w:val="Hyperlink"/>
            <w:noProof/>
          </w:rPr>
          <w:t>Concluding remarks</w:t>
        </w:r>
        <w:r w:rsidR="003A0BC5">
          <w:rPr>
            <w:noProof/>
            <w:webHidden/>
          </w:rPr>
          <w:tab/>
        </w:r>
        <w:r w:rsidR="003A0BC5">
          <w:rPr>
            <w:noProof/>
            <w:webHidden/>
          </w:rPr>
          <w:fldChar w:fldCharType="begin"/>
        </w:r>
        <w:r w:rsidR="003A0BC5">
          <w:rPr>
            <w:noProof/>
            <w:webHidden/>
          </w:rPr>
          <w:instrText xml:space="preserve"> PAGEREF _Toc25225272 \h </w:instrText>
        </w:r>
        <w:r w:rsidR="003A0BC5">
          <w:rPr>
            <w:noProof/>
            <w:webHidden/>
          </w:rPr>
        </w:r>
        <w:r w:rsidR="003A0BC5">
          <w:rPr>
            <w:noProof/>
            <w:webHidden/>
          </w:rPr>
          <w:fldChar w:fldCharType="separate"/>
        </w:r>
        <w:r w:rsidR="003A0BC5">
          <w:rPr>
            <w:noProof/>
            <w:webHidden/>
          </w:rPr>
          <w:t>25</w:t>
        </w:r>
        <w:r w:rsidR="003A0BC5">
          <w:rPr>
            <w:noProof/>
            <w:webHidden/>
          </w:rPr>
          <w:fldChar w:fldCharType="end"/>
        </w:r>
      </w:hyperlink>
    </w:p>
    <w:p w14:paraId="4FA0C101" w14:textId="4854700B" w:rsidR="003A0BC5" w:rsidRDefault="006D092A">
      <w:pPr>
        <w:pStyle w:val="TOC1"/>
        <w:rPr>
          <w:rFonts w:eastAsiaTheme="minorEastAsia"/>
          <w:b w:val="0"/>
          <w:noProof/>
          <w:color w:val="auto"/>
          <w:lang w:eastAsia="en-AU"/>
        </w:rPr>
      </w:pPr>
      <w:hyperlink w:anchor="_Toc25225273" w:history="1">
        <w:r w:rsidR="003A0BC5" w:rsidRPr="00690A8C">
          <w:rPr>
            <w:rStyle w:val="Hyperlink"/>
            <w:noProof/>
            <w:shd w:val="clear" w:color="auto" w:fill="FFFFFF"/>
          </w:rPr>
          <w:t>Glossary</w:t>
        </w:r>
        <w:r w:rsidR="003A0BC5">
          <w:rPr>
            <w:noProof/>
            <w:webHidden/>
          </w:rPr>
          <w:tab/>
        </w:r>
        <w:r w:rsidR="003A0BC5">
          <w:rPr>
            <w:noProof/>
            <w:webHidden/>
          </w:rPr>
          <w:fldChar w:fldCharType="begin"/>
        </w:r>
        <w:r w:rsidR="003A0BC5">
          <w:rPr>
            <w:noProof/>
            <w:webHidden/>
          </w:rPr>
          <w:instrText xml:space="preserve"> PAGEREF _Toc25225273 \h </w:instrText>
        </w:r>
        <w:r w:rsidR="003A0BC5">
          <w:rPr>
            <w:noProof/>
            <w:webHidden/>
          </w:rPr>
        </w:r>
        <w:r w:rsidR="003A0BC5">
          <w:rPr>
            <w:noProof/>
            <w:webHidden/>
          </w:rPr>
          <w:fldChar w:fldCharType="separate"/>
        </w:r>
        <w:r w:rsidR="003A0BC5">
          <w:rPr>
            <w:noProof/>
            <w:webHidden/>
          </w:rPr>
          <w:t>27</w:t>
        </w:r>
        <w:r w:rsidR="003A0BC5">
          <w:rPr>
            <w:noProof/>
            <w:webHidden/>
          </w:rPr>
          <w:fldChar w:fldCharType="end"/>
        </w:r>
      </w:hyperlink>
    </w:p>
    <w:p w14:paraId="4B99056E" w14:textId="30DC2210" w:rsidR="004908E2" w:rsidRDefault="00926189" w:rsidP="00B072E4">
      <w:pPr>
        <w:pStyle w:val="TOC1"/>
        <w:rPr>
          <w:shd w:val="clear" w:color="auto" w:fill="E6E6E6"/>
        </w:rPr>
      </w:pPr>
      <w:r>
        <w:rPr>
          <w:shd w:val="clear" w:color="auto" w:fill="E6E6E6"/>
        </w:rPr>
        <w:fldChar w:fldCharType="end"/>
      </w:r>
    </w:p>
    <w:p w14:paraId="02B155EF" w14:textId="5B215C78" w:rsidR="004162F1" w:rsidRDefault="004162F1" w:rsidP="002E4FA1">
      <w:bookmarkStart w:id="3" w:name="_GoBack"/>
      <w:bookmarkEnd w:id="3"/>
    </w:p>
    <w:p w14:paraId="6084C5AC" w14:textId="77777777" w:rsidR="004162F1" w:rsidRPr="004162F1" w:rsidRDefault="004162F1" w:rsidP="004162F1"/>
    <w:p w14:paraId="7FB30ABD" w14:textId="77777777" w:rsidR="004162F1" w:rsidRPr="004162F1" w:rsidRDefault="004162F1" w:rsidP="004162F1"/>
    <w:p w14:paraId="036B72CC" w14:textId="77777777" w:rsidR="004162F1" w:rsidRPr="004162F1" w:rsidRDefault="004162F1" w:rsidP="004162F1"/>
    <w:p w14:paraId="76BF7DBD" w14:textId="77777777" w:rsidR="004162F1" w:rsidRPr="004162F1" w:rsidRDefault="004162F1" w:rsidP="004162F1"/>
    <w:p w14:paraId="78E24BC2" w14:textId="77777777" w:rsidR="004162F1" w:rsidRPr="004162F1" w:rsidRDefault="004162F1" w:rsidP="004162F1"/>
    <w:p w14:paraId="29E54E79" w14:textId="236CD3FB" w:rsidR="002E4FA1" w:rsidRPr="004162F1" w:rsidRDefault="002E4FA1" w:rsidP="004162F1"/>
    <w:p w14:paraId="6C13A180" w14:textId="097A7886" w:rsidR="003B4D69" w:rsidRDefault="005C5339" w:rsidP="004162F1">
      <w:pPr>
        <w:pStyle w:val="Heading1"/>
        <w:spacing w:before="0"/>
      </w:pPr>
      <w:bookmarkStart w:id="4" w:name="_Toc12883986"/>
      <w:bookmarkStart w:id="5" w:name="_Toc23846595"/>
      <w:bookmarkStart w:id="6" w:name="_Toc25225253"/>
      <w:bookmarkEnd w:id="1"/>
      <w:bookmarkEnd w:id="2"/>
      <w:r w:rsidRPr="00C545BA">
        <w:lastRenderedPageBreak/>
        <w:t>Executive s</w:t>
      </w:r>
      <w:r w:rsidR="003B4D69" w:rsidRPr="00C545BA">
        <w:t>ummary</w:t>
      </w:r>
      <w:bookmarkEnd w:id="4"/>
      <w:bookmarkEnd w:id="5"/>
      <w:bookmarkEnd w:id="6"/>
      <w:r w:rsidR="003B4D69">
        <w:t xml:space="preserve"> </w:t>
      </w:r>
    </w:p>
    <w:p w14:paraId="4144D474" w14:textId="07DC1EA8" w:rsidR="007C44A8" w:rsidRDefault="007C44A8" w:rsidP="008C484D">
      <w:r w:rsidRPr="00A9092B">
        <w:t xml:space="preserve">The Australian Radiation Protection and Nuclear Safety Agency (ARPANSA) </w:t>
      </w:r>
      <w:r>
        <w:t>is</w:t>
      </w:r>
      <w:r>
        <w:rPr>
          <w:lang w:val="en"/>
        </w:rPr>
        <w:t xml:space="preserve"> the Australian Government’s primary authority on radiation protection and nuclear safety. ARPANSA protects the Australian people and the environment from the harmful effects of radiation through understanding risks, best practice regulation, research, policy, services, partnerships and engaging with the community. This includes the regulation of </w:t>
      </w:r>
      <w:r>
        <w:t>the safety and security of radiation sources</w:t>
      </w:r>
      <w:r>
        <w:rPr>
          <w:rStyle w:val="FootnoteReference"/>
        </w:rPr>
        <w:footnoteReference w:id="2"/>
      </w:r>
      <w:r>
        <w:t xml:space="preserve"> and facilities</w:t>
      </w:r>
      <w:r>
        <w:rPr>
          <w:rStyle w:val="FootnoteReference"/>
        </w:rPr>
        <w:footnoteReference w:id="3"/>
      </w:r>
      <w:r>
        <w:t xml:space="preserve"> owned or operated </w:t>
      </w:r>
      <w:r w:rsidRPr="00A9092B">
        <w:t>by Commonwealth entities.</w:t>
      </w:r>
    </w:p>
    <w:p w14:paraId="7779E6FB" w14:textId="4AF43863" w:rsidR="00456E41" w:rsidRDefault="00456E41" w:rsidP="008C484D">
      <w:r>
        <w:t xml:space="preserve">This review was undertaken </w:t>
      </w:r>
      <w:r w:rsidR="00337A95">
        <w:t xml:space="preserve">by a team of ARPANSA staff including representatives from the </w:t>
      </w:r>
      <w:r w:rsidR="006758F0">
        <w:t>Regulatory Services Branch</w:t>
      </w:r>
      <w:r w:rsidR="00337A95">
        <w:t xml:space="preserve">, the </w:t>
      </w:r>
      <w:r w:rsidR="006758F0">
        <w:t>Corporate Office</w:t>
      </w:r>
      <w:r w:rsidR="00337A95">
        <w:t>, and</w:t>
      </w:r>
      <w:r w:rsidR="006758F0">
        <w:t xml:space="preserve"> the Office of the</w:t>
      </w:r>
      <w:r w:rsidR="00337A95">
        <w:t xml:space="preserve"> </w:t>
      </w:r>
      <w:r w:rsidR="006758F0">
        <w:t>G</w:t>
      </w:r>
      <w:r w:rsidR="00995739">
        <w:t xml:space="preserve">eneral </w:t>
      </w:r>
      <w:r w:rsidR="006758F0">
        <w:t>C</w:t>
      </w:r>
      <w:r w:rsidR="00995739">
        <w:t>ounsel</w:t>
      </w:r>
      <w:r w:rsidR="00337A95">
        <w:t xml:space="preserve">. The team conducted the assessment </w:t>
      </w:r>
      <w:r>
        <w:t>from 22</w:t>
      </w:r>
      <w:r w:rsidR="000A3C8D">
        <w:t>–</w:t>
      </w:r>
      <w:r>
        <w:t>26 July 2019</w:t>
      </w:r>
      <w:r w:rsidR="00337A95">
        <w:t xml:space="preserve">. The report was subsequently drafted, validated by the Nuclear Safety Committee and approved by the </w:t>
      </w:r>
      <w:r w:rsidR="00E30335">
        <w:t xml:space="preserve">CEO of ARPANSA as the </w:t>
      </w:r>
      <w:r w:rsidR="00337A95">
        <w:t>accountable authority</w:t>
      </w:r>
      <w:r w:rsidR="00E30335">
        <w:t>.</w:t>
      </w:r>
    </w:p>
    <w:p w14:paraId="26432FFE" w14:textId="46446ECE" w:rsidR="000465FE" w:rsidRDefault="000465FE" w:rsidP="008C484D">
      <w:r>
        <w:t xml:space="preserve">The </w:t>
      </w:r>
      <w:r w:rsidRPr="00456E41">
        <w:rPr>
          <w:rFonts w:ascii="Calibri" w:eastAsia="Calibri" w:hAnsi="Calibri" w:cs="Calibri"/>
        </w:rPr>
        <w:t>Regulatory Performance Framework</w:t>
      </w:r>
      <w:r>
        <w:rPr>
          <w:rFonts w:ascii="Calibri" w:eastAsia="Calibri" w:hAnsi="Calibri" w:cs="Calibri"/>
        </w:rPr>
        <w:t xml:space="preserve"> (RPF)</w:t>
      </w:r>
      <w:r w:rsidRPr="00456E41">
        <w:rPr>
          <w:rFonts w:ascii="Calibri" w:eastAsia="Calibri" w:hAnsi="Calibri" w:cs="Calibri"/>
        </w:rPr>
        <w:t xml:space="preserve"> objectives</w:t>
      </w:r>
      <w:r>
        <w:rPr>
          <w:rFonts w:ascii="Calibri" w:eastAsia="Calibri" w:hAnsi="Calibri" w:cs="Calibri"/>
        </w:rPr>
        <w:t xml:space="preserve"> relate to the efficiency of the regulator.</w:t>
      </w:r>
      <w:r>
        <w:t xml:space="preserve"> ARPANSA also utilises alternative review mechanisms which look at the effectiveness of the regulatory functions, such as the IRRS which is an international review focusing on effectiveness of regulatory functions and alignment with international standards.</w:t>
      </w:r>
    </w:p>
    <w:p w14:paraId="0FB80BD4" w14:textId="35A87D01" w:rsidR="00456E41" w:rsidRDefault="007D1B82" w:rsidP="005F78FD">
      <w:pPr>
        <w:pStyle w:val="Heading2"/>
      </w:pPr>
      <w:bookmarkStart w:id="7" w:name="_Toc25225254"/>
      <w:r>
        <w:t>Result</w:t>
      </w:r>
      <w:bookmarkEnd w:id="7"/>
    </w:p>
    <w:p w14:paraId="3D91E956" w14:textId="332924D7" w:rsidR="002658A5" w:rsidRPr="00456E41" w:rsidRDefault="002658A5" w:rsidP="007C44A8">
      <w:pPr>
        <w:rPr>
          <w:rFonts w:ascii="Calibri" w:eastAsia="Calibri" w:hAnsi="Calibri" w:cs="Calibri"/>
        </w:rPr>
      </w:pPr>
      <w:r w:rsidRPr="00456E41">
        <w:rPr>
          <w:rFonts w:ascii="Calibri" w:eastAsia="Calibri" w:hAnsi="Calibri" w:cs="Calibri"/>
        </w:rPr>
        <w:t xml:space="preserve">Overall ARPANSA has performed well against the metrics and indicators, and demonstrates a commitment to the </w:t>
      </w:r>
      <w:r w:rsidR="007D1B82">
        <w:rPr>
          <w:rFonts w:ascii="Calibri" w:eastAsia="Calibri" w:hAnsi="Calibri" w:cs="Calibri"/>
        </w:rPr>
        <w:t>RPF</w:t>
      </w:r>
      <w:r w:rsidRPr="00456E41">
        <w:rPr>
          <w:rFonts w:ascii="Calibri" w:eastAsia="Calibri" w:hAnsi="Calibri" w:cs="Calibri"/>
        </w:rPr>
        <w:t xml:space="preserve"> objectives.</w:t>
      </w:r>
      <w:r w:rsidR="00B74605">
        <w:rPr>
          <w:rFonts w:ascii="Calibri" w:eastAsia="Calibri" w:hAnsi="Calibri" w:cs="Calibri"/>
        </w:rPr>
        <w:t xml:space="preserve"> Good performance against the RPF KPIs was observed and, while the rating scale has changed, the results appear consistent with </w:t>
      </w:r>
      <w:r w:rsidR="00B9753B">
        <w:rPr>
          <w:rFonts w:ascii="Calibri" w:eastAsia="Calibri" w:hAnsi="Calibri" w:cs="Calibri"/>
        </w:rPr>
        <w:t xml:space="preserve">those of </w:t>
      </w:r>
      <w:r w:rsidR="00B74605">
        <w:rPr>
          <w:rFonts w:ascii="Calibri" w:eastAsia="Calibri" w:hAnsi="Calibri" w:cs="Calibri"/>
        </w:rPr>
        <w:t>previous years.</w:t>
      </w:r>
      <w:r w:rsidR="00B74605" w:rsidRPr="00B74605">
        <w:rPr>
          <w:rFonts w:ascii="Calibri" w:eastAsia="Calibri" w:hAnsi="Calibri" w:cs="Calibri"/>
        </w:rPr>
        <w:t xml:space="preserve"> </w:t>
      </w:r>
    </w:p>
    <w:p w14:paraId="47D93921" w14:textId="33642D03" w:rsidR="007C44A8" w:rsidRDefault="007D1B82" w:rsidP="007D1B82">
      <w:r>
        <w:rPr>
          <w:rFonts w:ascii="Calibri" w:eastAsia="Calibri" w:hAnsi="Calibri" w:cs="Calibri"/>
        </w:rPr>
        <w:t xml:space="preserve">The report highlights a number of strengths where ARPANSA’s performance is </w:t>
      </w:r>
      <w:r w:rsidRPr="007D1B82">
        <w:rPr>
          <w:rFonts w:ascii="Calibri" w:eastAsia="Calibri" w:hAnsi="Calibri" w:cs="Calibri"/>
        </w:rPr>
        <w:t xml:space="preserve">highly aligned with the </w:t>
      </w:r>
      <w:r>
        <w:rPr>
          <w:rFonts w:ascii="Calibri" w:eastAsia="Calibri" w:hAnsi="Calibri" w:cs="Calibri"/>
        </w:rPr>
        <w:t xml:space="preserve">expectations of the </w:t>
      </w:r>
      <w:r w:rsidRPr="007D1B82">
        <w:rPr>
          <w:rFonts w:ascii="Calibri" w:eastAsia="Calibri" w:hAnsi="Calibri" w:cs="Calibri"/>
        </w:rPr>
        <w:t>RPF</w:t>
      </w:r>
      <w:r>
        <w:rPr>
          <w:rFonts w:ascii="Calibri" w:eastAsia="Calibri" w:hAnsi="Calibri" w:cs="Calibri"/>
        </w:rPr>
        <w:t xml:space="preserve">. </w:t>
      </w:r>
      <w:r w:rsidR="00C10113">
        <w:t xml:space="preserve">This includes that ARPANSA was </w:t>
      </w:r>
      <w:r w:rsidR="00C10113" w:rsidRPr="00F57F91">
        <w:t xml:space="preserve">open and transparent in dealing with </w:t>
      </w:r>
      <w:r w:rsidR="00C10113">
        <w:t>stakeholders and sought feedback and comment regularly</w:t>
      </w:r>
      <w:r w:rsidR="00C10113" w:rsidRPr="00F57F91">
        <w:t>.</w:t>
      </w:r>
      <w:r w:rsidR="00C10113">
        <w:t xml:space="preserve"> </w:t>
      </w:r>
      <w:r w:rsidR="00656FA3">
        <w:t>Effective c</w:t>
      </w:r>
      <w:r w:rsidR="007C44A8" w:rsidRPr="0061043C">
        <w:t>ommunication</w:t>
      </w:r>
      <w:r w:rsidR="00852235">
        <w:t xml:space="preserve"> and </w:t>
      </w:r>
      <w:r>
        <w:t xml:space="preserve">setting </w:t>
      </w:r>
      <w:r w:rsidR="00852235">
        <w:t>clear expectations</w:t>
      </w:r>
      <w:r w:rsidR="00C10113">
        <w:t xml:space="preserve"> was seen </w:t>
      </w:r>
      <w:r w:rsidR="00656FA3">
        <w:t>through</w:t>
      </w:r>
      <w:r w:rsidR="00C10113">
        <w:t xml:space="preserve"> </w:t>
      </w:r>
      <w:r w:rsidR="00F57F91">
        <w:t xml:space="preserve">a wide range of </w:t>
      </w:r>
      <w:r w:rsidR="00656FA3">
        <w:t>engagement strategies,</w:t>
      </w:r>
      <w:r w:rsidR="00F57F91">
        <w:t xml:space="preserve"> ranging</w:t>
      </w:r>
      <w:r w:rsidR="00C10113">
        <w:t xml:space="preserve"> from</w:t>
      </w:r>
      <w:r w:rsidR="00F57F91">
        <w:t xml:space="preserve"> published material on the website </w:t>
      </w:r>
      <w:r w:rsidR="00C10113">
        <w:t xml:space="preserve">to the conduct of inspections </w:t>
      </w:r>
      <w:r w:rsidR="00F57F91">
        <w:t xml:space="preserve">and meetings. </w:t>
      </w:r>
    </w:p>
    <w:p w14:paraId="62F6D6BF" w14:textId="76CA2592" w:rsidR="00097836" w:rsidRDefault="049686B7" w:rsidP="007D1B82">
      <w:pPr>
        <w:sectPr w:rsidR="00097836" w:rsidSect="004162F1">
          <w:footerReference w:type="default" r:id="rId16"/>
          <w:pgSz w:w="11906" w:h="16838"/>
          <w:pgMar w:top="1134" w:right="1134" w:bottom="1134" w:left="1134" w:header="567" w:footer="567" w:gutter="0"/>
          <w:pgNumType w:fmt="lowerRoman" w:start="1"/>
          <w:cols w:space="708"/>
          <w:docGrid w:linePitch="360"/>
        </w:sectPr>
      </w:pPr>
      <w:r>
        <w:t>The report also highlights some opportunities for improvement, such as the Information management and data systems. ARPANSA has a range of information management needs that are currently being met through a patchwork of, at times, overlapping tools. ARPANSA is progressing a</w:t>
      </w:r>
      <w:r w:rsidR="00E30335">
        <w:t>n agency-wide</w:t>
      </w:r>
      <w:r>
        <w:t xml:space="preserve"> project to review our digital systems, with a view to implement improvements which would benefit licence holders and staff through more efficient and enhanced oversight.</w:t>
      </w:r>
      <w:bookmarkStart w:id="8" w:name="_Toc12883989"/>
    </w:p>
    <w:p w14:paraId="3E7A9F1C" w14:textId="70BA77E5" w:rsidR="003B4D69" w:rsidRPr="00C545BA" w:rsidRDefault="003B4D69" w:rsidP="00097836">
      <w:pPr>
        <w:pStyle w:val="Heading1"/>
        <w:spacing w:before="0"/>
      </w:pPr>
      <w:bookmarkStart w:id="9" w:name="_Toc23846596"/>
      <w:bookmarkStart w:id="10" w:name="_Toc25225255"/>
      <w:r w:rsidRPr="00C545BA">
        <w:lastRenderedPageBreak/>
        <w:t>Introductio</w:t>
      </w:r>
      <w:bookmarkEnd w:id="0"/>
      <w:r w:rsidRPr="00C545BA">
        <w:t>n</w:t>
      </w:r>
      <w:bookmarkEnd w:id="8"/>
      <w:bookmarkEnd w:id="9"/>
      <w:bookmarkEnd w:id="10"/>
    </w:p>
    <w:p w14:paraId="0D6291BF" w14:textId="6C00388E" w:rsidR="003B4D69" w:rsidRDefault="501E5E53" w:rsidP="003B4D69">
      <w:pPr>
        <w:pStyle w:val="Heading2"/>
      </w:pPr>
      <w:bookmarkStart w:id="11" w:name="_Toc12883990"/>
      <w:bookmarkStart w:id="12" w:name="_Toc23846597"/>
      <w:bookmarkStart w:id="13" w:name="_Toc25225256"/>
      <w:r w:rsidRPr="00C545BA">
        <w:t xml:space="preserve">About </w:t>
      </w:r>
      <w:bookmarkEnd w:id="11"/>
      <w:r w:rsidR="001F7A53" w:rsidRPr="00C545BA">
        <w:t xml:space="preserve">the </w:t>
      </w:r>
      <w:bookmarkEnd w:id="12"/>
      <w:bookmarkEnd w:id="13"/>
      <w:r w:rsidR="005B05EF">
        <w:t>a</w:t>
      </w:r>
      <w:r w:rsidR="005B05EF" w:rsidRPr="00C545BA">
        <w:t>gency</w:t>
      </w:r>
    </w:p>
    <w:p w14:paraId="77AE4525" w14:textId="0D817772" w:rsidR="501E5E53" w:rsidRDefault="049686B7">
      <w:r w:rsidRPr="049686B7">
        <w:rPr>
          <w:rFonts w:ascii="Calibri" w:eastAsia="Calibri" w:hAnsi="Calibri" w:cs="Calibri"/>
        </w:rPr>
        <w:t xml:space="preserve">The Australian Radiation Protection and Nuclear Safety Agency (ARPANSA) is the Australian Government’s primary authority on radiation protection and nuclear safety. ARPANSA is a portfolio agency of the Department of Health, and is prescribed as a non-corporate Commonwealth entity under the </w:t>
      </w:r>
      <w:r w:rsidRPr="049686B7">
        <w:rPr>
          <w:rFonts w:ascii="Calibri" w:eastAsia="Calibri" w:hAnsi="Calibri" w:cs="Calibri"/>
          <w:i/>
          <w:iCs/>
        </w:rPr>
        <w:t>Public Governance, Performance and Accountability Act 2013</w:t>
      </w:r>
      <w:r w:rsidRPr="049686B7">
        <w:rPr>
          <w:rFonts w:ascii="Calibri" w:eastAsia="Calibri" w:hAnsi="Calibri" w:cs="Calibri"/>
        </w:rPr>
        <w:t>.</w:t>
      </w:r>
    </w:p>
    <w:p w14:paraId="0EA106BD" w14:textId="77777777" w:rsidR="001271D0" w:rsidRDefault="001271D0" w:rsidP="001271D0">
      <w:pPr>
        <w:rPr>
          <w:rFonts w:ascii="Calibri" w:eastAsia="Calibri" w:hAnsi="Calibri" w:cs="Calibri"/>
        </w:rPr>
      </w:pPr>
      <w:r w:rsidRPr="501E5E53">
        <w:rPr>
          <w:rFonts w:ascii="Calibri" w:eastAsia="Calibri" w:hAnsi="Calibri" w:cs="Calibri"/>
        </w:rPr>
        <w:t xml:space="preserve">ARPANSA regulates nuclear installations and prescribed radiation facilities </w:t>
      </w:r>
      <w:r>
        <w:rPr>
          <w:rFonts w:ascii="Calibri" w:eastAsia="Calibri" w:hAnsi="Calibri" w:cs="Calibri"/>
        </w:rPr>
        <w:t>across</w:t>
      </w:r>
      <w:r w:rsidRPr="501E5E53">
        <w:rPr>
          <w:rFonts w:ascii="Calibri" w:eastAsia="Calibri" w:hAnsi="Calibri" w:cs="Calibri"/>
        </w:rPr>
        <w:t xml:space="preserve"> 33 facility licences</w:t>
      </w:r>
      <w:r>
        <w:rPr>
          <w:rFonts w:ascii="Calibri" w:eastAsia="Calibri" w:hAnsi="Calibri" w:cs="Calibri"/>
        </w:rPr>
        <w:t>,</w:t>
      </w:r>
      <w:r w:rsidRPr="501E5E53">
        <w:rPr>
          <w:rFonts w:ascii="Calibri" w:eastAsia="Calibri" w:hAnsi="Calibri" w:cs="Calibri"/>
        </w:rPr>
        <w:t xml:space="preserve"> </w:t>
      </w:r>
      <w:r>
        <w:rPr>
          <w:rFonts w:ascii="Calibri" w:eastAsia="Calibri" w:hAnsi="Calibri" w:cs="Calibri"/>
        </w:rPr>
        <w:t xml:space="preserve">while </w:t>
      </w:r>
      <w:r w:rsidRPr="501E5E53">
        <w:rPr>
          <w:rFonts w:ascii="Calibri" w:eastAsia="Calibri" w:hAnsi="Calibri" w:cs="Calibri"/>
        </w:rPr>
        <w:t xml:space="preserve">58 source licences </w:t>
      </w:r>
      <w:r>
        <w:rPr>
          <w:rFonts w:ascii="Calibri" w:eastAsia="Calibri" w:hAnsi="Calibri" w:cs="Calibri"/>
        </w:rPr>
        <w:t xml:space="preserve">cover </w:t>
      </w:r>
      <w:r w:rsidRPr="501E5E53">
        <w:rPr>
          <w:rFonts w:ascii="Calibri" w:eastAsia="Calibri" w:hAnsi="Calibri" w:cs="Calibri"/>
        </w:rPr>
        <w:t xml:space="preserve">approximately 75 000 radiation sources. The complexity of these licensed activities range from the </w:t>
      </w:r>
      <w:r>
        <w:rPr>
          <w:rFonts w:ascii="Calibri" w:eastAsia="Calibri" w:hAnsi="Calibri" w:cs="Calibri"/>
        </w:rPr>
        <w:t>Open-P</w:t>
      </w:r>
      <w:r w:rsidRPr="00FD1FB7">
        <w:rPr>
          <w:rFonts w:ascii="Calibri" w:eastAsia="Calibri" w:hAnsi="Calibri" w:cs="Calibri"/>
        </w:rPr>
        <w:t xml:space="preserve">ool Australian </w:t>
      </w:r>
      <w:r>
        <w:rPr>
          <w:rFonts w:ascii="Calibri" w:eastAsia="Calibri" w:hAnsi="Calibri" w:cs="Calibri"/>
        </w:rPr>
        <w:t>L</w:t>
      </w:r>
      <w:r w:rsidRPr="00FD1FB7">
        <w:rPr>
          <w:rFonts w:ascii="Calibri" w:eastAsia="Calibri" w:hAnsi="Calibri" w:cs="Calibri"/>
        </w:rPr>
        <w:t xml:space="preserve">ightwater </w:t>
      </w:r>
      <w:r>
        <w:rPr>
          <w:rFonts w:ascii="Calibri" w:eastAsia="Calibri" w:hAnsi="Calibri" w:cs="Calibri"/>
        </w:rPr>
        <w:t>(</w:t>
      </w:r>
      <w:r w:rsidRPr="501E5E53">
        <w:rPr>
          <w:rFonts w:ascii="Calibri" w:eastAsia="Calibri" w:hAnsi="Calibri" w:cs="Calibri"/>
        </w:rPr>
        <w:t>OPAL</w:t>
      </w:r>
      <w:r>
        <w:rPr>
          <w:rFonts w:ascii="Calibri" w:eastAsia="Calibri" w:hAnsi="Calibri" w:cs="Calibri"/>
        </w:rPr>
        <w:t>)</w:t>
      </w:r>
      <w:r w:rsidRPr="501E5E53">
        <w:rPr>
          <w:rFonts w:ascii="Calibri" w:eastAsia="Calibri" w:hAnsi="Calibri" w:cs="Calibri"/>
        </w:rPr>
        <w:t xml:space="preserve"> reactor and medical radioisotope production</w:t>
      </w:r>
      <w:r>
        <w:rPr>
          <w:rFonts w:ascii="Calibri" w:eastAsia="Calibri" w:hAnsi="Calibri" w:cs="Calibri"/>
        </w:rPr>
        <w:t>,</w:t>
      </w:r>
      <w:r w:rsidRPr="501E5E53">
        <w:rPr>
          <w:rFonts w:ascii="Calibri" w:eastAsia="Calibri" w:hAnsi="Calibri" w:cs="Calibri"/>
        </w:rPr>
        <w:t xml:space="preserve"> to the use of low risk equipment such as X-ray baggage scanners and handheld </w:t>
      </w:r>
      <w:r>
        <w:rPr>
          <w:rFonts w:ascii="Calibri" w:eastAsia="Calibri" w:hAnsi="Calibri" w:cs="Calibri"/>
        </w:rPr>
        <w:t>laser pointers</w:t>
      </w:r>
      <w:r w:rsidRPr="501E5E53">
        <w:rPr>
          <w:rFonts w:ascii="Calibri" w:eastAsia="Calibri" w:hAnsi="Calibri" w:cs="Calibri"/>
        </w:rPr>
        <w:t xml:space="preserve">. </w:t>
      </w:r>
    </w:p>
    <w:p w14:paraId="76CA5A12" w14:textId="35DD876C" w:rsidR="001271D0" w:rsidRDefault="049686B7" w:rsidP="001271D0">
      <w:r w:rsidRPr="049686B7">
        <w:rPr>
          <w:rFonts w:ascii="Calibri" w:eastAsia="Calibri" w:hAnsi="Calibri" w:cs="Calibri"/>
        </w:rPr>
        <w:t>The powers and functions of the agency are outlined in the</w:t>
      </w:r>
      <w:r w:rsidRPr="049686B7">
        <w:rPr>
          <w:rFonts w:ascii="Calibri" w:eastAsia="Calibri" w:hAnsi="Calibri" w:cs="Calibri"/>
          <w:i/>
          <w:iCs/>
        </w:rPr>
        <w:t xml:space="preserve"> Australian Radiation Protection and Nuclear Safety Act 1998</w:t>
      </w:r>
      <w:r w:rsidRPr="049686B7">
        <w:rPr>
          <w:rFonts w:ascii="Calibri" w:eastAsia="Calibri" w:hAnsi="Calibri" w:cs="Calibri"/>
        </w:rPr>
        <w:t xml:space="preserve"> (the Act). The Act establishes the CEO of ARPANSA as the safety regulator of Commonwealth entities engaged in nuclear or radiation activities. The objective of the Act is to ‘…protect the health and safety of people, and to protect the environment, from the harmful effects of radiation’ (section 3 of the Act). ARPANSA aims to achieve this through understanding risks, best practice regulation, research, policy, services, partnerships and engaging with the community. The CEO retains responsibility for all regulatory decisions, but draws on expertise from Regulatory Services Branch (RSB) and other ARPANSA staff as required and where appropriate.</w:t>
      </w:r>
    </w:p>
    <w:p w14:paraId="0E22ED41" w14:textId="32CEFD34" w:rsidR="00AB65BF" w:rsidRDefault="049686B7" w:rsidP="049686B7">
      <w:pPr>
        <w:rPr>
          <w:rFonts w:ascii="Calibri" w:eastAsia="Calibri" w:hAnsi="Calibri" w:cs="Calibri"/>
        </w:rPr>
      </w:pPr>
      <w:r w:rsidRPr="049686B7">
        <w:rPr>
          <w:rFonts w:ascii="Calibri" w:eastAsia="Calibri" w:hAnsi="Calibri" w:cs="Calibri"/>
        </w:rPr>
        <w:t>The RSB undertakes regulatory activities such as inspections and assessments. This includes the assessment of licence applicatio</w:t>
      </w:r>
      <w:r w:rsidRPr="4A2DDAD2">
        <w:rPr>
          <w:rFonts w:ascii="Calibri" w:eastAsia="Calibri" w:hAnsi="Calibri" w:cs="Calibri"/>
        </w:rPr>
        <w:t>n</w:t>
      </w:r>
      <w:r w:rsidRPr="049686B7">
        <w:rPr>
          <w:rFonts w:ascii="Calibri" w:eastAsia="Calibri" w:hAnsi="Calibri" w:cs="Calibri"/>
        </w:rPr>
        <w:t>s, licence amendments, or changes significant to safety, and compliance monitoring with the Act, Australian Radiation Protection and Nuclear Safety Regulations 2018 (the Regulations) and licence conditions.</w:t>
      </w:r>
    </w:p>
    <w:p w14:paraId="72717A81" w14:textId="0A765A45" w:rsidR="00AB65BF" w:rsidRDefault="00AB65BF">
      <w:pPr>
        <w:rPr>
          <w:rFonts w:ascii="Calibri" w:eastAsia="Calibri" w:hAnsi="Calibri" w:cs="Calibri"/>
        </w:rPr>
      </w:pPr>
      <w:r>
        <w:rPr>
          <w:rFonts w:ascii="Calibri" w:eastAsia="Calibri" w:hAnsi="Calibri" w:cs="Calibri"/>
        </w:rPr>
        <w:t xml:space="preserve">The </w:t>
      </w:r>
      <w:r w:rsidRPr="0F172F91">
        <w:rPr>
          <w:rFonts w:ascii="Calibri" w:eastAsia="Calibri" w:hAnsi="Calibri" w:cs="Calibri"/>
        </w:rPr>
        <w:t xml:space="preserve">RSB also carries out a range of other </w:t>
      </w:r>
      <w:r>
        <w:rPr>
          <w:rFonts w:ascii="Calibri" w:eastAsia="Calibri" w:hAnsi="Calibri" w:cs="Calibri"/>
        </w:rPr>
        <w:t xml:space="preserve">activities such as </w:t>
      </w:r>
      <w:r w:rsidRPr="0F172F91">
        <w:rPr>
          <w:rFonts w:ascii="Calibri" w:eastAsia="Calibri" w:hAnsi="Calibri" w:cs="Calibri"/>
        </w:rPr>
        <w:t xml:space="preserve">preparing </w:t>
      </w:r>
      <w:r>
        <w:rPr>
          <w:rFonts w:ascii="Calibri" w:eastAsia="Calibri" w:hAnsi="Calibri" w:cs="Calibri"/>
        </w:rPr>
        <w:t>regulatory policy, regulatory</w:t>
      </w:r>
      <w:r w:rsidRPr="0F172F91">
        <w:rPr>
          <w:rFonts w:ascii="Calibri" w:eastAsia="Calibri" w:hAnsi="Calibri" w:cs="Calibri"/>
        </w:rPr>
        <w:t xml:space="preserve"> </w:t>
      </w:r>
      <w:r>
        <w:rPr>
          <w:rFonts w:ascii="Calibri" w:eastAsia="Calibri" w:hAnsi="Calibri" w:cs="Calibri"/>
        </w:rPr>
        <w:t>publications and promotion of the adoption of international best practice across Australia</w:t>
      </w:r>
      <w:r w:rsidRPr="0F172F91">
        <w:rPr>
          <w:rFonts w:ascii="Calibri" w:eastAsia="Calibri" w:hAnsi="Calibri" w:cs="Calibri"/>
        </w:rPr>
        <w:t xml:space="preserve">. </w:t>
      </w:r>
    </w:p>
    <w:p w14:paraId="4BA6AB91" w14:textId="34E0D7EC" w:rsidR="003B4D69" w:rsidRDefault="003B4D69" w:rsidP="003B4D69">
      <w:pPr>
        <w:pStyle w:val="Heading2"/>
      </w:pPr>
      <w:bookmarkStart w:id="14" w:name="_Toc12883991"/>
      <w:bookmarkStart w:id="15" w:name="_Toc23846598"/>
      <w:bookmarkStart w:id="16" w:name="_Toc25225257"/>
      <w:r w:rsidRPr="00C545BA">
        <w:t>Impacts during the reporting period</w:t>
      </w:r>
      <w:bookmarkEnd w:id="14"/>
      <w:bookmarkEnd w:id="15"/>
      <w:bookmarkEnd w:id="16"/>
    </w:p>
    <w:p w14:paraId="0E7679E2" w14:textId="291DFA1A" w:rsidR="003B4D69" w:rsidRDefault="004F72C7" w:rsidP="003B4D69">
      <w:pPr>
        <w:pStyle w:val="Heading3"/>
        <w:rPr>
          <w:shd w:val="clear" w:color="auto" w:fill="FFFFFF"/>
        </w:rPr>
      </w:pPr>
      <w:r>
        <w:rPr>
          <w:shd w:val="clear" w:color="auto" w:fill="FFFFFF"/>
        </w:rPr>
        <w:t>International Regulatory Review Service</w:t>
      </w:r>
      <w:r w:rsidR="005C5339">
        <w:rPr>
          <w:shd w:val="clear" w:color="auto" w:fill="FFFFFF"/>
        </w:rPr>
        <w:t xml:space="preserve"> m</w:t>
      </w:r>
      <w:r>
        <w:rPr>
          <w:shd w:val="clear" w:color="auto" w:fill="FFFFFF"/>
        </w:rPr>
        <w:t>ission to Australia</w:t>
      </w:r>
    </w:p>
    <w:p w14:paraId="72C13689" w14:textId="65B9F8C7" w:rsidR="001141E6" w:rsidRDefault="0030652D" w:rsidP="003B4D69">
      <w:r>
        <w:t xml:space="preserve">At the request of the </w:t>
      </w:r>
      <w:r w:rsidR="1F1A0B6D">
        <w:t>Australian Government</w:t>
      </w:r>
      <w:r w:rsidR="004B3005">
        <w:t>,</w:t>
      </w:r>
      <w:r w:rsidR="1F1A0B6D">
        <w:t xml:space="preserve"> </w:t>
      </w:r>
      <w:r w:rsidR="075F5600">
        <w:t xml:space="preserve">the </w:t>
      </w:r>
      <w:r w:rsidR="005C5339">
        <w:t xml:space="preserve">International Atomic Energy Agency (IAEA) </w:t>
      </w:r>
      <w:r w:rsidR="075F5600">
        <w:t>coord</w:t>
      </w:r>
      <w:r w:rsidR="2A2ED328">
        <w:t>inate</w:t>
      </w:r>
      <w:r>
        <w:t>d</w:t>
      </w:r>
      <w:r w:rsidR="2A2ED328">
        <w:t xml:space="preserve"> an</w:t>
      </w:r>
      <w:r w:rsidR="075F5600">
        <w:t xml:space="preserve"> </w:t>
      </w:r>
      <w:r w:rsidR="2A2ED328">
        <w:t xml:space="preserve">International Regulatory Review Service (IRRS) </w:t>
      </w:r>
      <w:r w:rsidR="525D62FB">
        <w:t>mission</w:t>
      </w:r>
      <w:r w:rsidR="7367BFE7">
        <w:t xml:space="preserve">. ARPANSA hosted this mission </w:t>
      </w:r>
      <w:r w:rsidR="525D62FB">
        <w:t xml:space="preserve">in </w:t>
      </w:r>
      <w:r w:rsidR="00B348FC">
        <w:t>November </w:t>
      </w:r>
      <w:r w:rsidR="525D62FB">
        <w:t>2018.</w:t>
      </w:r>
      <w:r w:rsidR="00C1716C">
        <w:t xml:space="preserve"> </w:t>
      </w:r>
      <w:r w:rsidR="004F72C7" w:rsidRPr="00EE1374">
        <w:t>T</w:t>
      </w:r>
      <w:r w:rsidR="00C73950" w:rsidRPr="00EE1374">
        <w:t xml:space="preserve">he IRRS </w:t>
      </w:r>
      <w:r w:rsidR="00EE1374" w:rsidRPr="00EE1374">
        <w:t xml:space="preserve">reviewed the regulatory framework across Australia against international </w:t>
      </w:r>
      <w:r w:rsidR="004F72C7" w:rsidRPr="00EE1374">
        <w:t>standards and guidelines</w:t>
      </w:r>
      <w:r w:rsidR="007823B3">
        <w:t>, to report on regulatory effectiveness and to exchange information and experience with international counterparts.</w:t>
      </w:r>
      <w:r w:rsidR="004F72C7" w:rsidRPr="00EE1374">
        <w:t xml:space="preserve"> This provided ARPANSA with </w:t>
      </w:r>
      <w:r w:rsidR="00356325">
        <w:t>opportunities to enhance ARPANSA’s regulatory performance</w:t>
      </w:r>
      <w:r w:rsidR="00D27B8B">
        <w:t xml:space="preserve"> and</w:t>
      </w:r>
      <w:r w:rsidR="004F72C7" w:rsidRPr="2A2ED328">
        <w:t>,</w:t>
      </w:r>
      <w:r w:rsidR="00356325">
        <w:t xml:space="preserve"> with State and Territory regulators</w:t>
      </w:r>
      <w:r w:rsidR="004F72C7" w:rsidRPr="2A2ED328">
        <w:t>,</w:t>
      </w:r>
      <w:r w:rsidR="00D27B8B">
        <w:t xml:space="preserve"> to promote nationally consistent </w:t>
      </w:r>
      <w:r w:rsidR="004F72C7" w:rsidRPr="00EE1374">
        <w:t xml:space="preserve">radiation </w:t>
      </w:r>
      <w:r w:rsidR="1F1A0B6D">
        <w:t>safety regulation across jurisdictions.</w:t>
      </w:r>
      <w:r w:rsidR="001141E6">
        <w:t xml:space="preserve"> </w:t>
      </w:r>
      <w:r w:rsidR="000E3A70">
        <w:t xml:space="preserve">The review </w:t>
      </w:r>
      <w:r w:rsidR="00D27B8B">
        <w:t>included a</w:t>
      </w:r>
      <w:r w:rsidR="000E3A70">
        <w:t xml:space="preserve"> two week intensive mission phase, as well as substantial prior self-assessment. </w:t>
      </w:r>
    </w:p>
    <w:p w14:paraId="11FC8E5B" w14:textId="5A86647D" w:rsidR="000E3A70" w:rsidRPr="00EE1374" w:rsidRDefault="001141E6" w:rsidP="003B4D69">
      <w:r>
        <w:t xml:space="preserve">The IRRS </w:t>
      </w:r>
      <w:r w:rsidR="007823B3">
        <w:t>mission concluded that there was good alignment with the international standards</w:t>
      </w:r>
      <w:r w:rsidR="008C5DC6">
        <w:t xml:space="preserve">, </w:t>
      </w:r>
      <w:r w:rsidR="007823B3">
        <w:t xml:space="preserve">and </w:t>
      </w:r>
      <w:r w:rsidR="008C5DC6">
        <w:t xml:space="preserve">was positive regarding the </w:t>
      </w:r>
      <w:r w:rsidR="007823B3">
        <w:t xml:space="preserve">overall </w:t>
      </w:r>
      <w:r>
        <w:t xml:space="preserve">regulatory </w:t>
      </w:r>
      <w:r w:rsidR="00FF20CA">
        <w:t>effectiveness</w:t>
      </w:r>
      <w:r>
        <w:t xml:space="preserve"> of ARPANSA. </w:t>
      </w:r>
      <w:r w:rsidR="000E3A70" w:rsidRPr="000E3A70">
        <w:t xml:space="preserve">The </w:t>
      </w:r>
      <w:r w:rsidR="000E3A70">
        <w:t xml:space="preserve">final </w:t>
      </w:r>
      <w:r w:rsidR="000E3A70" w:rsidRPr="000E3A70">
        <w:t>report contains four good practices, 23 recommendations, and 12 suggestions for improvement</w:t>
      </w:r>
      <w:r w:rsidR="009A2E62">
        <w:t xml:space="preserve">, many of which </w:t>
      </w:r>
      <w:r w:rsidR="000E3A70" w:rsidRPr="000E3A70">
        <w:t xml:space="preserve">confirmed or elaborated on the actions identified </w:t>
      </w:r>
      <w:r w:rsidR="00D27B8B">
        <w:t>during the</w:t>
      </w:r>
      <w:r w:rsidR="000E3A70" w:rsidRPr="000E3A70">
        <w:t xml:space="preserve"> self-assessments</w:t>
      </w:r>
      <w:r w:rsidR="00D27B8B">
        <w:t>.</w:t>
      </w:r>
      <w:r w:rsidR="009A2E62">
        <w:t xml:space="preserve"> </w:t>
      </w:r>
      <w:r w:rsidR="00D27B8B">
        <w:t xml:space="preserve">Actions </w:t>
      </w:r>
      <w:r w:rsidR="009A2E62">
        <w:t>were</w:t>
      </w:r>
      <w:r w:rsidR="000E3A70" w:rsidRPr="000E3A70">
        <w:t xml:space="preserve"> addressed to the various </w:t>
      </w:r>
      <w:r w:rsidR="000E3A70" w:rsidRPr="000E3A70">
        <w:lastRenderedPageBreak/>
        <w:t>Australian go</w:t>
      </w:r>
      <w:r w:rsidR="000E3A70">
        <w:t>vernments and regulatory bodies</w:t>
      </w:r>
      <w:r w:rsidR="00D25EFE">
        <w:t>;</w:t>
      </w:r>
      <w:r w:rsidR="0030415F">
        <w:t xml:space="preserve"> </w:t>
      </w:r>
      <w:r w:rsidR="00D25EFE">
        <w:t>f</w:t>
      </w:r>
      <w:r w:rsidR="0030415F">
        <w:t>ourteen (eight recommendations and six suggestions) were specifically addressed to ARPANSA.</w:t>
      </w:r>
    </w:p>
    <w:p w14:paraId="6F47E98D" w14:textId="1F5A7A7C" w:rsidR="003B4D69" w:rsidRDefault="004F72C7" w:rsidP="003B4D69">
      <w:pPr>
        <w:pStyle w:val="Heading3"/>
        <w:rPr>
          <w:shd w:val="clear" w:color="auto" w:fill="FFFFFF"/>
        </w:rPr>
      </w:pPr>
      <w:r>
        <w:rPr>
          <w:shd w:val="clear" w:color="auto" w:fill="FFFFFF"/>
        </w:rPr>
        <w:t>Significant events</w:t>
      </w:r>
    </w:p>
    <w:p w14:paraId="24B2069D" w14:textId="4D357D94" w:rsidR="002103D3" w:rsidRDefault="049686B7">
      <w:r w:rsidRPr="54F5E32F">
        <w:t>ARPANSA</w:t>
      </w:r>
      <w:r>
        <w:t xml:space="preserve"> monitors the safety performance of its licence holders, and requires prompt notification within </w:t>
      </w:r>
      <w:r w:rsidR="00A14F77">
        <w:br/>
      </w:r>
      <w:r>
        <w:t xml:space="preserve">24 hours if certain events with safety implications occur. Events, reported or found, which meet the criteria of an incident under the </w:t>
      </w:r>
      <w:hyperlink r:id="rId17">
        <w:r w:rsidRPr="049686B7">
          <w:rPr>
            <w:rStyle w:val="Hyperlink"/>
          </w:rPr>
          <w:t>Australian Radiation Incident Register</w:t>
        </w:r>
      </w:hyperlink>
      <w:r>
        <w:t xml:space="preserve"> are also collated nationally and analysed by ARPANSA. </w:t>
      </w:r>
    </w:p>
    <w:p w14:paraId="1C8F3B1F" w14:textId="1931B1A8" w:rsidR="00506146" w:rsidRPr="00506146" w:rsidRDefault="049686B7" w:rsidP="00506146">
      <w:r>
        <w:t>During the financial year there was one accident reported to ARPANSA, in accordance with section 58 of the Regulations. On 21 June, following the accident, in which the hands of three workers were exposed to radiation, production of nuclear medicine at A</w:t>
      </w:r>
      <w:r w:rsidR="15981096">
        <w:t>NSTO</w:t>
      </w:r>
      <w:r>
        <w:t xml:space="preserve"> Nuclear Medicine (ANM) facility was halted. Two of the workers received a dose that exceeded the statutory annual dose limit for the hands. Under the International Nuclear and Radiological Event Scale (INES) the event is classified as a ‘Level 2 Incident’. ARPANSA instructed Australian Nuclear Science and Technology Organisation (ANSTO) not to resume operations until ARPANSA had assessed the causes of the accident and reviewed ANSTO’s assessment of the accident, including their proposed controls to keep workers safe.</w:t>
      </w:r>
    </w:p>
    <w:p w14:paraId="3DDBD6B9" w14:textId="345BCDFB" w:rsidR="00506146" w:rsidRDefault="00506146" w:rsidP="00506146">
      <w:r w:rsidRPr="00506146">
        <w:t xml:space="preserve">ANSTO was authorised to recommence </w:t>
      </w:r>
      <w:r w:rsidR="00995739">
        <w:t xml:space="preserve">with restricted </w:t>
      </w:r>
      <w:r w:rsidR="00995739" w:rsidRPr="00506146">
        <w:t>production</w:t>
      </w:r>
      <w:r w:rsidR="006659F7" w:rsidRPr="006659F7">
        <w:t xml:space="preserve"> </w:t>
      </w:r>
      <w:r w:rsidR="006659F7">
        <w:t>from 6 July</w:t>
      </w:r>
      <w:r w:rsidR="00995739">
        <w:t>,</w:t>
      </w:r>
      <w:r w:rsidR="00995739" w:rsidRPr="00506146">
        <w:t xml:space="preserve"> </w:t>
      </w:r>
      <w:r w:rsidR="00E45D2B">
        <w:t xml:space="preserve">at a level that can </w:t>
      </w:r>
      <w:r w:rsidR="00995739" w:rsidRPr="00506146">
        <w:t>satisfy the domestic dem</w:t>
      </w:r>
      <w:r w:rsidR="00995739">
        <w:t>and for nuclear medicine</w:t>
      </w:r>
      <w:r>
        <w:t xml:space="preserve">. </w:t>
      </w:r>
      <w:r w:rsidRPr="00506146">
        <w:t xml:space="preserve">The decision </w:t>
      </w:r>
      <w:r w:rsidR="00892518">
        <w:t xml:space="preserve">took into account </w:t>
      </w:r>
      <w:r w:rsidRPr="00506146">
        <w:t xml:space="preserve">previous safety events during nuclear medicine production at ANSTO </w:t>
      </w:r>
      <w:r w:rsidR="00892518">
        <w:t>a</w:t>
      </w:r>
      <w:r w:rsidR="007E2462">
        <w:t>s</w:t>
      </w:r>
      <w:r w:rsidRPr="00506146">
        <w:t xml:space="preserve"> well as ARPANSA’s review of the circumstances </w:t>
      </w:r>
      <w:r w:rsidR="00892518">
        <w:t>of</w:t>
      </w:r>
      <w:r w:rsidRPr="00506146">
        <w:t xml:space="preserve"> this accident, including the sequence of events</w:t>
      </w:r>
      <w:r w:rsidR="00892518">
        <w:t xml:space="preserve"> and</w:t>
      </w:r>
      <w:r w:rsidRPr="00506146">
        <w:t xml:space="preserve"> effectiveness of controls. </w:t>
      </w:r>
    </w:p>
    <w:p w14:paraId="7FC771FC" w14:textId="6D6CBC7E" w:rsidR="00506146" w:rsidRPr="00506146" w:rsidRDefault="00506146" w:rsidP="00506146">
      <w:r w:rsidRPr="00506146">
        <w:t>ARPANSA is continuing its investigation into the causes and contributing factors of the accident.</w:t>
      </w:r>
      <w:r w:rsidR="00C1716C">
        <w:t xml:space="preserve"> </w:t>
      </w:r>
      <w:r w:rsidRPr="00506146">
        <w:t>A formal decision on whether there has been a failure on ANSTO’s part to comply with conditions of the ANM licence is pending.</w:t>
      </w:r>
    </w:p>
    <w:p w14:paraId="6236414E" w14:textId="31D88FD8" w:rsidR="004F72C7" w:rsidRPr="004F72C7" w:rsidRDefault="049686B7" w:rsidP="004C199F">
      <w:r>
        <w:t>ARPANSA is working to identify potential learnings for the regulator from this and other events. ARPANSA has drawn some preliminary conclusions, including that ARPANSA should further engage with its licence holders to ensure that their risk assessments appropriately reflect the risks of all activities or facilities of a hazardous nature. It is important that the risks and the effectiveness of controls are well understood by workers at the organisation and regularly reviewed.</w:t>
      </w:r>
    </w:p>
    <w:p w14:paraId="6123BBD4" w14:textId="70C06FCE" w:rsidR="003B4D69" w:rsidRPr="00C545BA" w:rsidRDefault="003B4D69" w:rsidP="003B4D69">
      <w:pPr>
        <w:pStyle w:val="Heading2"/>
      </w:pPr>
      <w:bookmarkStart w:id="17" w:name="_Toc12883992"/>
      <w:bookmarkStart w:id="18" w:name="_Toc23846599"/>
      <w:bookmarkStart w:id="19" w:name="_Toc25225258"/>
      <w:r w:rsidRPr="00C545BA">
        <w:t xml:space="preserve">Regulator </w:t>
      </w:r>
      <w:r w:rsidR="005C5339" w:rsidRPr="00C545BA">
        <w:t>p</w:t>
      </w:r>
      <w:r w:rsidRPr="00C545BA">
        <w:t xml:space="preserve">erformance </w:t>
      </w:r>
      <w:r w:rsidR="005C5339" w:rsidRPr="00C545BA">
        <w:t>f</w:t>
      </w:r>
      <w:r w:rsidRPr="00C545BA">
        <w:t>ramework</w:t>
      </w:r>
      <w:bookmarkEnd w:id="17"/>
      <w:bookmarkEnd w:id="18"/>
      <w:bookmarkEnd w:id="19"/>
    </w:p>
    <w:p w14:paraId="3CABC97C" w14:textId="77777777" w:rsidR="003B4D69" w:rsidRPr="00C545BA" w:rsidRDefault="003B4D69" w:rsidP="003B4D69">
      <w:pPr>
        <w:rPr>
          <w:shd w:val="clear" w:color="auto" w:fill="FFFFFF"/>
        </w:rPr>
      </w:pPr>
      <w:r w:rsidRPr="00C545BA">
        <w:rPr>
          <w:shd w:val="clear" w:color="auto" w:fill="FFFFFF"/>
        </w:rPr>
        <w:t>The Australian Government is committed to reducing the cost of unnecessary or inefficient regulation imposed on business, community organisations and individuals. The Regulator Performance Framework (RPF)</w:t>
      </w:r>
      <w:r w:rsidRPr="00C545BA">
        <w:rPr>
          <w:rStyle w:val="FootnoteReference"/>
          <w:shd w:val="clear" w:color="auto" w:fill="FFFFFF"/>
        </w:rPr>
        <w:footnoteReference w:id="4"/>
      </w:r>
      <w:r w:rsidRPr="00C545BA">
        <w:rPr>
          <w:shd w:val="clear" w:color="auto" w:fill="FFFFFF"/>
        </w:rPr>
        <w:t xml:space="preserve"> establishes a common set of performance measures for the comprehensive assessment of regulator performance and their engagement with stakeholders. The way regulators administer regulations can have a major effect on the burden imposed, and therefore the framework aims to encourage regulators to undertake their functions with the minimum impact necessary to achieve regulatory objectives. </w:t>
      </w:r>
    </w:p>
    <w:p w14:paraId="2E02AD95" w14:textId="77777777" w:rsidR="003B4D69" w:rsidRPr="00C545BA" w:rsidRDefault="003B4D69" w:rsidP="00B75114">
      <w:pPr>
        <w:keepNext/>
        <w:keepLines/>
        <w:rPr>
          <w:shd w:val="clear" w:color="auto" w:fill="FFFFFF"/>
        </w:rPr>
      </w:pPr>
      <w:r w:rsidRPr="00C545BA">
        <w:rPr>
          <w:shd w:val="clear" w:color="auto" w:fill="FFFFFF"/>
        </w:rPr>
        <w:lastRenderedPageBreak/>
        <w:t>The RPF comprises six outcomes-based Key Performance Indicators (KPIs) and associated measures. The KPIs articulate the Government’s overarching expectations of regulator performance, namely that:</w:t>
      </w:r>
    </w:p>
    <w:p w14:paraId="4DF7C896" w14:textId="2A89E1F5" w:rsidR="003B4D69" w:rsidRPr="00877B0A" w:rsidRDefault="000A3C8D" w:rsidP="00B75114">
      <w:pPr>
        <w:pStyle w:val="ListParagraph"/>
        <w:keepNext/>
        <w:keepLines/>
        <w:numPr>
          <w:ilvl w:val="0"/>
          <w:numId w:val="36"/>
        </w:numPr>
        <w:rPr>
          <w:shd w:val="clear" w:color="auto" w:fill="FFFFFF"/>
        </w:rPr>
      </w:pPr>
      <w:r>
        <w:rPr>
          <w:shd w:val="clear" w:color="auto" w:fill="FFFFFF"/>
        </w:rPr>
        <w:t>r</w:t>
      </w:r>
      <w:r w:rsidR="003B4D69" w:rsidRPr="00877B0A">
        <w:rPr>
          <w:shd w:val="clear" w:color="auto" w:fill="FFFFFF"/>
        </w:rPr>
        <w:t>egulators do not unnecessarily impede the efficient operation of regulated entities</w:t>
      </w:r>
    </w:p>
    <w:p w14:paraId="55521633" w14:textId="06AE2A8E" w:rsidR="003B4D69" w:rsidRPr="00877B0A" w:rsidRDefault="000A3C8D" w:rsidP="00B75114">
      <w:pPr>
        <w:pStyle w:val="ListParagraph"/>
        <w:keepNext/>
        <w:keepLines/>
        <w:numPr>
          <w:ilvl w:val="0"/>
          <w:numId w:val="36"/>
        </w:numPr>
        <w:rPr>
          <w:shd w:val="clear" w:color="auto" w:fill="FFFFFF"/>
        </w:rPr>
      </w:pPr>
      <w:r>
        <w:rPr>
          <w:shd w:val="clear" w:color="auto" w:fill="FFFFFF"/>
        </w:rPr>
        <w:t>c</w:t>
      </w:r>
      <w:r w:rsidR="003B4D69" w:rsidRPr="00877B0A">
        <w:rPr>
          <w:shd w:val="clear" w:color="auto" w:fill="FFFFFF"/>
        </w:rPr>
        <w:t>ommunication with regulated entities is clear, targeted and effective</w:t>
      </w:r>
    </w:p>
    <w:p w14:paraId="1B20C0B9" w14:textId="62A3460D" w:rsidR="003B4D69" w:rsidRPr="00877B0A" w:rsidRDefault="000A3C8D" w:rsidP="00B75114">
      <w:pPr>
        <w:pStyle w:val="ListParagraph"/>
        <w:keepNext/>
        <w:keepLines/>
        <w:numPr>
          <w:ilvl w:val="0"/>
          <w:numId w:val="36"/>
        </w:numPr>
        <w:rPr>
          <w:shd w:val="clear" w:color="auto" w:fill="FFFFFF"/>
        </w:rPr>
      </w:pPr>
      <w:r>
        <w:rPr>
          <w:shd w:val="clear" w:color="auto" w:fill="FFFFFF"/>
        </w:rPr>
        <w:t>a</w:t>
      </w:r>
      <w:r w:rsidR="003B4D69" w:rsidRPr="00877B0A">
        <w:rPr>
          <w:shd w:val="clear" w:color="auto" w:fill="FFFFFF"/>
        </w:rPr>
        <w:t>ctions undertaken by regulators are proportionate to the risk being managed</w:t>
      </w:r>
    </w:p>
    <w:p w14:paraId="362B7BB7" w14:textId="2CC350F7" w:rsidR="003B4D69" w:rsidRPr="00877B0A" w:rsidRDefault="000A3C8D" w:rsidP="00B75114">
      <w:pPr>
        <w:pStyle w:val="ListParagraph"/>
        <w:keepNext/>
        <w:keepLines/>
        <w:numPr>
          <w:ilvl w:val="0"/>
          <w:numId w:val="36"/>
        </w:numPr>
        <w:rPr>
          <w:shd w:val="clear" w:color="auto" w:fill="FFFFFF"/>
        </w:rPr>
      </w:pPr>
      <w:r>
        <w:rPr>
          <w:shd w:val="clear" w:color="auto" w:fill="FFFFFF"/>
        </w:rPr>
        <w:t>c</w:t>
      </w:r>
      <w:r w:rsidR="003B4D69" w:rsidRPr="00877B0A">
        <w:rPr>
          <w:shd w:val="clear" w:color="auto" w:fill="FFFFFF"/>
        </w:rPr>
        <w:t>ompliance and monitoring approaches are streamlined and coordinated</w:t>
      </w:r>
    </w:p>
    <w:p w14:paraId="385C9830" w14:textId="5C05F151" w:rsidR="003B4D69" w:rsidRPr="00877B0A" w:rsidRDefault="000A3C8D" w:rsidP="00B75114">
      <w:pPr>
        <w:pStyle w:val="ListParagraph"/>
        <w:keepNext/>
        <w:keepLines/>
        <w:numPr>
          <w:ilvl w:val="0"/>
          <w:numId w:val="36"/>
        </w:numPr>
        <w:rPr>
          <w:shd w:val="clear" w:color="auto" w:fill="FFFFFF"/>
        </w:rPr>
      </w:pPr>
      <w:r>
        <w:rPr>
          <w:shd w:val="clear" w:color="auto" w:fill="FFFFFF"/>
        </w:rPr>
        <w:t>r</w:t>
      </w:r>
      <w:r w:rsidR="003B4D69" w:rsidRPr="00877B0A">
        <w:rPr>
          <w:shd w:val="clear" w:color="auto" w:fill="FFFFFF"/>
        </w:rPr>
        <w:t>egulators are open and transparent in their dealings with regulated entities</w:t>
      </w:r>
    </w:p>
    <w:p w14:paraId="23DB3F7A" w14:textId="6B07853E" w:rsidR="003B4D69" w:rsidRPr="00877B0A" w:rsidRDefault="000A3C8D" w:rsidP="00B75114">
      <w:pPr>
        <w:pStyle w:val="ListParagraph"/>
        <w:keepNext/>
        <w:keepLines/>
        <w:numPr>
          <w:ilvl w:val="0"/>
          <w:numId w:val="36"/>
        </w:numPr>
        <w:rPr>
          <w:shd w:val="clear" w:color="auto" w:fill="FFFFFF"/>
        </w:rPr>
      </w:pPr>
      <w:r>
        <w:rPr>
          <w:shd w:val="clear" w:color="auto" w:fill="FFFFFF"/>
        </w:rPr>
        <w:t>r</w:t>
      </w:r>
      <w:r w:rsidR="003B4D69" w:rsidRPr="00877B0A">
        <w:rPr>
          <w:shd w:val="clear" w:color="auto" w:fill="FFFFFF"/>
        </w:rPr>
        <w:t>egulators actively contribute to the continuous improvement of regulatory frameworks.</w:t>
      </w:r>
    </w:p>
    <w:p w14:paraId="1E640BB6" w14:textId="1A8F8D0B" w:rsidR="003B4D69" w:rsidRPr="00C545BA" w:rsidRDefault="003B4D69" w:rsidP="003B4D69">
      <w:pPr>
        <w:rPr>
          <w:shd w:val="clear" w:color="auto" w:fill="FFFFFF"/>
        </w:rPr>
      </w:pPr>
      <w:r w:rsidRPr="00C545BA">
        <w:rPr>
          <w:shd w:val="clear" w:color="auto" w:fill="FFFFFF"/>
        </w:rPr>
        <w:t xml:space="preserve">Under the RPF, regulators are required to undertake an annual self-assessment of regulatory performance against the six KPIs. </w:t>
      </w:r>
    </w:p>
    <w:p w14:paraId="5F8A894C" w14:textId="1F79C0DB" w:rsidR="00C915BD" w:rsidRPr="00C545BA" w:rsidRDefault="003B4D69" w:rsidP="00C915BD">
      <w:pPr>
        <w:rPr>
          <w:shd w:val="clear" w:color="auto" w:fill="FFFFFF"/>
        </w:rPr>
      </w:pPr>
      <w:r w:rsidRPr="00C545BA">
        <w:rPr>
          <w:shd w:val="clear" w:color="auto" w:fill="FFFFFF"/>
        </w:rPr>
        <w:t>The metrics used to assess performance are a mix of qualitative and quantitative measurements that have been agreed through a ministerially approved stakeholder consultation mechanism, and approved by the Minister.</w:t>
      </w:r>
      <w:r w:rsidR="00C915BD" w:rsidRPr="00C545BA">
        <w:rPr>
          <w:shd w:val="clear" w:color="auto" w:fill="FFFFFF"/>
        </w:rPr>
        <w:t xml:space="preserve"> </w:t>
      </w:r>
      <w:r w:rsidR="00995739" w:rsidRPr="00C545BA">
        <w:rPr>
          <w:shd w:val="clear" w:color="auto" w:fill="FFFFFF"/>
        </w:rPr>
        <w:t>ARPANSA has published its</w:t>
      </w:r>
      <w:r w:rsidR="00C915BD" w:rsidRPr="00C545BA">
        <w:rPr>
          <w:shd w:val="clear" w:color="auto" w:fill="FFFFFF"/>
        </w:rPr>
        <w:t xml:space="preserve"> </w:t>
      </w:r>
      <w:hyperlink r:id="rId18" w:history="1">
        <w:r w:rsidR="1B0E300A" w:rsidRPr="00C545BA">
          <w:rPr>
            <w:rStyle w:val="Hyperlink"/>
            <w:shd w:val="clear" w:color="auto" w:fill="FFFFFF"/>
          </w:rPr>
          <w:t>approved metrics</w:t>
        </w:r>
      </w:hyperlink>
      <w:r w:rsidR="00995739" w:rsidRPr="00C545BA">
        <w:rPr>
          <w:shd w:val="clear" w:color="auto" w:fill="FFFFFF"/>
        </w:rPr>
        <w:t xml:space="preserve"> online.</w:t>
      </w:r>
      <w:r w:rsidR="00C915BD" w:rsidRPr="00C545BA">
        <w:rPr>
          <w:shd w:val="clear" w:color="auto" w:fill="FFFFFF"/>
        </w:rPr>
        <w:t xml:space="preserve"> </w:t>
      </w:r>
    </w:p>
    <w:p w14:paraId="2D2624FD" w14:textId="4B3878DE" w:rsidR="00865E18" w:rsidRDefault="049686B7" w:rsidP="00865E18">
      <w:r w:rsidRPr="00C545BA">
        <w:t>The RPF assessment process is not intended to cover the full range of regulatory and policy objectives. The</w:t>
      </w:r>
      <w:r>
        <w:t xml:space="preserve"> stated aim of the RPF is to ‘</w:t>
      </w:r>
      <w:r w:rsidRPr="22ECA33B">
        <w:rPr>
          <w:i/>
          <w:iCs/>
        </w:rPr>
        <w:t>encourage regulators to undertake their functions with the minimum impact necessary to achieve regulatory objectives and to effect positive ongoing and lasting cultural change within regulators’</w:t>
      </w:r>
      <w:r>
        <w:t xml:space="preserve">. ARPANSA also measures its performance against its safety objective ‘to protect the health and safety of people, and to protect the environment, from the harmful effects of radiation’, using a range of indicators. High level indicators are listed in ARPANSA’s published </w:t>
      </w:r>
      <w:hyperlink r:id="rId19">
        <w:r w:rsidRPr="049686B7">
          <w:rPr>
            <w:rStyle w:val="Hyperlink"/>
          </w:rPr>
          <w:t>Corporate Plans</w:t>
        </w:r>
      </w:hyperlink>
      <w:r>
        <w:t xml:space="preserve"> and reported against in the </w:t>
      </w:r>
      <w:hyperlink r:id="rId20">
        <w:r w:rsidRPr="049686B7">
          <w:rPr>
            <w:rStyle w:val="Hyperlink"/>
          </w:rPr>
          <w:t>annual report series</w:t>
        </w:r>
      </w:hyperlink>
      <w:r>
        <w:t xml:space="preserve">. However, ARPANSA considers the RPF </w:t>
      </w:r>
      <w:r w:rsidR="22ECA33B">
        <w:t>measures and review process</w:t>
      </w:r>
      <w:r>
        <w:t xml:space="preserve"> a useful tool to identify opportunities for improvement and better </w:t>
      </w:r>
      <w:r w:rsidR="00E45D2B">
        <w:t xml:space="preserve">utilise </w:t>
      </w:r>
      <w:r>
        <w:t xml:space="preserve">resources. </w:t>
      </w:r>
    </w:p>
    <w:p w14:paraId="58EA6DCB" w14:textId="5081AB06" w:rsidR="1B0E300A" w:rsidRDefault="00CA2D07" w:rsidP="00865E18">
      <w:r>
        <w:t>W</w:t>
      </w:r>
      <w:r w:rsidR="00865E18">
        <w:t xml:space="preserve">hen considering the effectiveness of the regulator within the context of the </w:t>
      </w:r>
      <w:r w:rsidR="000465FE">
        <w:t>RPF</w:t>
      </w:r>
      <w:r w:rsidR="00865E18">
        <w:t xml:space="preserve">, the review team </w:t>
      </w:r>
      <w:r>
        <w:t>took into account</w:t>
      </w:r>
      <w:r w:rsidR="00865E18">
        <w:t xml:space="preserve"> the OECD Nuclear Energy Agency (NEA) publication ‘</w:t>
      </w:r>
      <w:hyperlink r:id="rId21" w:history="1">
        <w:r w:rsidR="00865E18" w:rsidRPr="00865E18">
          <w:rPr>
            <w:rStyle w:val="Hyperlink"/>
          </w:rPr>
          <w:t>The Safety Culture of an Effective Nuclear Regulatory Body</w:t>
        </w:r>
      </w:hyperlink>
      <w:r w:rsidR="00865E18">
        <w:t>’.</w:t>
      </w:r>
    </w:p>
    <w:p w14:paraId="37ED2042" w14:textId="77777777" w:rsidR="008F74D3" w:rsidRDefault="008F74D3" w:rsidP="008F74D3">
      <w:pPr>
        <w:pStyle w:val="Heading2"/>
        <w:rPr>
          <w:shd w:val="clear" w:color="auto" w:fill="FFFFFF"/>
        </w:rPr>
      </w:pPr>
      <w:bookmarkStart w:id="20" w:name="_Toc23846600"/>
      <w:bookmarkStart w:id="21" w:name="_Toc25225259"/>
      <w:bookmarkStart w:id="22" w:name="_Toc199580"/>
      <w:bookmarkStart w:id="23" w:name="_Toc12883995"/>
      <w:bookmarkStart w:id="24" w:name="_Toc12883993"/>
      <w:r>
        <w:rPr>
          <w:shd w:val="clear" w:color="auto" w:fill="FFFFFF"/>
        </w:rPr>
        <w:t>Assessment team and methodology</w:t>
      </w:r>
      <w:bookmarkEnd w:id="20"/>
      <w:bookmarkEnd w:id="21"/>
    </w:p>
    <w:p w14:paraId="44A423DB" w14:textId="066D9FAB" w:rsidR="006758F0" w:rsidRPr="00A14F77" w:rsidRDefault="008F74D3" w:rsidP="008F74D3">
      <w:r w:rsidRPr="00A14F77">
        <w:t xml:space="preserve">Each year, ARPANSA selects an assessment team with a broad range of experience and includes at least one member whose functions are not part of the </w:t>
      </w:r>
      <w:r w:rsidR="00E45D2B" w:rsidRPr="00A14F77">
        <w:t>Regulatory S</w:t>
      </w:r>
      <w:r w:rsidRPr="00A14F77">
        <w:t xml:space="preserve">ervices </w:t>
      </w:r>
      <w:r w:rsidR="00E45D2B" w:rsidRPr="00A14F77">
        <w:t>B</w:t>
      </w:r>
      <w:r w:rsidRPr="00A14F77">
        <w:t xml:space="preserve">ranch. </w:t>
      </w:r>
      <w:r w:rsidR="00E45D2B" w:rsidRPr="00A14F77">
        <w:t xml:space="preserve">In previous years, the team also included one or more members external to ARPANSA, such as another regulator </w:t>
      </w:r>
      <w:r w:rsidR="0030415F" w:rsidRPr="00A14F77">
        <w:t>and/</w:t>
      </w:r>
      <w:r w:rsidR="00E45D2B" w:rsidRPr="00A14F77">
        <w:t>or a</w:t>
      </w:r>
      <w:r w:rsidR="006758F0" w:rsidRPr="00A14F77">
        <w:t xml:space="preserve"> representative of a</w:t>
      </w:r>
      <w:r w:rsidR="00E45D2B" w:rsidRPr="00A14F77">
        <w:t xml:space="preserve"> regulated entity. This year, the assessment team was scaled down</w:t>
      </w:r>
      <w:r w:rsidR="006758F0" w:rsidRPr="00A14F77">
        <w:t xml:space="preserve">; however, external members may again be considered in the future. </w:t>
      </w:r>
    </w:p>
    <w:p w14:paraId="1EFB671C" w14:textId="7BF44039" w:rsidR="008F74D3" w:rsidRPr="00A14F77" w:rsidRDefault="006758F0" w:rsidP="008F74D3">
      <w:r w:rsidRPr="00A14F77">
        <w:t>T</w:t>
      </w:r>
      <w:r w:rsidR="008F74D3" w:rsidRPr="00A14F77">
        <w:t xml:space="preserve">he RPF assessment was carried out by the following team members: </w:t>
      </w:r>
    </w:p>
    <w:p w14:paraId="2DAF5C90" w14:textId="102299AB" w:rsidR="008F74D3" w:rsidRPr="00A14F77" w:rsidRDefault="008F74D3" w:rsidP="008F74D3">
      <w:pPr>
        <w:pStyle w:val="ListParagraph"/>
        <w:numPr>
          <w:ilvl w:val="0"/>
          <w:numId w:val="19"/>
        </w:numPr>
      </w:pPr>
      <w:r w:rsidRPr="00A14F77">
        <w:t>Chris Nickel, Senior Regulatory Office</w:t>
      </w:r>
      <w:r w:rsidR="007E7639" w:rsidRPr="00A14F77">
        <w:t>r</w:t>
      </w:r>
      <w:r w:rsidRPr="00A14F77">
        <w:t>, Regulatory Services Branch, ARPANSA (Team Lead)</w:t>
      </w:r>
    </w:p>
    <w:p w14:paraId="3B7ECD6A" w14:textId="1A6DF137" w:rsidR="008F74D3" w:rsidRPr="00A14F77" w:rsidRDefault="008F74D3" w:rsidP="008F74D3">
      <w:pPr>
        <w:pStyle w:val="ListParagraph"/>
        <w:numPr>
          <w:ilvl w:val="0"/>
          <w:numId w:val="19"/>
        </w:numPr>
      </w:pPr>
      <w:r w:rsidRPr="00A14F77">
        <w:t>Gemma Larkins, Legal Officer, Office of the General Counsel, ARPANSA</w:t>
      </w:r>
    </w:p>
    <w:p w14:paraId="0A9B31D4" w14:textId="75E729B7" w:rsidR="008F74D3" w:rsidRPr="00A14F77" w:rsidRDefault="008F74D3" w:rsidP="008F74D3">
      <w:pPr>
        <w:pStyle w:val="ListParagraph"/>
        <w:numPr>
          <w:ilvl w:val="0"/>
          <w:numId w:val="19"/>
        </w:numPr>
      </w:pPr>
      <w:r w:rsidRPr="00A14F77">
        <w:t xml:space="preserve">Donovan Ryan, Director Digital Technology (Acting), Digital Technology Section, </w:t>
      </w:r>
      <w:r w:rsidR="0030415F" w:rsidRPr="00A14F77">
        <w:t xml:space="preserve">Corporate Office, </w:t>
      </w:r>
      <w:r w:rsidRPr="00A14F77">
        <w:t>ARPANSA.</w:t>
      </w:r>
    </w:p>
    <w:p w14:paraId="7ED34F14" w14:textId="06CB9863" w:rsidR="008F74D3" w:rsidRPr="001D67E7" w:rsidRDefault="008F74D3" w:rsidP="003A2B5B">
      <w:pPr>
        <w:keepNext/>
        <w:keepLines/>
        <w:rPr>
          <w:shd w:val="clear" w:color="auto" w:fill="FFFFFF"/>
        </w:rPr>
      </w:pPr>
      <w:r w:rsidRPr="00A14F77">
        <w:lastRenderedPageBreak/>
        <w:t xml:space="preserve">The assessment focussed on a review of performance against the </w:t>
      </w:r>
      <w:r w:rsidR="00A37CB9">
        <w:t>six</w:t>
      </w:r>
      <w:r w:rsidR="00A37CB9" w:rsidRPr="00A14F77">
        <w:t xml:space="preserve"> </w:t>
      </w:r>
      <w:r w:rsidRPr="00A14F77">
        <w:t xml:space="preserve">KPIs using the 12 approved measures, and </w:t>
      </w:r>
      <w:r w:rsidR="008D3CAB" w:rsidRPr="00A14F77">
        <w:t xml:space="preserve">the verification of the associated </w:t>
      </w:r>
      <w:r w:rsidRPr="00A14F77">
        <w:t xml:space="preserve">data. The team also considered </w:t>
      </w:r>
      <w:r w:rsidR="008D3CAB" w:rsidRPr="00A14F77">
        <w:t xml:space="preserve">additional information against the </w:t>
      </w:r>
      <w:r w:rsidRPr="00A14F77">
        <w:t>RPF metrics outlined in the RPF framework</w:t>
      </w:r>
      <w:r w:rsidR="008D3CAB" w:rsidRPr="00A14F77">
        <w:t>,</w:t>
      </w:r>
      <w:r w:rsidRPr="00A14F77">
        <w:t xml:space="preserve"> to provide a balanced and objective assessment of performance. This</w:t>
      </w:r>
      <w:r>
        <w:rPr>
          <w:shd w:val="clear" w:color="auto" w:fill="FFFFFF"/>
        </w:rPr>
        <w:t xml:space="preserve"> includes reviews of documents, interviews with staff and reviewing records and dat</w:t>
      </w:r>
      <w:r w:rsidR="008D3CAB">
        <w:rPr>
          <w:shd w:val="clear" w:color="auto" w:fill="FFFFFF"/>
        </w:rPr>
        <w:t>a within the management systems</w:t>
      </w:r>
      <w:r>
        <w:rPr>
          <w:shd w:val="clear" w:color="auto" w:fill="FFFFFF"/>
        </w:rPr>
        <w:t>.</w:t>
      </w:r>
    </w:p>
    <w:p w14:paraId="0B8DB3E5" w14:textId="4A4D538C" w:rsidR="008F74D3" w:rsidRPr="00C545BA" w:rsidRDefault="008F74D3" w:rsidP="008F74D3">
      <w:pPr>
        <w:rPr>
          <w:shd w:val="clear" w:color="auto" w:fill="FFFFFF"/>
        </w:rPr>
      </w:pPr>
      <w:r w:rsidRPr="001D67E7">
        <w:rPr>
          <w:shd w:val="clear" w:color="auto" w:fill="FFFFFF"/>
        </w:rPr>
        <w:t>The team set out to identify Areas for Improvement (AFIs) to assist ARPANSA improve its regulatory outcomes</w:t>
      </w:r>
      <w:r w:rsidR="008D3CAB">
        <w:rPr>
          <w:shd w:val="clear" w:color="auto" w:fill="FFFFFF"/>
        </w:rPr>
        <w:t xml:space="preserve"> and align with the RPF framework</w:t>
      </w:r>
      <w:r w:rsidRPr="001D67E7">
        <w:rPr>
          <w:shd w:val="clear" w:color="auto" w:fill="FFFFFF"/>
        </w:rPr>
        <w:t xml:space="preserve">. Strengths were also identified to understand and learn from what </w:t>
      </w:r>
      <w:r w:rsidRPr="00C545BA">
        <w:rPr>
          <w:shd w:val="clear" w:color="auto" w:fill="FFFFFF"/>
        </w:rPr>
        <w:t>ARPANSA does well.</w:t>
      </w:r>
    </w:p>
    <w:p w14:paraId="086E6547" w14:textId="77777777" w:rsidR="007374E4" w:rsidRPr="00C545BA" w:rsidRDefault="008F74D3" w:rsidP="008F74D3">
      <w:pPr>
        <w:pStyle w:val="Heading3"/>
      </w:pPr>
      <w:r w:rsidRPr="00C545BA">
        <w:t>Rating scale</w:t>
      </w:r>
      <w:bookmarkEnd w:id="22"/>
      <w:bookmarkEnd w:id="23"/>
    </w:p>
    <w:p w14:paraId="218DB320" w14:textId="4CC5CAB4" w:rsidR="007374E4" w:rsidRDefault="007374E4" w:rsidP="007374E4">
      <w:r w:rsidRPr="00C545BA">
        <w:t>ARPANSA has adjusted from a five point scale to a three point scale, in accordance with the guidance from the Department of Health</w:t>
      </w:r>
      <w:r w:rsidR="003732CE" w:rsidRPr="00C545BA">
        <w:t xml:space="preserve">. A uniform rating scale enhances comparability </w:t>
      </w:r>
      <w:r w:rsidRPr="00C545BA">
        <w:t>across regulatory bodies undertaking this assessment.</w:t>
      </w:r>
      <w:r w:rsidR="003A35B6">
        <w:br/>
      </w:r>
    </w:p>
    <w:tbl>
      <w:tblPr>
        <w:tblStyle w:val="GenericARPANSA"/>
        <w:tblW w:w="0" w:type="auto"/>
        <w:tblLook w:val="0680" w:firstRow="0" w:lastRow="0" w:firstColumn="1" w:lastColumn="0" w:noHBand="1" w:noVBand="1"/>
      </w:tblPr>
      <w:tblGrid>
        <w:gridCol w:w="1961"/>
        <w:gridCol w:w="7667"/>
      </w:tblGrid>
      <w:tr w:rsidR="003A35B6" w14:paraId="425CD18F" w14:textId="77777777" w:rsidTr="003A35B6">
        <w:tc>
          <w:tcPr>
            <w:tcW w:w="1980" w:type="dxa"/>
            <w:shd w:val="clear" w:color="auto" w:fill="CDF1CD" w:themeFill="accent2" w:themeFillTint="33"/>
          </w:tcPr>
          <w:p w14:paraId="3D8E1517" w14:textId="28C2C60D" w:rsidR="003A35B6" w:rsidRPr="003A35B6" w:rsidRDefault="003A35B6" w:rsidP="003A35B6">
            <w:pPr>
              <w:jc w:val="left"/>
              <w:rPr>
                <w:b/>
              </w:rPr>
            </w:pPr>
            <w:r w:rsidRPr="003A35B6">
              <w:rPr>
                <w:b/>
              </w:rPr>
              <w:t>Met</w:t>
            </w:r>
          </w:p>
        </w:tc>
        <w:tc>
          <w:tcPr>
            <w:tcW w:w="7874" w:type="dxa"/>
          </w:tcPr>
          <w:p w14:paraId="0ECBFAAF" w14:textId="770A51E1" w:rsidR="003A35B6" w:rsidRDefault="003A35B6" w:rsidP="003A35B6">
            <w:pPr>
              <w:jc w:val="left"/>
            </w:pPr>
            <w:r w:rsidRPr="00D25EFE">
              <w:t>Strong performance against all of the measures under the KPI</w:t>
            </w:r>
          </w:p>
        </w:tc>
      </w:tr>
      <w:tr w:rsidR="003A35B6" w14:paraId="599780F0" w14:textId="77777777" w:rsidTr="003A35B6">
        <w:tc>
          <w:tcPr>
            <w:tcW w:w="1980" w:type="dxa"/>
            <w:shd w:val="clear" w:color="auto" w:fill="D9D9D9" w:themeFill="background1" w:themeFillShade="D9"/>
          </w:tcPr>
          <w:p w14:paraId="7DE02773" w14:textId="7701699B" w:rsidR="003A35B6" w:rsidRPr="003A35B6" w:rsidRDefault="003A35B6" w:rsidP="003A35B6">
            <w:pPr>
              <w:jc w:val="left"/>
              <w:rPr>
                <w:b/>
              </w:rPr>
            </w:pPr>
            <w:r w:rsidRPr="003A35B6">
              <w:rPr>
                <w:b/>
              </w:rPr>
              <w:t>Substantially met</w:t>
            </w:r>
          </w:p>
        </w:tc>
        <w:tc>
          <w:tcPr>
            <w:tcW w:w="7874" w:type="dxa"/>
          </w:tcPr>
          <w:p w14:paraId="1B565214" w14:textId="30D51564" w:rsidR="003A35B6" w:rsidRDefault="003A35B6" w:rsidP="003A35B6">
            <w:pPr>
              <w:jc w:val="left"/>
            </w:pPr>
            <w:r w:rsidRPr="00D25EFE">
              <w:t>Strong performance against most of the measures under the KPI</w:t>
            </w:r>
          </w:p>
        </w:tc>
      </w:tr>
      <w:tr w:rsidR="003A35B6" w14:paraId="60E2A6AA" w14:textId="77777777" w:rsidTr="003A35B6">
        <w:tc>
          <w:tcPr>
            <w:tcW w:w="1980" w:type="dxa"/>
            <w:shd w:val="clear" w:color="auto" w:fill="FDE9D9" w:themeFill="accent6" w:themeFillTint="33"/>
          </w:tcPr>
          <w:p w14:paraId="243A4F74" w14:textId="27F30BD5" w:rsidR="003A35B6" w:rsidRPr="003A35B6" w:rsidRDefault="003A35B6" w:rsidP="003A35B6">
            <w:pPr>
              <w:jc w:val="left"/>
              <w:rPr>
                <w:b/>
              </w:rPr>
            </w:pPr>
            <w:r w:rsidRPr="003A35B6">
              <w:rPr>
                <w:b/>
              </w:rPr>
              <w:t>Not met</w:t>
            </w:r>
          </w:p>
        </w:tc>
        <w:tc>
          <w:tcPr>
            <w:tcW w:w="7874" w:type="dxa"/>
          </w:tcPr>
          <w:p w14:paraId="6C06EDEE" w14:textId="0C6F5B71" w:rsidR="003A35B6" w:rsidRDefault="003A35B6" w:rsidP="003A35B6">
            <w:pPr>
              <w:jc w:val="left"/>
            </w:pPr>
            <w:r w:rsidRPr="00D25EFE">
              <w:t>Poor performance against all of the measures under the KPI</w:t>
            </w:r>
          </w:p>
        </w:tc>
      </w:tr>
    </w:tbl>
    <w:p w14:paraId="3EACC67A" w14:textId="72724892" w:rsidR="003B4D69" w:rsidRPr="00C545BA" w:rsidRDefault="005C5339" w:rsidP="00A07570">
      <w:pPr>
        <w:pStyle w:val="Heading2"/>
        <w:spacing w:before="480"/>
      </w:pPr>
      <w:bookmarkStart w:id="25" w:name="_Toc23846601"/>
      <w:bookmarkStart w:id="26" w:name="_Toc25225260"/>
      <w:r w:rsidRPr="00C545BA">
        <w:t>External v</w:t>
      </w:r>
      <w:r w:rsidR="003B4D69" w:rsidRPr="00C545BA">
        <w:t>alidation</w:t>
      </w:r>
      <w:bookmarkEnd w:id="24"/>
      <w:bookmarkEnd w:id="25"/>
      <w:bookmarkEnd w:id="26"/>
    </w:p>
    <w:p w14:paraId="108113D0" w14:textId="3316D3F7" w:rsidR="003B4D69" w:rsidRPr="00C545BA" w:rsidRDefault="1B0E300A" w:rsidP="1B0E300A">
      <w:pPr>
        <w:rPr>
          <w:rFonts w:ascii="Calibri" w:eastAsia="Calibri" w:hAnsi="Calibri" w:cs="Calibri"/>
          <w:color w:val="4E1A74" w:themeColor="text2"/>
          <w:u w:val="single"/>
          <w:vertAlign w:val="superscript"/>
        </w:rPr>
      </w:pPr>
      <w:r w:rsidRPr="00C545BA">
        <w:t>The results of this self-assessment are required to be validated by the</w:t>
      </w:r>
      <w:r w:rsidRPr="00C545BA">
        <w:rPr>
          <w:rFonts w:ascii="Calibri" w:eastAsia="Calibri" w:hAnsi="Calibri" w:cs="Calibri"/>
        </w:rPr>
        <w:t xml:space="preserve"> Nuclear Safety Committee</w:t>
      </w:r>
      <w:r w:rsidRPr="00C545BA">
        <w:t xml:space="preserve"> as the approved stakeholder consultation mechanism.</w:t>
      </w:r>
    </w:p>
    <w:p w14:paraId="1299C43A" w14:textId="36E9EE9A" w:rsidR="003B4D69" w:rsidRPr="00C545BA" w:rsidRDefault="1B0E300A" w:rsidP="003B4D69">
      <w:r w:rsidRPr="00C545BA">
        <w:t xml:space="preserve">The Nuclear Safety Committee is established under the Act. Its functions include ‘to review and assess the effectiveness of standards, codes, practices and procedures in relation to the safety of controlled facilities’. More information on the Nuclear Safety Committee is available at </w:t>
      </w:r>
      <w:hyperlink r:id="rId22">
        <w:r w:rsidRPr="00C545BA">
          <w:rPr>
            <w:rStyle w:val="Hyperlink"/>
          </w:rPr>
          <w:t>arpansa.gov.au/nsc</w:t>
        </w:r>
      </w:hyperlink>
      <w:r w:rsidR="004F72C7" w:rsidRPr="00C545BA">
        <w:t>.</w:t>
      </w:r>
    </w:p>
    <w:p w14:paraId="1BEFEFF4" w14:textId="35E6F6F1" w:rsidR="003B4D69" w:rsidRPr="00C545BA" w:rsidRDefault="003B4D69" w:rsidP="003B4D69">
      <w:pPr>
        <w:pStyle w:val="Heading2"/>
      </w:pPr>
      <w:bookmarkStart w:id="27" w:name="_Toc12883994"/>
      <w:bookmarkStart w:id="28" w:name="_Toc23846602"/>
      <w:bookmarkStart w:id="29" w:name="_Toc25225261"/>
      <w:r w:rsidRPr="00C545BA">
        <w:t>Certification by the Accountable Authority</w:t>
      </w:r>
      <w:bookmarkEnd w:id="27"/>
      <w:bookmarkEnd w:id="28"/>
      <w:bookmarkEnd w:id="29"/>
    </w:p>
    <w:p w14:paraId="472BFC4D" w14:textId="6726122C" w:rsidR="003B4D69" w:rsidRPr="00BA126B" w:rsidRDefault="049686B7" w:rsidP="003B4D69">
      <w:r w:rsidRPr="00C545BA">
        <w:t xml:space="preserve">The self-assessment is required to be certified by the Chief Executive Officer of ARPANSA as the Accountable Authority under the </w:t>
      </w:r>
      <w:r w:rsidRPr="00C545BA">
        <w:rPr>
          <w:i/>
          <w:iCs/>
        </w:rPr>
        <w:t xml:space="preserve">Public Governance, Performance and Accountability Act 2013 </w:t>
      </w:r>
      <w:r w:rsidRPr="00C545BA">
        <w:t>and the Act.</w:t>
      </w:r>
      <w:r w:rsidR="006758F0" w:rsidRPr="00C545BA">
        <w:t xml:space="preserve"> The CEO is also a member of the Nuclear Safety Committee. In accordance with established practice, the CEO recused himself from the </w:t>
      </w:r>
      <w:r w:rsidR="000371FB" w:rsidRPr="00C545BA">
        <w:t>Nuclear Safety Committee</w:t>
      </w:r>
      <w:r w:rsidR="006758F0" w:rsidRPr="00C545BA">
        <w:t xml:space="preserve">’s </w:t>
      </w:r>
      <w:r w:rsidR="000371FB" w:rsidRPr="00C545BA">
        <w:t>deliberations on</w:t>
      </w:r>
      <w:r w:rsidR="000371FB">
        <w:t xml:space="preserve"> this matter.</w:t>
      </w:r>
    </w:p>
    <w:p w14:paraId="1B3CF4C8" w14:textId="081B906D" w:rsidR="003B4D69" w:rsidRPr="00C545BA" w:rsidRDefault="003B4D69" w:rsidP="00561938">
      <w:pPr>
        <w:pStyle w:val="Heading1"/>
        <w:rPr>
          <w:lang w:eastAsia="en-AU"/>
        </w:rPr>
      </w:pPr>
      <w:bookmarkStart w:id="30" w:name="_Toc536811016"/>
      <w:bookmarkStart w:id="31" w:name="_Toc199581"/>
      <w:bookmarkStart w:id="32" w:name="_Toc12883996"/>
      <w:bookmarkStart w:id="33" w:name="_Toc23846603"/>
      <w:bookmarkStart w:id="34" w:name="_Toc25225262"/>
      <w:r w:rsidRPr="00C545BA">
        <w:rPr>
          <w:lang w:eastAsia="en-AU"/>
        </w:rPr>
        <w:lastRenderedPageBreak/>
        <w:t xml:space="preserve">Overall </w:t>
      </w:r>
      <w:r w:rsidR="005C5339" w:rsidRPr="00C545BA">
        <w:t>a</w:t>
      </w:r>
      <w:r w:rsidRPr="00C545BA">
        <w:t>ssessment</w:t>
      </w:r>
      <w:bookmarkEnd w:id="30"/>
      <w:bookmarkEnd w:id="31"/>
      <w:bookmarkEnd w:id="32"/>
      <w:bookmarkEnd w:id="33"/>
      <w:bookmarkEnd w:id="34"/>
    </w:p>
    <w:p w14:paraId="19802DE1" w14:textId="7AE5A260" w:rsidR="000F57A2" w:rsidRPr="00C545BA" w:rsidRDefault="003B4D69" w:rsidP="003B4D69">
      <w:pPr>
        <w:spacing w:after="240"/>
      </w:pPr>
      <w:r w:rsidRPr="00C545BA">
        <w:t>Using the above performance ratings</w:t>
      </w:r>
      <w:r w:rsidR="005E535C" w:rsidRPr="00C545BA">
        <w:t xml:space="preserve">, </w:t>
      </w:r>
      <w:r w:rsidRPr="00C545BA">
        <w:t xml:space="preserve">targets have been met for </w:t>
      </w:r>
      <w:r w:rsidR="005E535C" w:rsidRPr="00C545BA">
        <w:t>all six KPIs</w:t>
      </w:r>
      <w:r w:rsidR="008D3CAB" w:rsidRPr="00C545BA">
        <w:t>,</w:t>
      </w:r>
      <w:r w:rsidR="005E535C" w:rsidRPr="00C545BA">
        <w:t xml:space="preserve"> and</w:t>
      </w:r>
      <w:r w:rsidR="008D3CAB" w:rsidRPr="00C545BA">
        <w:t xml:space="preserve"> strong performance observed against</w:t>
      </w:r>
      <w:r w:rsidR="005E535C" w:rsidRPr="00C545BA">
        <w:t xml:space="preserve"> </w:t>
      </w:r>
      <w:r w:rsidR="008D3CAB" w:rsidRPr="00C545BA">
        <w:t>all</w:t>
      </w:r>
      <w:r w:rsidRPr="00C545BA">
        <w:t xml:space="preserve"> </w:t>
      </w:r>
      <w:r w:rsidR="008D3CAB" w:rsidRPr="00C545BA">
        <w:t xml:space="preserve">of the </w:t>
      </w:r>
      <w:r w:rsidRPr="00C545BA">
        <w:t>measures under the KPIs.</w:t>
      </w:r>
      <w:r w:rsidR="000F57A2" w:rsidRPr="00C545BA">
        <w:t xml:space="preserve"> </w:t>
      </w:r>
    </w:p>
    <w:p w14:paraId="759BB72B" w14:textId="59950532" w:rsidR="003B4D69" w:rsidRPr="00116E6E" w:rsidRDefault="003B4D69" w:rsidP="003B4D69">
      <w:pPr>
        <w:pStyle w:val="Heading2"/>
      </w:pPr>
      <w:bookmarkStart w:id="35" w:name="_Toc12883997"/>
      <w:bookmarkStart w:id="36" w:name="_Toc23846604"/>
      <w:bookmarkStart w:id="37" w:name="_Toc25225263"/>
      <w:r w:rsidRPr="00C545BA">
        <w:t>Summary of self-assessment results</w:t>
      </w:r>
      <w:bookmarkEnd w:id="35"/>
      <w:bookmarkEnd w:id="36"/>
      <w:bookmarkEnd w:id="37"/>
    </w:p>
    <w:tbl>
      <w:tblPr>
        <w:tblStyle w:val="GenericARPANSA4"/>
        <w:tblW w:w="5000" w:type="pct"/>
        <w:tblLook w:val="06A0" w:firstRow="1" w:lastRow="0" w:firstColumn="1" w:lastColumn="0" w:noHBand="1" w:noVBand="1"/>
      </w:tblPr>
      <w:tblGrid>
        <w:gridCol w:w="2376"/>
        <w:gridCol w:w="1395"/>
        <w:gridCol w:w="5857"/>
      </w:tblGrid>
      <w:tr w:rsidR="003B4D69" w:rsidRPr="00893A05" w14:paraId="35EA276A" w14:textId="77777777" w:rsidTr="00BB57D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405" w:type="dxa"/>
          </w:tcPr>
          <w:p w14:paraId="6C563C91" w14:textId="77777777" w:rsidR="003B4D69" w:rsidRPr="00D25EFE" w:rsidRDefault="003B4D69" w:rsidP="00E96345">
            <w:pPr>
              <w:jc w:val="left"/>
              <w:rPr>
                <w:b w:val="0"/>
              </w:rPr>
            </w:pPr>
            <w:r w:rsidRPr="00D25EFE">
              <w:t>Regulator Performance Framework KPIs</w:t>
            </w:r>
          </w:p>
        </w:tc>
        <w:tc>
          <w:tcPr>
            <w:tcW w:w="1416" w:type="dxa"/>
          </w:tcPr>
          <w:p w14:paraId="6EC14C03" w14:textId="3940CAD7" w:rsidR="003B4D69" w:rsidRPr="005614DE" w:rsidRDefault="501E5E53" w:rsidP="00A37CB9">
            <w:pPr>
              <w:jc w:val="left"/>
              <w:cnfStyle w:val="100000000000" w:firstRow="1" w:lastRow="0" w:firstColumn="0" w:lastColumn="0" w:oddVBand="0" w:evenVBand="0" w:oddHBand="0" w:evenHBand="0" w:firstRowFirstColumn="0" w:firstRowLastColumn="0" w:lastRowFirstColumn="0" w:lastRowLastColumn="0"/>
            </w:pPr>
            <w:r w:rsidRPr="00D25EFE">
              <w:t xml:space="preserve">Ratings for </w:t>
            </w:r>
            <w:r w:rsidR="005614DE">
              <w:br/>
            </w:r>
            <w:r w:rsidRPr="00D25EFE">
              <w:t>2018</w:t>
            </w:r>
            <w:r w:rsidR="00A37CB9">
              <w:t>–</w:t>
            </w:r>
            <w:r w:rsidRPr="00D25EFE">
              <w:t>19</w:t>
            </w:r>
          </w:p>
        </w:tc>
        <w:tc>
          <w:tcPr>
            <w:tcW w:w="6033" w:type="dxa"/>
          </w:tcPr>
          <w:p w14:paraId="75E906ED" w14:textId="4DE87FA8" w:rsidR="501E5E53" w:rsidRPr="00D25EFE" w:rsidRDefault="005E535C" w:rsidP="00E96345">
            <w:pPr>
              <w:jc w:val="left"/>
              <w:cnfStyle w:val="100000000000" w:firstRow="1" w:lastRow="0" w:firstColumn="0" w:lastColumn="0" w:oddVBand="0" w:evenVBand="0" w:oddHBand="0" w:evenHBand="0" w:firstRowFirstColumn="0" w:firstRowLastColumn="0" w:lastRowFirstColumn="0" w:lastRowLastColumn="0"/>
              <w:rPr>
                <w:b w:val="0"/>
              </w:rPr>
            </w:pPr>
            <w:r w:rsidRPr="00D25EFE">
              <w:t>Summary</w:t>
            </w:r>
          </w:p>
        </w:tc>
      </w:tr>
      <w:tr w:rsidR="003B4D69" w:rsidRPr="00893A05" w14:paraId="0482A8E4" w14:textId="77777777" w:rsidTr="00BB57D8">
        <w:trPr>
          <w:cantSplit/>
        </w:trPr>
        <w:tc>
          <w:tcPr>
            <w:cnfStyle w:val="001000000000" w:firstRow="0" w:lastRow="0" w:firstColumn="1" w:lastColumn="0" w:oddVBand="0" w:evenVBand="0" w:oddHBand="0" w:evenHBand="0" w:firstRowFirstColumn="0" w:firstRowLastColumn="0" w:lastRowFirstColumn="0" w:lastRowLastColumn="0"/>
            <w:tcW w:w="2405" w:type="dxa"/>
            <w:vAlign w:val="top"/>
          </w:tcPr>
          <w:p w14:paraId="3DA6C712" w14:textId="7BB2D0CA" w:rsidR="003B4D69" w:rsidRPr="00D25EFE" w:rsidRDefault="003B4D69" w:rsidP="00F71BA7">
            <w:pPr>
              <w:spacing w:before="60"/>
              <w:jc w:val="left"/>
            </w:pPr>
            <w:bookmarkStart w:id="38" w:name="_Ref15649055"/>
            <w:r w:rsidRPr="00D25EFE">
              <w:t>Regulators do not unnecessarily impede the efficient operation of regulated entities.</w:t>
            </w:r>
            <w:bookmarkEnd w:id="38"/>
          </w:p>
        </w:tc>
        <w:tc>
          <w:tcPr>
            <w:tcW w:w="1416" w:type="dxa"/>
            <w:shd w:val="clear" w:color="auto" w:fill="C9F0C9" w:themeFill="accent3" w:themeFillTint="33"/>
            <w:vAlign w:val="top"/>
          </w:tcPr>
          <w:p w14:paraId="08E33406" w14:textId="77777777" w:rsidR="003B4D69" w:rsidRPr="00C032F2" w:rsidRDefault="003B4D69" w:rsidP="00F71BA7">
            <w:pPr>
              <w:spacing w:before="60"/>
              <w:jc w:val="left"/>
              <w:cnfStyle w:val="000000000000" w:firstRow="0" w:lastRow="0" w:firstColumn="0" w:lastColumn="0" w:oddVBand="0" w:evenVBand="0" w:oddHBand="0" w:evenHBand="0" w:firstRowFirstColumn="0" w:firstRowLastColumn="0" w:lastRowFirstColumn="0" w:lastRowLastColumn="0"/>
              <w:rPr>
                <w:b/>
              </w:rPr>
            </w:pPr>
            <w:r w:rsidRPr="00C032F2">
              <w:rPr>
                <w:b/>
              </w:rPr>
              <w:t>Met</w:t>
            </w:r>
          </w:p>
        </w:tc>
        <w:tc>
          <w:tcPr>
            <w:tcW w:w="6033" w:type="dxa"/>
            <w:vAlign w:val="top"/>
          </w:tcPr>
          <w:p w14:paraId="03785DE4" w14:textId="5436F896" w:rsidR="501E5E53" w:rsidRPr="00D25EFE" w:rsidRDefault="049686B7" w:rsidP="00F71BA7">
            <w:pPr>
              <w:spacing w:before="60"/>
              <w:jc w:val="left"/>
              <w:cnfStyle w:val="000000000000" w:firstRow="0" w:lastRow="0" w:firstColumn="0" w:lastColumn="0" w:oddVBand="0" w:evenVBand="0" w:oddHBand="0" w:evenHBand="0" w:firstRowFirstColumn="0" w:firstRowLastColumn="0" w:lastRowFirstColumn="0" w:lastRowLastColumn="0"/>
            </w:pPr>
            <w:r w:rsidRPr="00D25EFE">
              <w:t xml:space="preserve">ARPANSA demonstrated a commitment to not unnecessarily impede the efficient operation of regulated entities. This included </w:t>
            </w:r>
            <w:r w:rsidR="201AF6FD" w:rsidRPr="00D25EFE">
              <w:t xml:space="preserve">a high </w:t>
            </w:r>
            <w:r w:rsidR="3248482D" w:rsidRPr="00D25EFE">
              <w:t>level</w:t>
            </w:r>
            <w:r w:rsidR="201AF6FD" w:rsidRPr="00D25EFE">
              <w:t xml:space="preserve"> </w:t>
            </w:r>
            <w:r w:rsidR="3248482D" w:rsidRPr="00D25EFE">
              <w:t xml:space="preserve">of </w:t>
            </w:r>
            <w:r w:rsidR="201AF6FD" w:rsidRPr="00D25EFE">
              <w:t xml:space="preserve">adherence to </w:t>
            </w:r>
            <w:r w:rsidRPr="00D25EFE">
              <w:t xml:space="preserve">the inspection schedule (79%) and </w:t>
            </w:r>
            <w:r w:rsidR="57A39722" w:rsidRPr="00D25EFE">
              <w:t xml:space="preserve">the </w:t>
            </w:r>
            <w:r w:rsidRPr="00D25EFE">
              <w:t xml:space="preserve">agreed timeframes for </w:t>
            </w:r>
            <w:r w:rsidR="00F75A84" w:rsidRPr="00D25EFE">
              <w:t xml:space="preserve">regulatory </w:t>
            </w:r>
            <w:r w:rsidRPr="00D25EFE">
              <w:t>assessments</w:t>
            </w:r>
            <w:r w:rsidR="004A647D" w:rsidRPr="00D25EFE">
              <w:t xml:space="preserve"> [such as licence applications and change requests] </w:t>
            </w:r>
            <w:r w:rsidRPr="00D25EFE">
              <w:t>(88%), which assists the licence holder in planning their operations and avoiding unnecessary impediments to business.</w:t>
            </w:r>
          </w:p>
        </w:tc>
      </w:tr>
      <w:tr w:rsidR="004A647D" w:rsidRPr="00893A05" w14:paraId="31FB6B58" w14:textId="77777777" w:rsidTr="00BB57D8">
        <w:trPr>
          <w:cantSplit/>
        </w:trPr>
        <w:tc>
          <w:tcPr>
            <w:cnfStyle w:val="001000000000" w:firstRow="0" w:lastRow="0" w:firstColumn="1" w:lastColumn="0" w:oddVBand="0" w:evenVBand="0" w:oddHBand="0" w:evenHBand="0" w:firstRowFirstColumn="0" w:firstRowLastColumn="0" w:lastRowFirstColumn="0" w:lastRowLastColumn="0"/>
            <w:tcW w:w="2405" w:type="dxa"/>
            <w:vAlign w:val="top"/>
          </w:tcPr>
          <w:p w14:paraId="5086793C" w14:textId="77777777" w:rsidR="003B4D69" w:rsidRPr="00D25EFE" w:rsidRDefault="003B4D69" w:rsidP="00F71BA7">
            <w:pPr>
              <w:spacing w:before="60"/>
              <w:jc w:val="left"/>
            </w:pPr>
            <w:r w:rsidRPr="00D25EFE">
              <w:t>Communication with regulated entities is clear, targeted and effective</w:t>
            </w:r>
            <w:r w:rsidR="007E2462" w:rsidRPr="00D07F86">
              <w:rPr>
                <w:rFonts w:cstheme="minorHAnsi"/>
                <w:szCs w:val="18"/>
              </w:rPr>
              <w:t>.</w:t>
            </w:r>
          </w:p>
        </w:tc>
        <w:tc>
          <w:tcPr>
            <w:tcW w:w="1416" w:type="dxa"/>
            <w:shd w:val="clear" w:color="auto" w:fill="C9F0C9" w:themeFill="accent3" w:themeFillTint="33"/>
            <w:vAlign w:val="top"/>
          </w:tcPr>
          <w:p w14:paraId="4E7D5BA2" w14:textId="37CF900D" w:rsidR="003B4D69" w:rsidRPr="00C032F2" w:rsidRDefault="6F9414C3" w:rsidP="00F71BA7">
            <w:pPr>
              <w:spacing w:before="60"/>
              <w:jc w:val="left"/>
              <w:cnfStyle w:val="000000000000" w:firstRow="0" w:lastRow="0" w:firstColumn="0" w:lastColumn="0" w:oddVBand="0" w:evenVBand="0" w:oddHBand="0" w:evenHBand="0" w:firstRowFirstColumn="0" w:firstRowLastColumn="0" w:lastRowFirstColumn="0" w:lastRowLastColumn="0"/>
              <w:rPr>
                <w:b/>
              </w:rPr>
            </w:pPr>
            <w:r w:rsidRPr="00C032F2">
              <w:rPr>
                <w:b/>
              </w:rPr>
              <w:t>Met</w:t>
            </w:r>
          </w:p>
        </w:tc>
        <w:tc>
          <w:tcPr>
            <w:tcW w:w="6033" w:type="dxa"/>
            <w:vAlign w:val="top"/>
          </w:tcPr>
          <w:p w14:paraId="388B52DB" w14:textId="3CAFBE39" w:rsidR="501E5E53" w:rsidRPr="00D25EFE" w:rsidRDefault="00337A95" w:rsidP="00F71BA7">
            <w:pPr>
              <w:spacing w:before="60"/>
              <w:jc w:val="left"/>
              <w:cnfStyle w:val="000000000000" w:firstRow="0" w:lastRow="0" w:firstColumn="0" w:lastColumn="0" w:oddVBand="0" w:evenVBand="0" w:oddHBand="0" w:evenHBand="0" w:firstRowFirstColumn="0" w:firstRowLastColumn="0" w:lastRowFirstColumn="0" w:lastRowLastColumn="0"/>
            </w:pPr>
            <w:r w:rsidRPr="00D25EFE">
              <w:t>ARPANSA</w:t>
            </w:r>
            <w:r w:rsidR="00903722" w:rsidRPr="00D25EFE">
              <w:t xml:space="preserve"> maintained effective communication including holding 58 information sharing m</w:t>
            </w:r>
            <w:r w:rsidR="501E5E53" w:rsidRPr="00D25EFE">
              <w:t>eetings</w:t>
            </w:r>
            <w:r w:rsidR="00903722" w:rsidRPr="00D25EFE">
              <w:t>, conducting 41 site visits, and updating and maintaining</w:t>
            </w:r>
            <w:r w:rsidR="00B072E4" w:rsidRPr="00D25EFE">
              <w:t xml:space="preserve"> a broad range of</w:t>
            </w:r>
            <w:r w:rsidR="00C1716C">
              <w:t xml:space="preserve"> </w:t>
            </w:r>
            <w:r w:rsidR="00903722" w:rsidRPr="00D25EFE">
              <w:t>information on its website</w:t>
            </w:r>
            <w:r w:rsidR="00B072E4" w:rsidRPr="00D25EFE">
              <w:t>, including a range of</w:t>
            </w:r>
            <w:r w:rsidR="00C1716C">
              <w:t xml:space="preserve"> </w:t>
            </w:r>
            <w:r w:rsidR="00B072E4" w:rsidRPr="00D25EFE">
              <w:t>guidance and standards</w:t>
            </w:r>
            <w:r w:rsidR="00903722" w:rsidRPr="00D25EFE">
              <w:t>.</w:t>
            </w:r>
          </w:p>
        </w:tc>
      </w:tr>
      <w:tr w:rsidR="003B4D69" w:rsidRPr="00893A05" w14:paraId="58BFAAD9" w14:textId="77777777" w:rsidTr="00BB57D8">
        <w:trPr>
          <w:cantSplit/>
        </w:trPr>
        <w:tc>
          <w:tcPr>
            <w:cnfStyle w:val="001000000000" w:firstRow="0" w:lastRow="0" w:firstColumn="1" w:lastColumn="0" w:oddVBand="0" w:evenVBand="0" w:oddHBand="0" w:evenHBand="0" w:firstRowFirstColumn="0" w:firstRowLastColumn="0" w:lastRowFirstColumn="0" w:lastRowLastColumn="0"/>
            <w:tcW w:w="2405" w:type="dxa"/>
            <w:vAlign w:val="top"/>
          </w:tcPr>
          <w:p w14:paraId="069C0492" w14:textId="77777777" w:rsidR="003B4D69" w:rsidRPr="00D25EFE" w:rsidRDefault="003B4D69" w:rsidP="00F71BA7">
            <w:pPr>
              <w:spacing w:before="60"/>
              <w:jc w:val="left"/>
            </w:pPr>
            <w:r w:rsidRPr="00D25EFE">
              <w:t>Actions undertaken by regulators are proportionate to the regulatory risk being managed.</w:t>
            </w:r>
          </w:p>
        </w:tc>
        <w:tc>
          <w:tcPr>
            <w:tcW w:w="1416" w:type="dxa"/>
            <w:shd w:val="clear" w:color="auto" w:fill="C9F0C9" w:themeFill="accent3" w:themeFillTint="33"/>
            <w:vAlign w:val="top"/>
          </w:tcPr>
          <w:p w14:paraId="2E8F2337" w14:textId="77FF50F0" w:rsidR="003B4D69" w:rsidRPr="00C032F2" w:rsidRDefault="6F9414C3" w:rsidP="00F71BA7">
            <w:pPr>
              <w:spacing w:before="60"/>
              <w:jc w:val="left"/>
              <w:cnfStyle w:val="000000000000" w:firstRow="0" w:lastRow="0" w:firstColumn="0" w:lastColumn="0" w:oddVBand="0" w:evenVBand="0" w:oddHBand="0" w:evenHBand="0" w:firstRowFirstColumn="0" w:firstRowLastColumn="0" w:lastRowFirstColumn="0" w:lastRowLastColumn="0"/>
              <w:rPr>
                <w:b/>
              </w:rPr>
            </w:pPr>
            <w:r w:rsidRPr="00C032F2">
              <w:rPr>
                <w:b/>
              </w:rPr>
              <w:t>Met</w:t>
            </w:r>
          </w:p>
        </w:tc>
        <w:tc>
          <w:tcPr>
            <w:tcW w:w="6033" w:type="dxa"/>
            <w:vAlign w:val="top"/>
          </w:tcPr>
          <w:p w14:paraId="1646A386" w14:textId="22367F70" w:rsidR="501E5E53" w:rsidRPr="00D25EFE" w:rsidRDefault="00903722" w:rsidP="00F71BA7">
            <w:pPr>
              <w:spacing w:before="60"/>
              <w:jc w:val="left"/>
              <w:cnfStyle w:val="000000000000" w:firstRow="0" w:lastRow="0" w:firstColumn="0" w:lastColumn="0" w:oddVBand="0" w:evenVBand="0" w:oddHBand="0" w:evenHBand="0" w:firstRowFirstColumn="0" w:firstRowLastColumn="0" w:lastRowFirstColumn="0" w:lastRowLastColumn="0"/>
            </w:pPr>
            <w:r w:rsidRPr="00D25EFE">
              <w:t xml:space="preserve">ARPANSA applied a graded approach in the application of </w:t>
            </w:r>
            <w:r w:rsidR="000371FB" w:rsidRPr="00D25EFE">
              <w:t xml:space="preserve">its </w:t>
            </w:r>
            <w:r w:rsidRPr="00D25EFE">
              <w:t>regulatory oversight program, proportionate to the risk the controlled activity poses to people and the environment. This was evident in the inspection schedules, enforcement actions taken, and proportion of time spent on higher regulatory priority licences.</w:t>
            </w:r>
          </w:p>
        </w:tc>
      </w:tr>
      <w:tr w:rsidR="004A647D" w:rsidRPr="00893A05" w14:paraId="7A97702E" w14:textId="77777777" w:rsidTr="00BB57D8">
        <w:trPr>
          <w:cantSplit/>
        </w:trPr>
        <w:tc>
          <w:tcPr>
            <w:cnfStyle w:val="001000000000" w:firstRow="0" w:lastRow="0" w:firstColumn="1" w:lastColumn="0" w:oddVBand="0" w:evenVBand="0" w:oddHBand="0" w:evenHBand="0" w:firstRowFirstColumn="0" w:firstRowLastColumn="0" w:lastRowFirstColumn="0" w:lastRowLastColumn="0"/>
            <w:tcW w:w="2405" w:type="dxa"/>
            <w:vAlign w:val="top"/>
          </w:tcPr>
          <w:p w14:paraId="6397A508" w14:textId="77777777" w:rsidR="003B4D69" w:rsidRPr="00D25EFE" w:rsidRDefault="003B4D69" w:rsidP="00F71BA7">
            <w:pPr>
              <w:spacing w:before="60"/>
              <w:jc w:val="left"/>
            </w:pPr>
            <w:r w:rsidRPr="00D25EFE">
              <w:t>Compliance and monitoring approaches are streamlined and coordinated.</w:t>
            </w:r>
          </w:p>
        </w:tc>
        <w:tc>
          <w:tcPr>
            <w:tcW w:w="1416" w:type="dxa"/>
            <w:shd w:val="clear" w:color="auto" w:fill="C9F0C9" w:themeFill="accent3" w:themeFillTint="33"/>
            <w:vAlign w:val="top"/>
          </w:tcPr>
          <w:p w14:paraId="077DCAC5" w14:textId="63289B2B" w:rsidR="003B4D69" w:rsidRPr="00C032F2" w:rsidRDefault="6F9414C3" w:rsidP="00F71BA7">
            <w:pPr>
              <w:spacing w:before="60"/>
              <w:jc w:val="left"/>
              <w:cnfStyle w:val="000000000000" w:firstRow="0" w:lastRow="0" w:firstColumn="0" w:lastColumn="0" w:oddVBand="0" w:evenVBand="0" w:oddHBand="0" w:evenHBand="0" w:firstRowFirstColumn="0" w:firstRowLastColumn="0" w:lastRowFirstColumn="0" w:lastRowLastColumn="0"/>
              <w:rPr>
                <w:b/>
              </w:rPr>
            </w:pPr>
            <w:r w:rsidRPr="00C032F2">
              <w:rPr>
                <w:b/>
              </w:rPr>
              <w:t>Met</w:t>
            </w:r>
          </w:p>
        </w:tc>
        <w:tc>
          <w:tcPr>
            <w:tcW w:w="6033" w:type="dxa"/>
            <w:vAlign w:val="top"/>
          </w:tcPr>
          <w:p w14:paraId="56FE7282" w14:textId="3DB90DA5" w:rsidR="00903722" w:rsidRPr="00D25EFE" w:rsidRDefault="00903722" w:rsidP="00F71BA7">
            <w:pPr>
              <w:spacing w:before="60"/>
              <w:jc w:val="left"/>
              <w:cnfStyle w:val="000000000000" w:firstRow="0" w:lastRow="0" w:firstColumn="0" w:lastColumn="0" w:oddVBand="0" w:evenVBand="0" w:oddHBand="0" w:evenHBand="0" w:firstRowFirstColumn="0" w:firstRowLastColumn="0" w:lastRowFirstColumn="0" w:lastRowLastColumn="0"/>
            </w:pPr>
            <w:r w:rsidRPr="00D25EFE">
              <w:t>ARPANSA collaborated extensively with ot</w:t>
            </w:r>
            <w:r w:rsidR="004140F1" w:rsidRPr="00D25EFE">
              <w:t>her regulatory bodies, such as C</w:t>
            </w:r>
            <w:r w:rsidRPr="00D25EFE">
              <w:t xml:space="preserve">omcare, and </w:t>
            </w:r>
            <w:r w:rsidR="000814BA" w:rsidRPr="00D25EFE">
              <w:t xml:space="preserve">streamlined its </w:t>
            </w:r>
            <w:r w:rsidR="00B30B64" w:rsidRPr="00D25EFE">
              <w:t>compliance</w:t>
            </w:r>
            <w:r w:rsidR="000814BA" w:rsidRPr="00D25EFE">
              <w:t xml:space="preserve"> monitoring</w:t>
            </w:r>
            <w:r w:rsidR="00B30B64" w:rsidRPr="00D25EFE">
              <w:t>,</w:t>
            </w:r>
            <w:r w:rsidR="000814BA" w:rsidRPr="00D25EFE">
              <w:t xml:space="preserve"> to promote licence holder practices </w:t>
            </w:r>
            <w:r w:rsidR="004628A8" w:rsidRPr="00D25EFE">
              <w:t>that</w:t>
            </w:r>
            <w:r w:rsidR="000814BA" w:rsidRPr="00D25EFE">
              <w:t xml:space="preserve"> align with international best practice.</w:t>
            </w:r>
          </w:p>
        </w:tc>
      </w:tr>
      <w:tr w:rsidR="003B4D69" w:rsidRPr="00893A05" w14:paraId="306139E2" w14:textId="77777777" w:rsidTr="00BB57D8">
        <w:trPr>
          <w:cantSplit/>
        </w:trPr>
        <w:tc>
          <w:tcPr>
            <w:cnfStyle w:val="001000000000" w:firstRow="0" w:lastRow="0" w:firstColumn="1" w:lastColumn="0" w:oddVBand="0" w:evenVBand="0" w:oddHBand="0" w:evenHBand="0" w:firstRowFirstColumn="0" w:firstRowLastColumn="0" w:lastRowFirstColumn="0" w:lastRowLastColumn="0"/>
            <w:tcW w:w="2405" w:type="dxa"/>
            <w:vAlign w:val="top"/>
          </w:tcPr>
          <w:p w14:paraId="52CB6AAD" w14:textId="15379752" w:rsidR="003B4D69" w:rsidRPr="00D25EFE" w:rsidRDefault="003B4D69" w:rsidP="00F71BA7">
            <w:pPr>
              <w:spacing w:before="60"/>
              <w:jc w:val="left"/>
            </w:pPr>
            <w:bookmarkStart w:id="39" w:name="_Ref15552503"/>
            <w:r w:rsidRPr="00D25EFE">
              <w:t>Regulators are open and transparent in their dealings with regulated entities.</w:t>
            </w:r>
            <w:bookmarkEnd w:id="39"/>
          </w:p>
        </w:tc>
        <w:tc>
          <w:tcPr>
            <w:tcW w:w="1416" w:type="dxa"/>
            <w:shd w:val="clear" w:color="auto" w:fill="C9F0C9" w:themeFill="accent3" w:themeFillTint="33"/>
            <w:vAlign w:val="top"/>
          </w:tcPr>
          <w:p w14:paraId="54A8DB91" w14:textId="5606782B" w:rsidR="003B4D69" w:rsidRPr="00C032F2" w:rsidRDefault="6F9414C3" w:rsidP="00F71BA7">
            <w:pPr>
              <w:spacing w:before="60"/>
              <w:jc w:val="left"/>
              <w:cnfStyle w:val="000000000000" w:firstRow="0" w:lastRow="0" w:firstColumn="0" w:lastColumn="0" w:oddVBand="0" w:evenVBand="0" w:oddHBand="0" w:evenHBand="0" w:firstRowFirstColumn="0" w:firstRowLastColumn="0" w:lastRowFirstColumn="0" w:lastRowLastColumn="0"/>
              <w:rPr>
                <w:b/>
              </w:rPr>
            </w:pPr>
            <w:r w:rsidRPr="00C032F2">
              <w:rPr>
                <w:b/>
              </w:rPr>
              <w:t>Met</w:t>
            </w:r>
          </w:p>
        </w:tc>
        <w:tc>
          <w:tcPr>
            <w:tcW w:w="6033" w:type="dxa"/>
            <w:vAlign w:val="top"/>
          </w:tcPr>
          <w:p w14:paraId="6D56684C" w14:textId="0A3CFEBC" w:rsidR="501E5E53" w:rsidRPr="00D25EFE" w:rsidRDefault="000814BA" w:rsidP="00F71BA7">
            <w:pPr>
              <w:spacing w:before="60"/>
              <w:jc w:val="left"/>
              <w:cnfStyle w:val="000000000000" w:firstRow="0" w:lastRow="0" w:firstColumn="0" w:lastColumn="0" w:oddVBand="0" w:evenVBand="0" w:oddHBand="0" w:evenHBand="0" w:firstRowFirstColumn="0" w:firstRowLastColumn="0" w:lastRowFirstColumn="0" w:lastRowLastColumn="0"/>
            </w:pPr>
            <w:r w:rsidRPr="00D25EFE">
              <w:t xml:space="preserve">ARPANSA </w:t>
            </w:r>
            <w:r w:rsidR="00B30B64" w:rsidRPr="00D25EFE">
              <w:t>showed an</w:t>
            </w:r>
            <w:r w:rsidRPr="00D25EFE">
              <w:t xml:space="preserve"> open and transparent </w:t>
            </w:r>
            <w:r w:rsidR="00B30B64" w:rsidRPr="00D25EFE">
              <w:t xml:space="preserve">approach </w:t>
            </w:r>
            <w:r w:rsidRPr="00D25EFE">
              <w:t xml:space="preserve">in publishing its inspection reports </w:t>
            </w:r>
            <w:r w:rsidR="00B30B64" w:rsidRPr="00D25EFE">
              <w:t xml:space="preserve">and the reasons for </w:t>
            </w:r>
            <w:r w:rsidRPr="00D25EFE">
              <w:t xml:space="preserve">significant </w:t>
            </w:r>
            <w:r w:rsidR="000371FB" w:rsidRPr="00D25EFE">
              <w:t>licensing decisions</w:t>
            </w:r>
            <w:r w:rsidRPr="00D25EFE">
              <w:t>. ARPANSA also publishes clear guidance and requirements</w:t>
            </w:r>
            <w:r w:rsidR="00B30B64" w:rsidRPr="00D25EFE">
              <w:t>,</w:t>
            </w:r>
            <w:r w:rsidRPr="00D25EFE">
              <w:t xml:space="preserve"> following consultation with stakeholders and</w:t>
            </w:r>
            <w:r w:rsidR="000371FB" w:rsidRPr="00D25EFE">
              <w:t xml:space="preserve"> the</w:t>
            </w:r>
            <w:r w:rsidRPr="00D25EFE">
              <w:t xml:space="preserve"> public.</w:t>
            </w:r>
          </w:p>
        </w:tc>
      </w:tr>
      <w:tr w:rsidR="004A647D" w:rsidRPr="00893A05" w14:paraId="11DB7A71" w14:textId="77777777" w:rsidTr="00BB57D8">
        <w:trPr>
          <w:cantSplit/>
          <w:trHeight w:val="70"/>
        </w:trPr>
        <w:tc>
          <w:tcPr>
            <w:cnfStyle w:val="001000000000" w:firstRow="0" w:lastRow="0" w:firstColumn="1" w:lastColumn="0" w:oddVBand="0" w:evenVBand="0" w:oddHBand="0" w:evenHBand="0" w:firstRowFirstColumn="0" w:firstRowLastColumn="0" w:lastRowFirstColumn="0" w:lastRowLastColumn="0"/>
            <w:tcW w:w="2405" w:type="dxa"/>
            <w:vAlign w:val="top"/>
          </w:tcPr>
          <w:p w14:paraId="1D0AE9C6" w14:textId="77777777" w:rsidR="003B4D69" w:rsidRPr="00D25EFE" w:rsidRDefault="003B4D69" w:rsidP="00F71BA7">
            <w:pPr>
              <w:spacing w:before="60"/>
              <w:jc w:val="left"/>
            </w:pPr>
            <w:r w:rsidRPr="00D25EFE">
              <w:t>Regulators actively contribute to the continuous improvement of regulatory frameworks.</w:t>
            </w:r>
          </w:p>
        </w:tc>
        <w:tc>
          <w:tcPr>
            <w:tcW w:w="1416" w:type="dxa"/>
            <w:shd w:val="clear" w:color="auto" w:fill="C9F0C9" w:themeFill="accent3" w:themeFillTint="33"/>
            <w:vAlign w:val="top"/>
          </w:tcPr>
          <w:p w14:paraId="63EE0D28" w14:textId="77777777" w:rsidR="003B4D69" w:rsidRPr="00C032F2" w:rsidRDefault="003B4D69" w:rsidP="00F71BA7">
            <w:pPr>
              <w:spacing w:before="60"/>
              <w:jc w:val="left"/>
              <w:cnfStyle w:val="000000000000" w:firstRow="0" w:lastRow="0" w:firstColumn="0" w:lastColumn="0" w:oddVBand="0" w:evenVBand="0" w:oddHBand="0" w:evenHBand="0" w:firstRowFirstColumn="0" w:firstRowLastColumn="0" w:lastRowFirstColumn="0" w:lastRowLastColumn="0"/>
              <w:rPr>
                <w:b/>
              </w:rPr>
            </w:pPr>
            <w:r w:rsidRPr="00C032F2">
              <w:rPr>
                <w:b/>
              </w:rPr>
              <w:t>Met</w:t>
            </w:r>
          </w:p>
        </w:tc>
        <w:tc>
          <w:tcPr>
            <w:tcW w:w="6033" w:type="dxa"/>
            <w:vAlign w:val="top"/>
          </w:tcPr>
          <w:p w14:paraId="071E905F" w14:textId="280F8939" w:rsidR="501E5E53" w:rsidRPr="00D25EFE" w:rsidRDefault="000814BA" w:rsidP="00F71BA7">
            <w:pPr>
              <w:spacing w:before="60"/>
              <w:jc w:val="left"/>
              <w:cnfStyle w:val="000000000000" w:firstRow="0" w:lastRow="0" w:firstColumn="0" w:lastColumn="0" w:oddVBand="0" w:evenVBand="0" w:oddHBand="0" w:evenHBand="0" w:firstRowFirstColumn="0" w:firstRowLastColumn="0" w:lastRowFirstColumn="0" w:lastRowLastColumn="0"/>
            </w:pPr>
            <w:r w:rsidRPr="00D25EFE">
              <w:t xml:space="preserve">ARPANSA </w:t>
            </w:r>
            <w:r w:rsidR="00010316" w:rsidRPr="00D25EFE">
              <w:t>demonstrated commitment</w:t>
            </w:r>
            <w:r w:rsidRPr="00D25EFE">
              <w:t xml:space="preserve"> to reviewing its performance and identifying potential improvements. In this financial y</w:t>
            </w:r>
            <w:r w:rsidR="00260931" w:rsidRPr="00D25EFE">
              <w:t>ear</w:t>
            </w:r>
            <w:r w:rsidR="00010316" w:rsidRPr="00D25EFE">
              <w:t xml:space="preserve"> </w:t>
            </w:r>
            <w:r w:rsidR="00260931" w:rsidRPr="00D25EFE">
              <w:t xml:space="preserve">a number of high calibre reviews </w:t>
            </w:r>
            <w:r w:rsidR="00010316" w:rsidRPr="00D25EFE">
              <w:t xml:space="preserve">have been undertaken </w:t>
            </w:r>
            <w:r w:rsidR="00260931" w:rsidRPr="00D25EFE">
              <w:t xml:space="preserve">including an international review and a safety culture assessment. ARPANSA contributes to improving its own performance and that of the radiation </w:t>
            </w:r>
            <w:r w:rsidR="000371FB" w:rsidRPr="00D25EFE">
              <w:t xml:space="preserve">and nuclear safety </w:t>
            </w:r>
            <w:r w:rsidR="00260931" w:rsidRPr="00D25EFE">
              <w:t>framework across Australia</w:t>
            </w:r>
            <w:r w:rsidR="000F57A2" w:rsidRPr="00D25EFE">
              <w:t xml:space="preserve">. </w:t>
            </w:r>
          </w:p>
        </w:tc>
      </w:tr>
    </w:tbl>
    <w:p w14:paraId="4428847F" w14:textId="68936A64" w:rsidR="000F57A2" w:rsidRPr="00794076" w:rsidRDefault="000F57A2" w:rsidP="00D25EFE">
      <w:pPr>
        <w:spacing w:before="120"/>
        <w:rPr>
          <w:rFonts w:cs="Times New Roman"/>
          <w:bCs/>
          <w:lang w:eastAsia="en-AU"/>
        </w:rPr>
      </w:pPr>
      <w:r w:rsidRPr="00794076">
        <w:rPr>
          <w:rFonts w:cs="Times New Roman"/>
          <w:bCs/>
          <w:lang w:eastAsia="en-AU"/>
        </w:rPr>
        <w:t>Overall ARPANSA has performed well against the metrics and indicators, and demonstrates a commitment to the Regulator Performance Framework objectives.</w:t>
      </w:r>
    </w:p>
    <w:p w14:paraId="47BE48D3" w14:textId="77777777" w:rsidR="00F5034B" w:rsidRPr="005A5066" w:rsidRDefault="00F5034B" w:rsidP="00794076">
      <w:pPr>
        <w:pStyle w:val="Heading3"/>
        <w:rPr>
          <w:lang w:eastAsia="en-AU"/>
        </w:rPr>
      </w:pPr>
      <w:r w:rsidRPr="00794076">
        <w:lastRenderedPageBreak/>
        <w:t>Strengths</w:t>
      </w:r>
    </w:p>
    <w:p w14:paraId="46159827" w14:textId="77777777" w:rsidR="000F57A2" w:rsidRDefault="000F57A2" w:rsidP="000F57A2">
      <w:pPr>
        <w:pStyle w:val="Heading4"/>
      </w:pPr>
      <w:bookmarkStart w:id="40" w:name="_Toc12883998"/>
      <w:r>
        <w:t xml:space="preserve">Multifaceted communication </w:t>
      </w:r>
      <w:r w:rsidRPr="00792521">
        <w:t>strategy</w:t>
      </w:r>
    </w:p>
    <w:p w14:paraId="457ADBC5" w14:textId="198ADEDF" w:rsidR="000F57A2" w:rsidRDefault="000F57A2" w:rsidP="000F57A2">
      <w:pPr>
        <w:spacing w:before="0"/>
      </w:pPr>
      <w:r w:rsidRPr="00792521">
        <w:rPr>
          <w:rFonts w:cs="Times New Roman"/>
          <w:bCs/>
          <w:lang w:eastAsia="en-AU"/>
        </w:rPr>
        <w:t xml:space="preserve">ARPANSA’s broad range of communication tools aim to ensure that ARPANSA communicates with </w:t>
      </w:r>
      <w:r w:rsidR="00794076">
        <w:rPr>
          <w:rFonts w:cs="Times New Roman"/>
          <w:bCs/>
          <w:lang w:eastAsia="en-AU"/>
        </w:rPr>
        <w:t xml:space="preserve">stakeholders and </w:t>
      </w:r>
      <w:r w:rsidRPr="00792521">
        <w:rPr>
          <w:rFonts w:cs="Times New Roman"/>
          <w:bCs/>
          <w:lang w:eastAsia="en-AU"/>
        </w:rPr>
        <w:t>all levels of</w:t>
      </w:r>
      <w:r>
        <w:t xml:space="preserve"> </w:t>
      </w:r>
      <w:r w:rsidR="00794076">
        <w:t>the licence holder’s organisation</w:t>
      </w:r>
      <w:r>
        <w:t>. For example, the</w:t>
      </w:r>
      <w:r w:rsidR="00794076">
        <w:t xml:space="preserve"> individual ‘</w:t>
      </w:r>
      <w:r>
        <w:t>Liaison</w:t>
      </w:r>
      <w:r w:rsidR="00794076">
        <w:t>’</w:t>
      </w:r>
      <w:r>
        <w:t xml:space="preserve"> forum</w:t>
      </w:r>
      <w:r w:rsidR="00794076">
        <w:t>s</w:t>
      </w:r>
      <w:r>
        <w:t xml:space="preserve"> target senior staff, the </w:t>
      </w:r>
      <w:r w:rsidR="00794076">
        <w:t>annual ‘Licence holder forum’</w:t>
      </w:r>
      <w:r>
        <w:t xml:space="preserve"> targets mid-level </w:t>
      </w:r>
      <w:r w:rsidR="00794076">
        <w:t xml:space="preserve">staff </w:t>
      </w:r>
      <w:r>
        <w:t xml:space="preserve">and safety officers, while the ‘meet the regulator’ forums target operational staff. </w:t>
      </w:r>
    </w:p>
    <w:p w14:paraId="6F308D04" w14:textId="763787FE" w:rsidR="3E335D52" w:rsidRDefault="00C16586" w:rsidP="00656FA3">
      <w:pPr>
        <w:pStyle w:val="Heading4"/>
      </w:pPr>
      <w:r>
        <w:t xml:space="preserve">Encouraging self-assessment and reporting </w:t>
      </w:r>
      <w:r w:rsidR="7BC19B8F" w:rsidRPr="3E335D52">
        <w:t>(</w:t>
      </w:r>
      <w:r w:rsidR="3E335D52">
        <w:t>Self-assessment too</w:t>
      </w:r>
      <w:r w:rsidR="00896F6F">
        <w:t>l</w:t>
      </w:r>
      <w:r w:rsidR="3E335D52">
        <w:t>)</w:t>
      </w:r>
    </w:p>
    <w:p w14:paraId="452391AD" w14:textId="1753B154" w:rsidR="00CE5D5B" w:rsidRPr="003D31AF" w:rsidRDefault="00CE5D5B" w:rsidP="00C16586">
      <w:pPr>
        <w:spacing w:before="0" w:after="120"/>
        <w:rPr>
          <w:rFonts w:cs="Arial"/>
          <w:szCs w:val="24"/>
        </w:rPr>
      </w:pPr>
      <w:r>
        <w:rPr>
          <w:rFonts w:cs="Arial"/>
          <w:szCs w:val="24"/>
        </w:rPr>
        <w:t xml:space="preserve">ARPANSA has </w:t>
      </w:r>
      <w:r w:rsidR="00DC4E6A">
        <w:rPr>
          <w:rFonts w:cs="Arial"/>
          <w:szCs w:val="24"/>
        </w:rPr>
        <w:t xml:space="preserve">a number of </w:t>
      </w:r>
      <w:r w:rsidR="00A115B2">
        <w:rPr>
          <w:rFonts w:cs="Arial"/>
          <w:szCs w:val="24"/>
        </w:rPr>
        <w:t>initiatives</w:t>
      </w:r>
      <w:r w:rsidR="00DC4E6A">
        <w:rPr>
          <w:rFonts w:cs="Arial"/>
          <w:szCs w:val="24"/>
        </w:rPr>
        <w:t xml:space="preserve"> to assist licence holders to identify and rectify their own issues without undue regulatory intervention. ARPANSA is currently trialling </w:t>
      </w:r>
      <w:r>
        <w:rPr>
          <w:rFonts w:cs="Arial"/>
          <w:szCs w:val="24"/>
        </w:rPr>
        <w:t xml:space="preserve">a </w:t>
      </w:r>
      <w:r w:rsidRPr="003D31AF">
        <w:rPr>
          <w:rFonts w:cs="Arial"/>
          <w:szCs w:val="24"/>
        </w:rPr>
        <w:t xml:space="preserve">self-assessment tool, similar to the </w:t>
      </w:r>
      <w:r w:rsidR="00B20521">
        <w:rPr>
          <w:rFonts w:cs="Arial"/>
          <w:szCs w:val="24"/>
        </w:rPr>
        <w:br/>
      </w:r>
      <w:r w:rsidRPr="003D31AF">
        <w:rPr>
          <w:rFonts w:cs="Arial"/>
          <w:szCs w:val="24"/>
        </w:rPr>
        <w:t>e-inspection program, to assist licence holders assess their compliance outside of the inspection cycle.</w:t>
      </w:r>
      <w:r>
        <w:rPr>
          <w:rFonts w:cs="Arial"/>
          <w:szCs w:val="24"/>
        </w:rPr>
        <w:t xml:space="preserve"> </w:t>
      </w:r>
    </w:p>
    <w:p w14:paraId="56A43FF0" w14:textId="24FEC060" w:rsidR="00C16586" w:rsidRDefault="00C16586" w:rsidP="00C16586">
      <w:pPr>
        <w:pStyle w:val="Heading4"/>
      </w:pPr>
      <w:r>
        <w:t>Review of regulatory systems</w:t>
      </w:r>
    </w:p>
    <w:p w14:paraId="27BFB019" w14:textId="285095EA" w:rsidR="000F57A2" w:rsidRPr="00C545BA" w:rsidRDefault="000F57A2" w:rsidP="00DC4E6A">
      <w:pPr>
        <w:spacing w:before="0"/>
      </w:pPr>
      <w:r>
        <w:t>ARPANSA is committed to reviewing its performance and identifying potential improvements. In this financial y</w:t>
      </w:r>
      <w:r w:rsidR="00DC4E6A">
        <w:t xml:space="preserve">ear these reviews have included </w:t>
      </w:r>
      <w:r>
        <w:t xml:space="preserve">an International Atomic Energy Agency (IAEA) </w:t>
      </w:r>
      <w:hyperlink r:id="rId23" w:history="1">
        <w:r>
          <w:rPr>
            <w:rStyle w:val="Hyperlink"/>
          </w:rPr>
          <w:t>Integrated Regulatory Review Service (IRRS) mission</w:t>
        </w:r>
      </w:hyperlink>
      <w:r w:rsidRPr="00EA0D9E">
        <w:t xml:space="preserve"> in </w:t>
      </w:r>
      <w:r w:rsidR="004140F1">
        <w:t>late</w:t>
      </w:r>
      <w:r w:rsidRPr="00EA0D9E">
        <w:t xml:space="preserve"> 2018</w:t>
      </w:r>
      <w:r w:rsidR="00DC4E6A">
        <w:t xml:space="preserve"> and </w:t>
      </w:r>
      <w:r w:rsidRPr="00EA0D9E">
        <w:t xml:space="preserve">a </w:t>
      </w:r>
      <w:hyperlink r:id="rId24" w:history="1">
        <w:r w:rsidRPr="00941BF7">
          <w:rPr>
            <w:rStyle w:val="Hyperlink"/>
          </w:rPr>
          <w:t>safety culture assessment</w:t>
        </w:r>
      </w:hyperlink>
      <w:r w:rsidR="007E7639">
        <w:t xml:space="preserve"> of </w:t>
      </w:r>
      <w:r w:rsidR="00DC4E6A">
        <w:t xml:space="preserve">ARPANSA’s </w:t>
      </w:r>
      <w:r w:rsidRPr="00EA0D9E">
        <w:t xml:space="preserve">regulatory </w:t>
      </w:r>
      <w:r w:rsidR="007E7639">
        <w:t>service</w:t>
      </w:r>
      <w:r w:rsidR="007E2462">
        <w:t>s</w:t>
      </w:r>
      <w:r w:rsidRPr="00EA0D9E">
        <w:t xml:space="preserve"> </w:t>
      </w:r>
      <w:r w:rsidR="00DC4E6A">
        <w:t xml:space="preserve">in </w:t>
      </w:r>
      <w:r w:rsidR="004140F1">
        <w:t xml:space="preserve">early </w:t>
      </w:r>
      <w:r w:rsidR="00DC4E6A">
        <w:t xml:space="preserve">2019. </w:t>
      </w:r>
      <w:r>
        <w:t xml:space="preserve">These reviews are examples of how </w:t>
      </w:r>
      <w:r w:rsidRPr="00EE1374">
        <w:t xml:space="preserve">ARPANSA </w:t>
      </w:r>
      <w:r>
        <w:t>critically revie</w:t>
      </w:r>
      <w:r w:rsidR="00794076">
        <w:t>ws its performance and seeks out</w:t>
      </w:r>
      <w:r>
        <w:t xml:space="preserve"> areas where performance can be improved.</w:t>
      </w:r>
      <w:r w:rsidR="007B1C2B">
        <w:t xml:space="preserve"> </w:t>
      </w:r>
      <w:r w:rsidR="004A647D">
        <w:t>The outcome of these reviews are available on ARPANSA’s website</w:t>
      </w:r>
      <w:r w:rsidR="007E2462">
        <w:t>.</w:t>
      </w:r>
    </w:p>
    <w:p w14:paraId="4F9B7C8E" w14:textId="09445047" w:rsidR="003B4D69" w:rsidRPr="00C545BA" w:rsidRDefault="003B4D69" w:rsidP="00692518">
      <w:pPr>
        <w:pStyle w:val="Heading2"/>
      </w:pPr>
      <w:bookmarkStart w:id="41" w:name="_Toc23846605"/>
      <w:bookmarkStart w:id="42" w:name="_Toc25225264"/>
      <w:r w:rsidRPr="00C545BA">
        <w:t>Opportunities for improvement</w:t>
      </w:r>
      <w:bookmarkEnd w:id="41"/>
      <w:bookmarkEnd w:id="42"/>
      <w:r w:rsidRPr="00C545BA">
        <w:t xml:space="preserve"> </w:t>
      </w:r>
      <w:bookmarkEnd w:id="40"/>
    </w:p>
    <w:p w14:paraId="69BCA2E6" w14:textId="77777777" w:rsidR="00794076" w:rsidRDefault="6F9414C3" w:rsidP="00794076">
      <w:r w:rsidRPr="00C545BA">
        <w:t>The self-assessment process highlighted</w:t>
      </w:r>
      <w:r w:rsidRPr="00692518">
        <w:t xml:space="preserve"> opportunities for improvement</w:t>
      </w:r>
      <w:r w:rsidR="00103EDC" w:rsidRPr="00692518">
        <w:t>, and</w:t>
      </w:r>
      <w:r w:rsidRPr="00692518">
        <w:t xml:space="preserve"> areas of ongoing focus for continuous improvement in regulatory performance.</w:t>
      </w:r>
      <w:r w:rsidR="00103EDC">
        <w:t xml:space="preserve"> </w:t>
      </w:r>
    </w:p>
    <w:p w14:paraId="610F5595" w14:textId="3C10AC3A" w:rsidR="00C16586" w:rsidRDefault="049686B7" w:rsidP="00BD6394">
      <w:r>
        <w:t xml:space="preserve">The key opportunity for improvement was around data management and recording. Currently, </w:t>
      </w:r>
      <w:r w:rsidR="4C2231A4">
        <w:t>informa</w:t>
      </w:r>
      <w:r w:rsidR="3AA9CABD">
        <w:t>ti</w:t>
      </w:r>
      <w:r w:rsidR="4C2231A4">
        <w:t xml:space="preserve">on </w:t>
      </w:r>
      <w:r>
        <w:t xml:space="preserve">is fragmented across different data sources and management tools. For example, elements of the application, inspection and compliance enforcement process are recorded in </w:t>
      </w:r>
      <w:r w:rsidR="00656FA3">
        <w:t>the records management platform (</w:t>
      </w:r>
      <w:r>
        <w:t>HP</w:t>
      </w:r>
      <w:r w:rsidR="00E269C3">
        <w:t>E</w:t>
      </w:r>
      <w:r>
        <w:t>RM</w:t>
      </w:r>
      <w:r w:rsidR="00656FA3">
        <w:t>)</w:t>
      </w:r>
      <w:r>
        <w:t xml:space="preserve">, the Licence Administration Database, SharePoint (ISAAC), and ad hoc tools such as spreadsheets. The system at present does not use workflows that would allow for tracking from an initiating event through to completion, with appropriate oversight. It was difficult in some instances to clearly identify where the relevant information was stored in the management system. This leads to issues in maintaining oversight of current activities, accurate recording of data, and quality control. </w:t>
      </w:r>
    </w:p>
    <w:p w14:paraId="046A4D6B" w14:textId="38440666" w:rsidR="00C16586" w:rsidRDefault="00AD1ABD" w:rsidP="00BD6394">
      <w:r>
        <w:t xml:space="preserve">An agency-wide </w:t>
      </w:r>
      <w:r w:rsidR="049686B7">
        <w:t xml:space="preserve">project to replace the platforms and systems is underway which </w:t>
      </w:r>
      <w:r>
        <w:t xml:space="preserve">will </w:t>
      </w:r>
      <w:r w:rsidR="049686B7">
        <w:t xml:space="preserve">help to address these issues. </w:t>
      </w:r>
      <w:r w:rsidR="004A647D">
        <w:t>While contractors are currently preparing a detailed review of our platform and system needs</w:t>
      </w:r>
      <w:r w:rsidR="049686B7">
        <w:t xml:space="preserve">, the project has not yet progressed to the stage where a </w:t>
      </w:r>
      <w:r>
        <w:t xml:space="preserve">detailed </w:t>
      </w:r>
      <w:r w:rsidR="049686B7">
        <w:t xml:space="preserve">scope </w:t>
      </w:r>
      <w:r>
        <w:t xml:space="preserve">and </w:t>
      </w:r>
      <w:r w:rsidR="049686B7">
        <w:t>timeline for implementation can be established. ARPANSA is continuing to work in this space and will prioritise the regulatory management systems as appropriate</w:t>
      </w:r>
      <w:r w:rsidR="004A647D">
        <w:t>, and has identified further interim measures that can enhance internal oversight</w:t>
      </w:r>
      <w:r w:rsidR="049686B7">
        <w:t>.</w:t>
      </w:r>
    </w:p>
    <w:p w14:paraId="341CBF96" w14:textId="77777777" w:rsidR="00B50E5C" w:rsidRDefault="003B4D69">
      <w:r>
        <w:br w:type="page"/>
      </w:r>
    </w:p>
    <w:p w14:paraId="626B455B" w14:textId="46C5AF4F" w:rsidR="003B4D69" w:rsidRDefault="005C5339" w:rsidP="00561938">
      <w:pPr>
        <w:pStyle w:val="Heading1"/>
      </w:pPr>
      <w:bookmarkStart w:id="43" w:name="_Toc12883999"/>
      <w:bookmarkStart w:id="44" w:name="_Toc23846606"/>
      <w:bookmarkStart w:id="45" w:name="_Toc25225265"/>
      <w:r>
        <w:lastRenderedPageBreak/>
        <w:t>2018</w:t>
      </w:r>
      <w:r w:rsidR="009723D0">
        <w:t>–</w:t>
      </w:r>
      <w:r>
        <w:t>19 Performance r</w:t>
      </w:r>
      <w:r w:rsidR="6F9414C3">
        <w:t>eporting</w:t>
      </w:r>
      <w:bookmarkEnd w:id="43"/>
      <w:bookmarkEnd w:id="44"/>
      <w:bookmarkEnd w:id="45"/>
    </w:p>
    <w:p w14:paraId="0CD94005" w14:textId="0AB4894B" w:rsidR="00561938" w:rsidRDefault="501E5E53" w:rsidP="00561938">
      <w:pPr>
        <w:pStyle w:val="Heading2"/>
      </w:pPr>
      <w:bookmarkStart w:id="46" w:name="_Toc12884000"/>
      <w:bookmarkStart w:id="47" w:name="_Toc23846607"/>
      <w:bookmarkStart w:id="48" w:name="_Toc25225266"/>
      <w:r>
        <w:t>KPI 1 - Regulators do not unnecessarily impede the efficient operation of regulated entities</w:t>
      </w:r>
      <w:bookmarkEnd w:id="46"/>
      <w:bookmarkEnd w:id="47"/>
      <w:bookmarkEnd w:id="48"/>
    </w:p>
    <w:p w14:paraId="0773C36C" w14:textId="09F04581" w:rsidR="003E485D" w:rsidRDefault="049686B7" w:rsidP="049686B7">
      <w:pPr>
        <w:rPr>
          <w:rFonts w:ascii="Calibri" w:eastAsia="Calibri" w:hAnsi="Calibri" w:cs="Calibri"/>
        </w:rPr>
      </w:pPr>
      <w:r w:rsidRPr="049686B7">
        <w:rPr>
          <w:rFonts w:ascii="Calibri" w:eastAsia="Calibri" w:hAnsi="Calibri" w:cs="Calibri"/>
        </w:rPr>
        <w:t xml:space="preserve">ARPANSA endeavours to avoid any undue impact on the operations of the licensed entities. </w:t>
      </w:r>
      <w:r w:rsidRPr="049686B7">
        <w:rPr>
          <w:rFonts w:cs="Arial"/>
        </w:rPr>
        <w:t xml:space="preserve">The conduct of inspections and assessment of applications are typically the most direct regulatory impacts for licence holders. </w:t>
      </w:r>
      <w:r w:rsidR="007E7639">
        <w:rPr>
          <w:rFonts w:cs="Arial"/>
        </w:rPr>
        <w:t>A r</w:t>
      </w:r>
      <w:r w:rsidRPr="049686B7">
        <w:rPr>
          <w:rFonts w:ascii="Calibri" w:eastAsia="Calibri" w:hAnsi="Calibri" w:cs="Calibri"/>
        </w:rPr>
        <w:t>isk informed inspection program, and</w:t>
      </w:r>
      <w:r w:rsidRPr="049686B7">
        <w:rPr>
          <w:rFonts w:cs="Arial"/>
        </w:rPr>
        <w:t xml:space="preserve"> </w:t>
      </w:r>
      <w:r w:rsidRPr="049686B7">
        <w:rPr>
          <w:rFonts w:ascii="Calibri" w:eastAsia="Calibri" w:hAnsi="Calibri" w:cs="Calibri"/>
        </w:rPr>
        <w:t xml:space="preserve">applications assessed in an agreed timeframe, </w:t>
      </w:r>
      <w:r w:rsidRPr="049686B7">
        <w:rPr>
          <w:rFonts w:cs="Arial"/>
        </w:rPr>
        <w:t>allows licence holders to efficiently plan their operation and resources</w:t>
      </w:r>
      <w:r w:rsidRPr="049686B7">
        <w:rPr>
          <w:rFonts w:ascii="Calibri" w:eastAsia="Calibri" w:hAnsi="Calibri" w:cs="Calibri"/>
        </w:rPr>
        <w:t xml:space="preserve">. </w:t>
      </w:r>
    </w:p>
    <w:p w14:paraId="68534631" w14:textId="08B86DB6" w:rsidR="00AB062B" w:rsidRDefault="00B66CA9" w:rsidP="501E5E53">
      <w:pPr>
        <w:rPr>
          <w:rFonts w:cs="Arial"/>
          <w:szCs w:val="24"/>
        </w:rPr>
      </w:pPr>
      <w:r>
        <w:rPr>
          <w:rFonts w:cs="Arial"/>
          <w:szCs w:val="24"/>
        </w:rPr>
        <w:t xml:space="preserve">ARPANSA’s </w:t>
      </w:r>
      <w:r w:rsidR="007E7639">
        <w:rPr>
          <w:rFonts w:cs="Arial"/>
          <w:szCs w:val="24"/>
        </w:rPr>
        <w:t>r</w:t>
      </w:r>
      <w:r w:rsidR="00065A49">
        <w:rPr>
          <w:rFonts w:ascii="Calibri" w:eastAsia="Calibri" w:hAnsi="Calibri" w:cs="Calibri"/>
        </w:rPr>
        <w:t>isk informed inspection program</w:t>
      </w:r>
      <w:r w:rsidR="00065A49">
        <w:rPr>
          <w:rFonts w:cs="Arial"/>
          <w:szCs w:val="24"/>
        </w:rPr>
        <w:t xml:space="preserve"> </w:t>
      </w:r>
      <w:r w:rsidR="00AB062B">
        <w:rPr>
          <w:rFonts w:cs="Arial"/>
          <w:szCs w:val="24"/>
        </w:rPr>
        <w:t>includes:</w:t>
      </w:r>
    </w:p>
    <w:p w14:paraId="198113EA" w14:textId="2921D4EB" w:rsidR="00AB062B" w:rsidRPr="006868A0" w:rsidRDefault="009723D0" w:rsidP="006868A0">
      <w:pPr>
        <w:pStyle w:val="ListParagraph"/>
        <w:numPr>
          <w:ilvl w:val="0"/>
          <w:numId w:val="31"/>
        </w:numPr>
        <w:autoSpaceDE w:val="0"/>
        <w:autoSpaceDN w:val="0"/>
        <w:adjustRightInd w:val="0"/>
        <w:spacing w:after="120"/>
        <w:rPr>
          <w:rFonts w:cs="Times New Roman"/>
          <w:lang w:eastAsia="en-AU"/>
        </w:rPr>
      </w:pPr>
      <w:r>
        <w:rPr>
          <w:rFonts w:ascii="Calibri" w:eastAsia="Calibri" w:hAnsi="Calibri" w:cs="Calibri"/>
        </w:rPr>
        <w:t>a</w:t>
      </w:r>
      <w:r w:rsidR="003E485D">
        <w:rPr>
          <w:rFonts w:ascii="Calibri" w:eastAsia="Calibri" w:hAnsi="Calibri" w:cs="Calibri"/>
        </w:rPr>
        <w:t xml:space="preserve">n </w:t>
      </w:r>
      <w:r w:rsidR="003E485D" w:rsidRPr="501E5E53">
        <w:rPr>
          <w:rFonts w:ascii="Calibri" w:eastAsia="Calibri" w:hAnsi="Calibri" w:cs="Calibri"/>
        </w:rPr>
        <w:t xml:space="preserve">open and transparent </w:t>
      </w:r>
      <w:r w:rsidR="00AB062B" w:rsidRPr="006868A0">
        <w:rPr>
          <w:rFonts w:cs="Times New Roman"/>
          <w:lang w:eastAsia="en-AU"/>
        </w:rPr>
        <w:t>baseline schedule</w:t>
      </w:r>
      <w:r w:rsidR="00C008BB">
        <w:rPr>
          <w:rFonts w:cs="Times New Roman"/>
          <w:lang w:eastAsia="en-AU"/>
        </w:rPr>
        <w:t xml:space="preserve"> that</w:t>
      </w:r>
      <w:r w:rsidR="00AB062B" w:rsidRPr="006868A0">
        <w:rPr>
          <w:rFonts w:cs="Times New Roman"/>
          <w:lang w:eastAsia="en-AU"/>
        </w:rPr>
        <w:t xml:space="preserve"> </w:t>
      </w:r>
      <w:r w:rsidR="00B66CA9" w:rsidRPr="006868A0">
        <w:rPr>
          <w:rFonts w:cs="Times New Roman"/>
          <w:lang w:eastAsia="en-AU"/>
        </w:rPr>
        <w:t xml:space="preserve">is maintained, </w:t>
      </w:r>
      <w:r w:rsidR="00AB062B" w:rsidRPr="006868A0">
        <w:rPr>
          <w:rFonts w:cs="Times New Roman"/>
          <w:lang w:eastAsia="en-AU"/>
        </w:rPr>
        <w:t xml:space="preserve">covering the next </w:t>
      </w:r>
      <w:r>
        <w:rPr>
          <w:rFonts w:cs="Times New Roman"/>
          <w:lang w:eastAsia="en-AU"/>
        </w:rPr>
        <w:t>three</w:t>
      </w:r>
      <w:r w:rsidR="00AB062B" w:rsidRPr="006868A0">
        <w:rPr>
          <w:rFonts w:cs="Times New Roman"/>
          <w:lang w:eastAsia="en-AU"/>
        </w:rPr>
        <w:t xml:space="preserve"> </w:t>
      </w:r>
      <w:r w:rsidR="64CEC689" w:rsidRPr="006868A0">
        <w:rPr>
          <w:rFonts w:cs="Times New Roman"/>
          <w:lang w:eastAsia="en-AU"/>
        </w:rPr>
        <w:t xml:space="preserve">or more </w:t>
      </w:r>
      <w:r w:rsidR="00AB062B" w:rsidRPr="006868A0">
        <w:rPr>
          <w:rFonts w:cs="Times New Roman"/>
          <w:lang w:eastAsia="en-AU"/>
        </w:rPr>
        <w:t>years</w:t>
      </w:r>
    </w:p>
    <w:p w14:paraId="54198215" w14:textId="16F09E2C" w:rsidR="00AB062B" w:rsidRDefault="009723D0" w:rsidP="003E485D">
      <w:pPr>
        <w:pStyle w:val="ListParagraph"/>
        <w:numPr>
          <w:ilvl w:val="0"/>
          <w:numId w:val="31"/>
        </w:numPr>
        <w:autoSpaceDE w:val="0"/>
        <w:autoSpaceDN w:val="0"/>
        <w:adjustRightInd w:val="0"/>
        <w:spacing w:after="120"/>
        <w:rPr>
          <w:rFonts w:cs="Times New Roman"/>
          <w:bCs/>
          <w:szCs w:val="24"/>
          <w:lang w:eastAsia="en-AU"/>
        </w:rPr>
      </w:pPr>
      <w:r>
        <w:rPr>
          <w:rFonts w:cs="Times New Roman"/>
          <w:bCs/>
          <w:szCs w:val="24"/>
          <w:lang w:eastAsia="en-AU"/>
        </w:rPr>
        <w:t>t</w:t>
      </w:r>
      <w:r w:rsidR="00AB062B" w:rsidRPr="00AB062B">
        <w:rPr>
          <w:rFonts w:cs="Times New Roman"/>
          <w:bCs/>
          <w:szCs w:val="24"/>
          <w:lang w:eastAsia="en-AU"/>
        </w:rPr>
        <w:t xml:space="preserve">he scope of each inspection </w:t>
      </w:r>
      <w:r w:rsidR="00C008BB">
        <w:rPr>
          <w:rFonts w:cs="Times New Roman"/>
          <w:bCs/>
          <w:szCs w:val="24"/>
          <w:lang w:eastAsia="en-AU"/>
        </w:rPr>
        <w:t>which is</w:t>
      </w:r>
      <w:r w:rsidR="00C008BB" w:rsidRPr="00AB062B">
        <w:rPr>
          <w:rFonts w:cs="Times New Roman"/>
          <w:bCs/>
          <w:szCs w:val="24"/>
          <w:lang w:eastAsia="en-AU"/>
        </w:rPr>
        <w:t xml:space="preserve"> </w:t>
      </w:r>
      <w:r w:rsidR="00AB062B" w:rsidRPr="00AB062B">
        <w:rPr>
          <w:rFonts w:cs="Times New Roman"/>
          <w:bCs/>
          <w:szCs w:val="24"/>
          <w:lang w:eastAsia="en-AU"/>
        </w:rPr>
        <w:t xml:space="preserve">defined within the </w:t>
      </w:r>
      <w:hyperlink r:id="rId25" w:history="1">
        <w:r w:rsidR="008775F7">
          <w:rPr>
            <w:rStyle w:val="Hyperlink"/>
            <w:rFonts w:cs="Times New Roman"/>
            <w:bCs/>
            <w:szCs w:val="24"/>
            <w:lang w:eastAsia="en-AU"/>
          </w:rPr>
          <w:t>p</w:t>
        </w:r>
        <w:r w:rsidR="00AB062B" w:rsidRPr="00AB062B">
          <w:rPr>
            <w:rStyle w:val="Hyperlink"/>
            <w:rFonts w:cs="Times New Roman"/>
            <w:bCs/>
            <w:szCs w:val="24"/>
            <w:lang w:eastAsia="en-AU"/>
          </w:rPr>
          <w:t xml:space="preserve">erformance </w:t>
        </w:r>
        <w:r w:rsidR="008775F7">
          <w:rPr>
            <w:rStyle w:val="Hyperlink"/>
            <w:rFonts w:cs="Times New Roman"/>
            <w:bCs/>
            <w:szCs w:val="24"/>
            <w:lang w:eastAsia="en-AU"/>
          </w:rPr>
          <w:t>o</w:t>
        </w:r>
        <w:r w:rsidR="00AB062B" w:rsidRPr="00AB062B">
          <w:rPr>
            <w:rStyle w:val="Hyperlink"/>
            <w:rFonts w:cs="Times New Roman"/>
            <w:bCs/>
            <w:szCs w:val="24"/>
            <w:lang w:eastAsia="en-AU"/>
          </w:rPr>
          <w:t xml:space="preserve">bjectives and </w:t>
        </w:r>
        <w:r w:rsidR="008775F7">
          <w:rPr>
            <w:rStyle w:val="Hyperlink"/>
            <w:rFonts w:cs="Times New Roman"/>
            <w:bCs/>
            <w:szCs w:val="24"/>
            <w:lang w:eastAsia="en-AU"/>
          </w:rPr>
          <w:t>c</w:t>
        </w:r>
        <w:r w:rsidR="00AB062B" w:rsidRPr="00AB062B">
          <w:rPr>
            <w:rStyle w:val="Hyperlink"/>
            <w:rFonts w:cs="Times New Roman"/>
            <w:bCs/>
            <w:szCs w:val="24"/>
            <w:lang w:eastAsia="en-AU"/>
          </w:rPr>
          <w:t>riteria</w:t>
        </w:r>
      </w:hyperlink>
      <w:r w:rsidR="00AB062B" w:rsidRPr="00AB062B">
        <w:rPr>
          <w:rFonts w:cs="Times New Roman"/>
          <w:bCs/>
          <w:szCs w:val="24"/>
          <w:lang w:eastAsia="en-AU"/>
        </w:rPr>
        <w:t xml:space="preserve"> </w:t>
      </w:r>
      <w:r w:rsidR="00C008BB">
        <w:rPr>
          <w:rFonts w:cs="Times New Roman"/>
          <w:bCs/>
          <w:szCs w:val="24"/>
          <w:lang w:eastAsia="en-AU"/>
        </w:rPr>
        <w:t>and</w:t>
      </w:r>
      <w:r w:rsidR="00C008BB" w:rsidRPr="00AB062B">
        <w:rPr>
          <w:rFonts w:cs="Times New Roman"/>
          <w:bCs/>
          <w:szCs w:val="24"/>
          <w:lang w:eastAsia="en-AU"/>
        </w:rPr>
        <w:t xml:space="preserve"> </w:t>
      </w:r>
      <w:r w:rsidR="00276177">
        <w:rPr>
          <w:rFonts w:cs="Times New Roman"/>
          <w:bCs/>
          <w:szCs w:val="24"/>
          <w:lang w:eastAsia="en-AU"/>
        </w:rPr>
        <w:t>is</w:t>
      </w:r>
      <w:r w:rsidR="00AB062B" w:rsidRPr="00AB062B">
        <w:rPr>
          <w:rFonts w:cs="Times New Roman"/>
          <w:bCs/>
          <w:szCs w:val="24"/>
          <w:lang w:eastAsia="en-AU"/>
        </w:rPr>
        <w:t xml:space="preserve"> available via the ARPANSA website. </w:t>
      </w:r>
      <w:r w:rsidR="003E485D" w:rsidRPr="003E485D">
        <w:rPr>
          <w:rFonts w:cs="Times New Roman"/>
          <w:bCs/>
          <w:szCs w:val="24"/>
          <w:lang w:eastAsia="en-AU"/>
        </w:rPr>
        <w:t>These were developed based on international best practice to inform licence holders and the public of ARPANSA’s safety and security expectations that are assessed during an inspection. They provide a comprehensive list of features, controls and behaviours that contribute to safety, arranged into eight baseline modules and three cross cutting modules</w:t>
      </w:r>
    </w:p>
    <w:p w14:paraId="0C2983F9" w14:textId="79F3DAD4" w:rsidR="00AB062B" w:rsidRDefault="009723D0" w:rsidP="003E485D">
      <w:pPr>
        <w:pStyle w:val="ListParagraph"/>
        <w:numPr>
          <w:ilvl w:val="0"/>
          <w:numId w:val="31"/>
        </w:numPr>
        <w:autoSpaceDE w:val="0"/>
        <w:autoSpaceDN w:val="0"/>
        <w:adjustRightInd w:val="0"/>
        <w:spacing w:after="120"/>
        <w:rPr>
          <w:rFonts w:cs="Times New Roman"/>
          <w:bCs/>
          <w:szCs w:val="24"/>
          <w:lang w:eastAsia="en-AU"/>
        </w:rPr>
      </w:pPr>
      <w:r>
        <w:rPr>
          <w:rFonts w:cs="Times New Roman"/>
          <w:bCs/>
          <w:szCs w:val="24"/>
          <w:lang w:eastAsia="en-AU"/>
        </w:rPr>
        <w:t>s</w:t>
      </w:r>
      <w:r w:rsidR="00AB062B" w:rsidRPr="00AB062B">
        <w:rPr>
          <w:rFonts w:cs="Times New Roman"/>
          <w:bCs/>
          <w:szCs w:val="24"/>
          <w:lang w:eastAsia="en-AU"/>
        </w:rPr>
        <w:t xml:space="preserve">pecific dates for scheduled inspections and scope for inspections, </w:t>
      </w:r>
      <w:r>
        <w:rPr>
          <w:rFonts w:cs="Times New Roman"/>
          <w:bCs/>
          <w:szCs w:val="24"/>
          <w:lang w:eastAsia="en-AU"/>
        </w:rPr>
        <w:t>which are</w:t>
      </w:r>
      <w:r w:rsidR="00AB062B" w:rsidRPr="00AB062B">
        <w:rPr>
          <w:rFonts w:cs="Times New Roman"/>
          <w:bCs/>
          <w:szCs w:val="24"/>
          <w:lang w:eastAsia="en-AU"/>
        </w:rPr>
        <w:t xml:space="preserve"> discussed with the licence holder in advance of a formal notification two weeks prior to the inspection </w:t>
      </w:r>
    </w:p>
    <w:p w14:paraId="723DA7A8" w14:textId="1B1EEFBA" w:rsidR="00B66CA9" w:rsidRPr="003E485D" w:rsidRDefault="009723D0" w:rsidP="003E485D">
      <w:pPr>
        <w:pStyle w:val="ListParagraph"/>
        <w:numPr>
          <w:ilvl w:val="0"/>
          <w:numId w:val="31"/>
        </w:numPr>
        <w:autoSpaceDE w:val="0"/>
        <w:autoSpaceDN w:val="0"/>
        <w:adjustRightInd w:val="0"/>
        <w:spacing w:after="120"/>
        <w:rPr>
          <w:rFonts w:cs="Times New Roman"/>
          <w:bCs/>
          <w:szCs w:val="24"/>
          <w:lang w:eastAsia="en-AU"/>
        </w:rPr>
      </w:pPr>
      <w:r>
        <w:rPr>
          <w:rFonts w:cs="Times New Roman"/>
          <w:bCs/>
          <w:szCs w:val="24"/>
          <w:lang w:eastAsia="en-AU"/>
        </w:rPr>
        <w:t>e</w:t>
      </w:r>
      <w:r w:rsidR="00B66CA9">
        <w:rPr>
          <w:rFonts w:cs="Times New Roman"/>
          <w:bCs/>
          <w:szCs w:val="24"/>
          <w:lang w:eastAsia="en-AU"/>
        </w:rPr>
        <w:t>-inspections and alternative approaches for low risk radiation sources.</w:t>
      </w:r>
    </w:p>
    <w:p w14:paraId="15C09012" w14:textId="0CDF7E07" w:rsidR="007E6906" w:rsidRDefault="00615127" w:rsidP="00D25EFE">
      <w:pPr>
        <w:spacing w:after="120"/>
        <w:rPr>
          <w:rFonts w:cs="Arial"/>
          <w:szCs w:val="24"/>
        </w:rPr>
      </w:pPr>
      <w:r>
        <w:rPr>
          <w:rFonts w:cs="Times New Roman"/>
          <w:bCs/>
          <w:szCs w:val="24"/>
          <w:lang w:eastAsia="en-AU"/>
        </w:rPr>
        <w:t>ARPANSA strives to assess</w:t>
      </w:r>
      <w:r w:rsidRPr="00A9092B">
        <w:rPr>
          <w:rFonts w:cs="Times New Roman"/>
          <w:bCs/>
          <w:szCs w:val="24"/>
          <w:lang w:eastAsia="en-AU"/>
        </w:rPr>
        <w:t xml:space="preserve"> applications in a timely manner</w:t>
      </w:r>
      <w:r>
        <w:rPr>
          <w:rFonts w:cs="Times New Roman"/>
          <w:bCs/>
          <w:szCs w:val="24"/>
          <w:lang w:eastAsia="en-AU"/>
        </w:rPr>
        <w:t xml:space="preserve"> and within a timeframe agreed with the applicant. </w:t>
      </w:r>
      <w:r w:rsidR="00B66CA9" w:rsidRPr="00A9092B">
        <w:rPr>
          <w:rFonts w:cs="Times New Roman"/>
          <w:bCs/>
          <w:szCs w:val="24"/>
          <w:lang w:eastAsia="en-AU"/>
        </w:rPr>
        <w:t>ARPANSA receive</w:t>
      </w:r>
      <w:r w:rsidR="00B66CA9">
        <w:rPr>
          <w:rFonts w:cs="Times New Roman"/>
          <w:bCs/>
          <w:szCs w:val="24"/>
          <w:lang w:eastAsia="en-AU"/>
        </w:rPr>
        <w:t>s</w:t>
      </w:r>
      <w:r w:rsidR="00B66CA9" w:rsidRPr="00A9092B">
        <w:rPr>
          <w:rFonts w:cs="Times New Roman"/>
          <w:bCs/>
          <w:szCs w:val="24"/>
          <w:lang w:eastAsia="en-AU"/>
        </w:rPr>
        <w:t xml:space="preserve"> various </w:t>
      </w:r>
      <w:r w:rsidR="00B66CA9">
        <w:rPr>
          <w:rFonts w:cs="Times New Roman"/>
          <w:bCs/>
          <w:szCs w:val="24"/>
          <w:lang w:eastAsia="en-AU"/>
        </w:rPr>
        <w:t xml:space="preserve">types of </w:t>
      </w:r>
      <w:r w:rsidR="00B66CA9" w:rsidRPr="00A9092B">
        <w:rPr>
          <w:rFonts w:cs="Times New Roman"/>
          <w:bCs/>
          <w:szCs w:val="24"/>
          <w:lang w:eastAsia="en-AU"/>
        </w:rPr>
        <w:t>applications</w:t>
      </w:r>
      <w:r w:rsidR="00B66CA9">
        <w:rPr>
          <w:rFonts w:cs="Times New Roman"/>
          <w:bCs/>
          <w:szCs w:val="24"/>
          <w:lang w:eastAsia="en-AU"/>
        </w:rPr>
        <w:t xml:space="preserve"> including new </w:t>
      </w:r>
      <w:r w:rsidR="00B66CA9" w:rsidRPr="00A9092B">
        <w:rPr>
          <w:rFonts w:cs="Times New Roman"/>
          <w:bCs/>
          <w:szCs w:val="24"/>
          <w:lang w:eastAsia="en-AU"/>
        </w:rPr>
        <w:t>licences</w:t>
      </w:r>
      <w:r w:rsidR="00B66CA9">
        <w:rPr>
          <w:rFonts w:cs="Times New Roman"/>
          <w:bCs/>
          <w:szCs w:val="24"/>
          <w:lang w:eastAsia="en-AU"/>
        </w:rPr>
        <w:t xml:space="preserve">, </w:t>
      </w:r>
      <w:r w:rsidR="00B66CA9" w:rsidRPr="00A9092B">
        <w:rPr>
          <w:rFonts w:cs="Times New Roman"/>
          <w:bCs/>
          <w:szCs w:val="24"/>
          <w:lang w:eastAsia="en-AU"/>
        </w:rPr>
        <w:t>requests for safety</w:t>
      </w:r>
      <w:r w:rsidR="0045754B">
        <w:rPr>
          <w:rFonts w:cs="Times New Roman"/>
          <w:bCs/>
          <w:szCs w:val="24"/>
          <w:lang w:eastAsia="en-AU"/>
        </w:rPr>
        <w:noBreakHyphen/>
      </w:r>
      <w:r w:rsidR="00B66CA9" w:rsidRPr="00A9092B">
        <w:rPr>
          <w:rFonts w:cs="Times New Roman"/>
          <w:bCs/>
          <w:szCs w:val="24"/>
          <w:lang w:eastAsia="en-AU"/>
        </w:rPr>
        <w:t>significant changes,</w:t>
      </w:r>
      <w:r w:rsidR="00B66CA9">
        <w:rPr>
          <w:rFonts w:cs="Times New Roman"/>
          <w:bCs/>
          <w:szCs w:val="24"/>
          <w:lang w:eastAsia="en-AU"/>
        </w:rPr>
        <w:t xml:space="preserve"> and</w:t>
      </w:r>
      <w:r w:rsidR="00B66CA9" w:rsidRPr="00A9092B">
        <w:rPr>
          <w:rFonts w:cs="Times New Roman"/>
          <w:bCs/>
          <w:szCs w:val="24"/>
          <w:lang w:eastAsia="en-AU"/>
        </w:rPr>
        <w:t xml:space="preserve"> transfer</w:t>
      </w:r>
      <w:r w:rsidR="00B66CA9">
        <w:rPr>
          <w:rFonts w:cs="Times New Roman"/>
          <w:bCs/>
          <w:szCs w:val="24"/>
          <w:lang w:eastAsia="en-AU"/>
        </w:rPr>
        <w:t xml:space="preserve"> or disposal of radiation sources</w:t>
      </w:r>
      <w:r w:rsidR="00B66CA9" w:rsidRPr="00A9092B">
        <w:rPr>
          <w:rFonts w:cs="Times New Roman"/>
          <w:bCs/>
          <w:szCs w:val="24"/>
          <w:lang w:eastAsia="en-AU"/>
        </w:rPr>
        <w:t xml:space="preserve">. </w:t>
      </w:r>
      <w:r>
        <w:rPr>
          <w:rFonts w:cs="Times New Roman"/>
          <w:bCs/>
          <w:szCs w:val="24"/>
          <w:lang w:eastAsia="en-AU"/>
        </w:rPr>
        <w:t xml:space="preserve">The timeframe </w:t>
      </w:r>
      <w:r w:rsidR="007E7639">
        <w:rPr>
          <w:rFonts w:cs="Times New Roman"/>
          <w:bCs/>
          <w:szCs w:val="24"/>
          <w:lang w:eastAsia="en-AU"/>
        </w:rPr>
        <w:t xml:space="preserve">for assessment </w:t>
      </w:r>
      <w:r>
        <w:rPr>
          <w:rFonts w:cs="Times New Roman"/>
          <w:bCs/>
          <w:szCs w:val="24"/>
          <w:lang w:eastAsia="en-AU"/>
        </w:rPr>
        <w:t>depends</w:t>
      </w:r>
      <w:r w:rsidRPr="00A9092B">
        <w:rPr>
          <w:rFonts w:cs="Times New Roman"/>
          <w:bCs/>
          <w:szCs w:val="24"/>
          <w:lang w:eastAsia="en-AU"/>
        </w:rPr>
        <w:t xml:space="preserve"> on the nature </w:t>
      </w:r>
      <w:r>
        <w:rPr>
          <w:rFonts w:cs="Times New Roman"/>
          <w:bCs/>
          <w:szCs w:val="24"/>
          <w:lang w:eastAsia="en-AU"/>
        </w:rPr>
        <w:t xml:space="preserve">and complexity of the application and takes account of the licence holder’s priorities and </w:t>
      </w:r>
      <w:r w:rsidR="00730473">
        <w:rPr>
          <w:rFonts w:cs="Arial"/>
          <w:szCs w:val="24"/>
        </w:rPr>
        <w:t>ARPANSA</w:t>
      </w:r>
      <w:r>
        <w:rPr>
          <w:rFonts w:cs="Arial"/>
          <w:szCs w:val="24"/>
        </w:rPr>
        <w:t>’s</w:t>
      </w:r>
      <w:r w:rsidR="00730473" w:rsidRPr="00A9092B">
        <w:rPr>
          <w:rFonts w:cs="Arial"/>
          <w:szCs w:val="24"/>
        </w:rPr>
        <w:t xml:space="preserve"> workloads</w:t>
      </w:r>
      <w:r w:rsidR="00730473">
        <w:rPr>
          <w:rFonts w:cs="Arial"/>
          <w:szCs w:val="24"/>
        </w:rPr>
        <w:t xml:space="preserve">. This </w:t>
      </w:r>
      <w:r w:rsidR="00730473" w:rsidRPr="00720B25">
        <w:rPr>
          <w:rFonts w:cs="Arial"/>
          <w:szCs w:val="24"/>
        </w:rPr>
        <w:t>process of consultation</w:t>
      </w:r>
      <w:r w:rsidR="00730473">
        <w:rPr>
          <w:rFonts w:cs="Arial"/>
          <w:szCs w:val="24"/>
        </w:rPr>
        <w:t xml:space="preserve"> is important to set realistic expectations and ensure sufficient time for a thorou</w:t>
      </w:r>
      <w:r>
        <w:rPr>
          <w:rFonts w:cs="Arial"/>
          <w:szCs w:val="24"/>
        </w:rPr>
        <w:t>gh analysis of the application.</w:t>
      </w:r>
      <w:r w:rsidR="003E485D" w:rsidRPr="003E485D">
        <w:rPr>
          <w:rFonts w:cs="Arial"/>
          <w:szCs w:val="24"/>
        </w:rPr>
        <w:t xml:space="preserve"> </w:t>
      </w:r>
    </w:p>
    <w:p w14:paraId="040D12F3" w14:textId="77777777" w:rsidR="007E6906" w:rsidRDefault="007E6906">
      <w:pPr>
        <w:rPr>
          <w:rFonts w:cs="Arial"/>
          <w:szCs w:val="24"/>
        </w:rPr>
      </w:pPr>
      <w:r>
        <w:rPr>
          <w:rFonts w:cs="Arial"/>
          <w:szCs w:val="24"/>
        </w:rPr>
        <w:br w:type="page"/>
      </w:r>
    </w:p>
    <w:tbl>
      <w:tblPr>
        <w:tblStyle w:val="GenericARPANSA"/>
        <w:tblW w:w="5000" w:type="pct"/>
        <w:tblLayout w:type="fixed"/>
        <w:tblLook w:val="06A0" w:firstRow="1" w:lastRow="0" w:firstColumn="1" w:lastColumn="0" w:noHBand="1" w:noVBand="1"/>
        <w:tblDescription w:val="This table contains 2 heading columns, 1. KPIs/Measures/Metrics, 2. Evidence (Performance in  2016-17). Column 2 includes a self-assessed rating against KPI 1."/>
      </w:tblPr>
      <w:tblGrid>
        <w:gridCol w:w="4814"/>
        <w:gridCol w:w="4814"/>
      </w:tblGrid>
      <w:tr w:rsidR="00F5034B" w:rsidRPr="00561938" w14:paraId="2D0F6909" w14:textId="77777777" w:rsidTr="00C032F2">
        <w:trPr>
          <w:cnfStyle w:val="100000000000" w:firstRow="1" w:lastRow="0" w:firstColumn="0" w:lastColumn="0" w:oddVBand="0" w:evenVBand="0" w:oddHBand="0" w:evenHBand="0" w:firstRowFirstColumn="0" w:firstRowLastColumn="0" w:lastRowFirstColumn="0" w:lastRowLastColumn="0"/>
          <w:trHeight w:val="291"/>
        </w:trPr>
        <w:tc>
          <w:tcPr>
            <w:tcW w:w="4814" w:type="dxa"/>
          </w:tcPr>
          <w:p w14:paraId="420F2648" w14:textId="74F282A5" w:rsidR="00F5034B" w:rsidRPr="005F6BFB" w:rsidRDefault="00F5034B" w:rsidP="000C4A9A">
            <w:pPr>
              <w:pStyle w:val="Heading3"/>
              <w:jc w:val="left"/>
              <w:outlineLvl w:val="2"/>
              <w:rPr>
                <w:b/>
                <w:i w:val="0"/>
                <w:color w:val="FFFFFF" w:themeColor="background1"/>
              </w:rPr>
            </w:pPr>
            <w:r w:rsidRPr="005F6BFB">
              <w:rPr>
                <w:b/>
                <w:i w:val="0"/>
                <w:color w:val="FFFFFF" w:themeColor="background1"/>
              </w:rPr>
              <w:lastRenderedPageBreak/>
              <w:t>Measures/</w:t>
            </w:r>
            <w:r w:rsidR="000C4A9A">
              <w:rPr>
                <w:b/>
                <w:i w:val="0"/>
                <w:color w:val="FFFFFF" w:themeColor="background1"/>
              </w:rPr>
              <w:t>m</w:t>
            </w:r>
            <w:r w:rsidRPr="005F6BFB">
              <w:rPr>
                <w:b/>
                <w:i w:val="0"/>
                <w:color w:val="FFFFFF" w:themeColor="background1"/>
              </w:rPr>
              <w:t>etrics</w:t>
            </w:r>
          </w:p>
        </w:tc>
        <w:tc>
          <w:tcPr>
            <w:tcW w:w="4814" w:type="dxa"/>
          </w:tcPr>
          <w:p w14:paraId="0925432A" w14:textId="698BDACB" w:rsidR="00F5034B" w:rsidRPr="005F6BFB" w:rsidRDefault="00F5034B" w:rsidP="000C4A9A">
            <w:pPr>
              <w:pStyle w:val="Heading3"/>
              <w:jc w:val="left"/>
              <w:outlineLvl w:val="2"/>
              <w:rPr>
                <w:b/>
                <w:i w:val="0"/>
                <w:color w:val="FFFFFF" w:themeColor="background1"/>
              </w:rPr>
            </w:pPr>
            <w:r w:rsidRPr="005F6BFB">
              <w:rPr>
                <w:b/>
                <w:i w:val="0"/>
                <w:color w:val="FFFFFF" w:themeColor="background1"/>
              </w:rPr>
              <w:t>Evidence (</w:t>
            </w:r>
            <w:r w:rsidR="000C4A9A">
              <w:rPr>
                <w:b/>
                <w:i w:val="0"/>
                <w:color w:val="FFFFFF" w:themeColor="background1"/>
              </w:rPr>
              <w:t>p</w:t>
            </w:r>
            <w:r w:rsidRPr="005F6BFB">
              <w:rPr>
                <w:b/>
                <w:i w:val="0"/>
                <w:color w:val="FFFFFF" w:themeColor="background1"/>
              </w:rPr>
              <w:t>erformance in 2018</w:t>
            </w:r>
            <w:r w:rsidR="00721C9C">
              <w:rPr>
                <w:b/>
                <w:i w:val="0"/>
                <w:color w:val="FFFFFF" w:themeColor="background1"/>
              </w:rPr>
              <w:t>–</w:t>
            </w:r>
            <w:r w:rsidRPr="005F6BFB">
              <w:rPr>
                <w:b/>
                <w:i w:val="0"/>
                <w:color w:val="FFFFFF" w:themeColor="background1"/>
              </w:rPr>
              <w:t>19)</w:t>
            </w:r>
          </w:p>
        </w:tc>
      </w:tr>
      <w:tr w:rsidR="00F5034B" w:rsidRPr="00110D4B" w14:paraId="51629F13" w14:textId="77777777" w:rsidTr="00C032F2">
        <w:trPr>
          <w:trHeight w:val="2237"/>
        </w:trPr>
        <w:tc>
          <w:tcPr>
            <w:tcW w:w="4814" w:type="dxa"/>
            <w:vAlign w:val="top"/>
          </w:tcPr>
          <w:p w14:paraId="3BFEE016" w14:textId="24F75549" w:rsidR="00F5034B" w:rsidRPr="007E6906" w:rsidRDefault="6F9414C3" w:rsidP="003774AD">
            <w:pPr>
              <w:jc w:val="left"/>
              <w:rPr>
                <w:b/>
              </w:rPr>
            </w:pPr>
            <w:r w:rsidRPr="007E6906">
              <w:rPr>
                <w:b/>
              </w:rPr>
              <w:t>PI 1.1 Inspections are conducted in accordance with established inspection schedule</w:t>
            </w:r>
          </w:p>
          <w:p w14:paraId="7549A874" w14:textId="6781A959" w:rsidR="00F5034B" w:rsidRPr="007E6906" w:rsidRDefault="6F9414C3" w:rsidP="00315E85">
            <w:pPr>
              <w:spacing w:before="120"/>
              <w:jc w:val="left"/>
            </w:pPr>
            <w:r w:rsidRPr="007E6906">
              <w:t>Eight inspection areas have been identified for licensed facilities or sources to be undertaken at least once during a three-year facility and six year source inspection cycle. The inspection schedule is updated annually and communicated to licence holders. Adherence to the schedule promotes trust, predictability and efficiency. It supports ARPANSA’s efforts to deliver quality regulatory services with due consideration of the health and safety of people and the environment, without being disruptive to business.</w:t>
            </w:r>
          </w:p>
          <w:p w14:paraId="7CAB7592" w14:textId="35558872" w:rsidR="00F5034B" w:rsidRPr="00D25EFE" w:rsidRDefault="6F9414C3" w:rsidP="00D419C0">
            <w:pPr>
              <w:jc w:val="left"/>
            </w:pPr>
            <w:r w:rsidRPr="007E6906">
              <w:t>ARPANSA will measure the percentage of inspections conducted in accordance with the risk</w:t>
            </w:r>
            <w:r w:rsidR="00D419C0">
              <w:noBreakHyphen/>
            </w:r>
            <w:r w:rsidRPr="007E6906">
              <w:t>informed long term inspection schedule [Quantitative].</w:t>
            </w:r>
          </w:p>
        </w:tc>
        <w:tc>
          <w:tcPr>
            <w:tcW w:w="4814" w:type="dxa"/>
            <w:vAlign w:val="top"/>
          </w:tcPr>
          <w:p w14:paraId="5B34938F" w14:textId="6206410B" w:rsidR="00B15317" w:rsidRPr="00B20521" w:rsidRDefault="00B15317" w:rsidP="003774AD">
            <w:pPr>
              <w:jc w:val="left"/>
              <w:rPr>
                <w:b/>
              </w:rPr>
            </w:pPr>
            <w:r w:rsidRPr="00B20521">
              <w:rPr>
                <w:b/>
              </w:rPr>
              <w:t xml:space="preserve">Target </w:t>
            </w:r>
            <w:r w:rsidR="006E458F">
              <w:rPr>
                <w:b/>
              </w:rPr>
              <w:t>s</w:t>
            </w:r>
            <w:r w:rsidRPr="00B20521">
              <w:rPr>
                <w:b/>
              </w:rPr>
              <w:t>ubstantially</w:t>
            </w:r>
            <w:r w:rsidRPr="00B20521">
              <w:rPr>
                <w:b/>
                <w:i/>
              </w:rPr>
              <w:t xml:space="preserve"> </w:t>
            </w:r>
            <w:r w:rsidR="006E458F">
              <w:rPr>
                <w:b/>
              </w:rPr>
              <w:t>m</w:t>
            </w:r>
            <w:r w:rsidRPr="00B20521">
              <w:rPr>
                <w:b/>
              </w:rPr>
              <w:t>et</w:t>
            </w:r>
          </w:p>
          <w:p w14:paraId="6200850B" w14:textId="3ED6BBB9" w:rsidR="004140F1" w:rsidRPr="00D25EFE" w:rsidRDefault="0025256E" w:rsidP="00315E85">
            <w:pPr>
              <w:spacing w:before="120"/>
              <w:jc w:val="left"/>
            </w:pPr>
            <w:r>
              <w:t xml:space="preserve">A total of </w:t>
            </w:r>
            <w:r w:rsidR="6F9414C3" w:rsidRPr="00D25EFE">
              <w:t xml:space="preserve">79% (31/39) of inspections were conducted in accordance with </w:t>
            </w:r>
            <w:r w:rsidR="007E7639" w:rsidRPr="00D25EFE">
              <w:t xml:space="preserve">the </w:t>
            </w:r>
            <w:r w:rsidR="6F9414C3" w:rsidRPr="00D25EFE">
              <w:t xml:space="preserve">schedule. </w:t>
            </w:r>
          </w:p>
          <w:p w14:paraId="24A24D3D" w14:textId="0B91B7F4" w:rsidR="00F5034B" w:rsidRPr="00D25EFE" w:rsidRDefault="6F9414C3" w:rsidP="003774AD">
            <w:pPr>
              <w:jc w:val="left"/>
            </w:pPr>
            <w:r w:rsidRPr="00D25EFE">
              <w:t>This is less than the target of 85%</w:t>
            </w:r>
            <w:r w:rsidR="004140F1" w:rsidRPr="00D25EFE">
              <w:t>, however the</w:t>
            </w:r>
            <w:r w:rsidR="501E5E53" w:rsidRPr="00D25EFE">
              <w:t xml:space="preserve"> measure was met</w:t>
            </w:r>
            <w:r w:rsidR="501E5E53" w:rsidRPr="00D07F86">
              <w:rPr>
                <w:szCs w:val="18"/>
              </w:rPr>
              <w:t xml:space="preserve"> </w:t>
            </w:r>
            <w:r w:rsidR="001A15E9">
              <w:rPr>
                <w:szCs w:val="18"/>
              </w:rPr>
              <w:t>(</w:t>
            </w:r>
            <w:r w:rsidR="501E5E53" w:rsidRPr="00D25EFE">
              <w:t>or close to met</w:t>
            </w:r>
            <w:r w:rsidR="001A15E9">
              <w:rPr>
                <w:szCs w:val="18"/>
              </w:rPr>
              <w:t>)</w:t>
            </w:r>
            <w:r w:rsidR="501E5E53" w:rsidRPr="00D25EFE">
              <w:t xml:space="preserve"> in the last three quarters (86%, 87% and 83%). The first quarter was affected by operational resourcing</w:t>
            </w:r>
            <w:r w:rsidR="007E7639" w:rsidRPr="00D25EFE">
              <w:t xml:space="preserve"> constraints</w:t>
            </w:r>
            <w:r w:rsidR="501E5E53" w:rsidRPr="00D25EFE">
              <w:t xml:space="preserve">, due to inspector leave and preparation for </w:t>
            </w:r>
            <w:r w:rsidR="00930631" w:rsidRPr="00D25EFE">
              <w:t>the</w:t>
            </w:r>
            <w:r w:rsidR="501E5E53" w:rsidRPr="00D25EFE">
              <w:t xml:space="preserve"> international Integrated Regulatory Review Service </w:t>
            </w:r>
            <w:r w:rsidR="00930631" w:rsidRPr="00D25EFE">
              <w:t>mission</w:t>
            </w:r>
            <w:r w:rsidR="501E5E53" w:rsidRPr="00D25EFE">
              <w:t>.</w:t>
            </w:r>
          </w:p>
          <w:p w14:paraId="49586570" w14:textId="2F55942F" w:rsidR="00F5034B" w:rsidRPr="00D25EFE" w:rsidRDefault="20512625" w:rsidP="003774AD">
            <w:pPr>
              <w:jc w:val="left"/>
            </w:pPr>
            <w:r w:rsidRPr="00D25EFE">
              <w:t>The e</w:t>
            </w:r>
            <w:r w:rsidR="00730473" w:rsidRPr="00D25EFE">
              <w:t>ight (</w:t>
            </w:r>
            <w:r w:rsidR="501E5E53" w:rsidRPr="00D25EFE">
              <w:t>of 39</w:t>
            </w:r>
            <w:r w:rsidR="00730473" w:rsidRPr="00D25EFE">
              <w:t>)</w:t>
            </w:r>
            <w:r w:rsidR="501E5E53" w:rsidRPr="00D25EFE">
              <w:t xml:space="preserve"> inspections w</w:t>
            </w:r>
            <w:r w:rsidRPr="00D25EFE">
              <w:t>hich w</w:t>
            </w:r>
            <w:r w:rsidR="501E5E53" w:rsidRPr="00D25EFE">
              <w:t>ere not carried out in accordance with the schedule</w:t>
            </w:r>
            <w:r w:rsidR="00730473" w:rsidRPr="00D25EFE">
              <w:t xml:space="preserve">, </w:t>
            </w:r>
            <w:r w:rsidR="64B5D547" w:rsidRPr="00D25EFE">
              <w:t>were</w:t>
            </w:r>
            <w:r w:rsidRPr="00D25EFE">
              <w:t xml:space="preserve"> </w:t>
            </w:r>
            <w:r w:rsidR="501E5E53" w:rsidRPr="00D25EFE">
              <w:t xml:space="preserve">primarily due </w:t>
            </w:r>
            <w:r w:rsidR="001B5B9A" w:rsidRPr="00D25EFE">
              <w:t>to operational</w:t>
            </w:r>
            <w:r w:rsidR="501E5E53" w:rsidRPr="00D25EFE">
              <w:t xml:space="preserve"> resourcing reasons. </w:t>
            </w:r>
            <w:r w:rsidR="00730473" w:rsidRPr="00D25EFE">
              <w:t xml:space="preserve">While </w:t>
            </w:r>
            <w:r w:rsidR="501E5E53" w:rsidRPr="00D25EFE">
              <w:t xml:space="preserve">13 of 52 originally scheduled inspections were not conducted for reasons beyond ARPANSA’s control or </w:t>
            </w:r>
            <w:r w:rsidR="00730473" w:rsidRPr="00D25EFE">
              <w:t xml:space="preserve">moved </w:t>
            </w:r>
            <w:r w:rsidR="501E5E53" w:rsidRPr="00D25EFE">
              <w:t>in accordance with our procedures</w:t>
            </w:r>
            <w:r w:rsidR="003B1D75" w:rsidRPr="00D25EFE">
              <w:t>,</w:t>
            </w:r>
            <w:r w:rsidR="501E5E53" w:rsidRPr="00D25EFE">
              <w:t xml:space="preserve"> 11 additional inspections were conducted which included re-scheduled inspections</w:t>
            </w:r>
            <w:r w:rsidR="004140F1" w:rsidRPr="00D25EFE">
              <w:t xml:space="preserve"> and augmented inspections</w:t>
            </w:r>
            <w:r w:rsidR="501E5E53" w:rsidRPr="00D25EFE">
              <w:t>.</w:t>
            </w:r>
          </w:p>
        </w:tc>
      </w:tr>
      <w:tr w:rsidR="00F5034B" w:rsidRPr="00110D4B" w14:paraId="2946DB82" w14:textId="77777777" w:rsidTr="00D63C9F">
        <w:trPr>
          <w:trHeight w:val="2299"/>
        </w:trPr>
        <w:tc>
          <w:tcPr>
            <w:tcW w:w="4814" w:type="dxa"/>
            <w:tcBorders>
              <w:bottom w:val="single" w:sz="18" w:space="0" w:color="auto"/>
            </w:tcBorders>
            <w:vAlign w:val="top"/>
          </w:tcPr>
          <w:p w14:paraId="67813075" w14:textId="4C0F549C" w:rsidR="00F5034B" w:rsidRPr="007E6906" w:rsidRDefault="6F9414C3" w:rsidP="003774AD">
            <w:pPr>
              <w:jc w:val="left"/>
              <w:rPr>
                <w:b/>
              </w:rPr>
            </w:pPr>
            <w:r w:rsidRPr="007E6906">
              <w:rPr>
                <w:b/>
              </w:rPr>
              <w:t>PI 2.1 Applications are assessed within agreed timeframes.</w:t>
            </w:r>
          </w:p>
          <w:p w14:paraId="3393399F" w14:textId="034087E5" w:rsidR="00F5034B" w:rsidRPr="007E6906" w:rsidRDefault="6F9414C3" w:rsidP="00315E85">
            <w:pPr>
              <w:spacing w:before="120"/>
              <w:jc w:val="left"/>
            </w:pPr>
            <w:r w:rsidRPr="007E6906">
              <w:t xml:space="preserve">ARPANSA reviews and takes decisions in relation to applications for new licences, amendment of licences, and for other special approvals under the </w:t>
            </w:r>
            <w:r w:rsidR="00224F5D" w:rsidRPr="007E6906">
              <w:t>ARPANSA</w:t>
            </w:r>
            <w:r w:rsidRPr="007E6906">
              <w:t xml:space="preserve"> Regulations. The complexity of applications varies widely. Using a risk-informed approach and in consultation with licence applicants or licence holders, regulatory staff will prioritise resources and establish a date for completion of the application assessment. This assists the licence holder in planning, avoiding impediments to business. </w:t>
            </w:r>
          </w:p>
          <w:p w14:paraId="5997CC1D" w14:textId="3990DF19" w:rsidR="00F5034B" w:rsidRPr="00D25EFE" w:rsidRDefault="6F9414C3" w:rsidP="003774AD">
            <w:pPr>
              <w:jc w:val="left"/>
              <w:rPr>
                <w:b/>
              </w:rPr>
            </w:pPr>
            <w:r w:rsidRPr="007E6906">
              <w:t>ARPANSA will measure the percentage of applications which are assessed within this agreed timeframe [Quantitative].</w:t>
            </w:r>
          </w:p>
        </w:tc>
        <w:tc>
          <w:tcPr>
            <w:tcW w:w="4814" w:type="dxa"/>
            <w:tcBorders>
              <w:bottom w:val="single" w:sz="18" w:space="0" w:color="auto"/>
            </w:tcBorders>
            <w:vAlign w:val="top"/>
          </w:tcPr>
          <w:p w14:paraId="1F9B6764" w14:textId="0122A0D3" w:rsidR="00B15317" w:rsidRPr="00702960" w:rsidRDefault="00B15317" w:rsidP="003774AD">
            <w:pPr>
              <w:pStyle w:val="Tabletext"/>
              <w:jc w:val="left"/>
              <w:rPr>
                <w:b/>
              </w:rPr>
            </w:pPr>
            <w:r w:rsidRPr="00702960">
              <w:rPr>
                <w:b/>
              </w:rPr>
              <w:t xml:space="preserve">Target </w:t>
            </w:r>
            <w:r w:rsidR="006E458F">
              <w:rPr>
                <w:b/>
              </w:rPr>
              <w:t>m</w:t>
            </w:r>
            <w:r w:rsidR="006E458F" w:rsidRPr="00702960">
              <w:rPr>
                <w:b/>
              </w:rPr>
              <w:t>et</w:t>
            </w:r>
          </w:p>
          <w:p w14:paraId="1A7B86B3" w14:textId="115446F4" w:rsidR="00583E9E" w:rsidRPr="00702960" w:rsidRDefault="00085F25" w:rsidP="00315E85">
            <w:pPr>
              <w:tabs>
                <w:tab w:val="left" w:pos="175"/>
              </w:tabs>
              <w:autoSpaceDE w:val="0"/>
              <w:autoSpaceDN w:val="0"/>
              <w:adjustRightInd w:val="0"/>
              <w:spacing w:before="120"/>
              <w:jc w:val="left"/>
            </w:pPr>
            <w:r>
              <w:t xml:space="preserve">A total of </w:t>
            </w:r>
            <w:r w:rsidR="6F9414C3" w:rsidRPr="00702960">
              <w:t>8</w:t>
            </w:r>
            <w:r w:rsidR="007E7639" w:rsidRPr="00702960">
              <w:t>8</w:t>
            </w:r>
            <w:r w:rsidR="6F9414C3" w:rsidRPr="00702960">
              <w:t xml:space="preserve">% (28/32) </w:t>
            </w:r>
            <w:r w:rsidR="00270B0C" w:rsidRPr="00702960">
              <w:t>of applications</w:t>
            </w:r>
            <w:r w:rsidR="6F9414C3" w:rsidRPr="00702960">
              <w:t xml:space="preserve"> </w:t>
            </w:r>
            <w:r w:rsidR="00270B0C" w:rsidRPr="00702960">
              <w:t xml:space="preserve">assessed (completed) </w:t>
            </w:r>
            <w:r w:rsidR="007778A7" w:rsidRPr="00702960">
              <w:t>during this reporting period were assessed within the timeframe agreed with applicants</w:t>
            </w:r>
            <w:r w:rsidR="6F9414C3" w:rsidRPr="00702960">
              <w:t>. This exceeded the target of 75%.</w:t>
            </w:r>
          </w:p>
          <w:p w14:paraId="16C02B0C" w14:textId="086CB434" w:rsidR="008C2C4D" w:rsidRPr="00702960" w:rsidRDefault="008C2C4D" w:rsidP="003774AD">
            <w:pPr>
              <w:tabs>
                <w:tab w:val="left" w:pos="175"/>
              </w:tabs>
              <w:autoSpaceDE w:val="0"/>
              <w:autoSpaceDN w:val="0"/>
              <w:adjustRightInd w:val="0"/>
              <w:jc w:val="left"/>
            </w:pPr>
            <w:r w:rsidRPr="00702960">
              <w:t>This measure was met for a number of significant applications including:</w:t>
            </w:r>
          </w:p>
          <w:p w14:paraId="71F6FA95" w14:textId="288078A6" w:rsidR="008C2C4D" w:rsidRPr="00702960" w:rsidRDefault="00010729" w:rsidP="003774AD">
            <w:pPr>
              <w:pStyle w:val="ListParagraph"/>
              <w:numPr>
                <w:ilvl w:val="0"/>
                <w:numId w:val="27"/>
              </w:numPr>
              <w:autoSpaceDE w:val="0"/>
              <w:autoSpaceDN w:val="0"/>
              <w:adjustRightInd w:val="0"/>
              <w:spacing w:before="60"/>
              <w:jc w:val="left"/>
            </w:pPr>
            <w:r>
              <w:t>a</w:t>
            </w:r>
            <w:r w:rsidR="00930631" w:rsidRPr="00702960">
              <w:t xml:space="preserve"> n</w:t>
            </w:r>
            <w:r w:rsidR="00FD1FB7" w:rsidRPr="00702960">
              <w:t xml:space="preserve">ew facility licence for operational phase of the </w:t>
            </w:r>
            <w:r w:rsidR="00930631" w:rsidRPr="00702960">
              <w:t>‘</w:t>
            </w:r>
            <w:r w:rsidR="00FD1FB7" w:rsidRPr="00702960">
              <w:t xml:space="preserve">ANSTO Nuclear </w:t>
            </w:r>
            <w:r w:rsidR="00930631" w:rsidRPr="00702960">
              <w:t>M</w:t>
            </w:r>
            <w:r w:rsidR="00FD1FB7" w:rsidRPr="00702960">
              <w:t>edicine</w:t>
            </w:r>
            <w:r w:rsidR="00930631" w:rsidRPr="00702960">
              <w:t>’</w:t>
            </w:r>
            <w:r w:rsidR="00FD1FB7" w:rsidRPr="00702960">
              <w:t xml:space="preserve"> facility</w:t>
            </w:r>
          </w:p>
          <w:p w14:paraId="4D32CE3F" w14:textId="3085C260" w:rsidR="00FD1FB7" w:rsidRPr="00702960" w:rsidRDefault="00AB062B" w:rsidP="003774AD">
            <w:pPr>
              <w:pStyle w:val="ListParagraph"/>
              <w:numPr>
                <w:ilvl w:val="0"/>
                <w:numId w:val="27"/>
              </w:numPr>
              <w:autoSpaceDE w:val="0"/>
              <w:autoSpaceDN w:val="0"/>
              <w:adjustRightInd w:val="0"/>
              <w:spacing w:before="60"/>
              <w:jc w:val="left"/>
            </w:pPr>
            <w:r w:rsidRPr="00702960">
              <w:t>S</w:t>
            </w:r>
            <w:r w:rsidR="00FD1FB7" w:rsidRPr="00702960">
              <w:t>ection 63 change</w:t>
            </w:r>
            <w:r w:rsidRPr="00702960">
              <w:t>s</w:t>
            </w:r>
            <w:r w:rsidR="00FD1FB7" w:rsidRPr="00702960">
              <w:t xml:space="preserve"> </w:t>
            </w:r>
            <w:r w:rsidRPr="00702960">
              <w:t xml:space="preserve">to enhance the </w:t>
            </w:r>
            <w:r w:rsidR="00FD1FB7" w:rsidRPr="00702960">
              <w:t>effective utilisation of the OPAL reactor</w:t>
            </w:r>
            <w:r w:rsidR="36709E5D" w:rsidRPr="00702960">
              <w:t xml:space="preserve"> </w:t>
            </w:r>
          </w:p>
          <w:p w14:paraId="479C225D" w14:textId="11862FE1" w:rsidR="36709E5D" w:rsidRPr="00702960" w:rsidRDefault="00010729" w:rsidP="003774AD">
            <w:pPr>
              <w:pStyle w:val="ListParagraph"/>
              <w:numPr>
                <w:ilvl w:val="0"/>
                <w:numId w:val="27"/>
              </w:numPr>
              <w:autoSpaceDE w:val="0"/>
              <w:autoSpaceDN w:val="0"/>
              <w:adjustRightInd w:val="0"/>
              <w:spacing w:before="60"/>
              <w:jc w:val="left"/>
            </w:pPr>
            <w:r>
              <w:t>a</w:t>
            </w:r>
            <w:r w:rsidRPr="00702960">
              <w:t xml:space="preserve"> </w:t>
            </w:r>
            <w:r w:rsidR="36709E5D" w:rsidRPr="00702960">
              <w:t xml:space="preserve">new licence for Norfolk Island </w:t>
            </w:r>
            <w:r w:rsidR="00A14585">
              <w:t>H</w:t>
            </w:r>
            <w:r w:rsidR="36709E5D" w:rsidRPr="00702960">
              <w:t xml:space="preserve">ealth and </w:t>
            </w:r>
            <w:r w:rsidR="00A14585">
              <w:t>R</w:t>
            </w:r>
            <w:r w:rsidR="36709E5D" w:rsidRPr="00702960">
              <w:t xml:space="preserve">esidential </w:t>
            </w:r>
            <w:r w:rsidR="00A14585">
              <w:t>A</w:t>
            </w:r>
            <w:r w:rsidR="36709E5D" w:rsidRPr="00702960">
              <w:t xml:space="preserve">ged </w:t>
            </w:r>
            <w:r w:rsidR="00A14585">
              <w:t>C</w:t>
            </w:r>
            <w:r w:rsidR="36709E5D" w:rsidRPr="00702960">
              <w:t xml:space="preserve">are </w:t>
            </w:r>
            <w:r w:rsidR="00A14585">
              <w:t>S</w:t>
            </w:r>
            <w:r w:rsidR="36709E5D" w:rsidRPr="00702960">
              <w:t>ervice</w:t>
            </w:r>
            <w:r w:rsidR="58CBB891" w:rsidRPr="00702960">
              <w:t xml:space="preserve">, </w:t>
            </w:r>
            <w:r w:rsidR="4F848055" w:rsidRPr="00702960">
              <w:t>which permits</w:t>
            </w:r>
            <w:r w:rsidR="58CBB891" w:rsidRPr="00702960">
              <w:t xml:space="preserve"> the </w:t>
            </w:r>
            <w:r w:rsidR="4F848055" w:rsidRPr="00702960">
              <w:t xml:space="preserve">use </w:t>
            </w:r>
            <w:r w:rsidR="58CBB891" w:rsidRPr="00702960">
              <w:t>of m</w:t>
            </w:r>
            <w:r w:rsidR="4F848055" w:rsidRPr="00702960">
              <w:t>edical</w:t>
            </w:r>
            <w:r w:rsidR="58CBB891" w:rsidRPr="00702960">
              <w:t xml:space="preserve"> </w:t>
            </w:r>
            <w:r>
              <w:t>X</w:t>
            </w:r>
            <w:r w:rsidR="30E60AA9" w:rsidRPr="00702960">
              <w:t xml:space="preserve">-ray </w:t>
            </w:r>
            <w:r w:rsidR="58CBB891" w:rsidRPr="00702960">
              <w:t>equipment</w:t>
            </w:r>
            <w:r w:rsidR="4F848055" w:rsidRPr="00702960">
              <w:t>.</w:t>
            </w:r>
          </w:p>
          <w:p w14:paraId="110FFD37" w14:textId="418DC370" w:rsidR="00F5034B" w:rsidRPr="00702960" w:rsidRDefault="00FD1FB7" w:rsidP="003774AD">
            <w:pPr>
              <w:tabs>
                <w:tab w:val="left" w:pos="175"/>
              </w:tabs>
              <w:autoSpaceDE w:val="0"/>
              <w:autoSpaceDN w:val="0"/>
              <w:adjustRightInd w:val="0"/>
              <w:jc w:val="left"/>
            </w:pPr>
            <w:r w:rsidRPr="00702960">
              <w:t xml:space="preserve">Applications received priority where there was an impact </w:t>
            </w:r>
            <w:r w:rsidR="007E2462" w:rsidRPr="00702960">
              <w:t xml:space="preserve">on licence holders </w:t>
            </w:r>
            <w:r w:rsidRPr="00702960">
              <w:t xml:space="preserve">such as </w:t>
            </w:r>
            <w:r w:rsidR="00102414" w:rsidRPr="00702960">
              <w:t xml:space="preserve">delaying </w:t>
            </w:r>
            <w:r w:rsidRPr="00702960">
              <w:t>commencing operation</w:t>
            </w:r>
            <w:r w:rsidR="00102414" w:rsidRPr="00702960">
              <w:t>s</w:t>
            </w:r>
            <w:r w:rsidRPr="00702960">
              <w:t xml:space="preserve">. This included allocating resources to these applications </w:t>
            </w:r>
            <w:r w:rsidR="00AB062B" w:rsidRPr="00702960">
              <w:t>and</w:t>
            </w:r>
            <w:r w:rsidRPr="00702960">
              <w:t xml:space="preserve"> prioritising these over routine inspections.</w:t>
            </w:r>
          </w:p>
        </w:tc>
      </w:tr>
      <w:tr w:rsidR="00C032F2" w:rsidRPr="00235FFF" w14:paraId="692F6BAB" w14:textId="77777777" w:rsidTr="00D63C9F">
        <w:tc>
          <w:tcPr>
            <w:tcW w:w="9628" w:type="dxa"/>
            <w:gridSpan w:val="2"/>
            <w:tcBorders>
              <w:top w:val="single" w:sz="18" w:space="0" w:color="auto"/>
              <w:bottom w:val="single" w:sz="18" w:space="0" w:color="auto"/>
            </w:tcBorders>
            <w:shd w:val="clear" w:color="auto" w:fill="CDF1CD" w:themeFill="accent2" w:themeFillTint="33"/>
          </w:tcPr>
          <w:p w14:paraId="685F7C51" w14:textId="3F2C36DF" w:rsidR="00C032F2" w:rsidRPr="00C032F2" w:rsidRDefault="00C032F2" w:rsidP="003774AD">
            <w:pPr>
              <w:jc w:val="left"/>
            </w:pPr>
            <w:r w:rsidRPr="00702960">
              <w:t>Self-assessed rating:</w:t>
            </w:r>
            <w:r>
              <w:t xml:space="preserve"> </w:t>
            </w:r>
            <w:r w:rsidRPr="00702960">
              <w:rPr>
                <w:b/>
              </w:rPr>
              <w:t>Met</w:t>
            </w:r>
          </w:p>
        </w:tc>
      </w:tr>
    </w:tbl>
    <w:p w14:paraId="31E167DF" w14:textId="614B243A" w:rsidR="003774AD" w:rsidRDefault="003774AD" w:rsidP="00F5034B">
      <w:pPr>
        <w:pStyle w:val="Heading3"/>
      </w:pPr>
    </w:p>
    <w:p w14:paraId="44FF3C88" w14:textId="77777777" w:rsidR="003774AD" w:rsidRDefault="003774AD">
      <w:pPr>
        <w:rPr>
          <w:rFonts w:eastAsiaTheme="majorEastAsia" w:cstheme="majorBidi"/>
          <w:b/>
          <w:bCs/>
          <w:i/>
          <w:color w:val="4E1A74"/>
          <w:sz w:val="24"/>
        </w:rPr>
      </w:pPr>
      <w:r>
        <w:br w:type="page"/>
      </w:r>
    </w:p>
    <w:p w14:paraId="434C4317" w14:textId="2F5AAF2E" w:rsidR="00F5034B" w:rsidRDefault="00F5034B" w:rsidP="00F5034B">
      <w:pPr>
        <w:pStyle w:val="Heading3"/>
      </w:pPr>
      <w:r>
        <w:lastRenderedPageBreak/>
        <w:t>Further evidence considered</w:t>
      </w:r>
    </w:p>
    <w:p w14:paraId="09EB8693" w14:textId="02F6FECA" w:rsidR="00B66CA9" w:rsidRDefault="00615127" w:rsidP="006E3715">
      <w:r w:rsidRPr="00692518">
        <w:t>Fees and charges</w:t>
      </w:r>
      <w:r w:rsidR="00B66CA9" w:rsidRPr="5C141E57">
        <w:t>,</w:t>
      </w:r>
      <w:r w:rsidRPr="5C141E57">
        <w:t xml:space="preserve"> </w:t>
      </w:r>
      <w:r w:rsidR="00B66CA9" w:rsidRPr="00692518">
        <w:t xml:space="preserve">which </w:t>
      </w:r>
      <w:r w:rsidRPr="00692518">
        <w:t xml:space="preserve">are set in </w:t>
      </w:r>
      <w:r w:rsidR="343D72FE" w:rsidRPr="00692518">
        <w:t>the Regulations</w:t>
      </w:r>
      <w:r w:rsidR="00B66CA9" w:rsidRPr="00692518">
        <w:t>, can impact licence holder operations</w:t>
      </w:r>
      <w:r w:rsidRPr="00692518">
        <w:t>. To ensure that financial impact to licence holder</w:t>
      </w:r>
      <w:r w:rsidR="00B66CA9" w:rsidRPr="00692518">
        <w:t>s</w:t>
      </w:r>
      <w:r w:rsidRPr="00692518">
        <w:t xml:space="preserve"> is fair and appropriate, ARPANSA has undertaken a cost recovery project to ensure that financial burden on licence holders is proportionate to the cost of r</w:t>
      </w:r>
      <w:r w:rsidR="5C141E57" w:rsidRPr="00692518">
        <w:t xml:space="preserve">egulating </w:t>
      </w:r>
      <w:r w:rsidR="0AD1D766" w:rsidRPr="00692518">
        <w:t>th</w:t>
      </w:r>
      <w:r w:rsidR="5C141E57">
        <w:t>at</w:t>
      </w:r>
      <w:r w:rsidR="0AD1D766" w:rsidRPr="00692518">
        <w:t xml:space="preserve"> lic</w:t>
      </w:r>
      <w:r w:rsidR="5C141E57">
        <w:t>en</w:t>
      </w:r>
      <w:r w:rsidR="0AD1D766" w:rsidRPr="00692518">
        <w:t>ce holder</w:t>
      </w:r>
      <w:r w:rsidRPr="5C141E57">
        <w:t xml:space="preserve">. </w:t>
      </w:r>
    </w:p>
    <w:p w14:paraId="43DA9082" w14:textId="70220B5F" w:rsidR="004067D8" w:rsidRDefault="00615127" w:rsidP="006E3715">
      <w:r>
        <w:t>As a result of this work</w:t>
      </w:r>
      <w:r w:rsidR="007E7639">
        <w:t>,</w:t>
      </w:r>
      <w:r>
        <w:t xml:space="preserve"> more than half of source licence </w:t>
      </w:r>
      <w:r w:rsidR="007A0364">
        <w:t>holders</w:t>
      </w:r>
      <w:r w:rsidR="24DC2BE8">
        <w:t>’</w:t>
      </w:r>
      <w:r w:rsidR="007A0364">
        <w:t xml:space="preserve"> fees were reduced, while the fees of licence holders with the most complex facilities were increased </w:t>
      </w:r>
      <w:r w:rsidR="003B1D75">
        <w:t xml:space="preserve">in </w:t>
      </w:r>
      <w:r w:rsidR="007A0364">
        <w:t>proportion to the effort spent on regulation of these licence holders. This helps to ensure that ARPANSA does not place an unnecessary financial burden on licence holders, particularly licence holders with low numbers of sources.</w:t>
      </w:r>
    </w:p>
    <w:p w14:paraId="58B51610" w14:textId="018A21FD" w:rsidR="0030652D" w:rsidRDefault="004067D8" w:rsidP="006E3715">
      <w:r>
        <w:t xml:space="preserve">As discussed under </w:t>
      </w:r>
      <w:r>
        <w:fldChar w:fldCharType="begin"/>
      </w:r>
      <w:r>
        <w:instrText xml:space="preserve"> REF _Ref15552503 \r \h </w:instrText>
      </w:r>
      <w:r>
        <w:fldChar w:fldCharType="separate"/>
      </w:r>
      <w:r>
        <w:t>KPI 5</w:t>
      </w:r>
      <w:r>
        <w:fldChar w:fldCharType="end"/>
      </w:r>
      <w:r>
        <w:t xml:space="preserve">, </w:t>
      </w:r>
      <w:r w:rsidRPr="0030652D">
        <w:t>ARPANSA publishes a range</w:t>
      </w:r>
      <w:r>
        <w:t xml:space="preserve"> of</w:t>
      </w:r>
      <w:r w:rsidRPr="0030652D">
        <w:t xml:space="preserve"> guides, codes and</w:t>
      </w:r>
      <w:r>
        <w:t xml:space="preserve"> other</w:t>
      </w:r>
      <w:r w:rsidRPr="0030652D">
        <w:t xml:space="preserve"> </w:t>
      </w:r>
      <w:r>
        <w:t>publications.</w:t>
      </w:r>
      <w:r w:rsidRPr="0030652D">
        <w:t xml:space="preserve"> </w:t>
      </w:r>
      <w:r>
        <w:t xml:space="preserve">Clear guidance and requirement documentation assist the licence holder in preparing an appropriate application, which can reduce </w:t>
      </w:r>
      <w:r w:rsidRPr="004F3129">
        <w:t>unnecessary</w:t>
      </w:r>
      <w:r>
        <w:t xml:space="preserve"> burden and improve processing times. These </w:t>
      </w:r>
      <w:r w:rsidRPr="0030652D">
        <w:t>set out</w:t>
      </w:r>
      <w:r>
        <w:t xml:space="preserve"> clear</w:t>
      </w:r>
      <w:r w:rsidRPr="0030652D">
        <w:t xml:space="preserve"> expectations</w:t>
      </w:r>
      <w:r>
        <w:t>,</w:t>
      </w:r>
      <w:r w:rsidRPr="0030652D">
        <w:t xml:space="preserve"> </w:t>
      </w:r>
      <w:r>
        <w:t xml:space="preserve">such as </w:t>
      </w:r>
      <w:hyperlink r:id="rId26" w:anchor="applying-for-a-licence" w:history="1">
        <w:r>
          <w:rPr>
            <w:rStyle w:val="Hyperlink"/>
          </w:rPr>
          <w:t>how to a</w:t>
        </w:r>
        <w:r w:rsidRPr="004067D8">
          <w:rPr>
            <w:rStyle w:val="Hyperlink"/>
          </w:rPr>
          <w:t>pp</w:t>
        </w:r>
        <w:r>
          <w:rPr>
            <w:rStyle w:val="Hyperlink"/>
          </w:rPr>
          <w:t>ly</w:t>
        </w:r>
      </w:hyperlink>
      <w:r>
        <w:t xml:space="preserve"> for a licence and the </w:t>
      </w:r>
      <w:r w:rsidR="00415DE2">
        <w:t>information and</w:t>
      </w:r>
      <w:r>
        <w:t xml:space="preserve"> </w:t>
      </w:r>
      <w:hyperlink r:id="rId27" w:anchor="plans-and-arrangements-for-managing-safety" w:history="1">
        <w:r w:rsidRPr="004067D8">
          <w:rPr>
            <w:rStyle w:val="Hyperlink"/>
          </w:rPr>
          <w:t>documentation require</w:t>
        </w:r>
        <w:r>
          <w:rPr>
            <w:rStyle w:val="Hyperlink"/>
          </w:rPr>
          <w:t>d</w:t>
        </w:r>
      </w:hyperlink>
      <w:r>
        <w:t xml:space="preserve">. </w:t>
      </w:r>
    </w:p>
    <w:p w14:paraId="4C6BF41A" w14:textId="721855CC" w:rsidR="00F5034B" w:rsidRDefault="003D31AF" w:rsidP="00F5034B">
      <w:pPr>
        <w:pStyle w:val="Heading3"/>
      </w:pPr>
      <w:r>
        <w:t>Strengths</w:t>
      </w:r>
    </w:p>
    <w:p w14:paraId="79D1753D" w14:textId="74230557" w:rsidR="00B66CA9" w:rsidRDefault="00B66CA9" w:rsidP="00B66CA9">
      <w:pPr>
        <w:pStyle w:val="Heading4"/>
      </w:pPr>
      <w:r>
        <w:t xml:space="preserve">Self-assessment tool </w:t>
      </w:r>
    </w:p>
    <w:p w14:paraId="28BBEB84" w14:textId="50A23795" w:rsidR="003D31AF" w:rsidRPr="00692518" w:rsidRDefault="003D31AF" w:rsidP="003774AD">
      <w:r w:rsidRPr="00692518">
        <w:t xml:space="preserve">ARPANSA has developed a self-assessment tool, similar to the e-inspection program, to assist licence holders </w:t>
      </w:r>
      <w:r w:rsidR="00396B07">
        <w:t xml:space="preserve">in </w:t>
      </w:r>
      <w:r w:rsidRPr="00692518">
        <w:t>assess</w:t>
      </w:r>
      <w:r w:rsidR="00396B07">
        <w:t>ing</w:t>
      </w:r>
      <w:r w:rsidRPr="00692518">
        <w:t xml:space="preserve"> their compliance outside of the inspection cycle. This tool is currently being tested by small and medium sized licence holders, prior to release of the tool</w:t>
      </w:r>
      <w:r w:rsidR="42C52D68" w:rsidRPr="00692518">
        <w:t>.</w:t>
      </w:r>
      <w:r w:rsidR="2B9B959C" w:rsidRPr="00692518">
        <w:t xml:space="preserve"> </w:t>
      </w:r>
      <w:r w:rsidR="42C52D68" w:rsidRPr="00692518">
        <w:t>M</w:t>
      </w:r>
      <w:r w:rsidR="2B9B959C" w:rsidRPr="00692518">
        <w:t xml:space="preserve">aking </w:t>
      </w:r>
      <w:r w:rsidR="42C52D68" w:rsidRPr="00692518">
        <w:t>th</w:t>
      </w:r>
      <w:r w:rsidR="709E6A39" w:rsidRPr="00692518">
        <w:t>e tool</w:t>
      </w:r>
      <w:r w:rsidR="2B9B959C" w:rsidRPr="00692518">
        <w:t xml:space="preserve"> available to licence holders an</w:t>
      </w:r>
      <w:r w:rsidR="42C52D68" w:rsidRPr="00692518">
        <w:t xml:space="preserve">d </w:t>
      </w:r>
      <w:r w:rsidR="007E7639">
        <w:t xml:space="preserve">the </w:t>
      </w:r>
      <w:r w:rsidR="42C52D68" w:rsidRPr="00692518">
        <w:t>public</w:t>
      </w:r>
      <w:r w:rsidR="709E6A39" w:rsidRPr="00692518">
        <w:t xml:space="preserve"> can have </w:t>
      </w:r>
      <w:r w:rsidRPr="00692518">
        <w:t>a significant potential benefit to licence holders</w:t>
      </w:r>
      <w:r w:rsidR="39024493" w:rsidRPr="00692518">
        <w:t>,</w:t>
      </w:r>
      <w:r w:rsidR="007A0364" w:rsidRPr="00692518">
        <w:t xml:space="preserve"> </w:t>
      </w:r>
      <w:r w:rsidR="00B66CA9" w:rsidRPr="00692518">
        <w:t xml:space="preserve">as </w:t>
      </w:r>
      <w:r w:rsidR="007A0364" w:rsidRPr="00692518">
        <w:t>it allows for organisations to ‘self-regulate’</w:t>
      </w:r>
      <w:r w:rsidR="00B66CA9" w:rsidRPr="00692518">
        <w:t xml:space="preserve"> more effectively</w:t>
      </w:r>
      <w:r w:rsidR="7BC19B8F" w:rsidRPr="00692518">
        <w:t xml:space="preserve">, </w:t>
      </w:r>
      <w:r w:rsidR="39024493" w:rsidRPr="00692518">
        <w:t>decreasing the regulatory burden associated with regulatory inspections</w:t>
      </w:r>
      <w:r w:rsidR="007A0364" w:rsidRPr="00692518">
        <w:t>.</w:t>
      </w:r>
    </w:p>
    <w:p w14:paraId="6CBABEEC" w14:textId="1BD9FC52" w:rsidR="00B66CA9" w:rsidRDefault="00B66CA9" w:rsidP="00B66CA9">
      <w:pPr>
        <w:pStyle w:val="Heading4"/>
      </w:pPr>
      <w:r>
        <w:t>Application</w:t>
      </w:r>
      <w:r w:rsidR="50E84398">
        <w:t xml:space="preserve"> timeframes</w:t>
      </w:r>
    </w:p>
    <w:p w14:paraId="1C607965" w14:textId="2FAC496C" w:rsidR="003D31AF" w:rsidRPr="00692518" w:rsidRDefault="003D31AF" w:rsidP="003774AD">
      <w:r w:rsidRPr="00692518">
        <w:t>The majority of</w:t>
      </w:r>
      <w:r w:rsidR="00270B0C">
        <w:t xml:space="preserve"> </w:t>
      </w:r>
      <w:r w:rsidRPr="00692518">
        <w:t>applications</w:t>
      </w:r>
      <w:r w:rsidR="00270B0C">
        <w:t xml:space="preserve"> (e.g. licence applications, or requests for other approvals) </w:t>
      </w:r>
      <w:r w:rsidRPr="00692518">
        <w:t xml:space="preserve">are unique </w:t>
      </w:r>
      <w:r w:rsidR="00896F6F">
        <w:t>which</w:t>
      </w:r>
      <w:r w:rsidR="74BB5086" w:rsidRPr="00692518">
        <w:t xml:space="preserve"> presents difficulties in </w:t>
      </w:r>
      <w:r w:rsidRPr="00692518">
        <w:t>set</w:t>
      </w:r>
      <w:r w:rsidR="61175793" w:rsidRPr="00692518">
        <w:t>t</w:t>
      </w:r>
      <w:r w:rsidR="74BB5086" w:rsidRPr="00692518">
        <w:t>ing</w:t>
      </w:r>
      <w:r w:rsidRPr="00692518">
        <w:t xml:space="preserve"> </w:t>
      </w:r>
      <w:r w:rsidR="61175793" w:rsidRPr="00692518">
        <w:t xml:space="preserve">general </w:t>
      </w:r>
      <w:r w:rsidRPr="00692518">
        <w:t xml:space="preserve">timeframes for applications. However, the high performance against this </w:t>
      </w:r>
      <w:r w:rsidR="1D0370DC" w:rsidRPr="00692518">
        <w:t>K</w:t>
      </w:r>
      <w:r w:rsidRPr="00692518">
        <w:t xml:space="preserve">PI is a </w:t>
      </w:r>
      <w:r w:rsidR="50E84398" w:rsidRPr="00692518">
        <w:t>significant</w:t>
      </w:r>
      <w:r w:rsidRPr="00692518">
        <w:t xml:space="preserve"> achievement. Failure to meet target dates </w:t>
      </w:r>
      <w:r w:rsidR="003D7313" w:rsidRPr="00692518">
        <w:t>can occur</w:t>
      </w:r>
      <w:r w:rsidRPr="00692518">
        <w:t xml:space="preserve"> for a variety of reasons such as incomplete information in an application, technical complexity and the availability </w:t>
      </w:r>
      <w:r w:rsidR="007E2462">
        <w:t xml:space="preserve">of </w:t>
      </w:r>
      <w:r w:rsidRPr="00692518">
        <w:t xml:space="preserve">specialist expertise to review an application. </w:t>
      </w:r>
    </w:p>
    <w:p w14:paraId="67804D12" w14:textId="77777777" w:rsidR="003B4D69" w:rsidRDefault="003B4D69" w:rsidP="003B4D69">
      <w:pPr>
        <w:pStyle w:val="Heading3"/>
      </w:pPr>
      <w:r>
        <w:t>Identified opportunities for improvement</w:t>
      </w:r>
    </w:p>
    <w:p w14:paraId="7FD1C395" w14:textId="6268CEBB" w:rsidR="003D31AF" w:rsidRDefault="009C60FA" w:rsidP="009C60FA">
      <w:pPr>
        <w:pStyle w:val="Heading4"/>
      </w:pPr>
      <w:r>
        <w:t>Data management</w:t>
      </w:r>
    </w:p>
    <w:p w14:paraId="5825DF7F" w14:textId="63E791D8" w:rsidR="003D31AF" w:rsidRPr="00692518" w:rsidRDefault="00C73950" w:rsidP="003774AD">
      <w:r w:rsidRPr="00692518">
        <w:t>D</w:t>
      </w:r>
      <w:r w:rsidR="003D31AF" w:rsidRPr="00692518">
        <w:t>ata</w:t>
      </w:r>
      <w:r w:rsidR="009C60FA" w:rsidRPr="00692518">
        <w:t xml:space="preserve"> </w:t>
      </w:r>
      <w:r w:rsidR="007757D8">
        <w:t>available to regulatory staff</w:t>
      </w:r>
      <w:r w:rsidR="009C60FA" w:rsidRPr="00692518">
        <w:t xml:space="preserve"> are fragmented across </w:t>
      </w:r>
      <w:r w:rsidR="00963076" w:rsidRPr="00692518">
        <w:t xml:space="preserve">different data sources and </w:t>
      </w:r>
      <w:r w:rsidR="003D31AF" w:rsidRPr="00692518">
        <w:t>management tools</w:t>
      </w:r>
      <w:r w:rsidRPr="00692518">
        <w:t>.</w:t>
      </w:r>
      <w:r w:rsidR="003D31AF" w:rsidRPr="00692518">
        <w:t xml:space="preserve"> </w:t>
      </w:r>
      <w:r w:rsidR="003571EE">
        <w:br/>
      </w:r>
      <w:r w:rsidR="00963076" w:rsidRPr="00692518">
        <w:t>For example, elements of the application</w:t>
      </w:r>
      <w:r w:rsidR="00733302" w:rsidRPr="00692518">
        <w:t>, inspection</w:t>
      </w:r>
      <w:r w:rsidR="00963076" w:rsidRPr="00692518">
        <w:t xml:space="preserve"> and compliance enforcement process are recorded in </w:t>
      </w:r>
      <w:r w:rsidR="007E2462">
        <w:t xml:space="preserve">the </w:t>
      </w:r>
      <w:r w:rsidR="00692518" w:rsidRPr="00692518">
        <w:t>record</w:t>
      </w:r>
      <w:r w:rsidR="007E2462">
        <w:t>s</w:t>
      </w:r>
      <w:r w:rsidR="00692518" w:rsidRPr="00692518">
        <w:t xml:space="preserve"> manage</w:t>
      </w:r>
      <w:r w:rsidR="007E2462">
        <w:t>ment system</w:t>
      </w:r>
      <w:r w:rsidR="00692518" w:rsidRPr="00692518">
        <w:t xml:space="preserve"> (</w:t>
      </w:r>
      <w:r w:rsidR="00E269C3">
        <w:t>HPERM</w:t>
      </w:r>
      <w:r w:rsidR="00692518" w:rsidRPr="00692518">
        <w:t>)</w:t>
      </w:r>
      <w:r w:rsidR="00963076" w:rsidRPr="00692518">
        <w:t>, the Licence Administration Database, SharePoint (IS</w:t>
      </w:r>
      <w:r w:rsidR="00B01704" w:rsidRPr="00692518">
        <w:t>A</w:t>
      </w:r>
      <w:r w:rsidR="00963076" w:rsidRPr="00692518">
        <w:t>AC)</w:t>
      </w:r>
      <w:r w:rsidR="00733302" w:rsidRPr="00692518">
        <w:t>, and ad hoc tools such as spreadsheets</w:t>
      </w:r>
      <w:r w:rsidR="00963076" w:rsidRPr="00692518">
        <w:t xml:space="preserve">. It was difficult in some instances to clearly identify where the relevant information was stored in the management system, such as to identify when or how a timeframe for an application had been established. </w:t>
      </w:r>
      <w:r w:rsidR="00733302" w:rsidRPr="00692518">
        <w:t>A</w:t>
      </w:r>
      <w:r w:rsidR="003B1D75">
        <w:t>n agency-wide</w:t>
      </w:r>
      <w:r w:rsidR="00733302" w:rsidRPr="00692518">
        <w:t xml:space="preserve"> project to replace the platforms and systems </w:t>
      </w:r>
      <w:r w:rsidR="4A97075C" w:rsidRPr="00692518">
        <w:t>is u</w:t>
      </w:r>
      <w:r w:rsidR="00733302" w:rsidRPr="00692518">
        <w:t xml:space="preserve">nderway which could address these issues. </w:t>
      </w:r>
      <w:r w:rsidR="01131E91" w:rsidRPr="00692518">
        <w:t xml:space="preserve">This </w:t>
      </w:r>
      <w:r w:rsidR="58BF6B50" w:rsidRPr="00692518">
        <w:t xml:space="preserve">project </w:t>
      </w:r>
      <w:r w:rsidR="01131E91" w:rsidRPr="00692518">
        <w:t>pres</w:t>
      </w:r>
      <w:r w:rsidR="58BF6B50" w:rsidRPr="00692518">
        <w:t>en</w:t>
      </w:r>
      <w:r w:rsidR="01131E91" w:rsidRPr="00692518">
        <w:t>ts an op</w:t>
      </w:r>
      <w:r w:rsidR="58BF6B50" w:rsidRPr="00692518">
        <w:t>po</w:t>
      </w:r>
      <w:r w:rsidR="01131E91" w:rsidRPr="00692518">
        <w:t xml:space="preserve">rtunity to </w:t>
      </w:r>
      <w:r w:rsidR="003B1D75">
        <w:t>significant</w:t>
      </w:r>
      <w:r w:rsidR="00AB6342">
        <w:t>ly</w:t>
      </w:r>
      <w:r w:rsidR="003B1D75">
        <w:t xml:space="preserve"> add to ARPANSA’s </w:t>
      </w:r>
      <w:r w:rsidR="01131E91" w:rsidRPr="00692518">
        <w:t>regulatory oversight capability</w:t>
      </w:r>
      <w:r w:rsidR="58BF6B50" w:rsidRPr="00692518">
        <w:t>.</w:t>
      </w:r>
      <w:r w:rsidR="01131E91" w:rsidRPr="00692518">
        <w:t xml:space="preserve"> </w:t>
      </w:r>
      <w:r w:rsidR="00733302" w:rsidRPr="00692518">
        <w:t xml:space="preserve">However, the project has not yet progressed to the stage where a </w:t>
      </w:r>
      <w:r w:rsidR="003B1D75">
        <w:t xml:space="preserve">detailed </w:t>
      </w:r>
      <w:r w:rsidR="00733302" w:rsidRPr="00692518">
        <w:t>scope or timeline for implementation could be provided. It is recommended that this project be appropriately prioritised.</w:t>
      </w:r>
      <w:r w:rsidR="58BF6B50" w:rsidRPr="00692518">
        <w:t xml:space="preserve"> </w:t>
      </w:r>
      <w:r w:rsidR="5E4BC4CD" w:rsidRPr="00692518">
        <w:t>Some of the costs associated with the implementation of this syste</w:t>
      </w:r>
      <w:r w:rsidR="437C67E3" w:rsidRPr="00692518">
        <w:t xml:space="preserve">m may be eligible for cost recovery as part of </w:t>
      </w:r>
      <w:r w:rsidR="1C3C34F9" w:rsidRPr="00692518">
        <w:t>annual charges</w:t>
      </w:r>
      <w:r w:rsidR="003B1D75">
        <w:t>.</w:t>
      </w:r>
      <w:r w:rsidR="437C67E3" w:rsidRPr="00692518">
        <w:t xml:space="preserve"> </w:t>
      </w:r>
    </w:p>
    <w:p w14:paraId="299224C4" w14:textId="4393B12D" w:rsidR="00DC4E6A" w:rsidRDefault="007F6900" w:rsidP="00DC4E6A">
      <w:pPr>
        <w:pStyle w:val="Heading4"/>
      </w:pPr>
      <w:r>
        <w:lastRenderedPageBreak/>
        <w:t>Management of w</w:t>
      </w:r>
      <w:r w:rsidR="00DC4E6A">
        <w:t>orkflow</w:t>
      </w:r>
    </w:p>
    <w:p w14:paraId="31300AB1" w14:textId="6A704755" w:rsidR="006F23FA" w:rsidRPr="00C032F2" w:rsidRDefault="51178159">
      <w:r w:rsidRPr="00692518">
        <w:t>Following</w:t>
      </w:r>
      <w:r w:rsidR="00DC4E6A" w:rsidRPr="00692518">
        <w:t xml:space="preserve"> interviews with ARPANSA staff</w:t>
      </w:r>
      <w:r w:rsidR="5CD12E90" w:rsidRPr="00692518">
        <w:t>,</w:t>
      </w:r>
      <w:r w:rsidR="00DC4E6A" w:rsidRPr="00692518">
        <w:t xml:space="preserve"> the team identified that approval and review process</w:t>
      </w:r>
      <w:r w:rsidR="00896F6F">
        <w:t>es</w:t>
      </w:r>
      <w:r w:rsidR="00DC4E6A" w:rsidRPr="00692518">
        <w:t xml:space="preserve"> were not considered </w:t>
      </w:r>
      <w:r w:rsidR="007757D8">
        <w:t xml:space="preserve">to be </w:t>
      </w:r>
      <w:r w:rsidR="00DC4E6A" w:rsidRPr="00692518">
        <w:t>streamlined and that gaps in the current oversight and tracking of these processes</w:t>
      </w:r>
      <w:r w:rsidR="007757D8">
        <w:t>,</w:t>
      </w:r>
      <w:r w:rsidR="00DC4E6A" w:rsidRPr="00692518">
        <w:t xml:space="preserve"> </w:t>
      </w:r>
      <w:r w:rsidR="003571EE">
        <w:br/>
      </w:r>
      <w:r w:rsidR="00DC4E6A" w:rsidRPr="00692518">
        <w:t>at times</w:t>
      </w:r>
      <w:r w:rsidR="007757D8">
        <w:t>,</w:t>
      </w:r>
      <w:r w:rsidR="00DC4E6A" w:rsidRPr="00692518">
        <w:t xml:space="preserve"> led to </w:t>
      </w:r>
      <w:r w:rsidR="005714B9" w:rsidRPr="00692518">
        <w:t xml:space="preserve">inefficiencies and </w:t>
      </w:r>
      <w:r w:rsidR="00DC4E6A" w:rsidRPr="00692518">
        <w:t>delays. A workflow that tracks from an initiating event through to completion, with appropriate oversight, was considered as a significant potential improvement. It is recommended that options to enhance this process and oversight be investigated and implemented as appropriate.</w:t>
      </w:r>
      <w:bookmarkStart w:id="49" w:name="_Toc12884001"/>
    </w:p>
    <w:p w14:paraId="26ACC8EE" w14:textId="02E246E2" w:rsidR="003B4D69" w:rsidRDefault="00561938" w:rsidP="00C032F2">
      <w:pPr>
        <w:pStyle w:val="Heading2"/>
        <w:spacing w:before="480"/>
      </w:pPr>
      <w:bookmarkStart w:id="50" w:name="_Toc23846608"/>
      <w:bookmarkStart w:id="51" w:name="_Toc25225267"/>
      <w:r w:rsidRPr="00110D4B">
        <w:t>KPI 2 - Communication with regulated entities is clear, targeted and effective</w:t>
      </w:r>
      <w:bookmarkEnd w:id="49"/>
      <w:bookmarkEnd w:id="50"/>
      <w:bookmarkEnd w:id="51"/>
    </w:p>
    <w:p w14:paraId="4D69E755" w14:textId="4025F60A" w:rsidR="00A27A5E" w:rsidRDefault="00D92517" w:rsidP="00A27A5E">
      <w:pPr>
        <w:rPr>
          <w:rFonts w:cs="Times New Roman"/>
          <w:bCs/>
          <w:lang w:eastAsia="en-AU"/>
        </w:rPr>
      </w:pPr>
      <w:r w:rsidRPr="0055303B">
        <w:rPr>
          <w:rFonts w:cs="Times New Roman"/>
          <w:bCs/>
          <w:lang w:eastAsia="en-AU"/>
        </w:rPr>
        <w:t xml:space="preserve">ARPANSA </w:t>
      </w:r>
      <w:r>
        <w:rPr>
          <w:rFonts w:cs="Times New Roman"/>
          <w:bCs/>
          <w:lang w:eastAsia="en-AU"/>
        </w:rPr>
        <w:t xml:space="preserve">uses a </w:t>
      </w:r>
      <w:r w:rsidR="002D5DD1">
        <w:rPr>
          <w:rFonts w:cs="Times New Roman"/>
          <w:bCs/>
          <w:lang w:eastAsia="en-AU"/>
        </w:rPr>
        <w:t xml:space="preserve">wide range </w:t>
      </w:r>
      <w:r>
        <w:rPr>
          <w:rFonts w:cs="Times New Roman"/>
          <w:bCs/>
          <w:lang w:eastAsia="en-AU"/>
        </w:rPr>
        <w:t xml:space="preserve">of </w:t>
      </w:r>
      <w:r w:rsidR="002D5DD1">
        <w:rPr>
          <w:rFonts w:cs="Times New Roman"/>
          <w:bCs/>
          <w:lang w:eastAsia="en-AU"/>
        </w:rPr>
        <w:t xml:space="preserve">communication tools </w:t>
      </w:r>
      <w:r w:rsidR="00926454">
        <w:rPr>
          <w:rFonts w:cs="Times New Roman"/>
          <w:bCs/>
          <w:lang w:eastAsia="en-AU"/>
        </w:rPr>
        <w:t xml:space="preserve">to facilitate </w:t>
      </w:r>
      <w:r w:rsidR="002D5DD1">
        <w:rPr>
          <w:rFonts w:cs="Times New Roman"/>
          <w:bCs/>
          <w:lang w:eastAsia="en-AU"/>
        </w:rPr>
        <w:t>effective communication</w:t>
      </w:r>
      <w:r w:rsidR="00B32CB8">
        <w:rPr>
          <w:rFonts w:cs="Times New Roman"/>
          <w:bCs/>
          <w:lang w:eastAsia="en-AU"/>
        </w:rPr>
        <w:t xml:space="preserve"> with licence holders</w:t>
      </w:r>
      <w:r w:rsidR="002D5DD1">
        <w:rPr>
          <w:rFonts w:cs="Times New Roman"/>
          <w:bCs/>
          <w:lang w:eastAsia="en-AU"/>
        </w:rPr>
        <w:t>.</w:t>
      </w:r>
    </w:p>
    <w:p w14:paraId="471C39EA" w14:textId="7F99125B" w:rsidR="00D92517" w:rsidRPr="006868A0" w:rsidRDefault="005714B9" w:rsidP="00D25EFE">
      <w:pPr>
        <w:spacing w:before="120"/>
        <w:rPr>
          <w:rFonts w:cs="Times New Roman"/>
          <w:lang w:eastAsia="en-AU"/>
        </w:rPr>
      </w:pPr>
      <w:r w:rsidRPr="006868A0">
        <w:rPr>
          <w:rFonts w:cs="Times New Roman"/>
          <w:lang w:eastAsia="en-AU"/>
        </w:rPr>
        <w:t>C</w:t>
      </w:r>
      <w:r w:rsidR="00A27A5E" w:rsidRPr="006868A0">
        <w:rPr>
          <w:rFonts w:cs="Times New Roman"/>
          <w:lang w:eastAsia="en-AU"/>
        </w:rPr>
        <w:t>ommunication practice</w:t>
      </w:r>
      <w:r w:rsidR="00896F6F">
        <w:rPr>
          <w:rFonts w:cs="Times New Roman"/>
          <w:lang w:eastAsia="en-AU"/>
        </w:rPr>
        <w:t>s</w:t>
      </w:r>
      <w:r w:rsidR="00A27A5E" w:rsidRPr="006868A0">
        <w:rPr>
          <w:rFonts w:cs="Times New Roman"/>
          <w:lang w:eastAsia="en-AU"/>
        </w:rPr>
        <w:t xml:space="preserve"> </w:t>
      </w:r>
      <w:r w:rsidRPr="006868A0">
        <w:rPr>
          <w:rFonts w:cs="Times New Roman"/>
          <w:lang w:eastAsia="en-AU"/>
        </w:rPr>
        <w:t xml:space="preserve">include the use of information sharing meetings and </w:t>
      </w:r>
      <w:r w:rsidR="00A27A5E">
        <w:rPr>
          <w:lang w:eastAsia="en-AU"/>
        </w:rPr>
        <w:t>s</w:t>
      </w:r>
      <w:r w:rsidR="00A27A5E" w:rsidRPr="00A27A5E">
        <w:rPr>
          <w:lang w:eastAsia="en-AU"/>
        </w:rPr>
        <w:t>ite visit</w:t>
      </w:r>
      <w:r>
        <w:rPr>
          <w:lang w:eastAsia="en-AU"/>
        </w:rPr>
        <w:t>s</w:t>
      </w:r>
      <w:r w:rsidR="00A27A5E" w:rsidRPr="00A27A5E">
        <w:rPr>
          <w:lang w:eastAsia="en-AU"/>
        </w:rPr>
        <w:t>, which enhance compliance monitoring</w:t>
      </w:r>
      <w:r w:rsidR="4D8AE51E" w:rsidRPr="00A27A5E">
        <w:rPr>
          <w:lang w:eastAsia="en-AU"/>
        </w:rPr>
        <w:t>,</w:t>
      </w:r>
      <w:r w:rsidR="00A27A5E" w:rsidRPr="00A27A5E">
        <w:rPr>
          <w:lang w:eastAsia="en-AU"/>
        </w:rPr>
        <w:t xml:space="preserve"> build </w:t>
      </w:r>
      <w:r w:rsidR="4D8AE51E" w:rsidRPr="00A27A5E">
        <w:rPr>
          <w:lang w:eastAsia="en-AU"/>
        </w:rPr>
        <w:t>inspector knowledge</w:t>
      </w:r>
      <w:r w:rsidR="0854FAF2" w:rsidRPr="00A27A5E">
        <w:rPr>
          <w:lang w:eastAsia="en-AU"/>
        </w:rPr>
        <w:t>,</w:t>
      </w:r>
      <w:r w:rsidR="4D8AE51E" w:rsidRPr="00A27A5E">
        <w:rPr>
          <w:lang w:eastAsia="en-AU"/>
        </w:rPr>
        <w:t xml:space="preserve"> </w:t>
      </w:r>
      <w:r w:rsidR="02EBB9FF" w:rsidRPr="00A27A5E">
        <w:rPr>
          <w:lang w:eastAsia="en-AU"/>
        </w:rPr>
        <w:t>an</w:t>
      </w:r>
      <w:r w:rsidR="0854FAF2" w:rsidRPr="00A27A5E">
        <w:rPr>
          <w:lang w:eastAsia="en-AU"/>
        </w:rPr>
        <w:t>d</w:t>
      </w:r>
      <w:r w:rsidR="02EBB9FF" w:rsidRPr="00A27A5E">
        <w:rPr>
          <w:lang w:eastAsia="en-AU"/>
        </w:rPr>
        <w:t xml:space="preserve"> </w:t>
      </w:r>
      <w:r w:rsidR="0854FAF2" w:rsidRPr="006868A0">
        <w:rPr>
          <w:lang w:eastAsia="en-AU"/>
        </w:rPr>
        <w:t>foster</w:t>
      </w:r>
      <w:r w:rsidR="4D8AE51E" w:rsidRPr="00A27A5E">
        <w:rPr>
          <w:lang w:eastAsia="en-AU"/>
        </w:rPr>
        <w:t xml:space="preserve"> </w:t>
      </w:r>
      <w:r w:rsidR="0854FAF2" w:rsidRPr="006868A0">
        <w:rPr>
          <w:lang w:eastAsia="en-AU"/>
        </w:rPr>
        <w:t xml:space="preserve">an </w:t>
      </w:r>
      <w:r w:rsidR="02EBB9FF" w:rsidRPr="00A27A5E">
        <w:rPr>
          <w:lang w:eastAsia="en-AU"/>
        </w:rPr>
        <w:t xml:space="preserve">open relationship </w:t>
      </w:r>
      <w:r w:rsidR="33F6311F" w:rsidRPr="00A27A5E">
        <w:rPr>
          <w:lang w:eastAsia="en-AU"/>
        </w:rPr>
        <w:t xml:space="preserve">with the </w:t>
      </w:r>
      <w:r w:rsidR="00A27A5E" w:rsidRPr="00A27A5E">
        <w:rPr>
          <w:lang w:eastAsia="en-AU"/>
        </w:rPr>
        <w:t>licence holder</w:t>
      </w:r>
      <w:r>
        <w:rPr>
          <w:lang w:eastAsia="en-AU"/>
        </w:rPr>
        <w:t>. I</w:t>
      </w:r>
      <w:r w:rsidR="002D5DD1" w:rsidRPr="006868A0">
        <w:rPr>
          <w:rFonts w:cs="Times New Roman"/>
          <w:lang w:eastAsia="en-AU"/>
        </w:rPr>
        <w:t>nformation</w:t>
      </w:r>
      <w:r w:rsidR="00E8276B">
        <w:rPr>
          <w:rFonts w:cs="Times New Roman"/>
          <w:lang w:eastAsia="en-AU"/>
        </w:rPr>
        <w:t>-</w:t>
      </w:r>
      <w:r w:rsidR="002D5DD1" w:rsidRPr="006868A0">
        <w:rPr>
          <w:rFonts w:cs="Times New Roman"/>
          <w:lang w:eastAsia="en-AU"/>
        </w:rPr>
        <w:t>sharing m</w:t>
      </w:r>
      <w:r w:rsidR="00D92517" w:rsidRPr="006868A0">
        <w:rPr>
          <w:rFonts w:cs="Times New Roman"/>
          <w:lang w:eastAsia="en-AU"/>
        </w:rPr>
        <w:t>eetings</w:t>
      </w:r>
      <w:r w:rsidR="002D5DD1" w:rsidRPr="006868A0">
        <w:rPr>
          <w:rFonts w:cs="Times New Roman"/>
          <w:lang w:eastAsia="en-AU"/>
        </w:rPr>
        <w:t xml:space="preserve"> </w:t>
      </w:r>
      <w:r w:rsidRPr="006868A0">
        <w:rPr>
          <w:rFonts w:cs="Times New Roman"/>
          <w:lang w:eastAsia="en-AU"/>
        </w:rPr>
        <w:t>include</w:t>
      </w:r>
      <w:r w:rsidR="00D92517" w:rsidRPr="006868A0">
        <w:rPr>
          <w:rFonts w:cs="Times New Roman"/>
          <w:lang w:eastAsia="en-AU"/>
        </w:rPr>
        <w:t xml:space="preserve">: </w:t>
      </w:r>
    </w:p>
    <w:p w14:paraId="20E691FD" w14:textId="078ED3BE" w:rsidR="00D92517" w:rsidRDefault="00E8276B" w:rsidP="00D25EFE">
      <w:pPr>
        <w:pStyle w:val="ListParagraph"/>
        <w:numPr>
          <w:ilvl w:val="1"/>
          <w:numId w:val="35"/>
        </w:numPr>
        <w:spacing w:before="60"/>
        <w:ind w:left="851" w:hanging="284"/>
        <w:rPr>
          <w:rFonts w:cs="Times New Roman"/>
          <w:bCs/>
          <w:lang w:eastAsia="en-AU"/>
        </w:rPr>
      </w:pPr>
      <w:r>
        <w:rPr>
          <w:rFonts w:cs="Times New Roman"/>
          <w:bCs/>
          <w:lang w:eastAsia="en-AU"/>
        </w:rPr>
        <w:t>l</w:t>
      </w:r>
      <w:r w:rsidR="00D92517">
        <w:rPr>
          <w:rFonts w:cs="Times New Roman"/>
          <w:bCs/>
          <w:lang w:eastAsia="en-AU"/>
        </w:rPr>
        <w:t xml:space="preserve">icence holder meetings </w:t>
      </w:r>
      <w:r w:rsidR="005714B9">
        <w:rPr>
          <w:rFonts w:cs="Times New Roman"/>
          <w:bCs/>
          <w:lang w:eastAsia="en-AU"/>
        </w:rPr>
        <w:t xml:space="preserve">to discuss a topic </w:t>
      </w:r>
      <w:r w:rsidR="00D92517">
        <w:rPr>
          <w:rFonts w:cs="Times New Roman"/>
          <w:bCs/>
          <w:lang w:eastAsia="en-AU"/>
        </w:rPr>
        <w:t>such as quarterly reporting</w:t>
      </w:r>
      <w:r w:rsidR="005714B9">
        <w:rPr>
          <w:rFonts w:cs="Times New Roman"/>
          <w:bCs/>
          <w:lang w:eastAsia="en-AU"/>
        </w:rPr>
        <w:t xml:space="preserve"> </w:t>
      </w:r>
      <w:r w:rsidR="00D92517">
        <w:rPr>
          <w:rFonts w:cs="Times New Roman"/>
          <w:bCs/>
          <w:lang w:eastAsia="en-AU"/>
        </w:rPr>
        <w:t>or a specific regulatory issue</w:t>
      </w:r>
    </w:p>
    <w:p w14:paraId="487B516E" w14:textId="6481BBEB" w:rsidR="00D92517" w:rsidRPr="00692518" w:rsidRDefault="00E8276B" w:rsidP="00D25EFE">
      <w:pPr>
        <w:pStyle w:val="ListParagraph"/>
        <w:numPr>
          <w:ilvl w:val="1"/>
          <w:numId w:val="35"/>
        </w:numPr>
        <w:spacing w:before="60"/>
        <w:ind w:left="851" w:hanging="284"/>
        <w:rPr>
          <w:rFonts w:cs="Times New Roman"/>
          <w:bCs/>
          <w:lang w:eastAsia="en-AU"/>
        </w:rPr>
      </w:pPr>
      <w:r>
        <w:rPr>
          <w:rFonts w:cs="Times New Roman"/>
          <w:bCs/>
          <w:lang w:eastAsia="en-AU"/>
        </w:rPr>
        <w:t>m</w:t>
      </w:r>
      <w:r w:rsidR="00D92517" w:rsidRPr="00692518">
        <w:rPr>
          <w:rFonts w:cs="Times New Roman"/>
          <w:bCs/>
          <w:lang w:eastAsia="en-AU"/>
        </w:rPr>
        <w:t xml:space="preserve">eetings with prospective licence holders such the </w:t>
      </w:r>
      <w:r w:rsidR="08C29D7B" w:rsidRPr="00692518">
        <w:rPr>
          <w:rFonts w:cs="Times New Roman"/>
          <w:bCs/>
          <w:lang w:eastAsia="en-AU"/>
        </w:rPr>
        <w:t>D</w:t>
      </w:r>
      <w:r w:rsidR="00D92517" w:rsidRPr="00692518">
        <w:rPr>
          <w:rFonts w:cs="Times New Roman"/>
          <w:bCs/>
          <w:lang w:eastAsia="en-AU"/>
        </w:rPr>
        <w:t xml:space="preserve">epartment of </w:t>
      </w:r>
      <w:r w:rsidR="08C29D7B" w:rsidRPr="00692518">
        <w:rPr>
          <w:rFonts w:cs="Times New Roman"/>
          <w:bCs/>
          <w:lang w:eastAsia="en-AU"/>
        </w:rPr>
        <w:t>I</w:t>
      </w:r>
      <w:r w:rsidR="00D92517" w:rsidRPr="00692518">
        <w:rPr>
          <w:rFonts w:cs="Times New Roman"/>
          <w:bCs/>
          <w:lang w:eastAsia="en-AU"/>
        </w:rPr>
        <w:t>ndustry</w:t>
      </w:r>
      <w:r w:rsidR="08C29D7B" w:rsidRPr="00692518">
        <w:rPr>
          <w:rFonts w:cs="Times New Roman"/>
          <w:bCs/>
          <w:lang w:eastAsia="en-AU"/>
        </w:rPr>
        <w:t>, Innovation and Science</w:t>
      </w:r>
      <w:r w:rsidR="00D92517" w:rsidRPr="00692518">
        <w:rPr>
          <w:rFonts w:cs="Times New Roman"/>
          <w:bCs/>
          <w:lang w:eastAsia="en-AU"/>
        </w:rPr>
        <w:t xml:space="preserve"> on the proposed </w:t>
      </w:r>
      <w:r w:rsidR="6FE35FA9" w:rsidRPr="00692518">
        <w:rPr>
          <w:rFonts w:cs="Times New Roman"/>
          <w:bCs/>
          <w:lang w:eastAsia="en-AU"/>
        </w:rPr>
        <w:t>N</w:t>
      </w:r>
      <w:r w:rsidR="00D92517" w:rsidRPr="00692518">
        <w:rPr>
          <w:rFonts w:cs="Times New Roman"/>
          <w:bCs/>
          <w:lang w:eastAsia="en-AU"/>
        </w:rPr>
        <w:t xml:space="preserve">ational </w:t>
      </w:r>
      <w:r w:rsidR="6FE35FA9" w:rsidRPr="00692518">
        <w:rPr>
          <w:rFonts w:cs="Times New Roman"/>
          <w:bCs/>
          <w:lang w:eastAsia="en-AU"/>
        </w:rPr>
        <w:t>R</w:t>
      </w:r>
      <w:r w:rsidR="00D92517" w:rsidRPr="00692518">
        <w:rPr>
          <w:rFonts w:cs="Times New Roman"/>
          <w:bCs/>
          <w:lang w:eastAsia="en-AU"/>
        </w:rPr>
        <w:t xml:space="preserve">adioactive </w:t>
      </w:r>
      <w:r w:rsidR="6FE35FA9" w:rsidRPr="00692518">
        <w:rPr>
          <w:rFonts w:cs="Times New Roman"/>
          <w:bCs/>
          <w:lang w:eastAsia="en-AU"/>
        </w:rPr>
        <w:t>W</w:t>
      </w:r>
      <w:r w:rsidR="00D92517" w:rsidRPr="00692518">
        <w:rPr>
          <w:rFonts w:cs="Times New Roman"/>
          <w:bCs/>
          <w:lang w:eastAsia="en-AU"/>
        </w:rPr>
        <w:t xml:space="preserve">aste </w:t>
      </w:r>
      <w:r w:rsidR="6FE35FA9" w:rsidRPr="00692518">
        <w:rPr>
          <w:rFonts w:cs="Times New Roman"/>
          <w:bCs/>
          <w:lang w:eastAsia="en-AU"/>
        </w:rPr>
        <w:t>M</w:t>
      </w:r>
      <w:r w:rsidR="00D92517" w:rsidRPr="00692518">
        <w:rPr>
          <w:rFonts w:cs="Times New Roman"/>
          <w:bCs/>
          <w:lang w:eastAsia="en-AU"/>
        </w:rPr>
        <w:t xml:space="preserve">anagement </w:t>
      </w:r>
      <w:r w:rsidR="1AAA485A" w:rsidRPr="00692518">
        <w:rPr>
          <w:rFonts w:cs="Times New Roman"/>
          <w:bCs/>
          <w:lang w:eastAsia="en-AU"/>
        </w:rPr>
        <w:t>F</w:t>
      </w:r>
      <w:r w:rsidR="00D92517" w:rsidRPr="00692518">
        <w:rPr>
          <w:rFonts w:cs="Times New Roman"/>
          <w:bCs/>
          <w:lang w:eastAsia="en-AU"/>
        </w:rPr>
        <w:t>acility</w:t>
      </w:r>
    </w:p>
    <w:p w14:paraId="5F4ACDE0" w14:textId="57AD9EBD" w:rsidR="00B32CB8" w:rsidRDefault="00E8276B" w:rsidP="00D25EFE">
      <w:pPr>
        <w:pStyle w:val="ListParagraph"/>
        <w:numPr>
          <w:ilvl w:val="1"/>
          <w:numId w:val="35"/>
        </w:numPr>
        <w:spacing w:before="60"/>
        <w:ind w:left="851" w:hanging="284"/>
        <w:rPr>
          <w:rFonts w:cs="Times New Roman"/>
          <w:bCs/>
          <w:lang w:eastAsia="en-AU"/>
        </w:rPr>
      </w:pPr>
      <w:r>
        <w:rPr>
          <w:rFonts w:cs="Times New Roman"/>
          <w:bCs/>
          <w:lang w:eastAsia="en-AU"/>
        </w:rPr>
        <w:t>p</w:t>
      </w:r>
      <w:r w:rsidR="00B32CB8">
        <w:rPr>
          <w:rFonts w:cs="Times New Roman"/>
          <w:bCs/>
          <w:lang w:eastAsia="en-AU"/>
        </w:rPr>
        <w:t>eriodic ‘liaison forums’ to discuss issues affecting licence holders at a senior level</w:t>
      </w:r>
    </w:p>
    <w:p w14:paraId="716FE10C" w14:textId="6B61FD2E" w:rsidR="00D92517" w:rsidRPr="00692518" w:rsidRDefault="00E8276B" w:rsidP="00D25EFE">
      <w:pPr>
        <w:pStyle w:val="ListParagraph"/>
        <w:numPr>
          <w:ilvl w:val="1"/>
          <w:numId w:val="35"/>
        </w:numPr>
        <w:spacing w:before="60"/>
        <w:ind w:left="851" w:hanging="284"/>
        <w:rPr>
          <w:rFonts w:cs="Times New Roman"/>
          <w:bCs/>
          <w:lang w:eastAsia="en-AU"/>
        </w:rPr>
      </w:pPr>
      <w:r>
        <w:rPr>
          <w:rFonts w:cs="Times New Roman"/>
          <w:bCs/>
          <w:lang w:eastAsia="en-AU"/>
        </w:rPr>
        <w:t>t</w:t>
      </w:r>
      <w:r w:rsidR="00D92517" w:rsidRPr="00692518">
        <w:rPr>
          <w:rFonts w:cs="Times New Roman"/>
          <w:bCs/>
          <w:lang w:eastAsia="en-AU"/>
        </w:rPr>
        <w:t xml:space="preserve">he </w:t>
      </w:r>
      <w:r>
        <w:rPr>
          <w:rFonts w:cs="Times New Roman"/>
          <w:bCs/>
          <w:lang w:eastAsia="en-AU"/>
        </w:rPr>
        <w:t>a</w:t>
      </w:r>
      <w:r w:rsidR="00D92517" w:rsidRPr="00692518">
        <w:rPr>
          <w:rFonts w:cs="Times New Roman"/>
          <w:bCs/>
          <w:lang w:eastAsia="en-AU"/>
        </w:rPr>
        <w:t xml:space="preserve">nnual Licence </w:t>
      </w:r>
      <w:r w:rsidR="1AAA485A" w:rsidRPr="00692518">
        <w:rPr>
          <w:rFonts w:cs="Times New Roman"/>
          <w:bCs/>
          <w:lang w:eastAsia="en-AU"/>
        </w:rPr>
        <w:t>H</w:t>
      </w:r>
      <w:r w:rsidR="00D92517" w:rsidRPr="00692518">
        <w:rPr>
          <w:rFonts w:cs="Times New Roman"/>
          <w:bCs/>
          <w:lang w:eastAsia="en-AU"/>
        </w:rPr>
        <w:t xml:space="preserve">older </w:t>
      </w:r>
      <w:r w:rsidR="1AAA485A" w:rsidRPr="00692518">
        <w:rPr>
          <w:rFonts w:cs="Times New Roman"/>
          <w:bCs/>
          <w:lang w:eastAsia="en-AU"/>
        </w:rPr>
        <w:t>F</w:t>
      </w:r>
      <w:r w:rsidR="00D92517" w:rsidRPr="00692518">
        <w:rPr>
          <w:rFonts w:cs="Times New Roman"/>
          <w:bCs/>
          <w:lang w:eastAsia="en-AU"/>
        </w:rPr>
        <w:t>orum which provide</w:t>
      </w:r>
      <w:r w:rsidR="007E7639">
        <w:rPr>
          <w:rFonts w:cs="Times New Roman"/>
          <w:bCs/>
          <w:lang w:eastAsia="en-AU"/>
        </w:rPr>
        <w:t>s</w:t>
      </w:r>
      <w:r w:rsidR="00D92517" w:rsidRPr="00692518">
        <w:rPr>
          <w:rFonts w:cs="Times New Roman"/>
          <w:bCs/>
          <w:lang w:eastAsia="en-AU"/>
        </w:rPr>
        <w:t xml:space="preserve"> licence holders with an opportunity to interact as well as receive updates on ARPANSA’s activities and regulatory findings</w:t>
      </w:r>
    </w:p>
    <w:p w14:paraId="656FECB1" w14:textId="293ACB38" w:rsidR="00B32CB8" w:rsidRPr="008057BE" w:rsidRDefault="00B32CB8" w:rsidP="00D25EFE">
      <w:pPr>
        <w:pStyle w:val="ListParagraph"/>
        <w:numPr>
          <w:ilvl w:val="1"/>
          <w:numId w:val="35"/>
        </w:numPr>
        <w:spacing w:before="60"/>
        <w:ind w:left="851" w:hanging="284"/>
        <w:rPr>
          <w:rFonts w:cs="Times New Roman"/>
          <w:bCs/>
          <w:lang w:eastAsia="en-AU"/>
        </w:rPr>
      </w:pPr>
      <w:r>
        <w:rPr>
          <w:rFonts w:cs="Times New Roman"/>
          <w:bCs/>
          <w:lang w:eastAsia="en-AU"/>
        </w:rPr>
        <w:t>‘</w:t>
      </w:r>
      <w:r w:rsidR="00E8276B">
        <w:rPr>
          <w:rFonts w:cs="Times New Roman"/>
          <w:bCs/>
          <w:lang w:eastAsia="en-AU"/>
        </w:rPr>
        <w:t>m</w:t>
      </w:r>
      <w:r>
        <w:rPr>
          <w:rFonts w:cs="Times New Roman"/>
          <w:bCs/>
          <w:lang w:eastAsia="en-AU"/>
        </w:rPr>
        <w:t xml:space="preserve">eet the regulator’ forums which are similar to the annual forum </w:t>
      </w:r>
      <w:r w:rsidR="00C6542C">
        <w:rPr>
          <w:rFonts w:cs="Times New Roman"/>
          <w:bCs/>
          <w:lang w:eastAsia="en-AU"/>
        </w:rPr>
        <w:t>but smaller</w:t>
      </w:r>
      <w:r w:rsidR="00DC7387">
        <w:rPr>
          <w:rFonts w:cs="Times New Roman"/>
          <w:bCs/>
          <w:lang w:eastAsia="en-AU"/>
        </w:rPr>
        <w:t xml:space="preserve"> and</w:t>
      </w:r>
      <w:r w:rsidR="00C6542C">
        <w:rPr>
          <w:rFonts w:cs="Times New Roman"/>
          <w:bCs/>
          <w:lang w:eastAsia="en-AU"/>
        </w:rPr>
        <w:t xml:space="preserve"> typically held in regional areas</w:t>
      </w:r>
      <w:r w:rsidR="00DC7387">
        <w:rPr>
          <w:rFonts w:cs="Times New Roman"/>
          <w:bCs/>
          <w:lang w:eastAsia="en-AU"/>
        </w:rPr>
        <w:t xml:space="preserve"> with</w:t>
      </w:r>
      <w:r>
        <w:rPr>
          <w:rFonts w:cs="Times New Roman"/>
          <w:bCs/>
          <w:lang w:eastAsia="en-AU"/>
        </w:rPr>
        <w:t xml:space="preserve"> operational level staff</w:t>
      </w:r>
      <w:r w:rsidR="00DC7387">
        <w:rPr>
          <w:rFonts w:cs="Times New Roman"/>
          <w:bCs/>
          <w:lang w:eastAsia="en-AU"/>
        </w:rPr>
        <w:t>.</w:t>
      </w:r>
    </w:p>
    <w:p w14:paraId="7D5658CD" w14:textId="2723D3FD" w:rsidR="00C032F2" w:rsidRDefault="008057BE" w:rsidP="00D25EFE">
      <w:pPr>
        <w:spacing w:before="120" w:after="120"/>
        <w:rPr>
          <w:szCs w:val="24"/>
          <w:lang w:eastAsia="en-AU"/>
        </w:rPr>
      </w:pPr>
      <w:r>
        <w:rPr>
          <w:szCs w:val="24"/>
          <w:lang w:eastAsia="en-AU"/>
        </w:rPr>
        <w:t xml:space="preserve">As </w:t>
      </w:r>
      <w:r w:rsidR="00C6542C">
        <w:rPr>
          <w:szCs w:val="24"/>
          <w:lang w:eastAsia="en-AU"/>
        </w:rPr>
        <w:t>c</w:t>
      </w:r>
      <w:r w:rsidRPr="008057BE">
        <w:rPr>
          <w:szCs w:val="24"/>
          <w:lang w:eastAsia="en-AU"/>
        </w:rPr>
        <w:t>ommunication is a two-way process</w:t>
      </w:r>
      <w:r>
        <w:rPr>
          <w:szCs w:val="24"/>
          <w:lang w:eastAsia="en-AU"/>
        </w:rPr>
        <w:t xml:space="preserve">, </w:t>
      </w:r>
      <w:r w:rsidRPr="008057BE">
        <w:rPr>
          <w:szCs w:val="24"/>
          <w:lang w:eastAsia="en-AU"/>
        </w:rPr>
        <w:t>meetings are effective in helping ARPANSA understand regulatory impacts on a licence holder and provide forum</w:t>
      </w:r>
      <w:r w:rsidR="007757D8">
        <w:rPr>
          <w:szCs w:val="24"/>
          <w:lang w:eastAsia="en-AU"/>
        </w:rPr>
        <w:t>s</w:t>
      </w:r>
      <w:r w:rsidRPr="008057BE">
        <w:rPr>
          <w:szCs w:val="24"/>
          <w:lang w:eastAsia="en-AU"/>
        </w:rPr>
        <w:t xml:space="preserve"> for discussion of regulatory</w:t>
      </w:r>
      <w:r w:rsidR="00C6542C">
        <w:rPr>
          <w:szCs w:val="24"/>
          <w:lang w:eastAsia="en-AU"/>
        </w:rPr>
        <w:t xml:space="preserve"> issues facing licence holders</w:t>
      </w:r>
      <w:r w:rsidRPr="008057BE">
        <w:rPr>
          <w:szCs w:val="24"/>
          <w:lang w:eastAsia="en-AU"/>
        </w:rPr>
        <w:t>. The number of meetings in a year</w:t>
      </w:r>
      <w:r w:rsidR="00583E9E">
        <w:rPr>
          <w:szCs w:val="24"/>
          <w:lang w:eastAsia="en-AU"/>
        </w:rPr>
        <w:t>, and an evaluation of their effectiveness,</w:t>
      </w:r>
      <w:r w:rsidRPr="008057BE">
        <w:rPr>
          <w:szCs w:val="24"/>
          <w:lang w:eastAsia="en-AU"/>
        </w:rPr>
        <w:t xml:space="preserve"> </w:t>
      </w:r>
      <w:r>
        <w:rPr>
          <w:szCs w:val="24"/>
          <w:lang w:eastAsia="en-AU"/>
        </w:rPr>
        <w:t xml:space="preserve">was selected </w:t>
      </w:r>
      <w:r w:rsidR="00D140B2">
        <w:rPr>
          <w:szCs w:val="24"/>
          <w:lang w:eastAsia="en-AU"/>
        </w:rPr>
        <w:t>as an</w:t>
      </w:r>
      <w:r>
        <w:rPr>
          <w:szCs w:val="24"/>
          <w:lang w:eastAsia="en-AU"/>
        </w:rPr>
        <w:t xml:space="preserve"> indicator of the resources </w:t>
      </w:r>
      <w:r w:rsidRPr="008057BE">
        <w:rPr>
          <w:szCs w:val="24"/>
          <w:lang w:eastAsia="en-AU"/>
        </w:rPr>
        <w:t>ARPANSA</w:t>
      </w:r>
      <w:r>
        <w:rPr>
          <w:szCs w:val="24"/>
          <w:lang w:eastAsia="en-AU"/>
        </w:rPr>
        <w:t xml:space="preserve"> devotes to maintaining clear communication</w:t>
      </w:r>
      <w:r w:rsidRPr="008057BE">
        <w:rPr>
          <w:szCs w:val="24"/>
          <w:lang w:eastAsia="en-AU"/>
        </w:rPr>
        <w:t xml:space="preserve">. </w:t>
      </w:r>
    </w:p>
    <w:p w14:paraId="3B64DA9F" w14:textId="2D9E857B" w:rsidR="002D5DD1" w:rsidRDefault="00C032F2" w:rsidP="00C032F2">
      <w:pPr>
        <w:rPr>
          <w:szCs w:val="24"/>
          <w:lang w:eastAsia="en-AU"/>
        </w:rPr>
      </w:pPr>
      <w:r>
        <w:rPr>
          <w:szCs w:val="24"/>
          <w:lang w:eastAsia="en-AU"/>
        </w:rPr>
        <w:br w:type="page"/>
      </w:r>
    </w:p>
    <w:tbl>
      <w:tblPr>
        <w:tblStyle w:val="GenericARPANSA4"/>
        <w:tblpPr w:leftFromText="180" w:rightFromText="180" w:vertAnchor="text" w:tblpY="173"/>
        <w:tblW w:w="10173" w:type="dxa"/>
        <w:tblLayout w:type="fixed"/>
        <w:tblLook w:val="06A0" w:firstRow="1" w:lastRow="0" w:firstColumn="1" w:lastColumn="0" w:noHBand="1" w:noVBand="1"/>
        <w:tblDescription w:val="This table contains 2 heading columns, 1. KPIs/Measures/Metrics, 2. Evidence (Performance in  2016-17). Column 2 includes a self-assessed rating against KPI 2."/>
      </w:tblPr>
      <w:tblGrid>
        <w:gridCol w:w="5086"/>
        <w:gridCol w:w="5087"/>
      </w:tblGrid>
      <w:tr w:rsidR="00244F01" w:rsidRPr="00561938" w14:paraId="3BC4B75F" w14:textId="77777777" w:rsidTr="00C032F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086" w:type="dxa"/>
            <w:vAlign w:val="top"/>
          </w:tcPr>
          <w:p w14:paraId="1ADDC2EE" w14:textId="4F92EECC" w:rsidR="00244F01" w:rsidRPr="00D25EFE" w:rsidRDefault="00244F01" w:rsidP="00C032F2">
            <w:pPr>
              <w:pStyle w:val="Tabletext"/>
              <w:spacing w:before="120" w:after="120"/>
              <w:jc w:val="left"/>
            </w:pPr>
            <w:r w:rsidRPr="00D25EFE">
              <w:lastRenderedPageBreak/>
              <w:t>Measures/</w:t>
            </w:r>
            <w:r w:rsidR="00302D3E">
              <w:t>m</w:t>
            </w:r>
            <w:r w:rsidRPr="00D25EFE">
              <w:t>etrics</w:t>
            </w:r>
          </w:p>
        </w:tc>
        <w:tc>
          <w:tcPr>
            <w:tcW w:w="5087" w:type="dxa"/>
            <w:vAlign w:val="top"/>
          </w:tcPr>
          <w:p w14:paraId="488BF1B6" w14:textId="716A9EC4" w:rsidR="00244F01" w:rsidRPr="00D25EFE" w:rsidRDefault="00244F01" w:rsidP="000C4A9A">
            <w:pPr>
              <w:pStyle w:val="Tabletext"/>
              <w:spacing w:before="120" w:after="120"/>
              <w:jc w:val="left"/>
              <w:cnfStyle w:val="100000000000" w:firstRow="1" w:lastRow="0" w:firstColumn="0" w:lastColumn="0" w:oddVBand="0" w:evenVBand="0" w:oddHBand="0" w:evenHBand="0" w:firstRowFirstColumn="0" w:firstRowLastColumn="0" w:lastRowFirstColumn="0" w:lastRowLastColumn="0"/>
            </w:pPr>
            <w:r w:rsidRPr="00D25EFE">
              <w:t>Evidence (</w:t>
            </w:r>
            <w:r w:rsidR="000C4A9A">
              <w:t>p</w:t>
            </w:r>
            <w:r w:rsidRPr="00D25EFE">
              <w:t>erformance in 2018</w:t>
            </w:r>
            <w:r w:rsidR="00302D3E">
              <w:t>–</w:t>
            </w:r>
            <w:r w:rsidRPr="00D25EFE">
              <w:t>19)</w:t>
            </w:r>
          </w:p>
        </w:tc>
      </w:tr>
      <w:tr w:rsidR="00244F01" w:rsidRPr="00110D4B" w14:paraId="6B9274EA" w14:textId="77777777" w:rsidTr="00D63C9F">
        <w:trPr>
          <w:trHeight w:val="2242"/>
        </w:trPr>
        <w:tc>
          <w:tcPr>
            <w:cnfStyle w:val="001000000000" w:firstRow="0" w:lastRow="0" w:firstColumn="1" w:lastColumn="0" w:oddVBand="0" w:evenVBand="0" w:oddHBand="0" w:evenHBand="0" w:firstRowFirstColumn="0" w:firstRowLastColumn="0" w:lastRowFirstColumn="0" w:lastRowLastColumn="0"/>
            <w:tcW w:w="5086" w:type="dxa"/>
            <w:tcBorders>
              <w:bottom w:val="single" w:sz="18" w:space="0" w:color="auto"/>
            </w:tcBorders>
            <w:vAlign w:val="top"/>
          </w:tcPr>
          <w:p w14:paraId="04BB92B4" w14:textId="77777777" w:rsidR="00244F01" w:rsidRPr="00D25EFE" w:rsidRDefault="00244F01" w:rsidP="00C032F2">
            <w:pPr>
              <w:spacing w:before="60"/>
              <w:jc w:val="left"/>
            </w:pPr>
            <w:r w:rsidRPr="00D25EFE">
              <w:t>PI 2.1 Information sharing meetings are held with licence holders</w:t>
            </w:r>
          </w:p>
          <w:p w14:paraId="2AF7B90A" w14:textId="77777777" w:rsidR="00244F01" w:rsidRPr="00102414" w:rsidRDefault="00244F01" w:rsidP="00315E85">
            <w:pPr>
              <w:spacing w:before="120"/>
              <w:jc w:val="left"/>
              <w:rPr>
                <w:b w:val="0"/>
              </w:rPr>
            </w:pPr>
            <w:r w:rsidRPr="00102414">
              <w:rPr>
                <w:b w:val="0"/>
              </w:rPr>
              <w:t>Meetings are held with licence holders to exchange information on regulatory matters such as upcoming legislative changes, new or amended regulatory guides, licence applications, or licensing and compliance issues. Examples of such established forums are the Defence-ARPANSA Liaison Forum (DALF), the newly instituted ANSTO-ARPANSA Liaison Forum (AALF) and ARPANSA Licence Holder Forums. Regular information exchange on regulatory matters reduces uncertainties about regulatory expectations, ultimately improving compliance rates and removing unnecessary regulatory burden.</w:t>
            </w:r>
          </w:p>
          <w:p w14:paraId="7C829091" w14:textId="77777777" w:rsidR="00244F01" w:rsidRPr="00D25EFE" w:rsidRDefault="00244F01" w:rsidP="00C032F2">
            <w:pPr>
              <w:spacing w:before="60"/>
              <w:jc w:val="left"/>
              <w:rPr>
                <w:b w:val="0"/>
              </w:rPr>
            </w:pPr>
            <w:r w:rsidRPr="00102414">
              <w:rPr>
                <w:b w:val="0"/>
              </w:rPr>
              <w:t>ARPANSA will measure the number of meetings held in a year [Quantitative], and evaluate the quality, including any feedback received from these meetings, to determine if the communication is effective [Qualitative].</w:t>
            </w:r>
          </w:p>
        </w:tc>
        <w:tc>
          <w:tcPr>
            <w:tcW w:w="5087" w:type="dxa"/>
            <w:tcBorders>
              <w:bottom w:val="single" w:sz="18" w:space="0" w:color="auto"/>
            </w:tcBorders>
            <w:vAlign w:val="top"/>
          </w:tcPr>
          <w:p w14:paraId="37F10602" w14:textId="2259BE97" w:rsidR="00244F01" w:rsidRPr="003571EE" w:rsidRDefault="00244F01" w:rsidP="00C032F2">
            <w:pPr>
              <w:spacing w:before="60"/>
              <w:jc w:val="left"/>
              <w:cnfStyle w:val="000000000000" w:firstRow="0" w:lastRow="0" w:firstColumn="0" w:lastColumn="0" w:oddVBand="0" w:evenVBand="0" w:oddHBand="0" w:evenHBand="0" w:firstRowFirstColumn="0" w:firstRowLastColumn="0" w:lastRowFirstColumn="0" w:lastRowLastColumn="0"/>
              <w:rPr>
                <w:b/>
              </w:rPr>
            </w:pPr>
            <w:r w:rsidRPr="003571EE">
              <w:rPr>
                <w:b/>
              </w:rPr>
              <w:t xml:space="preserve">Target </w:t>
            </w:r>
            <w:r w:rsidR="00302D3E">
              <w:rPr>
                <w:b/>
              </w:rPr>
              <w:t>m</w:t>
            </w:r>
            <w:r w:rsidRPr="003571EE">
              <w:rPr>
                <w:b/>
              </w:rPr>
              <w:t>et</w:t>
            </w:r>
          </w:p>
          <w:p w14:paraId="348053F8" w14:textId="693C695D" w:rsidR="00244F01" w:rsidRPr="00D25EFE" w:rsidRDefault="00302D3E" w:rsidP="00315E85">
            <w:pPr>
              <w:spacing w:before="120"/>
              <w:jc w:val="left"/>
              <w:cnfStyle w:val="000000000000" w:firstRow="0" w:lastRow="0" w:firstColumn="0" w:lastColumn="0" w:oddVBand="0" w:evenVBand="0" w:oddHBand="0" w:evenHBand="0" w:firstRowFirstColumn="0" w:firstRowLastColumn="0" w:lastRowFirstColumn="0" w:lastRowLastColumn="0"/>
            </w:pPr>
            <w:r>
              <w:rPr>
                <w:rFonts w:ascii="Calibri" w:hAnsi="Calibri"/>
              </w:rPr>
              <w:t xml:space="preserve">A total of </w:t>
            </w:r>
            <w:r w:rsidR="00244F01" w:rsidRPr="00D25EFE">
              <w:rPr>
                <w:rFonts w:ascii="Calibri" w:hAnsi="Calibri"/>
              </w:rPr>
              <w:t>58 information sharing meetings were held over the year as well as 41 site visits.</w:t>
            </w:r>
          </w:p>
          <w:p w14:paraId="3A221162" w14:textId="77777777" w:rsidR="00244F01" w:rsidRPr="00D25EFE" w:rsidRDefault="00244F01" w:rsidP="00C032F2">
            <w:pPr>
              <w:spacing w:before="60"/>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D25EFE">
              <w:rPr>
                <w:rFonts w:ascii="Calibri" w:hAnsi="Calibri"/>
              </w:rPr>
              <w:t>Examples of meetings held in the period include:</w:t>
            </w:r>
          </w:p>
          <w:p w14:paraId="4801B099" w14:textId="67F16438" w:rsidR="00244F01" w:rsidRPr="00C032F2" w:rsidRDefault="00157F0D" w:rsidP="00C032F2">
            <w:pPr>
              <w:pStyle w:val="ListParagraph"/>
              <w:numPr>
                <w:ilvl w:val="0"/>
                <w:numId w:val="37"/>
              </w:numPr>
              <w:spacing w:before="60"/>
              <w:jc w:val="lef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l</w:t>
            </w:r>
            <w:r w:rsidR="00244F01" w:rsidRPr="00C032F2">
              <w:rPr>
                <w:rFonts w:ascii="Calibri" w:hAnsi="Calibri"/>
              </w:rPr>
              <w:t>iaison forums with Defence, CSIRO and ANSTO</w:t>
            </w:r>
          </w:p>
          <w:p w14:paraId="03E0A8D0" w14:textId="329EAF7B" w:rsidR="00244F01" w:rsidRPr="00C032F2" w:rsidRDefault="00157F0D" w:rsidP="00C032F2">
            <w:pPr>
              <w:pStyle w:val="ListParagraph"/>
              <w:numPr>
                <w:ilvl w:val="0"/>
                <w:numId w:val="37"/>
              </w:numPr>
              <w:spacing w:before="60"/>
              <w:jc w:val="lef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t</w:t>
            </w:r>
            <w:r w:rsidR="00244F01" w:rsidRPr="00C032F2">
              <w:rPr>
                <w:rFonts w:ascii="Calibri" w:hAnsi="Calibri"/>
              </w:rPr>
              <w:t>wo ‘meet the regulator’ forums in Hobart and Perth</w:t>
            </w:r>
          </w:p>
          <w:p w14:paraId="5CB8F520" w14:textId="0CBED42F" w:rsidR="00244F01" w:rsidRPr="00C032F2" w:rsidRDefault="00157F0D" w:rsidP="00C032F2">
            <w:pPr>
              <w:pStyle w:val="ListParagraph"/>
              <w:numPr>
                <w:ilvl w:val="0"/>
                <w:numId w:val="37"/>
              </w:numPr>
              <w:spacing w:before="60"/>
              <w:jc w:val="lef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t</w:t>
            </w:r>
            <w:r w:rsidR="00244F01" w:rsidRPr="00C032F2">
              <w:rPr>
                <w:rFonts w:ascii="Calibri" w:hAnsi="Calibri"/>
              </w:rPr>
              <w:t>he annual Licence Holder Forum (LHF)</w:t>
            </w:r>
          </w:p>
          <w:p w14:paraId="3EA0A3FE" w14:textId="0FDEC207" w:rsidR="00244F01" w:rsidRPr="00C032F2" w:rsidRDefault="00157F0D" w:rsidP="00C032F2">
            <w:pPr>
              <w:pStyle w:val="ListParagraph"/>
              <w:numPr>
                <w:ilvl w:val="0"/>
                <w:numId w:val="37"/>
              </w:numPr>
              <w:spacing w:before="60"/>
              <w:jc w:val="lef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q</w:t>
            </w:r>
            <w:r w:rsidR="00244F01" w:rsidRPr="00C032F2">
              <w:rPr>
                <w:rFonts w:ascii="Calibri" w:hAnsi="Calibri"/>
              </w:rPr>
              <w:t>uarterly meetings with major licence holders</w:t>
            </w:r>
          </w:p>
          <w:p w14:paraId="33C0192C" w14:textId="6FC64DCC" w:rsidR="00244F01" w:rsidRPr="00D25EFE" w:rsidRDefault="00157F0D" w:rsidP="00C032F2">
            <w:pPr>
              <w:pStyle w:val="ListParagraph"/>
              <w:numPr>
                <w:ilvl w:val="0"/>
                <w:numId w:val="37"/>
              </w:numPr>
              <w:spacing w:before="60"/>
              <w:jc w:val="left"/>
              <w:cnfStyle w:val="000000000000" w:firstRow="0" w:lastRow="0" w:firstColumn="0" w:lastColumn="0" w:oddVBand="0" w:evenVBand="0" w:oddHBand="0" w:evenHBand="0" w:firstRowFirstColumn="0" w:firstRowLastColumn="0" w:lastRowFirstColumn="0" w:lastRowLastColumn="0"/>
            </w:pPr>
            <w:r>
              <w:rPr>
                <w:rFonts w:ascii="Calibri" w:hAnsi="Calibri"/>
              </w:rPr>
              <w:t>Twenty</w:t>
            </w:r>
            <w:r w:rsidRPr="00C032F2">
              <w:rPr>
                <w:rFonts w:ascii="Calibri" w:hAnsi="Calibri"/>
              </w:rPr>
              <w:t xml:space="preserve"> </w:t>
            </w:r>
            <w:r w:rsidR="00244F01" w:rsidRPr="00C032F2">
              <w:rPr>
                <w:rFonts w:ascii="Calibri" w:hAnsi="Calibri"/>
              </w:rPr>
              <w:t xml:space="preserve">survey responses were received for the LHF held in September 2018. </w:t>
            </w:r>
            <w:r>
              <w:rPr>
                <w:rFonts w:ascii="Calibri" w:hAnsi="Calibri"/>
              </w:rPr>
              <w:t xml:space="preserve">A total of </w:t>
            </w:r>
            <w:r w:rsidR="00244F01" w:rsidRPr="00C032F2">
              <w:rPr>
                <w:rFonts w:ascii="Calibri" w:hAnsi="Calibri"/>
              </w:rPr>
              <w:t>75% of respondents felt the forum was ‘excellent’ or ‘above average’. Participants’ responses demonstrated that many enjoyed the panel discussions and coffee corner discussions.</w:t>
            </w:r>
          </w:p>
        </w:tc>
      </w:tr>
      <w:tr w:rsidR="00C032F2" w:rsidRPr="00110D4B" w14:paraId="590BB534" w14:textId="77777777" w:rsidTr="00D63C9F">
        <w:tc>
          <w:tcPr>
            <w:cnfStyle w:val="001000000000" w:firstRow="0" w:lastRow="0" w:firstColumn="1" w:lastColumn="0" w:oddVBand="0" w:evenVBand="0" w:oddHBand="0" w:evenHBand="0" w:firstRowFirstColumn="0" w:firstRowLastColumn="0" w:lastRowFirstColumn="0" w:lastRowLastColumn="0"/>
            <w:tcW w:w="10173" w:type="dxa"/>
            <w:gridSpan w:val="2"/>
            <w:tcBorders>
              <w:bottom w:val="single" w:sz="18" w:space="0" w:color="auto"/>
            </w:tcBorders>
            <w:shd w:val="clear" w:color="auto" w:fill="CDF1CD" w:themeFill="accent2" w:themeFillTint="33"/>
            <w:vAlign w:val="top"/>
          </w:tcPr>
          <w:p w14:paraId="3C1A53C0" w14:textId="2C942E71" w:rsidR="00C032F2" w:rsidRPr="003571EE" w:rsidRDefault="00C032F2" w:rsidP="00C032F2">
            <w:pPr>
              <w:spacing w:before="60"/>
              <w:jc w:val="left"/>
              <w:rPr>
                <w:b w:val="0"/>
              </w:rPr>
            </w:pPr>
            <w:r w:rsidRPr="00302D3E">
              <w:t>Self-assessed rating:</w:t>
            </w:r>
            <w:r>
              <w:rPr>
                <w:b w:val="0"/>
              </w:rPr>
              <w:t xml:space="preserve"> </w:t>
            </w:r>
            <w:r w:rsidRPr="00302D3E">
              <w:t>Met</w:t>
            </w:r>
          </w:p>
        </w:tc>
      </w:tr>
    </w:tbl>
    <w:p w14:paraId="7A58E789" w14:textId="241D1D4D" w:rsidR="008057BE" w:rsidRPr="00D140B2" w:rsidRDefault="00F5034B" w:rsidP="00C032F2">
      <w:pPr>
        <w:pStyle w:val="Heading3"/>
      </w:pPr>
      <w:r>
        <w:t>Further evidence considered</w:t>
      </w:r>
    </w:p>
    <w:p w14:paraId="0171BE73" w14:textId="543DD276" w:rsidR="004D76DF" w:rsidRPr="00A14F77" w:rsidRDefault="004D76DF" w:rsidP="00D25EFE">
      <w:pPr>
        <w:spacing w:before="120"/>
        <w:rPr>
          <w:szCs w:val="24"/>
          <w:lang w:eastAsia="en-AU"/>
        </w:rPr>
      </w:pPr>
      <w:r w:rsidRPr="00A14F77">
        <w:rPr>
          <w:szCs w:val="24"/>
          <w:lang w:eastAsia="en-AU"/>
        </w:rPr>
        <w:t>Examples of communication practices</w:t>
      </w:r>
      <w:r w:rsidR="00C6542C" w:rsidRPr="00A14F77">
        <w:rPr>
          <w:szCs w:val="24"/>
          <w:lang w:eastAsia="en-AU"/>
        </w:rPr>
        <w:t>, in addition to the meetings above,</w:t>
      </w:r>
      <w:r w:rsidRPr="00A14F77">
        <w:rPr>
          <w:szCs w:val="24"/>
          <w:lang w:eastAsia="en-AU"/>
        </w:rPr>
        <w:t xml:space="preserve"> include:</w:t>
      </w:r>
    </w:p>
    <w:p w14:paraId="6BA0872D" w14:textId="100C9CFB" w:rsidR="00C6542C" w:rsidRPr="00A14F77" w:rsidRDefault="007C0FF9" w:rsidP="00D25EFE">
      <w:pPr>
        <w:pStyle w:val="ListParagraph"/>
        <w:numPr>
          <w:ilvl w:val="0"/>
          <w:numId w:val="20"/>
        </w:numPr>
        <w:spacing w:before="60"/>
        <w:rPr>
          <w:szCs w:val="24"/>
          <w:lang w:eastAsia="en-AU"/>
        </w:rPr>
      </w:pPr>
      <w:r>
        <w:rPr>
          <w:szCs w:val="24"/>
          <w:lang w:eastAsia="en-AU"/>
        </w:rPr>
        <w:t>l</w:t>
      </w:r>
      <w:r w:rsidR="00C6542C" w:rsidRPr="00A14F77">
        <w:rPr>
          <w:szCs w:val="24"/>
          <w:lang w:eastAsia="en-AU"/>
        </w:rPr>
        <w:t>ead</w:t>
      </w:r>
      <w:r w:rsidR="006A1122">
        <w:rPr>
          <w:szCs w:val="24"/>
          <w:lang w:eastAsia="en-AU"/>
        </w:rPr>
        <w:t>ing</w:t>
      </w:r>
      <w:r w:rsidR="00C6542C" w:rsidRPr="00A14F77">
        <w:rPr>
          <w:szCs w:val="24"/>
          <w:lang w:eastAsia="en-AU"/>
        </w:rPr>
        <w:t xml:space="preserve"> and alternat</w:t>
      </w:r>
      <w:r w:rsidR="006A1122">
        <w:rPr>
          <w:szCs w:val="24"/>
          <w:lang w:eastAsia="en-AU"/>
        </w:rPr>
        <w:t>ing</w:t>
      </w:r>
      <w:r w:rsidR="00C6542C" w:rsidRPr="00A14F77">
        <w:rPr>
          <w:szCs w:val="24"/>
          <w:lang w:eastAsia="en-AU"/>
        </w:rPr>
        <w:t xml:space="preserve"> inspectors assigned to each licence to</w:t>
      </w:r>
      <w:r w:rsidR="006A1122">
        <w:rPr>
          <w:szCs w:val="24"/>
          <w:lang w:eastAsia="en-AU"/>
        </w:rPr>
        <w:t xml:space="preserve"> help</w:t>
      </w:r>
      <w:r w:rsidR="00C6542C" w:rsidRPr="00A14F77">
        <w:rPr>
          <w:szCs w:val="24"/>
          <w:lang w:eastAsia="en-AU"/>
        </w:rPr>
        <w:t xml:space="preserve"> build a professional relationship and familiarity with a licence. These inspectors are periodically rotated</w:t>
      </w:r>
    </w:p>
    <w:p w14:paraId="6AB36DC0" w14:textId="40939A40" w:rsidR="00C6542C" w:rsidRPr="00A14F77" w:rsidRDefault="00C6542C" w:rsidP="00D25EFE">
      <w:pPr>
        <w:pStyle w:val="ListParagraph"/>
        <w:numPr>
          <w:ilvl w:val="0"/>
          <w:numId w:val="20"/>
        </w:numPr>
        <w:spacing w:before="60"/>
        <w:rPr>
          <w:szCs w:val="24"/>
          <w:lang w:eastAsia="en-AU"/>
        </w:rPr>
      </w:pPr>
      <w:r w:rsidRPr="00A14F77">
        <w:rPr>
          <w:szCs w:val="24"/>
          <w:lang w:eastAsia="en-AU"/>
        </w:rPr>
        <w:t>ARPANSA ha</w:t>
      </w:r>
      <w:r w:rsidR="007C0FF9">
        <w:rPr>
          <w:szCs w:val="24"/>
          <w:lang w:eastAsia="en-AU"/>
        </w:rPr>
        <w:t>ving</w:t>
      </w:r>
      <w:r w:rsidRPr="00A14F77">
        <w:rPr>
          <w:szCs w:val="24"/>
          <w:lang w:eastAsia="en-AU"/>
        </w:rPr>
        <w:t xml:space="preserve"> a ‘no surprises’ policy for regulatory actions. In addition to pre-inspection activities discussed under </w:t>
      </w:r>
      <w:r w:rsidRPr="00A14F77">
        <w:rPr>
          <w:szCs w:val="24"/>
          <w:lang w:eastAsia="en-AU"/>
        </w:rPr>
        <w:fldChar w:fldCharType="begin"/>
      </w:r>
      <w:r w:rsidRPr="00A14F77">
        <w:rPr>
          <w:szCs w:val="24"/>
          <w:lang w:eastAsia="en-AU"/>
        </w:rPr>
        <w:instrText xml:space="preserve"> REF _Ref15649055 \r \h </w:instrText>
      </w:r>
      <w:r w:rsidR="00A14F77">
        <w:rPr>
          <w:szCs w:val="24"/>
          <w:lang w:eastAsia="en-AU"/>
        </w:rPr>
        <w:instrText xml:space="preserve"> \* MERGEFORMAT </w:instrText>
      </w:r>
      <w:r w:rsidRPr="00A14F77">
        <w:rPr>
          <w:szCs w:val="24"/>
          <w:lang w:eastAsia="en-AU"/>
        </w:rPr>
      </w:r>
      <w:r w:rsidRPr="00A14F77">
        <w:rPr>
          <w:szCs w:val="24"/>
          <w:lang w:eastAsia="en-AU"/>
        </w:rPr>
        <w:fldChar w:fldCharType="separate"/>
      </w:r>
      <w:r w:rsidRPr="00A14F77">
        <w:rPr>
          <w:szCs w:val="24"/>
          <w:lang w:eastAsia="en-AU"/>
        </w:rPr>
        <w:t>KPI 1</w:t>
      </w:r>
      <w:r w:rsidRPr="00A14F77">
        <w:rPr>
          <w:szCs w:val="24"/>
          <w:lang w:eastAsia="en-AU"/>
        </w:rPr>
        <w:fldChar w:fldCharType="end"/>
      </w:r>
      <w:r w:rsidRPr="00A14F77">
        <w:rPr>
          <w:szCs w:val="24"/>
          <w:lang w:eastAsia="en-AU"/>
        </w:rPr>
        <w:t xml:space="preserve">, at the start of inspections an entrance meeting is held to clearly discuss the scope of the inspection, and an exit meeting discusses any findings before the preparation of the inspection report. The inspection report is also reviewed </w:t>
      </w:r>
      <w:r w:rsidR="006F23FA" w:rsidRPr="00A14F77">
        <w:rPr>
          <w:szCs w:val="24"/>
          <w:lang w:eastAsia="en-AU"/>
        </w:rPr>
        <w:t>by</w:t>
      </w:r>
      <w:r w:rsidR="00E47B3A" w:rsidRPr="00A14F77">
        <w:rPr>
          <w:szCs w:val="24"/>
          <w:lang w:eastAsia="en-AU"/>
        </w:rPr>
        <w:t xml:space="preserve"> the licence holder </w:t>
      </w:r>
      <w:r w:rsidRPr="00A14F77">
        <w:rPr>
          <w:szCs w:val="24"/>
          <w:lang w:eastAsia="en-AU"/>
        </w:rPr>
        <w:t>for factual accuracy and comment is sought on any potential non-compliance prior to determining if a breach has occurred</w:t>
      </w:r>
    </w:p>
    <w:p w14:paraId="2D12B754" w14:textId="4A24756F" w:rsidR="00C6542C" w:rsidRDefault="006B55ED" w:rsidP="00C6542C">
      <w:pPr>
        <w:pStyle w:val="ListParagraph"/>
        <w:numPr>
          <w:ilvl w:val="0"/>
          <w:numId w:val="20"/>
        </w:numPr>
        <w:spacing w:before="0"/>
        <w:rPr>
          <w:rFonts w:cs="Times New Roman"/>
          <w:bCs/>
          <w:lang w:eastAsia="en-AU"/>
        </w:rPr>
      </w:pPr>
      <w:r>
        <w:rPr>
          <w:rFonts w:cs="Times New Roman"/>
          <w:bCs/>
          <w:lang w:eastAsia="en-AU"/>
        </w:rPr>
        <w:t xml:space="preserve">written </w:t>
      </w:r>
      <w:r w:rsidR="007C0FF9">
        <w:rPr>
          <w:rFonts w:cs="Times New Roman"/>
          <w:bCs/>
          <w:lang w:eastAsia="en-AU"/>
        </w:rPr>
        <w:t>c</w:t>
      </w:r>
      <w:r w:rsidR="00C6542C" w:rsidRPr="00EA3769">
        <w:rPr>
          <w:rFonts w:cs="Times New Roman"/>
          <w:bCs/>
          <w:lang w:eastAsia="en-AU"/>
        </w:rPr>
        <w:t>orrespond</w:t>
      </w:r>
      <w:r>
        <w:rPr>
          <w:rFonts w:cs="Times New Roman"/>
          <w:bCs/>
          <w:lang w:eastAsia="en-AU"/>
        </w:rPr>
        <w:t>ence including</w:t>
      </w:r>
      <w:r w:rsidR="006A1122">
        <w:rPr>
          <w:rFonts w:cs="Times New Roman"/>
          <w:bCs/>
          <w:lang w:eastAsia="en-AU"/>
        </w:rPr>
        <w:t xml:space="preserve"> </w:t>
      </w:r>
      <w:r w:rsidR="00C6542C" w:rsidRPr="00EA3769">
        <w:rPr>
          <w:rFonts w:cs="Times New Roman"/>
          <w:bCs/>
          <w:lang w:eastAsia="en-AU"/>
        </w:rPr>
        <w:t xml:space="preserve"> notifications, letters outlining potential non-compliances, </w:t>
      </w:r>
      <w:r w:rsidR="00C6542C">
        <w:rPr>
          <w:rFonts w:cs="Times New Roman"/>
          <w:bCs/>
          <w:lang w:eastAsia="en-AU"/>
        </w:rPr>
        <w:t>breaches of the Act, licence amendments or reviews, and other regulatory matters</w:t>
      </w:r>
    </w:p>
    <w:p w14:paraId="59A4D992" w14:textId="2669092A" w:rsidR="00C6542C" w:rsidRDefault="007C0FF9" w:rsidP="00D25EFE">
      <w:pPr>
        <w:pStyle w:val="ListParagraph"/>
        <w:numPr>
          <w:ilvl w:val="0"/>
          <w:numId w:val="20"/>
        </w:numPr>
        <w:spacing w:before="60"/>
        <w:rPr>
          <w:rFonts w:cs="Times New Roman"/>
          <w:bCs/>
          <w:lang w:eastAsia="en-AU"/>
        </w:rPr>
      </w:pPr>
      <w:r>
        <w:t xml:space="preserve">online publishing of </w:t>
      </w:r>
      <w:hyperlink r:id="rId28" w:history="1">
        <w:r>
          <w:rPr>
            <w:rStyle w:val="Hyperlink"/>
            <w:rFonts w:cs="Times New Roman"/>
            <w:bCs/>
            <w:lang w:eastAsia="en-AU"/>
          </w:rPr>
          <w:t>i</w:t>
        </w:r>
        <w:r w:rsidR="00C6542C" w:rsidRPr="002D5DD1">
          <w:rPr>
            <w:rStyle w:val="Hyperlink"/>
            <w:rFonts w:cs="Times New Roman"/>
            <w:bCs/>
            <w:lang w:eastAsia="en-AU"/>
          </w:rPr>
          <w:t>nspection reports</w:t>
        </w:r>
      </w:hyperlink>
      <w:r w:rsidR="00C6542C">
        <w:rPr>
          <w:rFonts w:cs="Times New Roman"/>
          <w:bCs/>
          <w:lang w:eastAsia="en-AU"/>
        </w:rPr>
        <w:t xml:space="preserve"> for </w:t>
      </w:r>
      <w:r w:rsidR="00270B0C">
        <w:rPr>
          <w:rFonts w:cs="Times New Roman"/>
          <w:bCs/>
          <w:lang w:eastAsia="en-AU"/>
        </w:rPr>
        <w:t>all</w:t>
      </w:r>
      <w:r w:rsidR="00C6542C">
        <w:rPr>
          <w:rFonts w:cs="Times New Roman"/>
          <w:bCs/>
          <w:lang w:eastAsia="en-AU"/>
        </w:rPr>
        <w:t xml:space="preserve"> inspections</w:t>
      </w:r>
      <w:r w:rsidR="00270B0C">
        <w:rPr>
          <w:rFonts w:cs="Times New Roman"/>
          <w:bCs/>
          <w:lang w:eastAsia="en-AU"/>
        </w:rPr>
        <w:t xml:space="preserve"> (except where </w:t>
      </w:r>
      <w:r w:rsidR="00E365CE">
        <w:rPr>
          <w:rFonts w:cs="Times New Roman"/>
          <w:bCs/>
          <w:lang w:eastAsia="en-AU"/>
        </w:rPr>
        <w:t xml:space="preserve">this is not possible due to </w:t>
      </w:r>
      <w:r w:rsidR="00270B0C">
        <w:rPr>
          <w:rFonts w:cs="Times New Roman"/>
          <w:bCs/>
          <w:lang w:eastAsia="en-AU"/>
        </w:rPr>
        <w:t>s</w:t>
      </w:r>
      <w:r w:rsidR="00270B0C">
        <w:t>ecurity implications</w:t>
      </w:r>
      <w:r w:rsidR="00E365CE">
        <w:t>)</w:t>
      </w:r>
      <w:r w:rsidR="00C6542C">
        <w:rPr>
          <w:rFonts w:cs="Times New Roman"/>
          <w:bCs/>
          <w:lang w:eastAsia="en-AU"/>
        </w:rPr>
        <w:t xml:space="preserve">, and regulatory assessments and statement of reasons on a licence decisions, which are published for </w:t>
      </w:r>
      <w:hyperlink r:id="rId29" w:history="1">
        <w:r w:rsidR="00C6542C" w:rsidRPr="002D5DD1">
          <w:rPr>
            <w:rStyle w:val="Hyperlink"/>
            <w:rFonts w:cs="Times New Roman"/>
            <w:bCs/>
            <w:lang w:eastAsia="en-AU"/>
          </w:rPr>
          <w:t>major asse</w:t>
        </w:r>
        <w:r w:rsidR="00C6542C">
          <w:rPr>
            <w:rStyle w:val="Hyperlink"/>
            <w:rFonts w:cs="Times New Roman"/>
            <w:bCs/>
            <w:lang w:eastAsia="en-AU"/>
          </w:rPr>
          <w:t>ss</w:t>
        </w:r>
        <w:r w:rsidR="00C6542C" w:rsidRPr="002D5DD1">
          <w:rPr>
            <w:rStyle w:val="Hyperlink"/>
            <w:rFonts w:cs="Times New Roman"/>
            <w:bCs/>
            <w:lang w:eastAsia="en-AU"/>
          </w:rPr>
          <w:t>ments</w:t>
        </w:r>
      </w:hyperlink>
    </w:p>
    <w:p w14:paraId="03A3FD59" w14:textId="32FF3CEE" w:rsidR="004D76DF" w:rsidRPr="0064742A" w:rsidRDefault="0069192D" w:rsidP="00D25EFE">
      <w:pPr>
        <w:pStyle w:val="ListParagraph"/>
        <w:numPr>
          <w:ilvl w:val="0"/>
          <w:numId w:val="20"/>
        </w:numPr>
        <w:spacing w:before="60"/>
        <w:rPr>
          <w:rFonts w:cs="Times New Roman"/>
          <w:bCs/>
          <w:lang w:eastAsia="en-AU"/>
        </w:rPr>
      </w:pPr>
      <w:r>
        <w:t xml:space="preserve">publishing of </w:t>
      </w:r>
      <w:hyperlink r:id="rId30" w:history="1">
        <w:r w:rsidR="007C0FF9">
          <w:rPr>
            <w:rStyle w:val="Hyperlink"/>
            <w:rFonts w:cs="Times New Roman"/>
            <w:bCs/>
            <w:lang w:eastAsia="en-AU"/>
          </w:rPr>
          <w:t>i</w:t>
        </w:r>
        <w:r w:rsidR="004D76DF" w:rsidRPr="002D5DD1">
          <w:rPr>
            <w:rStyle w:val="Hyperlink"/>
            <w:rFonts w:cs="Times New Roman"/>
            <w:bCs/>
            <w:lang w:eastAsia="en-AU"/>
          </w:rPr>
          <w:t>nspection outcomes</w:t>
        </w:r>
      </w:hyperlink>
      <w:r w:rsidR="00C6542C">
        <w:rPr>
          <w:rFonts w:cs="Times New Roman"/>
          <w:bCs/>
          <w:lang w:eastAsia="en-AU"/>
        </w:rPr>
        <w:t>,</w:t>
      </w:r>
      <w:r w:rsidR="004D76DF">
        <w:rPr>
          <w:rFonts w:cs="Times New Roman"/>
          <w:bCs/>
          <w:lang w:eastAsia="en-AU"/>
        </w:rPr>
        <w:t xml:space="preserve"> including a</w:t>
      </w:r>
      <w:r w:rsidR="004D76DF" w:rsidRPr="0064742A">
        <w:rPr>
          <w:rFonts w:cs="Times New Roman"/>
          <w:bCs/>
          <w:lang w:eastAsia="en-AU"/>
        </w:rPr>
        <w:t>dvisories</w:t>
      </w:r>
      <w:r w:rsidR="004D76DF">
        <w:rPr>
          <w:rFonts w:cs="Times New Roman"/>
          <w:bCs/>
          <w:lang w:eastAsia="en-AU"/>
        </w:rPr>
        <w:t xml:space="preserve"> </w:t>
      </w:r>
      <w:r w:rsidR="004D76DF" w:rsidRPr="00E31E59">
        <w:t>on the common findings and issues for</w:t>
      </w:r>
      <w:r w:rsidR="004D76DF">
        <w:t xml:space="preserve"> a</w:t>
      </w:r>
      <w:r w:rsidR="004D76DF" w:rsidRPr="00E31E59">
        <w:t xml:space="preserve"> </w:t>
      </w:r>
      <w:r w:rsidR="004D76DF">
        <w:t>type of source</w:t>
      </w:r>
      <w:r w:rsidR="004D76DF" w:rsidRPr="00E31E59">
        <w:t xml:space="preserve"> (e.g. baggage</w:t>
      </w:r>
      <w:r w:rsidR="004D76DF">
        <w:t xml:space="preserve"> X-ray screening</w:t>
      </w:r>
      <w:r w:rsidR="004D76DF" w:rsidRPr="00E31E59">
        <w:t>, laser</w:t>
      </w:r>
      <w:r w:rsidR="004D76DF">
        <w:t>s</w:t>
      </w:r>
      <w:r w:rsidR="004D76DF" w:rsidRPr="00E31E59">
        <w:t>)</w:t>
      </w:r>
    </w:p>
    <w:p w14:paraId="1679B1F4" w14:textId="07C35556" w:rsidR="004D76DF" w:rsidRPr="00C6542C" w:rsidRDefault="0074467E" w:rsidP="00D25EFE">
      <w:pPr>
        <w:pStyle w:val="ListParagraph"/>
        <w:numPr>
          <w:ilvl w:val="0"/>
          <w:numId w:val="20"/>
        </w:numPr>
        <w:spacing w:before="60"/>
        <w:rPr>
          <w:rFonts w:cs="Times New Roman"/>
          <w:bCs/>
          <w:lang w:eastAsia="en-AU"/>
        </w:rPr>
      </w:pPr>
      <w:r>
        <w:t xml:space="preserve">publishing of </w:t>
      </w:r>
      <w:hyperlink r:id="rId31" w:history="1">
        <w:r>
          <w:rPr>
            <w:rStyle w:val="Hyperlink"/>
            <w:rFonts w:cs="Times New Roman"/>
            <w:bCs/>
            <w:lang w:eastAsia="en-AU"/>
          </w:rPr>
          <w:t>r</w:t>
        </w:r>
        <w:r w:rsidR="00C6542C" w:rsidRPr="002D5DD1">
          <w:rPr>
            <w:rStyle w:val="Hyperlink"/>
            <w:rFonts w:cs="Times New Roman"/>
            <w:bCs/>
            <w:lang w:eastAsia="en-AU"/>
          </w:rPr>
          <w:t>egulatory</w:t>
        </w:r>
        <w:r w:rsidR="00C6542C">
          <w:rPr>
            <w:rStyle w:val="Hyperlink"/>
            <w:rFonts w:cs="Times New Roman"/>
            <w:bCs/>
            <w:lang w:eastAsia="en-AU"/>
          </w:rPr>
          <w:t xml:space="preserve"> publications</w:t>
        </w:r>
      </w:hyperlink>
      <w:r w:rsidR="00C6542C">
        <w:rPr>
          <w:rFonts w:cs="Times New Roman"/>
          <w:bCs/>
          <w:lang w:eastAsia="en-AU"/>
        </w:rPr>
        <w:t xml:space="preserve"> and </w:t>
      </w:r>
      <w:hyperlink r:id="rId32" w:history="1">
        <w:r w:rsidR="00C6542C" w:rsidRPr="002D5DD1">
          <w:rPr>
            <w:rStyle w:val="Hyperlink"/>
            <w:rFonts w:cs="Times New Roman"/>
            <w:bCs/>
            <w:lang w:eastAsia="en-AU"/>
          </w:rPr>
          <w:t>forms</w:t>
        </w:r>
      </w:hyperlink>
      <w:r w:rsidR="00C6542C">
        <w:rPr>
          <w:rFonts w:cs="Times New Roman"/>
          <w:bCs/>
          <w:lang w:eastAsia="en-AU"/>
        </w:rPr>
        <w:t xml:space="preserve"> on the website </w:t>
      </w:r>
      <w:r w:rsidR="00FC4FC3">
        <w:rPr>
          <w:rFonts w:cs="Times New Roman"/>
          <w:bCs/>
          <w:lang w:eastAsia="en-AU"/>
        </w:rPr>
        <w:t>and</w:t>
      </w:r>
      <w:r w:rsidR="00C6542C">
        <w:rPr>
          <w:rFonts w:cs="Times New Roman"/>
          <w:bCs/>
          <w:lang w:eastAsia="en-AU"/>
        </w:rPr>
        <w:t xml:space="preserve"> provid</w:t>
      </w:r>
      <w:r>
        <w:rPr>
          <w:rFonts w:cs="Times New Roman"/>
          <w:bCs/>
          <w:lang w:eastAsia="en-AU"/>
        </w:rPr>
        <w:t>ing</w:t>
      </w:r>
      <w:r w:rsidR="00C6542C">
        <w:rPr>
          <w:rFonts w:cs="Times New Roman"/>
          <w:bCs/>
          <w:lang w:eastAsia="en-AU"/>
        </w:rPr>
        <w:t xml:space="preserve"> transparent</w:t>
      </w:r>
      <w:r w:rsidR="00FC4FC3">
        <w:rPr>
          <w:rFonts w:cs="Times New Roman"/>
          <w:bCs/>
          <w:lang w:eastAsia="en-AU"/>
        </w:rPr>
        <w:t>, comprehensive</w:t>
      </w:r>
      <w:r w:rsidR="00C6542C">
        <w:rPr>
          <w:rFonts w:cs="Times New Roman"/>
          <w:bCs/>
          <w:lang w:eastAsia="en-AU"/>
        </w:rPr>
        <w:t xml:space="preserve"> and consistent advice</w:t>
      </w:r>
      <w:r w:rsidR="00FC4FC3">
        <w:rPr>
          <w:rFonts w:cs="Times New Roman"/>
          <w:bCs/>
          <w:lang w:eastAsia="en-AU"/>
        </w:rPr>
        <w:t xml:space="preserve"> on licensing applications and reporting, and regulatory requirements, expectations, guidance and standards</w:t>
      </w:r>
      <w:r w:rsidR="00C6542C">
        <w:rPr>
          <w:rFonts w:cs="Times New Roman"/>
          <w:bCs/>
          <w:lang w:eastAsia="en-AU"/>
        </w:rPr>
        <w:t>.</w:t>
      </w:r>
    </w:p>
    <w:p w14:paraId="620EB681" w14:textId="77777777" w:rsidR="00C032F2" w:rsidRDefault="00C032F2">
      <w:pPr>
        <w:rPr>
          <w:lang w:eastAsia="en-AU"/>
        </w:rPr>
      </w:pPr>
      <w:r>
        <w:rPr>
          <w:lang w:eastAsia="en-AU"/>
        </w:rPr>
        <w:br w:type="page"/>
      </w:r>
    </w:p>
    <w:p w14:paraId="1906E8D5" w14:textId="3195FCC4" w:rsidR="00A27A5E" w:rsidRDefault="006A1A0B" w:rsidP="00D25EFE">
      <w:pPr>
        <w:spacing w:before="120"/>
        <w:rPr>
          <w:lang w:eastAsia="en-AU"/>
        </w:rPr>
      </w:pPr>
      <w:r>
        <w:rPr>
          <w:lang w:eastAsia="en-AU"/>
        </w:rPr>
        <w:lastRenderedPageBreak/>
        <w:t>I</w:t>
      </w:r>
      <w:r w:rsidR="007E7639">
        <w:rPr>
          <w:lang w:eastAsia="en-AU"/>
        </w:rPr>
        <w:t>n</w:t>
      </w:r>
      <w:r w:rsidR="007B4652">
        <w:rPr>
          <w:lang w:eastAsia="en-AU"/>
        </w:rPr>
        <w:t xml:space="preserve"> the</w:t>
      </w:r>
      <w:r w:rsidR="007E7639">
        <w:rPr>
          <w:lang w:eastAsia="en-AU"/>
        </w:rPr>
        <w:t xml:space="preserve"> </w:t>
      </w:r>
      <w:hyperlink r:id="rId33" w:history="1">
        <w:r w:rsidR="007B4652" w:rsidRPr="00E269C3">
          <w:rPr>
            <w:rStyle w:val="Hyperlink"/>
            <w:i/>
            <w:lang w:eastAsia="en-AU"/>
          </w:rPr>
          <w:t>Fundamentals for Protection Against Ionising Radiation (2014)</w:t>
        </w:r>
      </w:hyperlink>
      <w:r w:rsidR="007E7639">
        <w:rPr>
          <w:lang w:eastAsia="en-AU"/>
        </w:rPr>
        <w:t>, A</w:t>
      </w:r>
      <w:r w:rsidR="00A27A5E">
        <w:rPr>
          <w:lang w:eastAsia="en-AU"/>
        </w:rPr>
        <w:t xml:space="preserve">RPANSA </w:t>
      </w:r>
      <w:r w:rsidR="006F23FA">
        <w:rPr>
          <w:lang w:eastAsia="en-AU"/>
        </w:rPr>
        <w:t xml:space="preserve">places </w:t>
      </w:r>
      <w:r w:rsidR="00A27A5E">
        <w:rPr>
          <w:lang w:eastAsia="en-AU"/>
        </w:rPr>
        <w:t>the prime responsibility for protecting people and the environment</w:t>
      </w:r>
      <w:r w:rsidR="007E7639">
        <w:rPr>
          <w:lang w:eastAsia="en-AU"/>
        </w:rPr>
        <w:t xml:space="preserve"> from the harmful effects of radiation</w:t>
      </w:r>
      <w:r w:rsidR="00A27A5E">
        <w:rPr>
          <w:lang w:eastAsia="en-AU"/>
        </w:rPr>
        <w:t xml:space="preserve"> (i.e. for carrying out activities safely and securely) with the licence holder</w:t>
      </w:r>
      <w:r w:rsidR="007E7639">
        <w:rPr>
          <w:lang w:eastAsia="en-AU"/>
        </w:rPr>
        <w:t>.</w:t>
      </w:r>
      <w:r w:rsidR="00A27A5E">
        <w:rPr>
          <w:lang w:eastAsia="en-AU"/>
        </w:rPr>
        <w:t xml:space="preserve"> Taking a less pr</w:t>
      </w:r>
      <w:r w:rsidR="00D52F9C">
        <w:rPr>
          <w:lang w:eastAsia="en-AU"/>
        </w:rPr>
        <w:t>e</w:t>
      </w:r>
      <w:r w:rsidR="00A27A5E">
        <w:rPr>
          <w:lang w:eastAsia="en-AU"/>
        </w:rPr>
        <w:t>scriptive approach to regulation requires clear</w:t>
      </w:r>
      <w:r w:rsidR="007E7639">
        <w:rPr>
          <w:lang w:eastAsia="en-AU"/>
        </w:rPr>
        <w:t>,</w:t>
      </w:r>
      <w:r w:rsidR="00A27A5E">
        <w:rPr>
          <w:lang w:eastAsia="en-AU"/>
        </w:rPr>
        <w:t xml:space="preserve"> targeted guidance and effective communication to</w:t>
      </w:r>
      <w:r w:rsidR="006868A0">
        <w:rPr>
          <w:lang w:eastAsia="en-AU"/>
        </w:rPr>
        <w:t xml:space="preserve"> set clear</w:t>
      </w:r>
      <w:r w:rsidR="00A27A5E">
        <w:rPr>
          <w:lang w:eastAsia="en-AU"/>
        </w:rPr>
        <w:t xml:space="preserve"> expectations and ensure successful outcomes.</w:t>
      </w:r>
    </w:p>
    <w:p w14:paraId="5FD213AB" w14:textId="790A5D2F" w:rsidR="004D76DF" w:rsidRPr="00692518" w:rsidRDefault="00A27A5E" w:rsidP="00D25EFE">
      <w:pPr>
        <w:spacing w:before="120" w:after="120"/>
        <w:rPr>
          <w:rFonts w:cs="Times New Roman"/>
          <w:lang w:eastAsia="en-AU"/>
        </w:rPr>
      </w:pPr>
      <w:r w:rsidRPr="00692518">
        <w:rPr>
          <w:lang w:eastAsia="en-AU"/>
        </w:rPr>
        <w:t xml:space="preserve">ARPANSA prepares </w:t>
      </w:r>
      <w:hyperlink r:id="rId34" w:history="1">
        <w:r w:rsidRPr="00656FA3">
          <w:rPr>
            <w:rStyle w:val="Hyperlink"/>
            <w:rFonts w:cs="Times New Roman"/>
            <w:lang w:eastAsia="en-AU"/>
          </w:rPr>
          <w:t>regulatory guidance</w:t>
        </w:r>
      </w:hyperlink>
      <w:r w:rsidRPr="00D25EFE">
        <w:rPr>
          <w:color w:val="2B579A"/>
          <w:shd w:val="clear" w:color="auto" w:fill="E6E6E6"/>
        </w:rPr>
        <w:t xml:space="preserve"> </w:t>
      </w:r>
      <w:r w:rsidRPr="00692518">
        <w:rPr>
          <w:lang w:eastAsia="en-AU"/>
        </w:rPr>
        <w:t>that establish</w:t>
      </w:r>
      <w:r w:rsidR="00D52F9C">
        <w:rPr>
          <w:lang w:eastAsia="en-AU"/>
        </w:rPr>
        <w:t>es</w:t>
      </w:r>
      <w:r w:rsidRPr="00692518">
        <w:rPr>
          <w:lang w:eastAsia="en-AU"/>
        </w:rPr>
        <w:t xml:space="preserve"> expectations, requirements and provide</w:t>
      </w:r>
      <w:r w:rsidR="00D52F9C">
        <w:rPr>
          <w:lang w:eastAsia="en-AU"/>
        </w:rPr>
        <w:t>s</w:t>
      </w:r>
      <w:r w:rsidRPr="00692518">
        <w:rPr>
          <w:lang w:eastAsia="en-AU"/>
        </w:rPr>
        <w:t xml:space="preserve"> clarity on how ARPANSA conducts its regulatory operations. This is in addition to the development of codes and standards for adoption across Australia</w:t>
      </w:r>
      <w:r w:rsidR="003D726B">
        <w:rPr>
          <w:lang w:eastAsia="en-AU"/>
        </w:rPr>
        <w:t>n jurisdictions</w:t>
      </w:r>
      <w:r w:rsidRPr="00692518">
        <w:rPr>
          <w:lang w:eastAsia="en-AU"/>
        </w:rPr>
        <w:t>. Development of these guides includes consultation with stakeholders via the ARPANSA website</w:t>
      </w:r>
      <w:r w:rsidR="006F23FA">
        <w:rPr>
          <w:lang w:eastAsia="en-AU"/>
        </w:rPr>
        <w:t>; stakeholders are also consulted on revision</w:t>
      </w:r>
      <w:r w:rsidR="002052E6">
        <w:rPr>
          <w:lang w:eastAsia="en-AU"/>
        </w:rPr>
        <w:t xml:space="preserve"> </w:t>
      </w:r>
      <w:r w:rsidR="003D726B">
        <w:rPr>
          <w:lang w:eastAsia="en-AU"/>
        </w:rPr>
        <w:t>of</w:t>
      </w:r>
      <w:r w:rsidR="002052E6">
        <w:rPr>
          <w:lang w:eastAsia="en-AU"/>
        </w:rPr>
        <w:t xml:space="preserve"> </w:t>
      </w:r>
      <w:r w:rsidR="006F23FA">
        <w:rPr>
          <w:lang w:eastAsia="en-AU"/>
        </w:rPr>
        <w:t>guides where there are</w:t>
      </w:r>
      <w:r w:rsidR="002052E6">
        <w:rPr>
          <w:lang w:eastAsia="en-AU"/>
        </w:rPr>
        <w:t xml:space="preserve"> significant changes</w:t>
      </w:r>
      <w:r w:rsidRPr="00692518">
        <w:rPr>
          <w:lang w:eastAsia="en-AU"/>
        </w:rPr>
        <w:t>.</w:t>
      </w:r>
      <w:r w:rsidRPr="00B04161">
        <w:rPr>
          <w:lang w:eastAsia="en-AU"/>
        </w:rPr>
        <w:t xml:space="preserve"> </w:t>
      </w:r>
      <w:r w:rsidRPr="00692518">
        <w:rPr>
          <w:lang w:eastAsia="en-AU"/>
        </w:rPr>
        <w:t>Regulatory guidance is published on the ARPANSA website and is kept up</w:t>
      </w:r>
      <w:r w:rsidR="00F415FE">
        <w:rPr>
          <w:lang w:eastAsia="en-AU"/>
        </w:rPr>
        <w:noBreakHyphen/>
      </w:r>
      <w:r w:rsidRPr="00692518">
        <w:rPr>
          <w:lang w:eastAsia="en-AU"/>
        </w:rPr>
        <w:t>to</w:t>
      </w:r>
      <w:r w:rsidR="006805D0">
        <w:rPr>
          <w:lang w:eastAsia="en-AU"/>
        </w:rPr>
        <w:noBreakHyphen/>
      </w:r>
      <w:r w:rsidRPr="00692518">
        <w:rPr>
          <w:lang w:eastAsia="en-AU"/>
        </w:rPr>
        <w:t xml:space="preserve">date. </w:t>
      </w:r>
      <w:r w:rsidR="0073203A">
        <w:rPr>
          <w:lang w:eastAsia="en-AU"/>
        </w:rPr>
        <w:t xml:space="preserve">For example a </w:t>
      </w:r>
      <w:hyperlink r:id="rId35" w:history="1">
        <w:r w:rsidR="0073203A" w:rsidRPr="0073203A">
          <w:rPr>
            <w:rStyle w:val="Hyperlink"/>
            <w:lang w:eastAsia="en-AU"/>
          </w:rPr>
          <w:t>new guide for decommissioning of facilities</w:t>
        </w:r>
      </w:hyperlink>
      <w:r w:rsidR="0073203A">
        <w:rPr>
          <w:lang w:eastAsia="en-AU"/>
        </w:rPr>
        <w:t xml:space="preserve"> was published in February 2019, and nine other guides were reviewed or updated.</w:t>
      </w:r>
      <w:r w:rsidR="00C1716C">
        <w:rPr>
          <w:lang w:eastAsia="en-AU"/>
        </w:rPr>
        <w:t xml:space="preserve"> </w:t>
      </w:r>
      <w:r w:rsidRPr="00692518">
        <w:rPr>
          <w:lang w:eastAsia="en-AU"/>
        </w:rPr>
        <w:t>However</w:t>
      </w:r>
      <w:r w:rsidR="0354F012" w:rsidRPr="00692518">
        <w:rPr>
          <w:lang w:eastAsia="en-AU"/>
        </w:rPr>
        <w:t>,</w:t>
      </w:r>
      <w:r w:rsidRPr="00692518">
        <w:rPr>
          <w:lang w:eastAsia="en-AU"/>
        </w:rPr>
        <w:t xml:space="preserve"> in some instances it was not clear how these changes were communicated to licence holders. This is further discussed in this report under </w:t>
      </w:r>
      <w:r w:rsidRPr="00692518">
        <w:rPr>
          <w:lang w:eastAsia="en-AU"/>
        </w:rPr>
        <w:fldChar w:fldCharType="begin"/>
      </w:r>
      <w:r w:rsidRPr="00692518">
        <w:rPr>
          <w:lang w:eastAsia="en-AU"/>
        </w:rPr>
        <w:instrText xml:space="preserve"> REF _Ref15552503 \r \h </w:instrText>
      </w:r>
      <w:r w:rsidR="00692518">
        <w:rPr>
          <w:lang w:eastAsia="en-AU"/>
        </w:rPr>
        <w:instrText xml:space="preserve"> \* MERGEFORMAT </w:instrText>
      </w:r>
      <w:r w:rsidRPr="00692518">
        <w:rPr>
          <w:lang w:eastAsia="en-AU"/>
        </w:rPr>
      </w:r>
      <w:r w:rsidRPr="00692518">
        <w:rPr>
          <w:lang w:eastAsia="en-AU"/>
        </w:rPr>
        <w:fldChar w:fldCharType="separate"/>
      </w:r>
      <w:r w:rsidRPr="00692518">
        <w:rPr>
          <w:lang w:eastAsia="en-AU"/>
        </w:rPr>
        <w:t>KPI 5</w:t>
      </w:r>
      <w:r w:rsidRPr="00692518">
        <w:rPr>
          <w:lang w:eastAsia="en-AU"/>
        </w:rPr>
        <w:fldChar w:fldCharType="end"/>
      </w:r>
      <w:r w:rsidRPr="00692518">
        <w:rPr>
          <w:lang w:eastAsia="en-AU"/>
        </w:rPr>
        <w:t>.</w:t>
      </w:r>
      <w:r>
        <w:t xml:space="preserve"> </w:t>
      </w:r>
    </w:p>
    <w:p w14:paraId="2E20F76C" w14:textId="56AF797E" w:rsidR="00F5034B" w:rsidRDefault="00F5034B" w:rsidP="00D25EFE">
      <w:pPr>
        <w:pStyle w:val="Heading3"/>
        <w:spacing w:before="180"/>
      </w:pPr>
      <w:r>
        <w:t>Strengths</w:t>
      </w:r>
    </w:p>
    <w:p w14:paraId="203DBF7A" w14:textId="7C80316D" w:rsidR="00993489" w:rsidRDefault="00993489" w:rsidP="00D25EFE">
      <w:pPr>
        <w:pStyle w:val="Heading4"/>
        <w:spacing w:before="140"/>
      </w:pPr>
      <w:r>
        <w:t xml:space="preserve">Multifaceted communication </w:t>
      </w:r>
      <w:r w:rsidRPr="00792521">
        <w:t>strategy</w:t>
      </w:r>
    </w:p>
    <w:p w14:paraId="2545103C" w14:textId="7E1DF5EA" w:rsidR="00F5034B" w:rsidRDefault="00993489" w:rsidP="006868A0">
      <w:pPr>
        <w:spacing w:before="0"/>
      </w:pPr>
      <w:r w:rsidRPr="00692518">
        <w:t>ARPANSA’s broad range of communi</w:t>
      </w:r>
      <w:r w:rsidR="00C151F1" w:rsidRPr="00692518">
        <w:t>cation tools aim to ensure that ARPANSA</w:t>
      </w:r>
      <w:r w:rsidR="00C6542C" w:rsidRPr="516CF115">
        <w:t xml:space="preserve"> </w:t>
      </w:r>
      <w:r w:rsidR="00C151F1" w:rsidRPr="00692518">
        <w:t xml:space="preserve">communicates </w:t>
      </w:r>
      <w:r w:rsidR="003D726B" w:rsidRPr="00692518">
        <w:t xml:space="preserve">effectively </w:t>
      </w:r>
      <w:r w:rsidR="00C151F1" w:rsidRPr="00692518">
        <w:t>with all levels of</w:t>
      </w:r>
      <w:r w:rsidR="00C151F1">
        <w:t xml:space="preserve"> </w:t>
      </w:r>
      <w:r w:rsidR="003D726B">
        <w:t>licen</w:t>
      </w:r>
      <w:r w:rsidR="006F23FA">
        <w:t>s</w:t>
      </w:r>
      <w:r w:rsidR="003D726B">
        <w:t xml:space="preserve">ed </w:t>
      </w:r>
      <w:r w:rsidR="00C151F1">
        <w:t>organisation</w:t>
      </w:r>
      <w:r w:rsidR="003D726B">
        <w:t>s</w:t>
      </w:r>
      <w:r w:rsidR="00C151F1">
        <w:t xml:space="preserve">. For example, the </w:t>
      </w:r>
      <w:hyperlink r:id="rId36" w:history="1">
        <w:r w:rsidR="00C151F1" w:rsidRPr="006868A0">
          <w:rPr>
            <w:rStyle w:val="Hyperlink"/>
          </w:rPr>
          <w:t>Liaison foru</w:t>
        </w:r>
        <w:r w:rsidR="0030652D">
          <w:rPr>
            <w:rStyle w:val="Hyperlink"/>
          </w:rPr>
          <w:t>ms</w:t>
        </w:r>
      </w:hyperlink>
      <w:r w:rsidR="00C151F1">
        <w:t xml:space="preserve"> </w:t>
      </w:r>
      <w:r w:rsidR="1B554B34">
        <w:t>target senior staff</w:t>
      </w:r>
      <w:r w:rsidR="03E7FCAB">
        <w:t xml:space="preserve"> at major licence holders</w:t>
      </w:r>
      <w:r w:rsidR="00C151F1">
        <w:t>, the</w:t>
      </w:r>
      <w:r w:rsidR="0030652D">
        <w:t xml:space="preserve"> annual</w:t>
      </w:r>
      <w:r w:rsidR="00C151F1">
        <w:t xml:space="preserve"> </w:t>
      </w:r>
      <w:hyperlink r:id="rId37" w:history="1">
        <w:r w:rsidR="00C151F1" w:rsidRPr="006868A0">
          <w:rPr>
            <w:rStyle w:val="Hyperlink"/>
          </w:rPr>
          <w:t>LHF</w:t>
        </w:r>
      </w:hyperlink>
      <w:r w:rsidR="00C151F1">
        <w:t xml:space="preserve"> targets mid-level and safety officers, while ‘</w:t>
      </w:r>
      <w:r w:rsidR="00F15CCE">
        <w:t>m</w:t>
      </w:r>
      <w:r w:rsidR="00C151F1">
        <w:t xml:space="preserve">eet the </w:t>
      </w:r>
      <w:r w:rsidR="00F15CCE">
        <w:t>r</w:t>
      </w:r>
      <w:r w:rsidR="00C151F1">
        <w:t xml:space="preserve">egulator’ forums target operational staff. </w:t>
      </w:r>
      <w:r w:rsidR="00792521">
        <w:t>Similarly</w:t>
      </w:r>
      <w:r w:rsidR="517054E3" w:rsidRPr="516CF115">
        <w:t>,</w:t>
      </w:r>
      <w:r w:rsidR="00792521">
        <w:t xml:space="preserve"> correspondence is sent to licence holder nominees, safety officers, </w:t>
      </w:r>
      <w:r w:rsidR="005D7F96">
        <w:t>or</w:t>
      </w:r>
      <w:r w:rsidR="00792521">
        <w:t xml:space="preserve"> senior staff depending on </w:t>
      </w:r>
      <w:r w:rsidR="00150764">
        <w:t xml:space="preserve">the </w:t>
      </w:r>
      <w:r w:rsidR="00792521">
        <w:t>circumstance</w:t>
      </w:r>
      <w:r w:rsidR="00150764">
        <w:t>s</w:t>
      </w:r>
      <w:r w:rsidR="00792521">
        <w:t xml:space="preserve">. The website offers guidance </w:t>
      </w:r>
      <w:r w:rsidR="005D7F96">
        <w:t>on</w:t>
      </w:r>
      <w:r w:rsidR="00792521">
        <w:t xml:space="preserve"> a large number of </w:t>
      </w:r>
      <w:hyperlink r:id="rId38" w:history="1">
        <w:r w:rsidR="00792521" w:rsidRPr="0073203A">
          <w:rPr>
            <w:rStyle w:val="Hyperlink"/>
          </w:rPr>
          <w:t>regulatory topics</w:t>
        </w:r>
      </w:hyperlink>
      <w:r w:rsidR="00792521">
        <w:t xml:space="preserve">, as well as sharing information on </w:t>
      </w:r>
      <w:hyperlink r:id="rId39" w:history="1">
        <w:r w:rsidR="00792521" w:rsidRPr="0073203A">
          <w:rPr>
            <w:rStyle w:val="Hyperlink"/>
          </w:rPr>
          <w:t>inspection outcomes</w:t>
        </w:r>
      </w:hyperlink>
      <w:r w:rsidR="00792521">
        <w:t xml:space="preserve">, </w:t>
      </w:r>
      <w:hyperlink r:id="rId40" w:history="1">
        <w:r w:rsidR="00792521" w:rsidRPr="0073203A">
          <w:rPr>
            <w:rStyle w:val="Hyperlink"/>
          </w:rPr>
          <w:t>international best practice</w:t>
        </w:r>
      </w:hyperlink>
      <w:r w:rsidR="00792521">
        <w:t xml:space="preserve"> and </w:t>
      </w:r>
      <w:hyperlink r:id="rId41" w:history="1">
        <w:r w:rsidR="00792521" w:rsidRPr="0073203A">
          <w:rPr>
            <w:rStyle w:val="Hyperlink"/>
          </w:rPr>
          <w:t>holistic safety</w:t>
        </w:r>
      </w:hyperlink>
      <w:r w:rsidR="00792521">
        <w:t xml:space="preserve"> approaches.</w:t>
      </w:r>
    </w:p>
    <w:p w14:paraId="41311C6C" w14:textId="77777777" w:rsidR="00F5034B" w:rsidRDefault="00F5034B" w:rsidP="00D25EFE">
      <w:pPr>
        <w:pStyle w:val="Heading3"/>
        <w:spacing w:before="200"/>
      </w:pPr>
      <w:r>
        <w:t>Identified opportunities for improvement</w:t>
      </w:r>
    </w:p>
    <w:p w14:paraId="72D9ACF1" w14:textId="19F67A85" w:rsidR="008057BE" w:rsidRDefault="008057BE" w:rsidP="00D25EFE">
      <w:pPr>
        <w:pStyle w:val="Heading4"/>
        <w:spacing w:before="120"/>
        <w:rPr>
          <w:lang w:eastAsia="en-AU"/>
        </w:rPr>
      </w:pPr>
      <w:r>
        <w:rPr>
          <w:lang w:eastAsia="en-AU"/>
        </w:rPr>
        <w:t xml:space="preserve">Recording </w:t>
      </w:r>
      <w:r w:rsidR="12B3E498">
        <w:rPr>
          <w:lang w:eastAsia="en-AU"/>
        </w:rPr>
        <w:t>and enco</w:t>
      </w:r>
      <w:r w:rsidR="479EBCD0" w:rsidRPr="00E365CE">
        <w:rPr>
          <w:lang w:eastAsia="en-AU"/>
        </w:rPr>
        <w:t>u</w:t>
      </w:r>
      <w:r w:rsidR="12B3E498">
        <w:rPr>
          <w:lang w:eastAsia="en-AU"/>
        </w:rPr>
        <w:t>raging feedback (</w:t>
      </w:r>
      <w:r w:rsidR="479EBCD0" w:rsidRPr="008057BE">
        <w:rPr>
          <w:lang w:eastAsia="en-AU"/>
        </w:rPr>
        <w:t>information sharing meetings)</w:t>
      </w:r>
      <w:r w:rsidRPr="008057BE">
        <w:rPr>
          <w:lang w:eastAsia="en-AU"/>
        </w:rPr>
        <w:t xml:space="preserve"> </w:t>
      </w:r>
    </w:p>
    <w:p w14:paraId="062EEB9E" w14:textId="3FC46534" w:rsidR="008057BE" w:rsidRPr="00692518" w:rsidRDefault="008057BE" w:rsidP="00692518">
      <w:pPr>
        <w:spacing w:before="0"/>
      </w:pPr>
      <w:r w:rsidRPr="00692518">
        <w:t xml:space="preserve">A significant number of meetings </w:t>
      </w:r>
      <w:r w:rsidR="00521DCB">
        <w:t>(</w:t>
      </w:r>
      <w:r w:rsidRPr="00692518">
        <w:t>58</w:t>
      </w:r>
      <w:r w:rsidR="00521DCB">
        <w:t>)</w:t>
      </w:r>
      <w:r w:rsidRPr="00692518">
        <w:t xml:space="preserve"> were recorded in the meeting register. This register also provides </w:t>
      </w:r>
      <w:r w:rsidR="00C6542C" w:rsidRPr="00692518">
        <w:t xml:space="preserve">a mechanism </w:t>
      </w:r>
      <w:r w:rsidRPr="00692518">
        <w:t xml:space="preserve">for recording </w:t>
      </w:r>
      <w:r w:rsidR="7912BBD6" w:rsidRPr="00692518">
        <w:t xml:space="preserve">any </w:t>
      </w:r>
      <w:r w:rsidRPr="00692518">
        <w:t>feedback received or evaluation of meeting</w:t>
      </w:r>
      <w:r w:rsidR="006F23FA">
        <w:t>s</w:t>
      </w:r>
      <w:r w:rsidRPr="00692518">
        <w:t>. However, this was not routinely completed and only the annual L</w:t>
      </w:r>
      <w:r w:rsidR="1B6C3CDB" w:rsidRPr="00692518">
        <w:t>HF</w:t>
      </w:r>
      <w:r w:rsidRPr="00692518">
        <w:t xml:space="preserve"> had evidence of a qualitative analysis of the effectiveness of the meeting based on survey feedback.</w:t>
      </w:r>
    </w:p>
    <w:p w14:paraId="32952BDD" w14:textId="3354EDE4" w:rsidR="008D3195" w:rsidRDefault="008D3195" w:rsidP="00D25EFE">
      <w:pPr>
        <w:pStyle w:val="Heading4"/>
        <w:spacing w:before="140"/>
        <w:rPr>
          <w:lang w:eastAsia="en-AU"/>
        </w:rPr>
      </w:pPr>
      <w:r>
        <w:rPr>
          <w:lang w:eastAsia="en-AU"/>
        </w:rPr>
        <w:t>Communication of changes</w:t>
      </w:r>
      <w:r w:rsidRPr="008057BE">
        <w:rPr>
          <w:lang w:eastAsia="en-AU"/>
        </w:rPr>
        <w:t xml:space="preserve"> </w:t>
      </w:r>
      <w:r>
        <w:rPr>
          <w:lang w:eastAsia="en-AU"/>
        </w:rPr>
        <w:t>affecting licence holders</w:t>
      </w:r>
    </w:p>
    <w:p w14:paraId="4E39573B" w14:textId="6C6B6324" w:rsidR="00C151F1" w:rsidRPr="00692518" w:rsidRDefault="008D3195" w:rsidP="00692518">
      <w:pPr>
        <w:spacing w:before="0"/>
      </w:pPr>
      <w:r w:rsidRPr="00692518">
        <w:t xml:space="preserve">A significant amount of correspondence </w:t>
      </w:r>
      <w:r w:rsidR="00792521" w:rsidRPr="00692518">
        <w:t>as well as guidance is prepared by ARPANSA. However, it was not always clear how information, particularly updates to the website</w:t>
      </w:r>
      <w:r w:rsidR="00D27BDB">
        <w:t>,</w:t>
      </w:r>
      <w:r w:rsidR="00792521" w:rsidRPr="00692518">
        <w:t xml:space="preserve"> w</w:t>
      </w:r>
      <w:r w:rsidR="00D27BDB">
        <w:t>as</w:t>
      </w:r>
      <w:r w:rsidR="00792521" w:rsidRPr="00692518">
        <w:t xml:space="preserve"> distributed to licence holders</w:t>
      </w:r>
      <w:r w:rsidR="001013DC" w:rsidRPr="00692518">
        <w:t xml:space="preserve"> and individuals</w:t>
      </w:r>
      <w:r w:rsidR="00792521" w:rsidRPr="00692518">
        <w:t xml:space="preserve">. </w:t>
      </w:r>
      <w:r w:rsidR="00926454" w:rsidRPr="00692518">
        <w:t>For example</w:t>
      </w:r>
      <w:r w:rsidR="7794AFD6" w:rsidRPr="00692518">
        <w:t xml:space="preserve">, </w:t>
      </w:r>
      <w:r w:rsidR="00926454" w:rsidRPr="00692518">
        <w:t xml:space="preserve">emails of notification to licence nominees would be saved within the records management system, but it is not clear who should be, or was, notified. </w:t>
      </w:r>
      <w:r w:rsidR="00792521" w:rsidRPr="00692518">
        <w:t>This was particularly relevant to updates o</w:t>
      </w:r>
      <w:r w:rsidR="00521DCB">
        <w:t>f</w:t>
      </w:r>
      <w:r w:rsidR="00792521" w:rsidRPr="00692518">
        <w:t xml:space="preserve"> </w:t>
      </w:r>
      <w:r w:rsidR="31FEB0DA" w:rsidRPr="00692518">
        <w:t xml:space="preserve">the </w:t>
      </w:r>
      <w:r w:rsidR="7FFC2D71" w:rsidRPr="00692518">
        <w:t>R</w:t>
      </w:r>
      <w:r w:rsidR="00792521" w:rsidRPr="00692518">
        <w:t>egulation</w:t>
      </w:r>
      <w:r w:rsidR="7FFC2D71" w:rsidRPr="00692518">
        <w:t>s</w:t>
      </w:r>
      <w:r w:rsidR="00792521" w:rsidRPr="00692518">
        <w:t xml:space="preserve"> and applicable codes and standards.</w:t>
      </w:r>
      <w:r w:rsidR="00926454" w:rsidRPr="00692518">
        <w:t xml:space="preserve"> </w:t>
      </w:r>
      <w:r w:rsidR="00792521" w:rsidRPr="00692518">
        <w:t>An email distribution list</w:t>
      </w:r>
      <w:r w:rsidR="00926454" w:rsidRPr="00692518">
        <w:t>,</w:t>
      </w:r>
      <w:r w:rsidR="00792521" w:rsidRPr="00692518">
        <w:t xml:space="preserve"> which people can subscribe</w:t>
      </w:r>
      <w:r w:rsidR="00926454" w:rsidRPr="00692518">
        <w:t xml:space="preserve"> to,</w:t>
      </w:r>
      <w:r w:rsidR="00792521" w:rsidRPr="00692518">
        <w:t xml:space="preserve"> may improve the dissemination of updates.</w:t>
      </w:r>
    </w:p>
    <w:p w14:paraId="297575DB" w14:textId="77777777" w:rsidR="00C032F2" w:rsidRDefault="00C032F2">
      <w:pPr>
        <w:rPr>
          <w:rFonts w:ascii="Calibri" w:eastAsiaTheme="majorEastAsia" w:hAnsi="Calibri" w:cstheme="majorBidi"/>
          <w:b/>
          <w:bCs/>
          <w:color w:val="4E1A74"/>
          <w:sz w:val="26"/>
          <w:szCs w:val="26"/>
        </w:rPr>
      </w:pPr>
      <w:bookmarkStart w:id="52" w:name="_Toc23846609"/>
      <w:r>
        <w:br w:type="page"/>
      </w:r>
    </w:p>
    <w:p w14:paraId="6D279B66" w14:textId="1B3F34C3" w:rsidR="00CD74EC" w:rsidRDefault="00CD74EC" w:rsidP="00CD74EC">
      <w:pPr>
        <w:pStyle w:val="Heading2"/>
      </w:pPr>
      <w:bookmarkStart w:id="53" w:name="_Toc25225268"/>
      <w:r w:rsidRPr="00110D4B">
        <w:lastRenderedPageBreak/>
        <w:t>KPI 3 - Actions undertaken by regulators are proportionate to the regulatory risk</w:t>
      </w:r>
      <w:bookmarkEnd w:id="52"/>
      <w:bookmarkEnd w:id="53"/>
    </w:p>
    <w:p w14:paraId="3D17EE46" w14:textId="7D6B6E70" w:rsidR="00337FB0" w:rsidRDefault="00337FB0" w:rsidP="00337FB0">
      <w:pPr>
        <w:autoSpaceDE w:val="0"/>
        <w:autoSpaceDN w:val="0"/>
        <w:adjustRightInd w:val="0"/>
        <w:spacing w:after="120"/>
        <w:rPr>
          <w:rFonts w:cs="Times New Roman"/>
          <w:bCs/>
          <w:szCs w:val="24"/>
          <w:lang w:eastAsia="en-AU"/>
        </w:rPr>
      </w:pPr>
      <w:r w:rsidRPr="00AD0968">
        <w:rPr>
          <w:rFonts w:cs="Times New Roman"/>
          <w:bCs/>
          <w:szCs w:val="24"/>
          <w:lang w:eastAsia="en-AU"/>
        </w:rPr>
        <w:t>ARPANSA</w:t>
      </w:r>
      <w:r>
        <w:rPr>
          <w:rFonts w:cs="Times New Roman"/>
          <w:bCs/>
          <w:szCs w:val="24"/>
          <w:lang w:eastAsia="en-AU"/>
        </w:rPr>
        <w:t xml:space="preserve"> seeks to ensure that its </w:t>
      </w:r>
      <w:r w:rsidRPr="00AD0968">
        <w:rPr>
          <w:rFonts w:cs="Times New Roman"/>
          <w:bCs/>
          <w:szCs w:val="24"/>
          <w:lang w:eastAsia="en-AU"/>
        </w:rPr>
        <w:t>regulatory oversight program is proportionate to the risk</w:t>
      </w:r>
      <w:r>
        <w:rPr>
          <w:rFonts w:cs="Times New Roman"/>
          <w:bCs/>
          <w:szCs w:val="24"/>
          <w:lang w:eastAsia="en-AU"/>
        </w:rPr>
        <w:t xml:space="preserve"> </w:t>
      </w:r>
      <w:r w:rsidRPr="00AD0968">
        <w:rPr>
          <w:rFonts w:cs="Times New Roman"/>
          <w:bCs/>
          <w:szCs w:val="24"/>
          <w:lang w:eastAsia="en-AU"/>
        </w:rPr>
        <w:t xml:space="preserve">the controlled activity poses to people and the environment. </w:t>
      </w:r>
      <w:r w:rsidR="00CB129B">
        <w:rPr>
          <w:rFonts w:cs="Times New Roman"/>
          <w:bCs/>
          <w:szCs w:val="24"/>
          <w:lang w:eastAsia="en-AU"/>
        </w:rPr>
        <w:t>Oversight</w:t>
      </w:r>
      <w:r w:rsidRPr="00AD0968">
        <w:rPr>
          <w:rFonts w:cs="Times New Roman"/>
          <w:bCs/>
          <w:szCs w:val="24"/>
          <w:lang w:eastAsia="en-AU"/>
        </w:rPr>
        <w:t xml:space="preserve"> includes licence holder reporting, </w:t>
      </w:r>
      <w:r w:rsidR="00CB129B">
        <w:rPr>
          <w:rFonts w:cs="Times New Roman"/>
          <w:bCs/>
          <w:szCs w:val="24"/>
          <w:lang w:eastAsia="en-AU"/>
        </w:rPr>
        <w:t xml:space="preserve">regulatory </w:t>
      </w:r>
      <w:r w:rsidRPr="00AD0968">
        <w:rPr>
          <w:rFonts w:cs="Times New Roman"/>
          <w:bCs/>
          <w:szCs w:val="24"/>
          <w:lang w:eastAsia="en-AU"/>
        </w:rPr>
        <w:t xml:space="preserve">inspections, site visits </w:t>
      </w:r>
      <w:r w:rsidR="00CB129B">
        <w:rPr>
          <w:rFonts w:cs="Times New Roman"/>
          <w:bCs/>
          <w:szCs w:val="24"/>
          <w:lang w:eastAsia="en-AU"/>
        </w:rPr>
        <w:t xml:space="preserve">by regulatory officers </w:t>
      </w:r>
      <w:r w:rsidRPr="00AD0968">
        <w:rPr>
          <w:rFonts w:cs="Times New Roman"/>
          <w:bCs/>
          <w:szCs w:val="24"/>
          <w:lang w:eastAsia="en-AU"/>
        </w:rPr>
        <w:t xml:space="preserve">and other meetings or forums. </w:t>
      </w:r>
    </w:p>
    <w:p w14:paraId="5F9A1979" w14:textId="64DAA017" w:rsidR="005724AA" w:rsidRPr="0030652D" w:rsidRDefault="005724AA" w:rsidP="0030652D">
      <w:pPr>
        <w:autoSpaceDE w:val="0"/>
        <w:autoSpaceDN w:val="0"/>
        <w:adjustRightInd w:val="0"/>
        <w:spacing w:after="120"/>
        <w:rPr>
          <w:rFonts w:cs="Times New Roman"/>
          <w:lang w:eastAsia="en-AU"/>
        </w:rPr>
      </w:pPr>
      <w:r w:rsidRPr="006868A0">
        <w:rPr>
          <w:rFonts w:cs="Times New Roman"/>
          <w:lang w:eastAsia="en-AU"/>
        </w:rPr>
        <w:t xml:space="preserve">The risk-informed inspection program is designed to direct regulatory resources </w:t>
      </w:r>
      <w:r w:rsidR="00792C2D" w:rsidRPr="006868A0">
        <w:rPr>
          <w:rFonts w:cs="Times New Roman"/>
          <w:lang w:eastAsia="en-AU"/>
        </w:rPr>
        <w:t xml:space="preserve">to </w:t>
      </w:r>
      <w:r w:rsidR="00926454" w:rsidRPr="006868A0">
        <w:rPr>
          <w:rFonts w:cs="Times New Roman"/>
          <w:lang w:eastAsia="en-AU"/>
        </w:rPr>
        <w:t xml:space="preserve">areas of </w:t>
      </w:r>
      <w:r w:rsidR="165C2D58" w:rsidRPr="006868A0">
        <w:rPr>
          <w:rFonts w:cs="Times New Roman"/>
          <w:lang w:eastAsia="en-AU"/>
        </w:rPr>
        <w:t>m</w:t>
      </w:r>
      <w:r w:rsidR="02F9968D" w:rsidRPr="0030652D">
        <w:rPr>
          <w:rFonts w:cs="Times New Roman"/>
          <w:lang w:eastAsia="en-AU"/>
        </w:rPr>
        <w:t xml:space="preserve">ost </w:t>
      </w:r>
      <w:r w:rsidRPr="0030652D">
        <w:rPr>
          <w:rFonts w:cs="Times New Roman"/>
          <w:lang w:eastAsia="en-AU"/>
        </w:rPr>
        <w:t>risk</w:t>
      </w:r>
      <w:r w:rsidR="00792C2D" w:rsidRPr="0030652D">
        <w:rPr>
          <w:rFonts w:cs="Times New Roman"/>
          <w:lang w:eastAsia="en-AU"/>
        </w:rPr>
        <w:t>.</w:t>
      </w:r>
      <w:r w:rsidRPr="0030652D">
        <w:rPr>
          <w:rFonts w:cs="Times New Roman"/>
          <w:lang w:eastAsia="en-AU"/>
        </w:rPr>
        <w:t xml:space="preserve"> </w:t>
      </w:r>
      <w:r w:rsidR="00792C2D" w:rsidRPr="0030652D">
        <w:rPr>
          <w:rFonts w:cs="Times New Roman"/>
          <w:lang w:eastAsia="en-AU"/>
        </w:rPr>
        <w:t>The r</w:t>
      </w:r>
      <w:r w:rsidRPr="0030652D">
        <w:rPr>
          <w:rFonts w:cs="Times New Roman"/>
          <w:lang w:eastAsia="en-AU"/>
        </w:rPr>
        <w:t xml:space="preserve">egulatory priority </w:t>
      </w:r>
      <w:r w:rsidR="00792C2D" w:rsidRPr="0030652D">
        <w:rPr>
          <w:rFonts w:cs="Times New Roman"/>
          <w:lang w:eastAsia="en-AU"/>
        </w:rPr>
        <w:t>determines the</w:t>
      </w:r>
      <w:r w:rsidRPr="0030652D">
        <w:rPr>
          <w:rFonts w:cs="Times New Roman"/>
          <w:lang w:eastAsia="en-AU"/>
        </w:rPr>
        <w:t xml:space="preserve"> minimum inspection frequency based on the hazard of the source</w:t>
      </w:r>
      <w:r w:rsidR="00792C2D" w:rsidRPr="0030652D">
        <w:rPr>
          <w:rFonts w:cs="Times New Roman"/>
          <w:lang w:eastAsia="en-AU"/>
        </w:rPr>
        <w:t xml:space="preserve"> or the risk of the facility</w:t>
      </w:r>
      <w:r w:rsidR="00CB129B" w:rsidRPr="00CB129B">
        <w:rPr>
          <w:rFonts w:cs="Times New Roman"/>
          <w:bCs/>
          <w:szCs w:val="24"/>
          <w:lang w:eastAsia="en-AU"/>
        </w:rPr>
        <w:t xml:space="preserve"> </w:t>
      </w:r>
      <w:r w:rsidR="00CB129B" w:rsidRPr="00AD0968">
        <w:rPr>
          <w:rFonts w:cs="Times New Roman"/>
          <w:bCs/>
          <w:szCs w:val="24"/>
          <w:lang w:eastAsia="en-AU"/>
        </w:rPr>
        <w:t>to people and the environment</w:t>
      </w:r>
      <w:r w:rsidRPr="0030652D">
        <w:rPr>
          <w:rFonts w:cs="Times New Roman"/>
          <w:lang w:eastAsia="en-AU"/>
        </w:rPr>
        <w:t xml:space="preserve">. </w:t>
      </w:r>
      <w:r w:rsidR="00792C2D" w:rsidRPr="0030652D">
        <w:rPr>
          <w:rFonts w:cs="Times New Roman"/>
          <w:lang w:eastAsia="en-AU"/>
        </w:rPr>
        <w:t xml:space="preserve">The regulatory priority for facilities should be reviewed annually, after an inspection, after an incident or accident and after changes to the facility. </w:t>
      </w:r>
      <w:r w:rsidR="00926454" w:rsidRPr="0030652D">
        <w:rPr>
          <w:rFonts w:cs="Times New Roman"/>
          <w:lang w:eastAsia="en-AU"/>
        </w:rPr>
        <w:t>These</w:t>
      </w:r>
      <w:r w:rsidRPr="0030652D">
        <w:rPr>
          <w:rFonts w:cs="Times New Roman"/>
          <w:lang w:eastAsia="en-AU"/>
        </w:rPr>
        <w:t xml:space="preserve"> </w:t>
      </w:r>
      <w:r w:rsidR="0078572E" w:rsidRPr="0030652D">
        <w:rPr>
          <w:rFonts w:cs="Times New Roman"/>
          <w:lang w:eastAsia="en-AU"/>
        </w:rPr>
        <w:t>assessment</w:t>
      </w:r>
      <w:r w:rsidR="00926454" w:rsidRPr="0030652D">
        <w:rPr>
          <w:rFonts w:cs="Times New Roman"/>
          <w:lang w:eastAsia="en-AU"/>
        </w:rPr>
        <w:t>s</w:t>
      </w:r>
      <w:r w:rsidR="0078572E" w:rsidRPr="0030652D">
        <w:rPr>
          <w:rFonts w:cs="Times New Roman"/>
          <w:lang w:eastAsia="en-AU"/>
        </w:rPr>
        <w:t xml:space="preserve"> </w:t>
      </w:r>
      <w:r w:rsidR="00792C2D" w:rsidRPr="0030652D">
        <w:rPr>
          <w:rFonts w:cs="Times New Roman"/>
          <w:lang w:eastAsia="en-AU"/>
        </w:rPr>
        <w:t>consider</w:t>
      </w:r>
      <w:r w:rsidR="00F97AFB">
        <w:rPr>
          <w:rFonts w:cs="Times New Roman"/>
          <w:lang w:eastAsia="en-AU"/>
        </w:rPr>
        <w:t xml:space="preserve"> licens</w:t>
      </w:r>
      <w:r w:rsidR="00CB129B">
        <w:rPr>
          <w:rFonts w:cs="Times New Roman"/>
          <w:lang w:eastAsia="en-AU"/>
        </w:rPr>
        <w:t>ee</w:t>
      </w:r>
      <w:r w:rsidR="627879F4" w:rsidRPr="0030652D">
        <w:rPr>
          <w:rFonts w:cs="Times New Roman"/>
          <w:lang w:eastAsia="en-AU"/>
        </w:rPr>
        <w:t xml:space="preserve"> </w:t>
      </w:r>
      <w:r w:rsidR="00792C2D" w:rsidRPr="0030652D">
        <w:rPr>
          <w:rFonts w:cs="Times New Roman"/>
          <w:lang w:eastAsia="en-AU"/>
        </w:rPr>
        <w:t xml:space="preserve">compliance history, the frequency of incidents/accidents, the robustness of their defence in depth and </w:t>
      </w:r>
      <w:r w:rsidR="00CB129B">
        <w:rPr>
          <w:rFonts w:cs="Times New Roman"/>
          <w:lang w:eastAsia="en-AU"/>
        </w:rPr>
        <w:t xml:space="preserve">safety controls described in </w:t>
      </w:r>
      <w:r w:rsidR="00792C2D" w:rsidRPr="0030652D">
        <w:rPr>
          <w:rFonts w:cs="Times New Roman"/>
          <w:lang w:eastAsia="en-AU"/>
        </w:rPr>
        <w:t xml:space="preserve">plans and arrangements, their monitoring of safety performance, </w:t>
      </w:r>
      <w:r w:rsidRPr="0030652D">
        <w:rPr>
          <w:rFonts w:cs="Times New Roman"/>
          <w:lang w:eastAsia="en-AU"/>
        </w:rPr>
        <w:t xml:space="preserve">effectiveness of changes, and other holistic safety aspects. </w:t>
      </w:r>
    </w:p>
    <w:p w14:paraId="506AEA21" w14:textId="5E70186D" w:rsidR="00337FB0" w:rsidRPr="00A14F77" w:rsidRDefault="00337FB0" w:rsidP="00337FB0">
      <w:pPr>
        <w:autoSpaceDE w:val="0"/>
        <w:autoSpaceDN w:val="0"/>
        <w:adjustRightInd w:val="0"/>
        <w:spacing w:after="120"/>
        <w:rPr>
          <w:rFonts w:cs="Times New Roman"/>
          <w:lang w:eastAsia="en-AU"/>
        </w:rPr>
      </w:pPr>
      <w:r w:rsidRPr="00A14F77">
        <w:rPr>
          <w:rFonts w:cs="Times New Roman"/>
          <w:lang w:eastAsia="en-AU"/>
        </w:rPr>
        <w:t>An inspection may identify three types of findings</w:t>
      </w:r>
      <w:r w:rsidR="006805D0">
        <w:rPr>
          <w:rFonts w:cs="Times New Roman"/>
          <w:lang w:eastAsia="en-AU"/>
        </w:rPr>
        <w:t>:</w:t>
      </w:r>
      <w:r w:rsidR="00C1716C">
        <w:rPr>
          <w:rFonts w:cs="Times New Roman"/>
          <w:lang w:eastAsia="en-AU"/>
        </w:rPr>
        <w:t xml:space="preserve">    </w:t>
      </w:r>
      <w:r w:rsidRPr="00A14F77">
        <w:rPr>
          <w:rFonts w:cs="Times New Roman"/>
          <w:lang w:eastAsia="en-AU"/>
        </w:rPr>
        <w:t xml:space="preserve"> </w:t>
      </w:r>
    </w:p>
    <w:p w14:paraId="0AD5D1BF" w14:textId="35649B44" w:rsidR="00337FB0" w:rsidRPr="00A14F77" w:rsidRDefault="00337FB0" w:rsidP="00692518">
      <w:pPr>
        <w:pStyle w:val="ListParagraph"/>
        <w:numPr>
          <w:ilvl w:val="0"/>
          <w:numId w:val="30"/>
        </w:numPr>
        <w:autoSpaceDE w:val="0"/>
        <w:autoSpaceDN w:val="0"/>
        <w:adjustRightInd w:val="0"/>
        <w:spacing w:after="120"/>
        <w:rPr>
          <w:rFonts w:cs="Times New Roman"/>
          <w:lang w:eastAsia="en-AU"/>
        </w:rPr>
      </w:pPr>
      <w:r w:rsidRPr="00A14F77">
        <w:rPr>
          <w:rFonts w:cs="Times New Roman"/>
          <w:lang w:eastAsia="en-AU"/>
        </w:rPr>
        <w:t>‘</w:t>
      </w:r>
      <w:r w:rsidR="001B0C1B">
        <w:rPr>
          <w:rFonts w:cs="Times New Roman"/>
          <w:lang w:eastAsia="en-AU"/>
        </w:rPr>
        <w:t>g</w:t>
      </w:r>
      <w:r w:rsidRPr="00A14F77">
        <w:rPr>
          <w:rFonts w:cs="Times New Roman"/>
          <w:lang w:eastAsia="en-AU"/>
        </w:rPr>
        <w:t xml:space="preserve">ood </w:t>
      </w:r>
      <w:r w:rsidR="001B0C1B">
        <w:rPr>
          <w:rFonts w:cs="Times New Roman"/>
          <w:lang w:eastAsia="en-AU"/>
        </w:rPr>
        <w:t>p</w:t>
      </w:r>
      <w:r w:rsidRPr="00A14F77">
        <w:rPr>
          <w:rFonts w:cs="Times New Roman"/>
          <w:lang w:eastAsia="en-AU"/>
        </w:rPr>
        <w:t>ractice’</w:t>
      </w:r>
      <w:r w:rsidR="005724AA" w:rsidRPr="00A14F77">
        <w:rPr>
          <w:rFonts w:cs="Times New Roman"/>
          <w:lang w:eastAsia="en-AU"/>
        </w:rPr>
        <w:t xml:space="preserve"> </w:t>
      </w:r>
      <w:r w:rsidR="005347D2" w:rsidRPr="00A14F77">
        <w:rPr>
          <w:rFonts w:cs="Times New Roman"/>
          <w:lang w:eastAsia="en-AU"/>
        </w:rPr>
        <w:t xml:space="preserve">which identifies </w:t>
      </w:r>
      <w:r w:rsidR="005724AA" w:rsidRPr="00A14F77">
        <w:rPr>
          <w:rFonts w:cs="Times New Roman"/>
          <w:lang w:eastAsia="en-AU"/>
        </w:rPr>
        <w:t>w</w:t>
      </w:r>
      <w:r w:rsidR="00B15350" w:rsidRPr="00A14F77">
        <w:rPr>
          <w:rFonts w:cs="Times New Roman"/>
          <w:lang w:eastAsia="en-AU"/>
        </w:rPr>
        <w:t>h</w:t>
      </w:r>
      <w:r w:rsidR="005724AA" w:rsidRPr="00A14F77">
        <w:rPr>
          <w:rFonts w:cs="Times New Roman"/>
          <w:lang w:eastAsia="en-AU"/>
        </w:rPr>
        <w:t xml:space="preserve">ere the licence holder has </w:t>
      </w:r>
      <w:r w:rsidR="00A80963" w:rsidRPr="00A14F77">
        <w:rPr>
          <w:rFonts w:cs="Times New Roman"/>
          <w:lang w:eastAsia="en-AU"/>
        </w:rPr>
        <w:t xml:space="preserve">a practice which is considered </w:t>
      </w:r>
      <w:r w:rsidR="005347D2" w:rsidRPr="00A14F77">
        <w:rPr>
          <w:rFonts w:cs="Times New Roman"/>
          <w:lang w:eastAsia="en-AU"/>
        </w:rPr>
        <w:t>superior to that observed elsewhere and</w:t>
      </w:r>
      <w:r w:rsidR="00A80963" w:rsidRPr="00A14F77">
        <w:rPr>
          <w:rFonts w:cs="Times New Roman"/>
          <w:lang w:eastAsia="en-AU"/>
        </w:rPr>
        <w:t xml:space="preserve"> </w:t>
      </w:r>
      <w:r w:rsidR="005347D2" w:rsidRPr="00A14F77">
        <w:rPr>
          <w:rFonts w:cs="Times New Roman"/>
          <w:lang w:eastAsia="en-AU"/>
        </w:rPr>
        <w:t>goes beyond the fulfilment of requirements</w:t>
      </w:r>
      <w:r w:rsidR="00A80963" w:rsidRPr="00A14F77">
        <w:rPr>
          <w:rFonts w:cs="Times New Roman"/>
          <w:lang w:eastAsia="en-AU"/>
        </w:rPr>
        <w:t xml:space="preserve"> or expectations. This helps to highlight and share good practices</w:t>
      </w:r>
    </w:p>
    <w:p w14:paraId="4F725CFC" w14:textId="3599D8F8" w:rsidR="00337FB0" w:rsidRPr="00A14F77" w:rsidRDefault="00337FB0" w:rsidP="00337FB0">
      <w:pPr>
        <w:pStyle w:val="ListParagraph"/>
        <w:numPr>
          <w:ilvl w:val="0"/>
          <w:numId w:val="30"/>
        </w:numPr>
        <w:autoSpaceDE w:val="0"/>
        <w:autoSpaceDN w:val="0"/>
        <w:adjustRightInd w:val="0"/>
        <w:spacing w:after="120"/>
        <w:rPr>
          <w:rFonts w:cs="Times New Roman"/>
          <w:lang w:eastAsia="en-AU"/>
        </w:rPr>
      </w:pPr>
      <w:r w:rsidRPr="00A14F77">
        <w:rPr>
          <w:rFonts w:cs="Times New Roman"/>
          <w:lang w:eastAsia="en-AU"/>
        </w:rPr>
        <w:t>‘</w:t>
      </w:r>
      <w:r w:rsidR="001B0C1B">
        <w:rPr>
          <w:rFonts w:cs="Times New Roman"/>
          <w:lang w:eastAsia="en-AU"/>
        </w:rPr>
        <w:t>a</w:t>
      </w:r>
      <w:r w:rsidRPr="00A14F77">
        <w:rPr>
          <w:rFonts w:cs="Times New Roman"/>
          <w:lang w:eastAsia="en-AU"/>
        </w:rPr>
        <w:t>reas for improvement</w:t>
      </w:r>
      <w:r w:rsidR="005724AA" w:rsidRPr="00A14F77">
        <w:rPr>
          <w:rFonts w:cs="Times New Roman"/>
          <w:lang w:eastAsia="en-AU"/>
        </w:rPr>
        <w:t>’ (AFI)</w:t>
      </w:r>
      <w:r w:rsidRPr="00A14F77">
        <w:rPr>
          <w:rFonts w:cs="Times New Roman"/>
          <w:lang w:eastAsia="en-AU"/>
        </w:rPr>
        <w:t xml:space="preserve"> </w:t>
      </w:r>
      <w:r w:rsidR="005724AA" w:rsidRPr="00A14F77">
        <w:rPr>
          <w:rFonts w:cs="Times New Roman"/>
          <w:lang w:eastAsia="en-AU"/>
        </w:rPr>
        <w:t>which identifies</w:t>
      </w:r>
      <w:r w:rsidRPr="00A14F77">
        <w:rPr>
          <w:rFonts w:cs="Times New Roman"/>
          <w:lang w:eastAsia="en-AU"/>
        </w:rPr>
        <w:t xml:space="preserve"> when a licence holder does not follow accepted best practice or does not meet self-imposed </w:t>
      </w:r>
      <w:r w:rsidR="005724AA" w:rsidRPr="00A14F77">
        <w:rPr>
          <w:rFonts w:cs="Times New Roman"/>
          <w:lang w:eastAsia="en-AU"/>
        </w:rPr>
        <w:t>requirements,</w:t>
      </w:r>
      <w:r w:rsidRPr="00A14F77">
        <w:rPr>
          <w:rFonts w:cs="Times New Roman"/>
          <w:lang w:eastAsia="en-AU"/>
        </w:rPr>
        <w:t xml:space="preserve"> but </w:t>
      </w:r>
      <w:r w:rsidR="005724AA" w:rsidRPr="00A14F77">
        <w:rPr>
          <w:rFonts w:cs="Times New Roman"/>
          <w:lang w:eastAsia="en-AU"/>
        </w:rPr>
        <w:t xml:space="preserve">the </w:t>
      </w:r>
      <w:r w:rsidR="0089191B" w:rsidRPr="00A14F77">
        <w:rPr>
          <w:rFonts w:cs="Times New Roman"/>
          <w:lang w:eastAsia="en-AU"/>
        </w:rPr>
        <w:t xml:space="preserve">licence </w:t>
      </w:r>
      <w:r w:rsidR="005724AA" w:rsidRPr="00A14F77">
        <w:rPr>
          <w:rFonts w:cs="Times New Roman"/>
          <w:lang w:eastAsia="en-AU"/>
        </w:rPr>
        <w:t>holder is</w:t>
      </w:r>
      <w:r w:rsidRPr="00A14F77">
        <w:rPr>
          <w:rFonts w:cs="Times New Roman"/>
          <w:lang w:eastAsia="en-AU"/>
        </w:rPr>
        <w:t xml:space="preserve"> not contravening a legal requirement. These represent an area where the licence holder should improve their safety and security systems and practices</w:t>
      </w:r>
      <w:r w:rsidR="00997CD0" w:rsidRPr="00A14F77">
        <w:rPr>
          <w:rFonts w:cs="Times New Roman"/>
          <w:lang w:eastAsia="en-AU"/>
        </w:rPr>
        <w:t>.</w:t>
      </w:r>
      <w:r w:rsidRPr="00A14F77">
        <w:rPr>
          <w:rFonts w:cs="Times New Roman"/>
          <w:lang w:eastAsia="en-AU"/>
        </w:rPr>
        <w:t xml:space="preserve"> </w:t>
      </w:r>
      <w:r w:rsidR="00997CD0" w:rsidRPr="00A14F77">
        <w:rPr>
          <w:rFonts w:cs="Times New Roman"/>
          <w:lang w:eastAsia="en-AU"/>
        </w:rPr>
        <w:t xml:space="preserve">AFIs </w:t>
      </w:r>
      <w:r w:rsidRPr="00A14F77">
        <w:rPr>
          <w:rFonts w:cs="Times New Roman"/>
          <w:lang w:eastAsia="en-AU"/>
        </w:rPr>
        <w:t xml:space="preserve">are typically actioned voluntarily </w:t>
      </w:r>
      <w:r w:rsidR="00997CD0" w:rsidRPr="00A14F77">
        <w:rPr>
          <w:rFonts w:cs="Times New Roman"/>
          <w:lang w:eastAsia="en-AU"/>
        </w:rPr>
        <w:t>and therefore do not require</w:t>
      </w:r>
      <w:r w:rsidRPr="00A14F77">
        <w:rPr>
          <w:rFonts w:cs="Times New Roman"/>
          <w:lang w:eastAsia="en-AU"/>
        </w:rPr>
        <w:t xml:space="preserve"> further regulatory intervention</w:t>
      </w:r>
    </w:p>
    <w:p w14:paraId="6748365B" w14:textId="6A258239" w:rsidR="00337FB0" w:rsidRPr="00A14F77" w:rsidRDefault="00337FB0" w:rsidP="00692518">
      <w:pPr>
        <w:pStyle w:val="ListParagraph"/>
        <w:numPr>
          <w:ilvl w:val="0"/>
          <w:numId w:val="30"/>
        </w:numPr>
        <w:autoSpaceDE w:val="0"/>
        <w:autoSpaceDN w:val="0"/>
        <w:adjustRightInd w:val="0"/>
        <w:spacing w:after="120"/>
        <w:rPr>
          <w:rFonts w:cs="Times New Roman"/>
          <w:lang w:eastAsia="en-AU"/>
        </w:rPr>
      </w:pPr>
      <w:r w:rsidRPr="00A14F77">
        <w:rPr>
          <w:rFonts w:cs="Times New Roman"/>
          <w:lang w:eastAsia="en-AU"/>
        </w:rPr>
        <w:t>‘</w:t>
      </w:r>
      <w:r w:rsidR="001B0C1B">
        <w:rPr>
          <w:rFonts w:cs="Times New Roman"/>
          <w:lang w:eastAsia="en-AU"/>
        </w:rPr>
        <w:t>p</w:t>
      </w:r>
      <w:r w:rsidRPr="00A14F77">
        <w:rPr>
          <w:rFonts w:cs="Times New Roman"/>
          <w:lang w:eastAsia="en-AU"/>
        </w:rPr>
        <w:t>otential non-compliances’</w:t>
      </w:r>
      <w:r w:rsidR="005724AA" w:rsidRPr="00A14F77">
        <w:rPr>
          <w:rFonts w:cs="Times New Roman"/>
          <w:lang w:eastAsia="en-AU"/>
        </w:rPr>
        <w:t xml:space="preserve"> (PNC)</w:t>
      </w:r>
      <w:r w:rsidRPr="00A14F77">
        <w:rPr>
          <w:rFonts w:cs="Times New Roman"/>
          <w:lang w:eastAsia="en-AU"/>
        </w:rPr>
        <w:t xml:space="preserve"> </w:t>
      </w:r>
      <w:r w:rsidR="005724AA" w:rsidRPr="00A14F77">
        <w:rPr>
          <w:rFonts w:cs="Times New Roman"/>
          <w:lang w:eastAsia="en-AU"/>
        </w:rPr>
        <w:t xml:space="preserve">which identifies where </w:t>
      </w:r>
      <w:r w:rsidRPr="00A14F77">
        <w:rPr>
          <w:rFonts w:cs="Times New Roman"/>
          <w:lang w:eastAsia="en-AU"/>
        </w:rPr>
        <w:t>inspectors consider that a licence holder does not meet the legislative require</w:t>
      </w:r>
      <w:r w:rsidR="005724AA" w:rsidRPr="00A14F77">
        <w:rPr>
          <w:rFonts w:cs="Times New Roman"/>
          <w:lang w:eastAsia="en-AU"/>
        </w:rPr>
        <w:t xml:space="preserve">ments of the Act, </w:t>
      </w:r>
      <w:r w:rsidRPr="00A14F77">
        <w:rPr>
          <w:rFonts w:cs="Times New Roman"/>
          <w:lang w:eastAsia="en-AU"/>
        </w:rPr>
        <w:t>Regulations or specific licence conditions. A formal determination of whether a</w:t>
      </w:r>
      <w:r w:rsidR="70AB788E" w:rsidRPr="00A14F77">
        <w:rPr>
          <w:rFonts w:cs="Times New Roman"/>
          <w:lang w:eastAsia="en-AU"/>
        </w:rPr>
        <w:t xml:space="preserve"> PNC </w:t>
      </w:r>
      <w:r w:rsidRPr="00A14F77">
        <w:rPr>
          <w:rFonts w:cs="Times New Roman"/>
          <w:lang w:eastAsia="en-AU"/>
        </w:rPr>
        <w:t xml:space="preserve">is a breach of the Act is made by the CEO of ARPANSA (or his delegate), based on the evidence presented by inspectors and the licence holder. </w:t>
      </w:r>
    </w:p>
    <w:p w14:paraId="419A725F" w14:textId="378AED32" w:rsidR="003D7313" w:rsidRPr="003732CE" w:rsidRDefault="00337FB0" w:rsidP="00E269C3">
      <w:pPr>
        <w:rPr>
          <w:rFonts w:ascii="Calibri" w:eastAsia="Calibri" w:hAnsi="Calibri" w:cs="Calibri"/>
          <w:i/>
        </w:rPr>
      </w:pPr>
      <w:r w:rsidRPr="00A14F77">
        <w:t>ARPANSA has a range of available regulatory responses to non-compliance. The level of response is proportionate to the particular circumstance. ARPANSA provides guidance on how the response is determined in the Regulatory Guide</w:t>
      </w:r>
      <w:r w:rsidRPr="00AD0968">
        <w:rPr>
          <w:lang w:eastAsia="en-AU"/>
        </w:rPr>
        <w:t xml:space="preserve"> </w:t>
      </w:r>
      <w:hyperlink r:id="rId42" w:history="1">
        <w:r w:rsidRPr="003732CE">
          <w:rPr>
            <w:rStyle w:val="Hyperlink"/>
            <w:rFonts w:cs="Times New Roman"/>
            <w:i/>
            <w:iCs/>
            <w:lang w:eastAsia="en-AU"/>
          </w:rPr>
          <w:t>Graded Response to Dealing with Licence Holder Non-compliance</w:t>
        </w:r>
      </w:hyperlink>
      <w:r w:rsidRPr="003732CE">
        <w:rPr>
          <w:i/>
          <w:lang w:eastAsia="en-AU"/>
        </w:rPr>
        <w:t>.</w:t>
      </w:r>
      <w:r w:rsidRPr="00AD0968">
        <w:rPr>
          <w:lang w:eastAsia="en-AU"/>
        </w:rPr>
        <w:t xml:space="preserve"> </w:t>
      </w:r>
      <w:r w:rsidRPr="00A14F77">
        <w:t xml:space="preserve">In most cases, ARPANSA’s initial response will be to encourage a return to compliance. If this is unsuccessful, the regulatory response may be escalated to more formal action such as an improvement notice or direction, through to suspension or cancellation of licence, or court action. ARPANSA is currently reviewing this compliance and enforcement strategy to determine its effectiveness to drive safe behaviours. This review will take into account the </w:t>
      </w:r>
      <w:r w:rsidR="005724AA" w:rsidRPr="00A14F77">
        <w:t>outcomes of reviews of other regulatory bodies, such as the</w:t>
      </w:r>
      <w:r w:rsidR="005724AA">
        <w:rPr>
          <w:rFonts w:ascii="Calibri" w:eastAsia="Calibri" w:hAnsi="Calibri" w:cs="Calibri"/>
        </w:rPr>
        <w:t xml:space="preserve"> </w:t>
      </w:r>
      <w:hyperlink r:id="rId43" w:history="1">
        <w:r w:rsidR="1A21585A" w:rsidRPr="003732CE">
          <w:rPr>
            <w:rStyle w:val="Hyperlink"/>
            <w:rFonts w:ascii="Calibri" w:eastAsia="Calibri" w:hAnsi="Calibri" w:cs="Calibri"/>
            <w:i/>
          </w:rPr>
          <w:t>R</w:t>
        </w:r>
        <w:r w:rsidR="005724AA" w:rsidRPr="003732CE">
          <w:rPr>
            <w:rStyle w:val="Hyperlink"/>
            <w:rFonts w:ascii="Calibri" w:eastAsia="Calibri" w:hAnsi="Calibri" w:cs="Calibri"/>
            <w:i/>
          </w:rPr>
          <w:t xml:space="preserve">oyal </w:t>
        </w:r>
        <w:r w:rsidR="1A21585A" w:rsidRPr="003732CE">
          <w:rPr>
            <w:rStyle w:val="Hyperlink"/>
            <w:rFonts w:ascii="Calibri" w:eastAsia="Calibri" w:hAnsi="Calibri" w:cs="Calibri"/>
            <w:i/>
          </w:rPr>
          <w:t>C</w:t>
        </w:r>
        <w:r w:rsidR="005724AA" w:rsidRPr="003732CE">
          <w:rPr>
            <w:rStyle w:val="Hyperlink"/>
            <w:rFonts w:ascii="Calibri" w:eastAsia="Calibri" w:hAnsi="Calibri" w:cs="Calibri"/>
            <w:i/>
          </w:rPr>
          <w:t xml:space="preserve">ommission into </w:t>
        </w:r>
        <w:r w:rsidR="0E030F41" w:rsidRPr="003732CE">
          <w:rPr>
            <w:rStyle w:val="Hyperlink"/>
            <w:rFonts w:ascii="Calibri" w:eastAsia="Calibri" w:hAnsi="Calibri" w:cs="Calibri"/>
            <w:i/>
          </w:rPr>
          <w:t>M</w:t>
        </w:r>
        <w:r w:rsidR="005724AA" w:rsidRPr="003732CE">
          <w:rPr>
            <w:rStyle w:val="Hyperlink"/>
            <w:rFonts w:ascii="Calibri" w:eastAsia="Calibri" w:hAnsi="Calibri" w:cs="Calibri"/>
            <w:i/>
          </w:rPr>
          <w:t xml:space="preserve">isconduct in the </w:t>
        </w:r>
        <w:r w:rsidR="0E030F41" w:rsidRPr="003732CE">
          <w:rPr>
            <w:rStyle w:val="Hyperlink"/>
            <w:rFonts w:ascii="Calibri" w:eastAsia="Calibri" w:hAnsi="Calibri" w:cs="Calibri"/>
            <w:i/>
          </w:rPr>
          <w:t>B</w:t>
        </w:r>
        <w:r w:rsidR="005724AA" w:rsidRPr="003732CE">
          <w:rPr>
            <w:rStyle w:val="Hyperlink"/>
            <w:rFonts w:ascii="Calibri" w:eastAsia="Calibri" w:hAnsi="Calibri" w:cs="Calibri"/>
            <w:i/>
          </w:rPr>
          <w:t xml:space="preserve">anking, </w:t>
        </w:r>
        <w:r w:rsidR="0E030F41" w:rsidRPr="003732CE">
          <w:rPr>
            <w:rStyle w:val="Hyperlink"/>
            <w:rFonts w:ascii="Calibri" w:eastAsia="Calibri" w:hAnsi="Calibri" w:cs="Calibri"/>
            <w:i/>
          </w:rPr>
          <w:t>S</w:t>
        </w:r>
        <w:r w:rsidR="005724AA" w:rsidRPr="003732CE">
          <w:rPr>
            <w:rStyle w:val="Hyperlink"/>
            <w:rFonts w:ascii="Calibri" w:eastAsia="Calibri" w:hAnsi="Calibri" w:cs="Calibri"/>
            <w:i/>
          </w:rPr>
          <w:t xml:space="preserve">uperannuation and </w:t>
        </w:r>
        <w:r w:rsidR="0E030F41" w:rsidRPr="003732CE">
          <w:rPr>
            <w:rStyle w:val="Hyperlink"/>
            <w:rFonts w:ascii="Calibri" w:eastAsia="Calibri" w:hAnsi="Calibri" w:cs="Calibri"/>
            <w:i/>
          </w:rPr>
          <w:t>F</w:t>
        </w:r>
        <w:r w:rsidR="005724AA" w:rsidRPr="003732CE">
          <w:rPr>
            <w:rStyle w:val="Hyperlink"/>
            <w:rFonts w:ascii="Calibri" w:eastAsia="Calibri" w:hAnsi="Calibri" w:cs="Calibri"/>
            <w:i/>
          </w:rPr>
          <w:t xml:space="preserve">inancial </w:t>
        </w:r>
        <w:r w:rsidR="0E030F41" w:rsidRPr="003732CE">
          <w:rPr>
            <w:rStyle w:val="Hyperlink"/>
            <w:rFonts w:ascii="Calibri" w:eastAsia="Calibri" w:hAnsi="Calibri" w:cs="Calibri"/>
            <w:i/>
          </w:rPr>
          <w:t>S</w:t>
        </w:r>
        <w:r w:rsidR="005724AA" w:rsidRPr="003732CE">
          <w:rPr>
            <w:rStyle w:val="Hyperlink"/>
            <w:rFonts w:ascii="Calibri" w:eastAsia="Calibri" w:hAnsi="Calibri" w:cs="Calibri"/>
            <w:i/>
          </w:rPr>
          <w:t xml:space="preserve">ervices </w:t>
        </w:r>
        <w:r w:rsidR="0E030F41" w:rsidRPr="003732CE">
          <w:rPr>
            <w:rStyle w:val="Hyperlink"/>
            <w:rFonts w:ascii="Calibri" w:eastAsia="Calibri" w:hAnsi="Calibri" w:cs="Calibri"/>
            <w:i/>
          </w:rPr>
          <w:t>I</w:t>
        </w:r>
        <w:r w:rsidR="005724AA" w:rsidRPr="003732CE">
          <w:rPr>
            <w:rStyle w:val="Hyperlink"/>
            <w:rFonts w:ascii="Calibri" w:eastAsia="Calibri" w:hAnsi="Calibri" w:cs="Calibri"/>
            <w:i/>
          </w:rPr>
          <w:t>ndustry</w:t>
        </w:r>
      </w:hyperlink>
      <w:r w:rsidR="005724AA" w:rsidRPr="003732CE">
        <w:rPr>
          <w:rFonts w:ascii="Calibri" w:eastAsia="Calibri" w:hAnsi="Calibri" w:cs="Calibri"/>
          <w:i/>
        </w:rPr>
        <w:t>.</w:t>
      </w:r>
    </w:p>
    <w:p w14:paraId="6E13FA2A" w14:textId="77777777" w:rsidR="00337FB0" w:rsidRPr="00CD74EC" w:rsidRDefault="00337FB0" w:rsidP="00337FB0">
      <w:pPr>
        <w:pStyle w:val="Tabletext"/>
        <w:jc w:val="left"/>
      </w:pPr>
    </w:p>
    <w:tbl>
      <w:tblPr>
        <w:tblStyle w:val="GenericARPANSA4"/>
        <w:tblW w:w="4930" w:type="pct"/>
        <w:tblLook w:val="06A0" w:firstRow="1" w:lastRow="0" w:firstColumn="1" w:lastColumn="0" w:noHBand="1" w:noVBand="1"/>
        <w:tblDescription w:val="This table contains 2 heading columns, 1. KPIs/Measures/Metrics, 2. Evidence (Performance in  2016-17). Column 2 includes a self-assessed rating against KPI 3."/>
      </w:tblPr>
      <w:tblGrid>
        <w:gridCol w:w="4957"/>
        <w:gridCol w:w="4536"/>
      </w:tblGrid>
      <w:tr w:rsidR="00CD74EC" w:rsidRPr="00E25E18" w14:paraId="0B67914D" w14:textId="77777777" w:rsidTr="00315E85">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11" w:type="pct"/>
          </w:tcPr>
          <w:p w14:paraId="3D2DC637" w14:textId="3C01C6A2" w:rsidR="003B4D69" w:rsidRPr="00E25E18" w:rsidRDefault="003B4D69" w:rsidP="00C032F2">
            <w:pPr>
              <w:pStyle w:val="Tabletext"/>
              <w:spacing w:before="120" w:after="120"/>
              <w:jc w:val="left"/>
              <w:rPr>
                <w:rFonts w:asciiTheme="minorHAnsi" w:hAnsiTheme="minorHAnsi"/>
                <w:b w:val="0"/>
              </w:rPr>
            </w:pPr>
            <w:r w:rsidRPr="00E25E18">
              <w:lastRenderedPageBreak/>
              <w:t>Measures/</w:t>
            </w:r>
            <w:r w:rsidR="0030570B">
              <w:t>m</w:t>
            </w:r>
            <w:r w:rsidRPr="00E25E18">
              <w:t>etrics</w:t>
            </w:r>
          </w:p>
        </w:tc>
        <w:tc>
          <w:tcPr>
            <w:tcW w:w="2389" w:type="pct"/>
          </w:tcPr>
          <w:p w14:paraId="131106C6" w14:textId="20C2B04D" w:rsidR="003B4D69" w:rsidRPr="00E25E18" w:rsidRDefault="003B4D69" w:rsidP="0030570B">
            <w:pPr>
              <w:pStyle w:val="Tabletext"/>
              <w:spacing w:before="120" w:after="120"/>
              <w:jc w:val="left"/>
              <w:cnfStyle w:val="100000000000" w:firstRow="1" w:lastRow="0" w:firstColumn="0" w:lastColumn="0" w:oddVBand="0" w:evenVBand="0" w:oddHBand="0" w:evenHBand="0" w:firstRowFirstColumn="0" w:firstRowLastColumn="0" w:lastRowFirstColumn="0" w:lastRowLastColumn="0"/>
            </w:pPr>
            <w:r w:rsidRPr="00E25E18">
              <w:t>Evidence (</w:t>
            </w:r>
            <w:r w:rsidR="000C4A9A">
              <w:t>p</w:t>
            </w:r>
            <w:r w:rsidRPr="00E25E18">
              <w:t>erformance in 201</w:t>
            </w:r>
            <w:r w:rsidR="00B47516" w:rsidRPr="00E25E18">
              <w:t>8</w:t>
            </w:r>
            <w:r w:rsidR="0030570B">
              <w:t>–</w:t>
            </w:r>
            <w:r w:rsidRPr="00E25E18">
              <w:t>1</w:t>
            </w:r>
            <w:r w:rsidR="00B47516" w:rsidRPr="00E25E18">
              <w:t>9</w:t>
            </w:r>
            <w:r w:rsidRPr="00E25E18">
              <w:t>)</w:t>
            </w:r>
          </w:p>
        </w:tc>
      </w:tr>
      <w:tr w:rsidR="003B4D69" w:rsidRPr="00E25E18" w14:paraId="61829076" w14:textId="77777777" w:rsidTr="00315E85">
        <w:trPr>
          <w:cantSplit/>
          <w:trHeight w:val="2189"/>
        </w:trPr>
        <w:tc>
          <w:tcPr>
            <w:cnfStyle w:val="001000000000" w:firstRow="0" w:lastRow="0" w:firstColumn="1" w:lastColumn="0" w:oddVBand="0" w:evenVBand="0" w:oddHBand="0" w:evenHBand="0" w:firstRowFirstColumn="0" w:firstRowLastColumn="0" w:lastRowFirstColumn="0" w:lastRowLastColumn="0"/>
            <w:tcW w:w="2611" w:type="pct"/>
            <w:vAlign w:val="top"/>
          </w:tcPr>
          <w:p w14:paraId="5EAE0B56" w14:textId="67F250D0" w:rsidR="003B4D69" w:rsidRPr="00E25E18" w:rsidRDefault="00EA436F" w:rsidP="00C032F2">
            <w:pPr>
              <w:pStyle w:val="Tabletext"/>
              <w:jc w:val="left"/>
            </w:pPr>
            <w:r w:rsidRPr="00E25E18">
              <w:t xml:space="preserve">PI </w:t>
            </w:r>
            <w:r w:rsidR="6F9414C3" w:rsidRPr="00E25E18">
              <w:t xml:space="preserve">3.1 Inspection </w:t>
            </w:r>
            <w:r w:rsidR="00562C74">
              <w:t>s</w:t>
            </w:r>
            <w:r w:rsidR="00562C74" w:rsidRPr="00E25E18">
              <w:t xml:space="preserve">chedule </w:t>
            </w:r>
            <w:r w:rsidR="6F9414C3" w:rsidRPr="00E25E18">
              <w:t>is risk informed and reviewed annually.</w:t>
            </w:r>
          </w:p>
          <w:p w14:paraId="618D9784" w14:textId="60E00957" w:rsidR="003B4D69" w:rsidRPr="00E25E18" w:rsidRDefault="6F9414C3" w:rsidP="00315E85">
            <w:pPr>
              <w:pStyle w:val="Tabletext"/>
              <w:spacing w:before="120"/>
              <w:jc w:val="left"/>
              <w:rPr>
                <w:b w:val="0"/>
              </w:rPr>
            </w:pPr>
            <w:r w:rsidRPr="00E25E18">
              <w:rPr>
                <w:b w:val="0"/>
              </w:rPr>
              <w:t>ARPANSA applies a graded, risk informed approach to its inspection program. This measure indicates ARPANSA’s ability to apply its regulatory resources efficiently and proportionately where needed.</w:t>
            </w:r>
          </w:p>
          <w:p w14:paraId="7AB335B0" w14:textId="77777777" w:rsidR="008F74D3" w:rsidRPr="00E25E18" w:rsidRDefault="4243EE35" w:rsidP="00C032F2">
            <w:pPr>
              <w:pStyle w:val="Tabletext"/>
              <w:jc w:val="left"/>
              <w:rPr>
                <w:b w:val="0"/>
              </w:rPr>
            </w:pPr>
            <w:r w:rsidRPr="00E25E18">
              <w:rPr>
                <w:b w:val="0"/>
              </w:rPr>
              <w:t>For source licences a six-year baseline inspection program based on the source (hazard) category is used. For efficiency, the inspection program also takes account of the geographical location of the sources so that regions with multiple sources may be inspected together.</w:t>
            </w:r>
          </w:p>
          <w:p w14:paraId="7C9C9F1B" w14:textId="4D5744B1" w:rsidR="003B4D69" w:rsidRPr="00E25E18" w:rsidRDefault="006E2E9C" w:rsidP="00C032F2">
            <w:pPr>
              <w:pStyle w:val="Tabletext"/>
              <w:jc w:val="left"/>
              <w:rPr>
                <w:b w:val="0"/>
              </w:rPr>
            </w:pPr>
            <w:r w:rsidRPr="00E25E18">
              <w:rPr>
                <w:b w:val="0"/>
              </w:rPr>
              <w:t>Inspection schedules for f</w:t>
            </w:r>
            <w:r w:rsidR="6F9414C3" w:rsidRPr="00E25E18">
              <w:rPr>
                <w:b w:val="0"/>
              </w:rPr>
              <w:t>acility licences are reviewed annually and after any significant regulatory events such as non-compliance, incidents and accidents. The structured review takes account of the inherent risks presented by the facility, the level of safety controls and performance of the operator. The outcome of this review is used to determine the overall proportion of regulatory resources applied to each facility.</w:t>
            </w:r>
          </w:p>
          <w:p w14:paraId="63803835" w14:textId="50152889" w:rsidR="003B4D69" w:rsidRPr="00E25E18" w:rsidRDefault="6F9414C3" w:rsidP="00C032F2">
            <w:pPr>
              <w:pStyle w:val="Tabletext"/>
              <w:jc w:val="left"/>
              <w:rPr>
                <w:b w:val="0"/>
              </w:rPr>
            </w:pPr>
            <w:r w:rsidRPr="00E25E18">
              <w:rPr>
                <w:b w:val="0"/>
              </w:rPr>
              <w:t xml:space="preserve">This balanced approach recognises good performance </w:t>
            </w:r>
            <w:r w:rsidR="006E2E9C" w:rsidRPr="00E25E18">
              <w:rPr>
                <w:b w:val="0"/>
              </w:rPr>
              <w:t xml:space="preserve">of the operator </w:t>
            </w:r>
            <w:r w:rsidRPr="00E25E18">
              <w:rPr>
                <w:b w:val="0"/>
              </w:rPr>
              <w:t>with reduced regulatory effort and allows regulatory resources to be applied where they have most safety benefit.</w:t>
            </w:r>
          </w:p>
          <w:p w14:paraId="2BA226A1" w14:textId="5EC0FC7C" w:rsidR="003B4D69" w:rsidRPr="00E25E18" w:rsidRDefault="6F9414C3" w:rsidP="00C032F2">
            <w:pPr>
              <w:pStyle w:val="Tabletext"/>
              <w:jc w:val="left"/>
              <w:rPr>
                <w:b w:val="0"/>
              </w:rPr>
            </w:pPr>
            <w:r w:rsidRPr="00E25E18">
              <w:rPr>
                <w:b w:val="0"/>
              </w:rPr>
              <w:t>ARPANSA will measure the conformance to this scheduling and risk review processes [Qualitative].</w:t>
            </w:r>
          </w:p>
        </w:tc>
        <w:tc>
          <w:tcPr>
            <w:tcW w:w="2389" w:type="pct"/>
            <w:vAlign w:val="top"/>
          </w:tcPr>
          <w:p w14:paraId="47175FBB" w14:textId="56132968" w:rsidR="00B15317" w:rsidRPr="00E25E18" w:rsidRDefault="00B15317" w:rsidP="00C032F2">
            <w:pPr>
              <w:pStyle w:val="Tabletext"/>
              <w:jc w:val="left"/>
              <w:cnfStyle w:val="000000000000" w:firstRow="0" w:lastRow="0" w:firstColumn="0" w:lastColumn="0" w:oddVBand="0" w:evenVBand="0" w:oddHBand="0" w:evenHBand="0" w:firstRowFirstColumn="0" w:firstRowLastColumn="0" w:lastRowFirstColumn="0" w:lastRowLastColumn="0"/>
              <w:rPr>
                <w:b/>
              </w:rPr>
            </w:pPr>
            <w:r w:rsidRPr="00E25E18">
              <w:rPr>
                <w:b/>
              </w:rPr>
              <w:t xml:space="preserve">Target </w:t>
            </w:r>
            <w:r w:rsidR="0030570B">
              <w:rPr>
                <w:b/>
              </w:rPr>
              <w:t>m</w:t>
            </w:r>
            <w:r w:rsidR="0030570B" w:rsidRPr="00E25E18">
              <w:rPr>
                <w:b/>
              </w:rPr>
              <w:t>et</w:t>
            </w:r>
          </w:p>
          <w:p w14:paraId="7DC99B45" w14:textId="0AFEB321" w:rsidR="0078572E" w:rsidRPr="00E25E18" w:rsidRDefault="0078572E" w:rsidP="00315E85">
            <w:pPr>
              <w:pStyle w:val="Tabletext"/>
              <w:spacing w:before="120"/>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E25E18">
              <w:rPr>
                <w:rFonts w:ascii="Calibri" w:hAnsi="Calibri"/>
              </w:rPr>
              <w:t>The facility</w:t>
            </w:r>
            <w:r w:rsidR="501E5E53" w:rsidRPr="00E25E18">
              <w:rPr>
                <w:rFonts w:ascii="Calibri" w:hAnsi="Calibri"/>
              </w:rPr>
              <w:t xml:space="preserve"> inspection schedule </w:t>
            </w:r>
            <w:r w:rsidRPr="00E25E18">
              <w:rPr>
                <w:rFonts w:ascii="Calibri" w:hAnsi="Calibri"/>
              </w:rPr>
              <w:t>was last reviewed in</w:t>
            </w:r>
            <w:r w:rsidR="501E5E53" w:rsidRPr="00E25E18">
              <w:rPr>
                <w:rFonts w:ascii="Calibri" w:hAnsi="Calibri"/>
              </w:rPr>
              <w:t xml:space="preserve"> </w:t>
            </w:r>
            <w:r w:rsidRPr="00E25E18">
              <w:rPr>
                <w:rFonts w:ascii="Calibri" w:hAnsi="Calibri"/>
              </w:rPr>
              <w:t>January 2019; the source schedule in October 2018.</w:t>
            </w:r>
          </w:p>
          <w:p w14:paraId="17AD93B2" w14:textId="7979B019" w:rsidR="003B4D69" w:rsidRPr="00E25E18" w:rsidRDefault="00235431" w:rsidP="00C032F2">
            <w:pPr>
              <w:pStyle w:val="Tabletext"/>
              <w:jc w:val="lef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A total of </w:t>
            </w:r>
            <w:r w:rsidR="501E5E53" w:rsidRPr="00E25E18">
              <w:rPr>
                <w:rFonts w:ascii="Calibri" w:hAnsi="Calibri"/>
              </w:rPr>
              <w:t xml:space="preserve">23 facility </w:t>
            </w:r>
            <w:r w:rsidR="00926454" w:rsidRPr="00E25E18">
              <w:rPr>
                <w:rFonts w:ascii="Calibri" w:hAnsi="Calibri"/>
              </w:rPr>
              <w:t>reviews</w:t>
            </w:r>
            <w:r w:rsidR="501E5E53" w:rsidRPr="00E25E18">
              <w:rPr>
                <w:rFonts w:ascii="Calibri" w:hAnsi="Calibri"/>
              </w:rPr>
              <w:t xml:space="preserve"> were</w:t>
            </w:r>
            <w:r w:rsidR="0078572E" w:rsidRPr="00E25E18">
              <w:rPr>
                <w:rFonts w:ascii="Calibri" w:hAnsi="Calibri"/>
              </w:rPr>
              <w:t xml:space="preserve"> recorded as</w:t>
            </w:r>
            <w:r w:rsidR="501E5E53" w:rsidRPr="00E25E18">
              <w:rPr>
                <w:rFonts w:ascii="Calibri" w:hAnsi="Calibri"/>
              </w:rPr>
              <w:t xml:space="preserve"> part</w:t>
            </w:r>
            <w:r w:rsidR="001D2DC2" w:rsidRPr="00E25E18">
              <w:rPr>
                <w:rFonts w:ascii="Calibri" w:hAnsi="Calibri"/>
              </w:rPr>
              <w:t xml:space="preserve"> of</w:t>
            </w:r>
            <w:r w:rsidR="501E5E53" w:rsidRPr="00E25E18">
              <w:rPr>
                <w:rFonts w:ascii="Calibri" w:hAnsi="Calibri"/>
              </w:rPr>
              <w:t xml:space="preserve"> </w:t>
            </w:r>
            <w:r w:rsidR="00583E9E" w:rsidRPr="00E25E18">
              <w:rPr>
                <w:rFonts w:ascii="Calibri" w:eastAsia="Calibri" w:hAnsi="Calibri" w:cs="Calibri"/>
              </w:rPr>
              <w:t>either</w:t>
            </w:r>
            <w:r w:rsidR="501E5E53" w:rsidRPr="00E25E18">
              <w:rPr>
                <w:rFonts w:ascii="Calibri" w:hAnsi="Calibri"/>
              </w:rPr>
              <w:t xml:space="preserve"> periodic</w:t>
            </w:r>
            <w:r w:rsidR="00B310E1" w:rsidRPr="00E25E18">
              <w:rPr>
                <w:rFonts w:ascii="Calibri" w:hAnsi="Calibri"/>
              </w:rPr>
              <w:t xml:space="preserve"> </w:t>
            </w:r>
            <w:r w:rsidR="00B812FD" w:rsidRPr="00E25E18">
              <w:rPr>
                <w:rFonts w:ascii="Calibri" w:hAnsi="Calibri"/>
              </w:rPr>
              <w:t xml:space="preserve">or </w:t>
            </w:r>
            <w:r w:rsidR="00583E9E" w:rsidRPr="00E25E18">
              <w:rPr>
                <w:rFonts w:ascii="Calibri" w:eastAsia="Calibri" w:hAnsi="Calibri" w:cs="Calibri"/>
              </w:rPr>
              <w:t>post-</w:t>
            </w:r>
            <w:r w:rsidR="501E5E53" w:rsidRPr="00E25E18">
              <w:rPr>
                <w:rFonts w:ascii="Calibri" w:hAnsi="Calibri"/>
              </w:rPr>
              <w:t>inspection</w:t>
            </w:r>
            <w:r w:rsidR="00B812FD" w:rsidRPr="00E25E18">
              <w:rPr>
                <w:rFonts w:ascii="Calibri" w:hAnsi="Calibri"/>
              </w:rPr>
              <w:t xml:space="preserve"> </w:t>
            </w:r>
            <w:r w:rsidR="501E5E53" w:rsidRPr="00E25E18">
              <w:rPr>
                <w:rFonts w:ascii="Calibri" w:eastAsia="Calibri" w:hAnsi="Calibri" w:cs="Calibri"/>
              </w:rPr>
              <w:t>reviews.</w:t>
            </w:r>
            <w:r w:rsidR="00583E9E" w:rsidRPr="00E25E18">
              <w:rPr>
                <w:rFonts w:ascii="Calibri" w:eastAsia="Calibri" w:hAnsi="Calibri" w:cs="Calibri"/>
              </w:rPr>
              <w:t xml:space="preserve"> </w:t>
            </w:r>
            <w:r w:rsidR="001D2DC2" w:rsidRPr="00E25E18">
              <w:rPr>
                <w:rFonts w:ascii="Calibri" w:eastAsia="Calibri" w:hAnsi="Calibri" w:cs="Calibri"/>
              </w:rPr>
              <w:t xml:space="preserve">This resulted in a number of augmented inspections, including of the </w:t>
            </w:r>
            <w:r w:rsidR="008A670B" w:rsidRPr="00E25E18">
              <w:rPr>
                <w:rFonts w:ascii="Calibri" w:eastAsia="Calibri" w:hAnsi="Calibri" w:cs="Calibri"/>
              </w:rPr>
              <w:t>ANSTO</w:t>
            </w:r>
            <w:r w:rsidR="001D2DC2" w:rsidRPr="00E25E18">
              <w:rPr>
                <w:rFonts w:ascii="Calibri" w:eastAsia="Calibri" w:hAnsi="Calibri" w:cs="Calibri"/>
              </w:rPr>
              <w:t xml:space="preserve"> Nuclear Medicine facility following a reported event</w:t>
            </w:r>
            <w:r w:rsidR="008A670B" w:rsidRPr="00E25E18">
              <w:rPr>
                <w:rFonts w:ascii="Calibri" w:eastAsia="Calibri" w:hAnsi="Calibri" w:cs="Calibri"/>
              </w:rPr>
              <w:t xml:space="preserve">. </w:t>
            </w:r>
          </w:p>
        </w:tc>
      </w:tr>
      <w:tr w:rsidR="003B4D69" w:rsidRPr="00E25E18" w14:paraId="0DE4B5B7" w14:textId="77777777" w:rsidTr="00D63C9F">
        <w:trPr>
          <w:cantSplit/>
          <w:trHeight w:val="2237"/>
        </w:trPr>
        <w:tc>
          <w:tcPr>
            <w:cnfStyle w:val="001000000000" w:firstRow="0" w:lastRow="0" w:firstColumn="1" w:lastColumn="0" w:oddVBand="0" w:evenVBand="0" w:oddHBand="0" w:evenHBand="0" w:firstRowFirstColumn="0" w:firstRowLastColumn="0" w:lastRowFirstColumn="0" w:lastRowLastColumn="0"/>
            <w:tcW w:w="2611" w:type="pct"/>
            <w:tcBorders>
              <w:bottom w:val="single" w:sz="18" w:space="0" w:color="auto"/>
            </w:tcBorders>
            <w:vAlign w:val="top"/>
          </w:tcPr>
          <w:p w14:paraId="496041D7" w14:textId="25946D61" w:rsidR="003B4D69" w:rsidRPr="00E25E18" w:rsidRDefault="00EA436F" w:rsidP="00C032F2">
            <w:pPr>
              <w:pStyle w:val="Tabletext"/>
              <w:jc w:val="left"/>
            </w:pPr>
            <w:r w:rsidRPr="00E25E18">
              <w:t xml:space="preserve">PI </w:t>
            </w:r>
            <w:r w:rsidR="6F9414C3" w:rsidRPr="00E25E18">
              <w:t>3.2 A graded approach is applied to compliance monitoring and enforcement actions.</w:t>
            </w:r>
          </w:p>
          <w:p w14:paraId="5621CB25" w14:textId="09643F7C" w:rsidR="003B4D69" w:rsidRPr="00E25E18" w:rsidRDefault="6F9414C3" w:rsidP="00315E85">
            <w:pPr>
              <w:pStyle w:val="Tabletext"/>
              <w:spacing w:before="120"/>
              <w:jc w:val="left"/>
              <w:rPr>
                <w:b w:val="0"/>
              </w:rPr>
            </w:pPr>
            <w:r w:rsidRPr="00E25E18">
              <w:rPr>
                <w:b w:val="0"/>
              </w:rPr>
              <w:t>ARPANSA applies a graded, risk informed, approach to compliance monitoring and non-compliance in accordance with published policies. When potential non-compliance is identified, the regulatory response is commensurate with its significance and ARPANSA will use the minimum response required to achieve the desired result, which, in most cases will be a return to compliance. Good safety performance characterised by a good safety (and security) culture will be taken into account when determining the response. The baseline inspection schedule is supplemented by augmented inspections where there are concerns</w:t>
            </w:r>
            <w:r w:rsidR="00656DCF" w:rsidRPr="00E25E18">
              <w:rPr>
                <w:b w:val="0"/>
              </w:rPr>
              <w:t xml:space="preserve"> about the licen</w:t>
            </w:r>
            <w:r w:rsidR="00404CF5" w:rsidRPr="00E25E18">
              <w:rPr>
                <w:b w:val="0"/>
              </w:rPr>
              <w:t>s</w:t>
            </w:r>
            <w:r w:rsidR="00656DCF" w:rsidRPr="00E25E18">
              <w:rPr>
                <w:b w:val="0"/>
              </w:rPr>
              <w:t xml:space="preserve">ee’s </w:t>
            </w:r>
            <w:r w:rsidR="00E365CE" w:rsidRPr="00E25E18">
              <w:rPr>
                <w:b w:val="0"/>
              </w:rPr>
              <w:t xml:space="preserve">safety </w:t>
            </w:r>
            <w:r w:rsidR="00656DCF" w:rsidRPr="00E25E18">
              <w:rPr>
                <w:b w:val="0"/>
              </w:rPr>
              <w:t>performance</w:t>
            </w:r>
            <w:r w:rsidRPr="00E25E18">
              <w:rPr>
                <w:b w:val="0"/>
              </w:rPr>
              <w:t>.</w:t>
            </w:r>
          </w:p>
          <w:p w14:paraId="66204FF1" w14:textId="38285F90" w:rsidR="003B4D69" w:rsidRPr="00E25E18" w:rsidRDefault="6F9414C3" w:rsidP="00846343">
            <w:pPr>
              <w:pStyle w:val="Tabletext"/>
              <w:jc w:val="left"/>
              <w:rPr>
                <w:b w:val="0"/>
              </w:rPr>
            </w:pPr>
            <w:r w:rsidRPr="00E25E18">
              <w:rPr>
                <w:b w:val="0"/>
              </w:rPr>
              <w:t>ARPANSA will measure conformance with the policies for inspection outcomes and non</w:t>
            </w:r>
            <w:r w:rsidR="00846343">
              <w:rPr>
                <w:b w:val="0"/>
              </w:rPr>
              <w:noBreakHyphen/>
            </w:r>
            <w:r w:rsidRPr="00E25E18">
              <w:rPr>
                <w:b w:val="0"/>
              </w:rPr>
              <w:t xml:space="preserve">compliance, and the general proportion of effort </w:t>
            </w:r>
            <w:r w:rsidR="00656DCF" w:rsidRPr="00E25E18">
              <w:rPr>
                <w:b w:val="0"/>
              </w:rPr>
              <w:t xml:space="preserve">will be </w:t>
            </w:r>
            <w:r w:rsidRPr="00E25E18">
              <w:rPr>
                <w:b w:val="0"/>
              </w:rPr>
              <w:t>applied to areas of greatest safety risk.</w:t>
            </w:r>
          </w:p>
        </w:tc>
        <w:tc>
          <w:tcPr>
            <w:tcW w:w="2389" w:type="pct"/>
            <w:tcBorders>
              <w:bottom w:val="single" w:sz="18" w:space="0" w:color="auto"/>
            </w:tcBorders>
            <w:vAlign w:val="top"/>
          </w:tcPr>
          <w:p w14:paraId="2D94DCDA" w14:textId="7FE6D68C" w:rsidR="00B15317" w:rsidRPr="00E25E18" w:rsidRDefault="00B15317" w:rsidP="00C032F2">
            <w:pPr>
              <w:pStyle w:val="Tabletext"/>
              <w:jc w:val="left"/>
              <w:cnfStyle w:val="000000000000" w:firstRow="0" w:lastRow="0" w:firstColumn="0" w:lastColumn="0" w:oddVBand="0" w:evenVBand="0" w:oddHBand="0" w:evenHBand="0" w:firstRowFirstColumn="0" w:firstRowLastColumn="0" w:lastRowFirstColumn="0" w:lastRowLastColumn="0"/>
              <w:rPr>
                <w:b/>
              </w:rPr>
            </w:pPr>
            <w:r w:rsidRPr="00E25E18">
              <w:rPr>
                <w:b/>
              </w:rPr>
              <w:t xml:space="preserve">Target </w:t>
            </w:r>
            <w:r w:rsidR="00FC15F5">
              <w:rPr>
                <w:b/>
              </w:rPr>
              <w:t>m</w:t>
            </w:r>
            <w:r w:rsidR="00FC15F5" w:rsidRPr="00E25E18">
              <w:rPr>
                <w:b/>
              </w:rPr>
              <w:t>et</w:t>
            </w:r>
          </w:p>
          <w:p w14:paraId="30A5D0AE" w14:textId="1481A270" w:rsidR="0078572E" w:rsidRPr="00E269C3" w:rsidRDefault="000756A6" w:rsidP="00315E85">
            <w:pPr>
              <w:pStyle w:val="Tabletext"/>
              <w:spacing w:before="120"/>
              <w:jc w:val="lef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R</w:t>
            </w:r>
            <w:r w:rsidR="0078572E" w:rsidRPr="00E269C3">
              <w:rPr>
                <w:sz w:val="21"/>
                <w:szCs w:val="21"/>
              </w:rPr>
              <w:t>egulatory time recorded against licence</w:t>
            </w:r>
            <w:r w:rsidR="00656DCF" w:rsidRPr="00E269C3">
              <w:rPr>
                <w:sz w:val="21"/>
                <w:szCs w:val="21"/>
              </w:rPr>
              <w:t>s</w:t>
            </w:r>
            <w:r w:rsidR="0078572E" w:rsidRPr="00E269C3">
              <w:rPr>
                <w:sz w:val="21"/>
                <w:szCs w:val="21"/>
              </w:rPr>
              <w:t xml:space="preserve"> with medium or higher </w:t>
            </w:r>
            <w:r w:rsidR="006A1D23" w:rsidRPr="00E269C3">
              <w:rPr>
                <w:sz w:val="21"/>
                <w:szCs w:val="21"/>
              </w:rPr>
              <w:t>regulatory priority (risk-informed)</w:t>
            </w:r>
            <w:r>
              <w:rPr>
                <w:sz w:val="21"/>
                <w:szCs w:val="21"/>
              </w:rPr>
              <w:t xml:space="preserve"> totalled 82%</w:t>
            </w:r>
            <w:r w:rsidR="0078572E" w:rsidRPr="00E269C3">
              <w:rPr>
                <w:sz w:val="21"/>
                <w:szCs w:val="21"/>
              </w:rPr>
              <w:t>.</w:t>
            </w:r>
          </w:p>
          <w:p w14:paraId="64436A77" w14:textId="207675D0" w:rsidR="0078572E" w:rsidRPr="00E269C3" w:rsidRDefault="0078572E" w:rsidP="00C032F2">
            <w:pPr>
              <w:pStyle w:val="Tabletext"/>
              <w:jc w:val="left"/>
              <w:cnfStyle w:val="000000000000" w:firstRow="0" w:lastRow="0" w:firstColumn="0" w:lastColumn="0" w:oddVBand="0" w:evenVBand="0" w:oddHBand="0" w:evenHBand="0" w:firstRowFirstColumn="0" w:firstRowLastColumn="0" w:lastRowFirstColumn="0" w:lastRowLastColumn="0"/>
              <w:rPr>
                <w:sz w:val="21"/>
                <w:szCs w:val="21"/>
              </w:rPr>
            </w:pPr>
            <w:r w:rsidRPr="00E269C3">
              <w:rPr>
                <w:sz w:val="21"/>
                <w:szCs w:val="21"/>
              </w:rPr>
              <w:t>A range of options are regularly used to ensure effective control in a graded manner</w:t>
            </w:r>
            <w:r w:rsidR="00583E9E" w:rsidRPr="00E269C3">
              <w:rPr>
                <w:sz w:val="21"/>
                <w:szCs w:val="21"/>
              </w:rPr>
              <w:t>. For example, in the 42 inspections performed</w:t>
            </w:r>
            <w:r w:rsidRPr="00E269C3">
              <w:rPr>
                <w:sz w:val="21"/>
                <w:szCs w:val="21"/>
              </w:rPr>
              <w:t xml:space="preserve"> 114</w:t>
            </w:r>
            <w:r w:rsidR="00861D76">
              <w:rPr>
                <w:sz w:val="21"/>
                <w:szCs w:val="21"/>
              </w:rPr>
              <w:t> </w:t>
            </w:r>
            <w:r w:rsidRPr="00E269C3">
              <w:rPr>
                <w:sz w:val="21"/>
                <w:szCs w:val="21"/>
              </w:rPr>
              <w:t xml:space="preserve">AFIs, </w:t>
            </w:r>
            <w:r w:rsidR="00E73E46" w:rsidRPr="00E269C3">
              <w:rPr>
                <w:sz w:val="21"/>
                <w:szCs w:val="21"/>
              </w:rPr>
              <w:t>nine</w:t>
            </w:r>
            <w:r w:rsidRPr="00E269C3">
              <w:rPr>
                <w:sz w:val="21"/>
                <w:szCs w:val="21"/>
              </w:rPr>
              <w:t xml:space="preserve"> PNCs, and </w:t>
            </w:r>
            <w:r w:rsidR="00E73E46" w:rsidRPr="00E269C3">
              <w:rPr>
                <w:sz w:val="21"/>
                <w:szCs w:val="21"/>
              </w:rPr>
              <w:t xml:space="preserve">five </w:t>
            </w:r>
            <w:r w:rsidRPr="00E269C3">
              <w:rPr>
                <w:sz w:val="21"/>
                <w:szCs w:val="21"/>
              </w:rPr>
              <w:t xml:space="preserve">good practices </w:t>
            </w:r>
            <w:r w:rsidR="00583E9E" w:rsidRPr="00E269C3">
              <w:rPr>
                <w:sz w:val="21"/>
                <w:szCs w:val="21"/>
              </w:rPr>
              <w:t>were found</w:t>
            </w:r>
            <w:r w:rsidRPr="00E269C3">
              <w:rPr>
                <w:sz w:val="21"/>
                <w:szCs w:val="21"/>
              </w:rPr>
              <w:t>.</w:t>
            </w:r>
          </w:p>
          <w:p w14:paraId="02B65BE9" w14:textId="42855E17" w:rsidR="005A60AE" w:rsidRPr="00E269C3" w:rsidRDefault="0078572E" w:rsidP="00C032F2">
            <w:pPr>
              <w:pStyle w:val="Tabletext"/>
              <w:jc w:val="left"/>
              <w:cnfStyle w:val="000000000000" w:firstRow="0" w:lastRow="0" w:firstColumn="0" w:lastColumn="0" w:oddVBand="0" w:evenVBand="0" w:oddHBand="0" w:evenHBand="0" w:firstRowFirstColumn="0" w:firstRowLastColumn="0" w:lastRowFirstColumn="0" w:lastRowLastColumn="0"/>
              <w:rPr>
                <w:sz w:val="21"/>
                <w:szCs w:val="21"/>
              </w:rPr>
            </w:pPr>
            <w:r w:rsidRPr="00E269C3">
              <w:rPr>
                <w:sz w:val="21"/>
                <w:szCs w:val="21"/>
              </w:rPr>
              <w:t xml:space="preserve">In accordance with the published ‘graded approach to non-compliance’, </w:t>
            </w:r>
            <w:r w:rsidR="005A60AE" w:rsidRPr="00E269C3">
              <w:rPr>
                <w:sz w:val="21"/>
                <w:szCs w:val="21"/>
              </w:rPr>
              <w:t xml:space="preserve">the safety </w:t>
            </w:r>
            <w:r w:rsidRPr="00E269C3">
              <w:rPr>
                <w:sz w:val="21"/>
                <w:szCs w:val="21"/>
              </w:rPr>
              <w:t>significance of the non-compliance</w:t>
            </w:r>
            <w:r w:rsidR="005A60AE" w:rsidRPr="00E269C3">
              <w:rPr>
                <w:sz w:val="21"/>
                <w:szCs w:val="21"/>
              </w:rPr>
              <w:t xml:space="preserve"> is taken into account</w:t>
            </w:r>
            <w:r w:rsidRPr="00E269C3">
              <w:rPr>
                <w:sz w:val="21"/>
                <w:szCs w:val="21"/>
              </w:rPr>
              <w:t>. Of the 25 confirmed non-compliances</w:t>
            </w:r>
            <w:r w:rsidR="00861D76">
              <w:rPr>
                <w:sz w:val="21"/>
                <w:szCs w:val="21"/>
              </w:rPr>
              <w:t>,</w:t>
            </w:r>
            <w:r w:rsidRPr="00E269C3">
              <w:rPr>
                <w:sz w:val="21"/>
                <w:szCs w:val="21"/>
              </w:rPr>
              <w:t xml:space="preserve"> 21 were considered non</w:t>
            </w:r>
            <w:r w:rsidR="00C545BA" w:rsidRPr="00E269C3">
              <w:rPr>
                <w:sz w:val="21"/>
                <w:szCs w:val="21"/>
              </w:rPr>
              <w:t xml:space="preserve"> safety</w:t>
            </w:r>
            <w:r w:rsidR="00396A15" w:rsidRPr="00E269C3">
              <w:rPr>
                <w:sz w:val="21"/>
                <w:szCs w:val="21"/>
              </w:rPr>
              <w:t>-</w:t>
            </w:r>
            <w:r w:rsidRPr="00E269C3">
              <w:rPr>
                <w:sz w:val="21"/>
                <w:szCs w:val="21"/>
              </w:rPr>
              <w:t xml:space="preserve">significant and </w:t>
            </w:r>
            <w:r w:rsidR="00744359" w:rsidRPr="00E269C3">
              <w:rPr>
                <w:sz w:val="21"/>
                <w:szCs w:val="21"/>
              </w:rPr>
              <w:t xml:space="preserve">the licence holders </w:t>
            </w:r>
            <w:r w:rsidRPr="00E269C3">
              <w:rPr>
                <w:sz w:val="21"/>
                <w:szCs w:val="21"/>
              </w:rPr>
              <w:t>we</w:t>
            </w:r>
            <w:r w:rsidR="6304C676" w:rsidRPr="00E269C3">
              <w:rPr>
                <w:sz w:val="21"/>
                <w:szCs w:val="21"/>
              </w:rPr>
              <w:t>re</w:t>
            </w:r>
            <w:r w:rsidRPr="00E269C3">
              <w:rPr>
                <w:sz w:val="21"/>
                <w:szCs w:val="21"/>
              </w:rPr>
              <w:t xml:space="preserve"> </w:t>
            </w:r>
            <w:r w:rsidR="6304C676" w:rsidRPr="00E269C3">
              <w:rPr>
                <w:sz w:val="21"/>
                <w:szCs w:val="21"/>
              </w:rPr>
              <w:t>no</w:t>
            </w:r>
            <w:r w:rsidR="00692518" w:rsidRPr="00E269C3">
              <w:rPr>
                <w:sz w:val="21"/>
                <w:szCs w:val="21"/>
              </w:rPr>
              <w:t>t</w:t>
            </w:r>
            <w:r w:rsidR="6304C676" w:rsidRPr="00E269C3">
              <w:rPr>
                <w:sz w:val="21"/>
                <w:szCs w:val="21"/>
              </w:rPr>
              <w:t xml:space="preserve"> </w:t>
            </w:r>
            <w:r w:rsidRPr="00E269C3">
              <w:rPr>
                <w:sz w:val="21"/>
                <w:szCs w:val="21"/>
              </w:rPr>
              <w:t xml:space="preserve">named. </w:t>
            </w:r>
            <w:r w:rsidR="005A60AE" w:rsidRPr="00E269C3">
              <w:rPr>
                <w:sz w:val="21"/>
                <w:szCs w:val="21"/>
              </w:rPr>
              <w:t>ARPANSA is currently reviewing its compliance and enforcement strategy.</w:t>
            </w:r>
          </w:p>
          <w:p w14:paraId="2DBF0D7D" w14:textId="4FCC6FCC" w:rsidR="003B4D69" w:rsidRPr="00E25E18" w:rsidRDefault="003A5B39" w:rsidP="00C032F2">
            <w:pPr>
              <w:pStyle w:val="Tabletext"/>
              <w:jc w:val="left"/>
              <w:cnfStyle w:val="000000000000" w:firstRow="0" w:lastRow="0" w:firstColumn="0" w:lastColumn="0" w:oddVBand="0" w:evenVBand="0" w:oddHBand="0" w:evenHBand="0" w:firstRowFirstColumn="0" w:firstRowLastColumn="0" w:lastRowFirstColumn="0" w:lastRowLastColumn="0"/>
            </w:pPr>
            <w:r w:rsidRPr="00E269C3">
              <w:rPr>
                <w:sz w:val="21"/>
                <w:szCs w:val="21"/>
              </w:rPr>
              <w:t>In line with the published approach there was a clear preference for the use of lower order controls such as AFIs</w:t>
            </w:r>
            <w:r w:rsidR="6304C676" w:rsidRPr="00E269C3">
              <w:rPr>
                <w:sz w:val="21"/>
                <w:szCs w:val="21"/>
              </w:rPr>
              <w:t xml:space="preserve"> </w:t>
            </w:r>
            <w:r w:rsidRPr="00E269C3">
              <w:rPr>
                <w:sz w:val="21"/>
                <w:szCs w:val="21"/>
              </w:rPr>
              <w:t>and non-named breaches.</w:t>
            </w:r>
          </w:p>
        </w:tc>
      </w:tr>
      <w:tr w:rsidR="00BF6CD7" w:rsidRPr="00E25E18" w14:paraId="01E394C8" w14:textId="77777777" w:rsidTr="00D63C9F">
        <w:trPr>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18" w:space="0" w:color="auto"/>
            </w:tcBorders>
            <w:shd w:val="clear" w:color="auto" w:fill="CDF1CD" w:themeFill="accent2" w:themeFillTint="33"/>
            <w:vAlign w:val="top"/>
          </w:tcPr>
          <w:p w14:paraId="07043E8E" w14:textId="3B77788E" w:rsidR="00BF6CD7" w:rsidRPr="00E25E18" w:rsidRDefault="00BF6CD7" w:rsidP="00BF6CD7">
            <w:pPr>
              <w:pStyle w:val="Tabletext"/>
              <w:jc w:val="left"/>
            </w:pPr>
            <w:r w:rsidRPr="00E25E18">
              <w:rPr>
                <w:b w:val="0"/>
              </w:rPr>
              <w:t>Self-assessed rating:</w:t>
            </w:r>
            <w:r w:rsidRPr="00E25E18">
              <w:t xml:space="preserve"> Met</w:t>
            </w:r>
          </w:p>
        </w:tc>
      </w:tr>
    </w:tbl>
    <w:p w14:paraId="740DB542" w14:textId="761F51C7" w:rsidR="00F5034B" w:rsidRDefault="00FE34D3" w:rsidP="00F5034B">
      <w:pPr>
        <w:pStyle w:val="Heading3"/>
      </w:pPr>
      <w:r>
        <w:lastRenderedPageBreak/>
        <w:t>Strengths</w:t>
      </w:r>
    </w:p>
    <w:p w14:paraId="63690AED" w14:textId="3F27D059" w:rsidR="224069B8" w:rsidRDefault="224069B8" w:rsidP="00692518">
      <w:pPr>
        <w:pStyle w:val="Heading4"/>
      </w:pPr>
      <w:r>
        <w:t>Graded Approach</w:t>
      </w:r>
    </w:p>
    <w:p w14:paraId="082F4B54" w14:textId="41F47A68" w:rsidR="006A1D23" w:rsidRPr="00692518" w:rsidRDefault="00E365CE" w:rsidP="00692518">
      <w:pPr>
        <w:spacing w:before="0"/>
      </w:pPr>
      <w:r>
        <w:t>ARPANSA’s i</w:t>
      </w:r>
      <w:r w:rsidR="006A1D23" w:rsidRPr="00692518">
        <w:t xml:space="preserve">nternal and publicly available guidance on the graded approach such as </w:t>
      </w:r>
      <w:r w:rsidR="002E0211">
        <w:t>for</w:t>
      </w:r>
      <w:r w:rsidR="00926189" w:rsidRPr="00692518">
        <w:t xml:space="preserve"> inspection</w:t>
      </w:r>
      <w:r w:rsidR="006A1D23" w:rsidRPr="00692518">
        <w:t xml:space="preserve"> and enforcement were clearly </w:t>
      </w:r>
      <w:r w:rsidR="00926189" w:rsidRPr="00692518">
        <w:t>visible</w:t>
      </w:r>
      <w:r w:rsidR="006A1D23" w:rsidRPr="00692518">
        <w:t xml:space="preserve"> and well utilised</w:t>
      </w:r>
      <w:r>
        <w:t xml:space="preserve"> by regulatory officers</w:t>
      </w:r>
      <w:r w:rsidR="006A1D23" w:rsidRPr="00692518">
        <w:t xml:space="preserve">. </w:t>
      </w:r>
      <w:r w:rsidR="009477E8" w:rsidRPr="00692518">
        <w:t>ARPANSA clearly prioriti</w:t>
      </w:r>
      <w:r w:rsidR="002E0211">
        <w:t>s</w:t>
      </w:r>
      <w:r w:rsidR="009477E8" w:rsidRPr="00692518">
        <w:t xml:space="preserve">ed and resourced </w:t>
      </w:r>
      <w:r w:rsidR="006A1D23" w:rsidRPr="00692518">
        <w:t>a number of applications and regulatory actions</w:t>
      </w:r>
      <w:r w:rsidR="009477E8" w:rsidRPr="00692518">
        <w:t xml:space="preserve"> </w:t>
      </w:r>
      <w:r w:rsidR="006A1D23" w:rsidRPr="00692518">
        <w:t xml:space="preserve">that had </w:t>
      </w:r>
      <w:r w:rsidR="009477E8" w:rsidRPr="00692518">
        <w:t xml:space="preserve">both a high impact to licence holders and </w:t>
      </w:r>
      <w:r w:rsidR="006A1D23" w:rsidRPr="00692518">
        <w:t>a high regulatory priority.</w:t>
      </w:r>
      <w:r w:rsidR="009477E8" w:rsidRPr="00692518">
        <w:t xml:space="preserve"> For example, A</w:t>
      </w:r>
      <w:r w:rsidR="00991B0B">
        <w:t xml:space="preserve">NSTO </w:t>
      </w:r>
      <w:r w:rsidR="009477E8" w:rsidRPr="00692518">
        <w:t>N</w:t>
      </w:r>
      <w:r w:rsidR="00991B0B">
        <w:t xml:space="preserve">uclear </w:t>
      </w:r>
      <w:r w:rsidR="009477E8" w:rsidRPr="00692518">
        <w:t>M</w:t>
      </w:r>
      <w:r w:rsidR="00991B0B">
        <w:t>edicine</w:t>
      </w:r>
      <w:r w:rsidR="009477E8" w:rsidRPr="00692518">
        <w:t xml:space="preserve"> and ANSTO Health. </w:t>
      </w:r>
      <w:r w:rsidR="006A1D23" w:rsidRPr="00692518">
        <w:t>This a</w:t>
      </w:r>
      <w:r w:rsidR="0B90434D" w:rsidRPr="00692518">
        <w:t>ligns</w:t>
      </w:r>
      <w:r w:rsidR="006A1D23" w:rsidRPr="00692518">
        <w:t xml:space="preserve"> well with the figure of 82% of the effort on licence holders being spent on licences with medium or higher regulatory priority.</w:t>
      </w:r>
    </w:p>
    <w:p w14:paraId="7EB25E75" w14:textId="550A22DB" w:rsidR="00F5034B" w:rsidRDefault="00F5034B" w:rsidP="00F5034B">
      <w:pPr>
        <w:pStyle w:val="Heading3"/>
      </w:pPr>
      <w:r>
        <w:t>Identified opportunities for improvement</w:t>
      </w:r>
    </w:p>
    <w:p w14:paraId="1DD46D52" w14:textId="77777777" w:rsidR="007D3E21" w:rsidRDefault="007D3E21" w:rsidP="007D3E21">
      <w:pPr>
        <w:pStyle w:val="Heading4"/>
      </w:pPr>
      <w:r>
        <w:t>Data management</w:t>
      </w:r>
    </w:p>
    <w:p w14:paraId="7972B5F5" w14:textId="7B926BE0" w:rsidR="007D3E21" w:rsidRDefault="007D3E21" w:rsidP="007D3E21">
      <w:pPr>
        <w:spacing w:before="0"/>
      </w:pPr>
      <w:r>
        <w:t>As identified under KPI1, d</w:t>
      </w:r>
      <w:r w:rsidRPr="003D31AF">
        <w:t>ata</w:t>
      </w:r>
      <w:r>
        <w:t xml:space="preserve"> </w:t>
      </w:r>
      <w:r w:rsidRPr="00692518">
        <w:t>are</w:t>
      </w:r>
      <w:r>
        <w:t xml:space="preserve"> fragmented across various business systems. Inspections (recorded in LAD) </w:t>
      </w:r>
      <w:r w:rsidR="002E0211">
        <w:t>that deviate</w:t>
      </w:r>
      <w:r>
        <w:t xml:space="preserve"> from the schedule (Spreadsheet in </w:t>
      </w:r>
      <w:r w:rsidR="00E269C3">
        <w:t>HPERM</w:t>
      </w:r>
      <w:r>
        <w:t xml:space="preserve">) are </w:t>
      </w:r>
      <w:r w:rsidR="00FE34D3">
        <w:t>recorded in a register (ISAAC -</w:t>
      </w:r>
      <w:r>
        <w:t xml:space="preserve"> internal </w:t>
      </w:r>
      <w:r w:rsidR="00B01704">
        <w:t>SharePoint</w:t>
      </w:r>
      <w:r>
        <w:t xml:space="preserve"> site). Some facilities and source sites </w:t>
      </w:r>
      <w:r w:rsidR="0064580C">
        <w:t>have not been</w:t>
      </w:r>
      <w:r>
        <w:t xml:space="preserve"> inspected as frequently as they should have </w:t>
      </w:r>
      <w:r w:rsidR="00991B0B">
        <w:t xml:space="preserve">been, </w:t>
      </w:r>
      <w:r w:rsidR="0064580C">
        <w:t>given their regulatory priority. This may be due</w:t>
      </w:r>
      <w:r w:rsidR="00991B0B">
        <w:t>, in part,</w:t>
      </w:r>
      <w:r w:rsidR="0064580C">
        <w:t xml:space="preserve"> to the difficulty of maintaining management oversight across these systems.</w:t>
      </w:r>
    </w:p>
    <w:p w14:paraId="5ADD9A93" w14:textId="309E389E" w:rsidR="007D3E21" w:rsidRDefault="007D3E21" w:rsidP="007D3E21">
      <w:pPr>
        <w:pStyle w:val="Heading4"/>
      </w:pPr>
      <w:r>
        <w:t xml:space="preserve">Record </w:t>
      </w:r>
      <w:r w:rsidR="00A04217">
        <w:t>k</w:t>
      </w:r>
      <w:r>
        <w:t>eeping</w:t>
      </w:r>
    </w:p>
    <w:p w14:paraId="4FAE4C23" w14:textId="228A6BCA" w:rsidR="00FE34D3" w:rsidRDefault="0064580C" w:rsidP="007D3E21">
      <w:pPr>
        <w:spacing w:before="0"/>
      </w:pPr>
      <w:r>
        <w:t xml:space="preserve">Related to data management, a number of instances of poor record keeping were identified. For example, when reviewing the </w:t>
      </w:r>
      <w:r w:rsidR="00E365CE">
        <w:t>regulatory priority</w:t>
      </w:r>
      <w:r>
        <w:t xml:space="preserve"> </w:t>
      </w:r>
      <w:r w:rsidR="004D5400">
        <w:t>of licenced activi</w:t>
      </w:r>
      <w:r w:rsidR="00E365CE">
        <w:t>t</w:t>
      </w:r>
      <w:r w:rsidR="004D5400">
        <w:t>ies,</w:t>
      </w:r>
      <w:r>
        <w:t xml:space="preserve"> it was observed that LAD reporting indicated that less than half of the facilities had their regulatory priority reviewed in the last twelve months. However, when the </w:t>
      </w:r>
      <w:r w:rsidR="00112D9C">
        <w:t>individual</w:t>
      </w:r>
      <w:r>
        <w:t xml:space="preserve"> records </w:t>
      </w:r>
      <w:r w:rsidR="004D5400">
        <w:t xml:space="preserve">were </w:t>
      </w:r>
      <w:r>
        <w:t xml:space="preserve">checked it was found that </w:t>
      </w:r>
      <w:r w:rsidR="00112D9C">
        <w:t>these</w:t>
      </w:r>
      <w:r>
        <w:t xml:space="preserve"> had been done more frequently</w:t>
      </w:r>
      <w:r w:rsidR="000022DF">
        <w:t>,</w:t>
      </w:r>
      <w:r>
        <w:t xml:space="preserve"> but this had been </w:t>
      </w:r>
      <w:r w:rsidR="000022DF">
        <w:t xml:space="preserve">either </w:t>
      </w:r>
      <w:r>
        <w:t xml:space="preserve">recorded </w:t>
      </w:r>
      <w:r w:rsidR="004D5400">
        <w:t xml:space="preserve">only </w:t>
      </w:r>
      <w:r>
        <w:t xml:space="preserve">in </w:t>
      </w:r>
      <w:r w:rsidR="00E269C3">
        <w:t>HPERM</w:t>
      </w:r>
      <w:r w:rsidR="00112D9C">
        <w:t xml:space="preserve"> </w:t>
      </w:r>
      <w:r w:rsidR="000022DF">
        <w:t>or only in</w:t>
      </w:r>
      <w:r w:rsidR="00112D9C">
        <w:t xml:space="preserve"> LAD</w:t>
      </w:r>
      <w:r w:rsidR="000022DF">
        <w:t>. This is important as if a regulatory priority is not recorded correctly it has the possibility to affect the inspection frequency.</w:t>
      </w:r>
    </w:p>
    <w:p w14:paraId="765AE436" w14:textId="4D0036B2" w:rsidR="0078572E" w:rsidRDefault="00112D9C">
      <w:r>
        <w:t xml:space="preserve">Another example of </w:t>
      </w:r>
      <w:r w:rsidR="00FE34D3">
        <w:t>record keeping issues was</w:t>
      </w:r>
      <w:r>
        <w:t xml:space="preserve"> the breach follow-up register</w:t>
      </w:r>
      <w:r w:rsidR="00FE34D3" w:rsidRPr="75B347D9">
        <w:t>.</w:t>
      </w:r>
      <w:r w:rsidRPr="75B347D9">
        <w:t xml:space="preserve"> </w:t>
      </w:r>
      <w:r w:rsidR="00FE34D3">
        <w:t xml:space="preserve">While </w:t>
      </w:r>
      <w:r w:rsidR="002E0211">
        <w:t xml:space="preserve">there was </w:t>
      </w:r>
      <w:r>
        <w:t>evidence of</w:t>
      </w:r>
      <w:r w:rsidR="00FE34D3">
        <w:t xml:space="preserve"> actions required in breach letters and follow</w:t>
      </w:r>
      <w:r w:rsidR="002E0211">
        <w:t>ed</w:t>
      </w:r>
      <w:r w:rsidR="00FE34D3">
        <w:t xml:space="preserve"> up during inspections this was not </w:t>
      </w:r>
      <w:r w:rsidR="27684110">
        <w:t>alway</w:t>
      </w:r>
      <w:r w:rsidR="75B347D9">
        <w:t xml:space="preserve">s </w:t>
      </w:r>
      <w:r w:rsidR="00FE34D3">
        <w:t>recorded in the register.</w:t>
      </w:r>
    </w:p>
    <w:p w14:paraId="2F45D497" w14:textId="28AE4B69" w:rsidR="003B4D69" w:rsidRDefault="00CD74EC" w:rsidP="0013700D">
      <w:pPr>
        <w:pStyle w:val="Heading2"/>
        <w:spacing w:before="480"/>
      </w:pPr>
      <w:bookmarkStart w:id="54" w:name="_Toc12884003"/>
      <w:bookmarkStart w:id="55" w:name="_Toc23846610"/>
      <w:bookmarkStart w:id="56" w:name="_Toc25225269"/>
      <w:r w:rsidRPr="00110D4B">
        <w:t>KPI 4 - Compliance and monitoring approaches are streamlined and co-ordinated</w:t>
      </w:r>
      <w:bookmarkEnd w:id="54"/>
      <w:bookmarkEnd w:id="55"/>
      <w:bookmarkEnd w:id="56"/>
    </w:p>
    <w:p w14:paraId="7BC9206E" w14:textId="0392EBCB" w:rsidR="00B0073E" w:rsidRPr="00692518" w:rsidRDefault="00B0073E" w:rsidP="00692518">
      <w:pPr>
        <w:autoSpaceDE w:val="0"/>
        <w:autoSpaceDN w:val="0"/>
        <w:adjustRightInd w:val="0"/>
        <w:spacing w:after="120"/>
        <w:rPr>
          <w:rFonts w:cs="Times New Roman"/>
          <w:bCs/>
          <w:szCs w:val="24"/>
          <w:lang w:eastAsia="en-AU"/>
        </w:rPr>
      </w:pPr>
      <w:r w:rsidRPr="00692518">
        <w:rPr>
          <w:rFonts w:cs="Times New Roman"/>
          <w:bCs/>
          <w:szCs w:val="24"/>
          <w:lang w:eastAsia="en-AU"/>
        </w:rPr>
        <w:t xml:space="preserve">ARPANSA’s compliance monitoring program </w:t>
      </w:r>
      <w:r w:rsidR="00204D1B" w:rsidRPr="00692518">
        <w:rPr>
          <w:rFonts w:cs="Times New Roman"/>
          <w:bCs/>
          <w:szCs w:val="24"/>
          <w:lang w:eastAsia="en-AU"/>
        </w:rPr>
        <w:t>includes</w:t>
      </w:r>
      <w:r w:rsidRPr="00692518">
        <w:rPr>
          <w:rFonts w:cs="Times New Roman"/>
          <w:bCs/>
          <w:szCs w:val="24"/>
          <w:lang w:eastAsia="en-AU"/>
        </w:rPr>
        <w:t xml:space="preserve"> </w:t>
      </w:r>
      <w:r w:rsidR="00971125" w:rsidRPr="00692518">
        <w:rPr>
          <w:rFonts w:cs="Times New Roman"/>
          <w:bCs/>
          <w:szCs w:val="24"/>
          <w:lang w:eastAsia="en-AU"/>
        </w:rPr>
        <w:t>review of</w:t>
      </w:r>
      <w:r w:rsidRPr="00692518">
        <w:rPr>
          <w:rFonts w:cs="Times New Roman"/>
          <w:bCs/>
          <w:szCs w:val="24"/>
          <w:lang w:eastAsia="en-AU"/>
        </w:rPr>
        <w:t xml:space="preserve"> reporting </w:t>
      </w:r>
      <w:r w:rsidR="00971125" w:rsidRPr="00692518">
        <w:rPr>
          <w:rFonts w:cs="Times New Roman"/>
          <w:bCs/>
          <w:szCs w:val="24"/>
          <w:lang w:eastAsia="en-AU"/>
        </w:rPr>
        <w:t>from</w:t>
      </w:r>
      <w:r w:rsidRPr="00692518">
        <w:rPr>
          <w:rFonts w:cs="Times New Roman"/>
          <w:bCs/>
          <w:szCs w:val="24"/>
          <w:lang w:eastAsia="en-AU"/>
        </w:rPr>
        <w:t xml:space="preserve"> the licence holder, regulatory inspections and a range of communication practices that collectively provide regulatory oversight of licence holder</w:t>
      </w:r>
      <w:r w:rsidR="5B61F450" w:rsidRPr="00692518">
        <w:rPr>
          <w:rFonts w:cs="Times New Roman"/>
          <w:bCs/>
          <w:szCs w:val="24"/>
          <w:lang w:eastAsia="en-AU"/>
        </w:rPr>
        <w:t>s</w:t>
      </w:r>
      <w:r w:rsidR="00971125" w:rsidRPr="00692518">
        <w:rPr>
          <w:rFonts w:cs="Times New Roman"/>
          <w:bCs/>
          <w:szCs w:val="24"/>
          <w:lang w:eastAsia="en-AU"/>
        </w:rPr>
        <w:t>. T</w:t>
      </w:r>
      <w:r w:rsidRPr="00692518">
        <w:rPr>
          <w:rFonts w:cs="Times New Roman"/>
          <w:bCs/>
          <w:szCs w:val="24"/>
          <w:lang w:eastAsia="en-AU"/>
        </w:rPr>
        <w:t xml:space="preserve">hese approaches enable ARPANSA to assess licence holder performance against </w:t>
      </w:r>
      <w:r w:rsidR="00204D1B" w:rsidRPr="00692518">
        <w:rPr>
          <w:rFonts w:cs="Times New Roman"/>
          <w:bCs/>
          <w:szCs w:val="24"/>
          <w:lang w:eastAsia="en-AU"/>
        </w:rPr>
        <w:t xml:space="preserve">regulatory requirements and </w:t>
      </w:r>
      <w:r w:rsidRPr="00692518">
        <w:rPr>
          <w:rFonts w:cs="Times New Roman"/>
          <w:bCs/>
          <w:szCs w:val="24"/>
          <w:lang w:eastAsia="en-AU"/>
        </w:rPr>
        <w:t xml:space="preserve">international best practice and to </w:t>
      </w:r>
      <w:r w:rsidR="00971125" w:rsidRPr="00692518">
        <w:rPr>
          <w:rFonts w:cs="Times New Roman"/>
          <w:bCs/>
          <w:szCs w:val="24"/>
          <w:lang w:eastAsia="en-AU"/>
        </w:rPr>
        <w:t>evaluate</w:t>
      </w:r>
      <w:r w:rsidRPr="00692518">
        <w:rPr>
          <w:rFonts w:cs="Times New Roman"/>
          <w:bCs/>
          <w:szCs w:val="24"/>
          <w:lang w:eastAsia="en-AU"/>
        </w:rPr>
        <w:t xml:space="preserve"> the need for any safety and security improvements. ARPANSA strives to be non-intrusive in its </w:t>
      </w:r>
      <w:r w:rsidR="00971125" w:rsidRPr="00692518">
        <w:rPr>
          <w:rFonts w:cs="Times New Roman"/>
          <w:bCs/>
          <w:szCs w:val="24"/>
          <w:lang w:eastAsia="en-AU"/>
        </w:rPr>
        <w:t>regulatory oversight</w:t>
      </w:r>
      <w:r w:rsidRPr="00692518">
        <w:rPr>
          <w:rFonts w:cs="Times New Roman"/>
          <w:bCs/>
          <w:szCs w:val="24"/>
          <w:lang w:eastAsia="en-AU"/>
        </w:rPr>
        <w:t xml:space="preserve"> </w:t>
      </w:r>
      <w:r w:rsidR="007B6A89">
        <w:rPr>
          <w:rFonts w:cs="Times New Roman"/>
          <w:bCs/>
          <w:szCs w:val="24"/>
          <w:lang w:eastAsia="en-AU"/>
        </w:rPr>
        <w:t>to the extent practicable</w:t>
      </w:r>
      <w:r w:rsidRPr="00692518">
        <w:rPr>
          <w:rFonts w:cs="Times New Roman"/>
          <w:bCs/>
          <w:szCs w:val="24"/>
          <w:lang w:eastAsia="en-AU"/>
        </w:rPr>
        <w:t xml:space="preserve">. </w:t>
      </w:r>
    </w:p>
    <w:p w14:paraId="1452183C" w14:textId="7C9D0803" w:rsidR="00B0073E" w:rsidRPr="0030652D" w:rsidRDefault="00B0073E" w:rsidP="0030652D">
      <w:pPr>
        <w:autoSpaceDE w:val="0"/>
        <w:autoSpaceDN w:val="0"/>
        <w:adjustRightInd w:val="0"/>
        <w:spacing w:after="120"/>
        <w:rPr>
          <w:rFonts w:cs="Times New Roman"/>
          <w:lang w:eastAsia="en-AU"/>
        </w:rPr>
      </w:pPr>
      <w:r w:rsidRPr="006868A0">
        <w:rPr>
          <w:rFonts w:cs="Times New Roman"/>
          <w:lang w:eastAsia="en-AU"/>
        </w:rPr>
        <w:t xml:space="preserve">ARPANSA encourages licence holders to proactively manage safety by identifying and managing their own </w:t>
      </w:r>
      <w:r w:rsidR="00971125" w:rsidRPr="006868A0">
        <w:rPr>
          <w:rFonts w:cs="Times New Roman"/>
          <w:lang w:eastAsia="en-AU"/>
        </w:rPr>
        <w:t xml:space="preserve">areas for improvement (AFI) </w:t>
      </w:r>
      <w:r w:rsidRPr="006868A0">
        <w:rPr>
          <w:rFonts w:cs="Times New Roman"/>
          <w:lang w:eastAsia="en-AU"/>
        </w:rPr>
        <w:t xml:space="preserve">and </w:t>
      </w:r>
      <w:r w:rsidR="00971125" w:rsidRPr="006868A0">
        <w:rPr>
          <w:rFonts w:cs="Times New Roman"/>
          <w:lang w:eastAsia="en-AU"/>
        </w:rPr>
        <w:t>sel</w:t>
      </w:r>
      <w:r w:rsidR="00971125" w:rsidRPr="0030652D">
        <w:rPr>
          <w:rFonts w:cs="Times New Roman"/>
          <w:lang w:eastAsia="en-AU"/>
        </w:rPr>
        <w:t>f-r</w:t>
      </w:r>
      <w:r w:rsidRPr="0030652D">
        <w:rPr>
          <w:rFonts w:cs="Times New Roman"/>
          <w:lang w:eastAsia="en-AU"/>
        </w:rPr>
        <w:t>eport</w:t>
      </w:r>
      <w:r w:rsidR="00971125" w:rsidRPr="0030652D">
        <w:rPr>
          <w:rFonts w:cs="Times New Roman"/>
          <w:lang w:eastAsia="en-AU"/>
        </w:rPr>
        <w:t>ing any</w:t>
      </w:r>
      <w:r w:rsidRPr="0030652D">
        <w:rPr>
          <w:rFonts w:cs="Times New Roman"/>
          <w:lang w:eastAsia="en-AU"/>
        </w:rPr>
        <w:t xml:space="preserve"> potential non-compliances</w:t>
      </w:r>
      <w:r w:rsidR="00BF054E" w:rsidRPr="0030652D">
        <w:rPr>
          <w:rFonts w:cs="Times New Roman"/>
          <w:lang w:eastAsia="en-AU"/>
        </w:rPr>
        <w:t xml:space="preserve">. </w:t>
      </w:r>
      <w:r w:rsidRPr="0030652D">
        <w:rPr>
          <w:rFonts w:cs="Times New Roman"/>
          <w:lang w:eastAsia="en-AU"/>
        </w:rPr>
        <w:t>There is an expectation that the licence holder will</w:t>
      </w:r>
      <w:r w:rsidR="00BF054E" w:rsidRPr="0030652D">
        <w:rPr>
          <w:rFonts w:cs="Times New Roman"/>
          <w:lang w:eastAsia="en-AU"/>
        </w:rPr>
        <w:t xml:space="preserve"> investigate and take</w:t>
      </w:r>
      <w:r w:rsidRPr="0030652D">
        <w:rPr>
          <w:rFonts w:cs="Times New Roman"/>
          <w:lang w:eastAsia="en-AU"/>
        </w:rPr>
        <w:t xml:space="preserve"> </w:t>
      </w:r>
      <w:r w:rsidR="00BF054E" w:rsidRPr="0030652D">
        <w:rPr>
          <w:rFonts w:cs="Times New Roman"/>
          <w:lang w:eastAsia="en-AU"/>
        </w:rPr>
        <w:t xml:space="preserve">appropriate </w:t>
      </w:r>
      <w:r w:rsidRPr="0030652D">
        <w:rPr>
          <w:rFonts w:cs="Times New Roman"/>
          <w:lang w:eastAsia="en-AU"/>
        </w:rPr>
        <w:t>corrective action following the identification</w:t>
      </w:r>
      <w:r w:rsidR="586132FA" w:rsidRPr="0030652D">
        <w:rPr>
          <w:rFonts w:cs="Times New Roman"/>
          <w:lang w:eastAsia="en-AU"/>
        </w:rPr>
        <w:t xml:space="preserve"> of</w:t>
      </w:r>
      <w:r w:rsidR="00971125" w:rsidRPr="0030652D">
        <w:rPr>
          <w:rFonts w:cs="Times New Roman"/>
          <w:lang w:eastAsia="en-AU"/>
        </w:rPr>
        <w:t xml:space="preserve"> inspection outcomes including AFIs.</w:t>
      </w:r>
      <w:r w:rsidR="00BF054E" w:rsidRPr="0030652D">
        <w:rPr>
          <w:rFonts w:cs="Times New Roman"/>
          <w:lang w:eastAsia="en-AU"/>
        </w:rPr>
        <w:t xml:space="preserve"> </w:t>
      </w:r>
      <w:r w:rsidRPr="0030652D">
        <w:rPr>
          <w:rFonts w:cs="Times New Roman"/>
          <w:lang w:eastAsia="en-AU"/>
        </w:rPr>
        <w:t xml:space="preserve">ARPANSA anticipates </w:t>
      </w:r>
      <w:r w:rsidR="00BF054E" w:rsidRPr="0030652D">
        <w:rPr>
          <w:rFonts w:cs="Times New Roman"/>
          <w:lang w:eastAsia="en-AU"/>
        </w:rPr>
        <w:t xml:space="preserve">this action would be initiated, if not completed, </w:t>
      </w:r>
      <w:r w:rsidRPr="0030652D">
        <w:rPr>
          <w:rFonts w:cs="Times New Roman"/>
          <w:lang w:eastAsia="en-AU"/>
        </w:rPr>
        <w:t xml:space="preserve">within </w:t>
      </w:r>
      <w:r w:rsidR="00CA0381">
        <w:rPr>
          <w:rFonts w:cs="Times New Roman"/>
          <w:lang w:eastAsia="en-AU"/>
        </w:rPr>
        <w:t>three</w:t>
      </w:r>
      <w:r w:rsidR="00CA0381" w:rsidRPr="0030652D">
        <w:rPr>
          <w:rFonts w:cs="Times New Roman"/>
          <w:lang w:eastAsia="en-AU"/>
        </w:rPr>
        <w:t xml:space="preserve"> </w:t>
      </w:r>
      <w:r w:rsidRPr="0030652D">
        <w:rPr>
          <w:rFonts w:cs="Times New Roman"/>
          <w:lang w:eastAsia="en-AU"/>
        </w:rPr>
        <w:t>months. The licence holder voluntarily taking actions following the finding of an AFI may be an indicator of the influence and effectiveness of ARPANSA’s inspection</w:t>
      </w:r>
      <w:r w:rsidR="00971125" w:rsidRPr="0030652D">
        <w:rPr>
          <w:rFonts w:cs="Times New Roman"/>
          <w:lang w:eastAsia="en-AU"/>
        </w:rPr>
        <w:t xml:space="preserve"> and </w:t>
      </w:r>
      <w:r w:rsidRPr="0030652D">
        <w:rPr>
          <w:rFonts w:cs="Times New Roman"/>
          <w:lang w:eastAsia="en-AU"/>
        </w:rPr>
        <w:t>compliance monitoring program. It may also be an indicator of the safety culture of a licensee.</w:t>
      </w:r>
    </w:p>
    <w:p w14:paraId="572F4A2C" w14:textId="519057E3" w:rsidR="00B0073E" w:rsidRPr="00250C9B" w:rsidRDefault="00B0073E" w:rsidP="00B0073E">
      <w:pPr>
        <w:autoSpaceDE w:val="0"/>
        <w:autoSpaceDN w:val="0"/>
        <w:adjustRightInd w:val="0"/>
        <w:spacing w:after="120"/>
        <w:rPr>
          <w:rFonts w:cs="Times New Roman"/>
          <w:bCs/>
          <w:szCs w:val="24"/>
          <w:lang w:eastAsia="en-AU"/>
        </w:rPr>
      </w:pPr>
      <w:r w:rsidRPr="00BC57FB">
        <w:rPr>
          <w:rFonts w:cs="Times New Roman"/>
          <w:bCs/>
          <w:szCs w:val="24"/>
          <w:lang w:eastAsia="en-AU"/>
        </w:rPr>
        <w:lastRenderedPageBreak/>
        <w:t xml:space="preserve">ARPANSA oversees the Commonwealth’s use of radiation sources and facilities. </w:t>
      </w:r>
      <w:r>
        <w:rPr>
          <w:rFonts w:cs="Times New Roman"/>
          <w:bCs/>
          <w:szCs w:val="24"/>
          <w:lang w:eastAsia="en-AU"/>
        </w:rPr>
        <w:t xml:space="preserve">However, many of the entities that hold a licence issued by ARPANSA </w:t>
      </w:r>
      <w:r w:rsidR="00971125">
        <w:rPr>
          <w:rFonts w:cs="Times New Roman"/>
          <w:bCs/>
          <w:szCs w:val="24"/>
          <w:lang w:eastAsia="en-AU"/>
        </w:rPr>
        <w:t xml:space="preserve">are also subject to </w:t>
      </w:r>
      <w:r>
        <w:rPr>
          <w:rFonts w:cs="Times New Roman"/>
          <w:bCs/>
          <w:szCs w:val="24"/>
          <w:lang w:eastAsia="en-AU"/>
        </w:rPr>
        <w:t xml:space="preserve">other regulatory frameworks. Examples of other regulators include Comcare, </w:t>
      </w:r>
      <w:r w:rsidR="00971125">
        <w:rPr>
          <w:rFonts w:cs="Times New Roman"/>
          <w:bCs/>
          <w:szCs w:val="24"/>
          <w:lang w:eastAsia="en-AU"/>
        </w:rPr>
        <w:t xml:space="preserve">the </w:t>
      </w:r>
      <w:r w:rsidRPr="00B0073E">
        <w:rPr>
          <w:rFonts w:cs="Times New Roman"/>
          <w:bCs/>
          <w:szCs w:val="24"/>
          <w:lang w:eastAsia="en-AU"/>
        </w:rPr>
        <w:t>Australian Safeguards and Non-proliferation Office (ASNO</w:t>
      </w:r>
      <w:r>
        <w:rPr>
          <w:rFonts w:cs="Times New Roman"/>
          <w:bCs/>
          <w:szCs w:val="24"/>
          <w:lang w:eastAsia="en-AU"/>
        </w:rPr>
        <w:t>), and</w:t>
      </w:r>
      <w:r w:rsidR="00971125">
        <w:rPr>
          <w:rFonts w:cs="Times New Roman"/>
          <w:bCs/>
          <w:szCs w:val="24"/>
          <w:lang w:eastAsia="en-AU"/>
        </w:rPr>
        <w:t xml:space="preserve"> the</w:t>
      </w:r>
      <w:r>
        <w:rPr>
          <w:rFonts w:cs="Times New Roman"/>
          <w:bCs/>
          <w:szCs w:val="24"/>
          <w:lang w:eastAsia="en-AU"/>
        </w:rPr>
        <w:t xml:space="preserve"> Therapeutic Goods Administration (TGA). </w:t>
      </w:r>
    </w:p>
    <w:tbl>
      <w:tblPr>
        <w:tblStyle w:val="GenericARPANSA4"/>
        <w:tblW w:w="5046" w:type="pct"/>
        <w:tblLayout w:type="fixed"/>
        <w:tblLook w:val="06A0" w:firstRow="1" w:lastRow="0" w:firstColumn="1" w:lastColumn="0" w:noHBand="1" w:noVBand="1"/>
        <w:tblDescription w:val="This table contains 2 heading columns, 1. KPIs/Measures/Metrics, 2. Evidence (Performance in  2016-17). Column 2 includes a self-assessed rating against KPI 4."/>
      </w:tblPr>
      <w:tblGrid>
        <w:gridCol w:w="4858"/>
        <w:gridCol w:w="4859"/>
      </w:tblGrid>
      <w:tr w:rsidR="00CD74EC" w:rsidRPr="00CD74EC" w14:paraId="095ADD08" w14:textId="77777777" w:rsidTr="000B069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500" w:type="pct"/>
          </w:tcPr>
          <w:p w14:paraId="34A31863" w14:textId="2F495167" w:rsidR="003B4D69" w:rsidRPr="000B0690" w:rsidRDefault="003B4D69" w:rsidP="000B0690">
            <w:pPr>
              <w:pStyle w:val="Heading3"/>
              <w:jc w:val="left"/>
              <w:outlineLvl w:val="2"/>
              <w:rPr>
                <w:rFonts w:asciiTheme="minorHAnsi" w:hAnsiTheme="minorHAnsi"/>
                <w:b/>
                <w:i w:val="0"/>
                <w:color w:val="FFFFFF" w:themeColor="background1"/>
                <w:sz w:val="22"/>
              </w:rPr>
            </w:pPr>
            <w:r w:rsidRPr="000B0690">
              <w:rPr>
                <w:b/>
                <w:i w:val="0"/>
                <w:color w:val="FFFFFF" w:themeColor="background1"/>
                <w:sz w:val="22"/>
              </w:rPr>
              <w:t>Measures/</w:t>
            </w:r>
            <w:r w:rsidR="00AB0116">
              <w:rPr>
                <w:b/>
                <w:i w:val="0"/>
                <w:color w:val="FFFFFF" w:themeColor="background1"/>
                <w:sz w:val="22"/>
              </w:rPr>
              <w:t>m</w:t>
            </w:r>
            <w:r w:rsidRPr="000B0690">
              <w:rPr>
                <w:b/>
                <w:i w:val="0"/>
                <w:color w:val="FFFFFF" w:themeColor="background1"/>
                <w:sz w:val="22"/>
              </w:rPr>
              <w:t>etrics</w:t>
            </w:r>
          </w:p>
        </w:tc>
        <w:tc>
          <w:tcPr>
            <w:tcW w:w="2500" w:type="pct"/>
          </w:tcPr>
          <w:p w14:paraId="5D7C1DAA" w14:textId="567CE010" w:rsidR="003B4D69" w:rsidRPr="000B0690" w:rsidRDefault="003B4D69" w:rsidP="000B0690">
            <w:pPr>
              <w:pStyle w:val="Heading3"/>
              <w:jc w:val="left"/>
              <w:outlineLvl w:val="2"/>
              <w:cnfStyle w:val="100000000000" w:firstRow="1" w:lastRow="0" w:firstColumn="0" w:lastColumn="0" w:oddVBand="0" w:evenVBand="0" w:oddHBand="0" w:evenHBand="0" w:firstRowFirstColumn="0" w:firstRowLastColumn="0" w:lastRowFirstColumn="0" w:lastRowLastColumn="0"/>
              <w:rPr>
                <w:rFonts w:asciiTheme="minorHAnsi" w:hAnsiTheme="minorHAnsi"/>
                <w:b/>
                <w:i w:val="0"/>
                <w:color w:val="FFFFFF" w:themeColor="background1"/>
                <w:sz w:val="22"/>
              </w:rPr>
            </w:pPr>
            <w:r w:rsidRPr="000B0690">
              <w:rPr>
                <w:b/>
                <w:i w:val="0"/>
                <w:color w:val="FFFFFF" w:themeColor="background1"/>
                <w:sz w:val="22"/>
              </w:rPr>
              <w:t>Evidence (</w:t>
            </w:r>
            <w:r w:rsidR="00AB0116">
              <w:rPr>
                <w:b/>
                <w:i w:val="0"/>
                <w:color w:val="FFFFFF" w:themeColor="background1"/>
                <w:sz w:val="22"/>
              </w:rPr>
              <w:t>p</w:t>
            </w:r>
            <w:r w:rsidRPr="000B0690">
              <w:rPr>
                <w:b/>
                <w:i w:val="0"/>
                <w:color w:val="FFFFFF" w:themeColor="background1"/>
                <w:sz w:val="22"/>
              </w:rPr>
              <w:t>erformance in 201</w:t>
            </w:r>
            <w:r w:rsidR="00B47516" w:rsidRPr="000B0690">
              <w:rPr>
                <w:b/>
                <w:i w:val="0"/>
                <w:color w:val="FFFFFF" w:themeColor="background1"/>
                <w:sz w:val="22"/>
              </w:rPr>
              <w:t>8</w:t>
            </w:r>
            <w:r w:rsidR="00AB0116">
              <w:rPr>
                <w:b/>
                <w:i w:val="0"/>
                <w:color w:val="FFFFFF" w:themeColor="background1"/>
                <w:sz w:val="22"/>
              </w:rPr>
              <w:t>–</w:t>
            </w:r>
            <w:r w:rsidRPr="000B0690">
              <w:rPr>
                <w:b/>
                <w:i w:val="0"/>
                <w:color w:val="FFFFFF" w:themeColor="background1"/>
                <w:sz w:val="22"/>
              </w:rPr>
              <w:t>1</w:t>
            </w:r>
            <w:r w:rsidR="00B47516" w:rsidRPr="000B0690">
              <w:rPr>
                <w:b/>
                <w:i w:val="0"/>
                <w:color w:val="FFFFFF" w:themeColor="background1"/>
                <w:sz w:val="22"/>
              </w:rPr>
              <w:t>9</w:t>
            </w:r>
            <w:r w:rsidRPr="000B0690">
              <w:rPr>
                <w:b/>
                <w:i w:val="0"/>
                <w:color w:val="FFFFFF" w:themeColor="background1"/>
                <w:sz w:val="22"/>
              </w:rPr>
              <w:t>)</w:t>
            </w:r>
          </w:p>
        </w:tc>
      </w:tr>
      <w:tr w:rsidR="003B4D69" w:rsidRPr="00110D4B" w14:paraId="1231BE67" w14:textId="77777777" w:rsidTr="000B0690">
        <w:trPr>
          <w:trHeight w:val="2242"/>
        </w:trPr>
        <w:tc>
          <w:tcPr>
            <w:cnfStyle w:val="001000000000" w:firstRow="0" w:lastRow="0" w:firstColumn="1" w:lastColumn="0" w:oddVBand="0" w:evenVBand="0" w:oddHBand="0" w:evenHBand="0" w:firstRowFirstColumn="0" w:firstRowLastColumn="0" w:lastRowFirstColumn="0" w:lastRowLastColumn="0"/>
            <w:tcW w:w="2500" w:type="pct"/>
            <w:vAlign w:val="top"/>
          </w:tcPr>
          <w:p w14:paraId="75CC197B" w14:textId="3F9A28EE" w:rsidR="003B4D69" w:rsidRPr="000B0690" w:rsidRDefault="00EA436F" w:rsidP="000B0690">
            <w:pPr>
              <w:pStyle w:val="Tabletext"/>
              <w:jc w:val="left"/>
            </w:pPr>
            <w:r w:rsidRPr="000B0690">
              <w:t xml:space="preserve">PI </w:t>
            </w:r>
            <w:r w:rsidR="6F9414C3" w:rsidRPr="000B0690">
              <w:t>4.1 Actions are initiated within three months of the identification of an area for improvement.</w:t>
            </w:r>
          </w:p>
          <w:p w14:paraId="2BA46AF3" w14:textId="60B494C0" w:rsidR="003B4D69" w:rsidRPr="000B0690" w:rsidRDefault="6F9414C3" w:rsidP="00315E85">
            <w:pPr>
              <w:pStyle w:val="Tabletext"/>
              <w:spacing w:before="120"/>
              <w:jc w:val="left"/>
              <w:rPr>
                <w:b w:val="0"/>
              </w:rPr>
            </w:pPr>
            <w:r w:rsidRPr="000B0690">
              <w:rPr>
                <w:b w:val="0"/>
              </w:rPr>
              <w:t>When an Area For Improvement (AFI) is identified as a result of an inspection or other monitoring, there is an expectation that the licence holder will take corrective action in a timely fashion. The objective of identifying areas for improvement is to reduce regulatory burden by improving safety through a light touch, without the use of enforcement actions. Typically</w:t>
            </w:r>
            <w:r w:rsidR="00583E9E" w:rsidRPr="000B0690">
              <w:rPr>
                <w:rFonts w:cstheme="minorHAnsi"/>
                <w:b w:val="0"/>
              </w:rPr>
              <w:t>,</w:t>
            </w:r>
            <w:r w:rsidRPr="000B0690">
              <w:rPr>
                <w:b w:val="0"/>
              </w:rPr>
              <w:t xml:space="preserve"> an AFI represents a situation that could lead to a non</w:t>
            </w:r>
            <w:r w:rsidRPr="000B0690">
              <w:rPr>
                <w:rFonts w:ascii="Cambria Math" w:hAnsi="Cambria Math"/>
                <w:b w:val="0"/>
              </w:rPr>
              <w:t>‑</w:t>
            </w:r>
            <w:r w:rsidRPr="000B0690">
              <w:rPr>
                <w:b w:val="0"/>
              </w:rPr>
              <w:t xml:space="preserve">compliance or in which safety practice could be improved. As such, where licence holders voluntarily implement corrective action following the finding of an </w:t>
            </w:r>
            <w:r w:rsidR="005C5339" w:rsidRPr="000B0690">
              <w:rPr>
                <w:b w:val="0"/>
              </w:rPr>
              <w:t>AFI</w:t>
            </w:r>
            <w:r w:rsidRPr="000B0690">
              <w:rPr>
                <w:b w:val="0"/>
              </w:rPr>
              <w:t xml:space="preserve"> it demonstrates good safety culture, the effectiveness of non-enforcement actions and ARPANSA</w:t>
            </w:r>
            <w:r w:rsidR="00E365CE" w:rsidRPr="000B0690">
              <w:rPr>
                <w:b w:val="0"/>
              </w:rPr>
              <w:t>’</w:t>
            </w:r>
            <w:r w:rsidR="007B6A89" w:rsidRPr="000B0690">
              <w:rPr>
                <w:b w:val="0"/>
              </w:rPr>
              <w:t>s</w:t>
            </w:r>
            <w:r w:rsidRPr="000B0690">
              <w:rPr>
                <w:b w:val="0"/>
              </w:rPr>
              <w:t xml:space="preserve"> promotion of best practice.</w:t>
            </w:r>
          </w:p>
          <w:p w14:paraId="36FEB5B0" w14:textId="15FF9063" w:rsidR="003B4D69" w:rsidRPr="000B0690" w:rsidRDefault="6F9414C3" w:rsidP="000B0690">
            <w:pPr>
              <w:pStyle w:val="Tabletext"/>
              <w:jc w:val="left"/>
            </w:pPr>
            <w:r w:rsidRPr="000B0690">
              <w:rPr>
                <w:b w:val="0"/>
              </w:rPr>
              <w:t xml:space="preserve">ARPANSA will measure the percentage of </w:t>
            </w:r>
            <w:r w:rsidR="00FC1647" w:rsidRPr="000B0690">
              <w:rPr>
                <w:rFonts w:cstheme="minorHAnsi"/>
                <w:b w:val="0"/>
              </w:rPr>
              <w:t>AFIs identified where</w:t>
            </w:r>
            <w:r w:rsidRPr="000B0690">
              <w:rPr>
                <w:b w:val="0"/>
              </w:rPr>
              <w:t xml:space="preserve"> an action is initiated </w:t>
            </w:r>
            <w:r w:rsidR="00FC1647" w:rsidRPr="000B0690">
              <w:rPr>
                <w:rFonts w:cstheme="minorHAnsi"/>
                <w:b w:val="0"/>
              </w:rPr>
              <w:t>by the</w:t>
            </w:r>
            <w:r w:rsidRPr="000B0690">
              <w:rPr>
                <w:b w:val="0"/>
              </w:rPr>
              <w:t xml:space="preserve"> licence holder [Quantitative].</w:t>
            </w:r>
          </w:p>
        </w:tc>
        <w:tc>
          <w:tcPr>
            <w:tcW w:w="2500" w:type="pct"/>
            <w:vAlign w:val="top"/>
          </w:tcPr>
          <w:p w14:paraId="4FD1FB38" w14:textId="0FACAB32" w:rsidR="009E3FCA" w:rsidRPr="000B0690" w:rsidRDefault="009E3FCA" w:rsidP="000B0690">
            <w:pPr>
              <w:pStyle w:val="Tabletext"/>
              <w:jc w:val="left"/>
              <w:cnfStyle w:val="000000000000" w:firstRow="0" w:lastRow="0" w:firstColumn="0" w:lastColumn="0" w:oddVBand="0" w:evenVBand="0" w:oddHBand="0" w:evenHBand="0" w:firstRowFirstColumn="0" w:firstRowLastColumn="0" w:lastRowFirstColumn="0" w:lastRowLastColumn="0"/>
              <w:rPr>
                <w:b/>
              </w:rPr>
            </w:pPr>
            <w:r w:rsidRPr="000B0690">
              <w:rPr>
                <w:b/>
              </w:rPr>
              <w:t xml:space="preserve">Target </w:t>
            </w:r>
            <w:r w:rsidR="00AB0116">
              <w:rPr>
                <w:b/>
              </w:rPr>
              <w:t>m</w:t>
            </w:r>
            <w:r w:rsidRPr="000B0690">
              <w:rPr>
                <w:b/>
              </w:rPr>
              <w:t>et</w:t>
            </w:r>
          </w:p>
          <w:p w14:paraId="0AB9E5EF" w14:textId="6E30476C" w:rsidR="00B47748" w:rsidRPr="000B0690" w:rsidRDefault="002E0211" w:rsidP="00315E85">
            <w:pPr>
              <w:pStyle w:val="Tabletext"/>
              <w:spacing w:before="120"/>
              <w:jc w:val="left"/>
              <w:cnfStyle w:val="000000000000" w:firstRow="0" w:lastRow="0" w:firstColumn="0" w:lastColumn="0" w:oddVBand="0" w:evenVBand="0" w:oddHBand="0" w:evenHBand="0" w:firstRowFirstColumn="0" w:firstRowLastColumn="0" w:lastRowFirstColumn="0" w:lastRowLastColumn="0"/>
            </w:pPr>
            <w:r w:rsidRPr="000B0690">
              <w:rPr>
                <w:rFonts w:cstheme="minorHAnsi"/>
              </w:rPr>
              <w:t xml:space="preserve">In </w:t>
            </w:r>
            <w:r w:rsidR="00B47748" w:rsidRPr="000B0690">
              <w:t xml:space="preserve">82.5% of </w:t>
            </w:r>
            <w:r w:rsidRPr="000B0690">
              <w:rPr>
                <w:rFonts w:cstheme="minorHAnsi"/>
              </w:rPr>
              <w:t>AFIs</w:t>
            </w:r>
            <w:r w:rsidR="00B47748" w:rsidRPr="000B0690">
              <w:t xml:space="preserve"> an action is initiated within </w:t>
            </w:r>
            <w:r w:rsidR="00AB0116">
              <w:t>three</w:t>
            </w:r>
            <w:r w:rsidR="00B47748" w:rsidRPr="000B0690">
              <w:t xml:space="preserve"> months</w:t>
            </w:r>
            <w:r w:rsidR="00B47748" w:rsidRPr="000B0690">
              <w:rPr>
                <w:rFonts w:cstheme="minorHAnsi"/>
              </w:rPr>
              <w:t>.</w:t>
            </w:r>
            <w:r w:rsidR="00B47748" w:rsidRPr="000B0690">
              <w:t xml:space="preserve"> </w:t>
            </w:r>
            <w:r w:rsidR="009E3FCA" w:rsidRPr="000B0690">
              <w:t xml:space="preserve">A total of 94 </w:t>
            </w:r>
            <w:r w:rsidRPr="000B0690">
              <w:rPr>
                <w:rFonts w:cstheme="minorHAnsi"/>
              </w:rPr>
              <w:t xml:space="preserve">out </w:t>
            </w:r>
            <w:r w:rsidR="009E3FCA" w:rsidRPr="000B0690">
              <w:t>of 1</w:t>
            </w:r>
            <w:r w:rsidR="00B47748" w:rsidRPr="000B0690">
              <w:t xml:space="preserve">14 AFIs </w:t>
            </w:r>
            <w:r w:rsidR="009E3FCA" w:rsidRPr="000B0690">
              <w:t xml:space="preserve">had </w:t>
            </w:r>
            <w:r w:rsidR="00B47748" w:rsidRPr="000B0690">
              <w:t>actions</w:t>
            </w:r>
            <w:r w:rsidR="009E3FCA" w:rsidRPr="000B0690">
              <w:t xml:space="preserve"> initiated</w:t>
            </w:r>
            <w:r w:rsidR="009E3FCA" w:rsidRPr="000B0690">
              <w:rPr>
                <w:rFonts w:cstheme="minorHAnsi"/>
              </w:rPr>
              <w:t xml:space="preserve"> ra</w:t>
            </w:r>
            <w:r w:rsidR="00F326E0" w:rsidRPr="000B0690">
              <w:rPr>
                <w:rFonts w:cstheme="minorHAnsi"/>
              </w:rPr>
              <w:t>n</w:t>
            </w:r>
            <w:r w:rsidR="009E3FCA" w:rsidRPr="000B0690">
              <w:rPr>
                <w:rFonts w:cstheme="minorHAnsi"/>
              </w:rPr>
              <w:t>g</w:t>
            </w:r>
            <w:r w:rsidRPr="000B0690">
              <w:rPr>
                <w:rFonts w:cstheme="minorHAnsi"/>
              </w:rPr>
              <w:t>ing</w:t>
            </w:r>
            <w:r w:rsidR="009E3FCA" w:rsidRPr="000B0690">
              <w:t xml:space="preserve"> from placing the issues into action register to</w:t>
            </w:r>
            <w:r w:rsidR="00971125" w:rsidRPr="000B0690">
              <w:t xml:space="preserve"> </w:t>
            </w:r>
            <w:r w:rsidR="00971125" w:rsidRPr="000B0690">
              <w:rPr>
                <w:rFonts w:cstheme="minorHAnsi"/>
              </w:rPr>
              <w:t>updat</w:t>
            </w:r>
            <w:r w:rsidRPr="000B0690">
              <w:rPr>
                <w:rFonts w:cstheme="minorHAnsi"/>
              </w:rPr>
              <w:t>ing</w:t>
            </w:r>
            <w:r w:rsidR="009E3FCA" w:rsidRPr="000B0690">
              <w:t xml:space="preserve"> </w:t>
            </w:r>
            <w:r w:rsidR="00B47748" w:rsidRPr="000B0690">
              <w:t>procedures</w:t>
            </w:r>
            <w:r w:rsidR="009E3FCA" w:rsidRPr="000B0690">
              <w:t xml:space="preserve"> and processes</w:t>
            </w:r>
            <w:r w:rsidR="00B47748" w:rsidRPr="000B0690">
              <w:t>.</w:t>
            </w:r>
            <w:r w:rsidR="00C1716C">
              <w:t xml:space="preserve"> </w:t>
            </w:r>
            <w:r w:rsidR="00B47748" w:rsidRPr="000B0690">
              <w:t xml:space="preserve"> </w:t>
            </w:r>
          </w:p>
          <w:p w14:paraId="0F8C631B" w14:textId="4D102D16" w:rsidR="003B4D69" w:rsidRPr="000B0690" w:rsidRDefault="00B47748" w:rsidP="000B0690">
            <w:pPr>
              <w:pStyle w:val="Tabletext"/>
              <w:jc w:val="left"/>
              <w:cnfStyle w:val="000000000000" w:firstRow="0" w:lastRow="0" w:firstColumn="0" w:lastColumn="0" w:oddVBand="0" w:evenVBand="0" w:oddHBand="0" w:evenHBand="0" w:firstRowFirstColumn="0" w:firstRowLastColumn="0" w:lastRowFirstColumn="0" w:lastRowLastColumn="0"/>
            </w:pPr>
            <w:r w:rsidRPr="000B0690">
              <w:t xml:space="preserve">The target </w:t>
            </w:r>
            <w:r w:rsidR="00583E9E" w:rsidRPr="000B0690">
              <w:rPr>
                <w:rFonts w:cstheme="minorHAnsi"/>
              </w:rPr>
              <w:t>(50%)</w:t>
            </w:r>
            <w:r w:rsidRPr="000B0690">
              <w:rPr>
                <w:rFonts w:cstheme="minorHAnsi"/>
              </w:rPr>
              <w:t xml:space="preserve"> </w:t>
            </w:r>
            <w:r w:rsidRPr="000B0690">
              <w:t xml:space="preserve">was </w:t>
            </w:r>
            <w:r w:rsidR="00FC1647" w:rsidRPr="000B0690">
              <w:rPr>
                <w:rFonts w:cstheme="minorHAnsi"/>
              </w:rPr>
              <w:t>exceeded</w:t>
            </w:r>
            <w:r w:rsidR="008B7841" w:rsidRPr="000B0690">
              <w:t>,</w:t>
            </w:r>
            <w:r w:rsidRPr="000B0690">
              <w:t xml:space="preserve"> showing licence holders voluntarily implement corrective action</w:t>
            </w:r>
            <w:r w:rsidR="00F326E0" w:rsidRPr="000B0690">
              <w:t>s</w:t>
            </w:r>
            <w:r w:rsidRPr="000B0690">
              <w:t xml:space="preserve"> following the </w:t>
            </w:r>
            <w:r w:rsidR="008B7841" w:rsidRPr="000B0690">
              <w:t>identification</w:t>
            </w:r>
            <w:r w:rsidRPr="000B0690">
              <w:t xml:space="preserve"> of an area for improvement. This demonstrates good safety culture, the effectiveness of non-enforcement actions and </w:t>
            </w:r>
            <w:r w:rsidR="008B7841" w:rsidRPr="000B0690">
              <w:t>ARPANSA’s promotion</w:t>
            </w:r>
            <w:r w:rsidRPr="000B0690">
              <w:t xml:space="preserve"> of best practice.</w:t>
            </w:r>
            <w:r w:rsidR="003B4D69" w:rsidRPr="000B0690">
              <w:br/>
            </w:r>
          </w:p>
          <w:p w14:paraId="30D7AA69" w14:textId="26E1C902" w:rsidR="003B4D69" w:rsidRPr="000B0690" w:rsidRDefault="003B4D69" w:rsidP="000B0690">
            <w:pPr>
              <w:pStyle w:val="Tabletext"/>
              <w:jc w:val="left"/>
              <w:cnfStyle w:val="000000000000" w:firstRow="0" w:lastRow="0" w:firstColumn="0" w:lastColumn="0" w:oddVBand="0" w:evenVBand="0" w:oddHBand="0" w:evenHBand="0" w:firstRowFirstColumn="0" w:firstRowLastColumn="0" w:lastRowFirstColumn="0" w:lastRowLastColumn="0"/>
            </w:pPr>
          </w:p>
        </w:tc>
      </w:tr>
      <w:tr w:rsidR="003B4D69" w:rsidRPr="00110D4B" w14:paraId="7196D064" w14:textId="77777777" w:rsidTr="00D63C9F">
        <w:trPr>
          <w:trHeight w:val="2397"/>
        </w:trPr>
        <w:tc>
          <w:tcPr>
            <w:cnfStyle w:val="001000000000" w:firstRow="0" w:lastRow="0" w:firstColumn="1" w:lastColumn="0" w:oddVBand="0" w:evenVBand="0" w:oddHBand="0" w:evenHBand="0" w:firstRowFirstColumn="0" w:firstRowLastColumn="0" w:lastRowFirstColumn="0" w:lastRowLastColumn="0"/>
            <w:tcW w:w="2500" w:type="pct"/>
            <w:tcBorders>
              <w:bottom w:val="single" w:sz="18" w:space="0" w:color="auto"/>
            </w:tcBorders>
            <w:vAlign w:val="top"/>
          </w:tcPr>
          <w:p w14:paraId="18302100" w14:textId="176B4DF3" w:rsidR="003B4D69" w:rsidRPr="000B0690" w:rsidRDefault="00EA436F" w:rsidP="000B0690">
            <w:pPr>
              <w:pStyle w:val="Tabletext"/>
              <w:jc w:val="left"/>
            </w:pPr>
            <w:r w:rsidRPr="000B0690">
              <w:t xml:space="preserve">PI </w:t>
            </w:r>
            <w:r w:rsidR="6F9414C3" w:rsidRPr="000B0690">
              <w:t>4.2 Information is shared with collaborating regulatory agencies.</w:t>
            </w:r>
          </w:p>
          <w:p w14:paraId="04F5293B" w14:textId="079D3EF1" w:rsidR="003B4D69" w:rsidRPr="000B0690" w:rsidRDefault="6F9414C3" w:rsidP="00315E85">
            <w:pPr>
              <w:pStyle w:val="Tabletext"/>
              <w:spacing w:before="120"/>
              <w:jc w:val="left"/>
              <w:rPr>
                <w:b w:val="0"/>
              </w:rPr>
            </w:pPr>
            <w:r w:rsidRPr="000B0690">
              <w:rPr>
                <w:b w:val="0"/>
              </w:rPr>
              <w:t>ARPANSA licence holders are also regulated by other regulatory agencies. ARPANSA will collaborate with other regulators, where appropriate, by the sharing of information or undertaking joint activities. The objective of collaboration is to co-ordinate work in common areas of interest so as to avoid duplication and unnecessary disruption to the licence holder, and in so doing reduce regulatory burden [Qualitative].</w:t>
            </w:r>
          </w:p>
          <w:p w14:paraId="34FF1C98" w14:textId="233CCA34" w:rsidR="003B4D69" w:rsidRPr="000B0690" w:rsidRDefault="003B4D69" w:rsidP="000B0690">
            <w:pPr>
              <w:pStyle w:val="Tabletext"/>
              <w:jc w:val="left"/>
            </w:pPr>
          </w:p>
        </w:tc>
        <w:tc>
          <w:tcPr>
            <w:tcW w:w="2500" w:type="pct"/>
            <w:tcBorders>
              <w:bottom w:val="single" w:sz="18" w:space="0" w:color="auto"/>
            </w:tcBorders>
            <w:vAlign w:val="top"/>
          </w:tcPr>
          <w:p w14:paraId="780DBF84" w14:textId="4D30E528" w:rsidR="009E3FCA" w:rsidRPr="000B0690" w:rsidRDefault="009E3FCA" w:rsidP="000B0690">
            <w:pPr>
              <w:pStyle w:val="Tabletext"/>
              <w:jc w:val="left"/>
              <w:cnfStyle w:val="000000000000" w:firstRow="0" w:lastRow="0" w:firstColumn="0" w:lastColumn="0" w:oddVBand="0" w:evenVBand="0" w:oddHBand="0" w:evenHBand="0" w:firstRowFirstColumn="0" w:firstRowLastColumn="0" w:lastRowFirstColumn="0" w:lastRowLastColumn="0"/>
              <w:rPr>
                <w:b/>
              </w:rPr>
            </w:pPr>
            <w:r w:rsidRPr="000B0690">
              <w:rPr>
                <w:b/>
              </w:rPr>
              <w:t xml:space="preserve">Target </w:t>
            </w:r>
            <w:r w:rsidR="00316C9E">
              <w:rPr>
                <w:b/>
              </w:rPr>
              <w:t>m</w:t>
            </w:r>
            <w:r w:rsidR="00316C9E" w:rsidRPr="000B0690">
              <w:rPr>
                <w:b/>
              </w:rPr>
              <w:t>et</w:t>
            </w:r>
          </w:p>
          <w:p w14:paraId="3C629BE6" w14:textId="08CB49E0" w:rsidR="009E3FCA" w:rsidRPr="000B0690" w:rsidRDefault="009E3FCA" w:rsidP="00315E85">
            <w:pPr>
              <w:pStyle w:val="Tabletext"/>
              <w:spacing w:before="120"/>
              <w:jc w:val="left"/>
              <w:cnfStyle w:val="000000000000" w:firstRow="0" w:lastRow="0" w:firstColumn="0" w:lastColumn="0" w:oddVBand="0" w:evenVBand="0" w:oddHBand="0" w:evenHBand="0" w:firstRowFirstColumn="0" w:firstRowLastColumn="0" w:lastRowFirstColumn="0" w:lastRowLastColumn="0"/>
            </w:pPr>
            <w:r w:rsidRPr="000B0690">
              <w:t xml:space="preserve">ARPANSA collaborated extensively with Comcare in this </w:t>
            </w:r>
            <w:r w:rsidR="007468E3" w:rsidRPr="000B0690">
              <w:t xml:space="preserve">reporting </w:t>
            </w:r>
            <w:r w:rsidRPr="000B0690">
              <w:t>period</w:t>
            </w:r>
            <w:r w:rsidR="007468E3" w:rsidRPr="000B0690">
              <w:t>,</w:t>
            </w:r>
            <w:r w:rsidRPr="000B0690">
              <w:t xml:space="preserve"> including several joint meetings with licence holders on shared regulatory issues and investigations. This collaboration avoids duplication and leads to improved understanding of the respective requirements of Comcare and ARPANSA, which reduces regulatory burden</w:t>
            </w:r>
            <w:r w:rsidR="008B7841" w:rsidRPr="000B0690">
              <w:t xml:space="preserve"> o</w:t>
            </w:r>
            <w:r w:rsidR="31C7034B" w:rsidRPr="000B0690">
              <w:t>n</w:t>
            </w:r>
            <w:r w:rsidR="008B7841" w:rsidRPr="000B0690">
              <w:t xml:space="preserve"> the licence holders</w:t>
            </w:r>
            <w:r w:rsidRPr="000B0690">
              <w:t xml:space="preserve">. </w:t>
            </w:r>
          </w:p>
          <w:p w14:paraId="6D072C0D" w14:textId="582F7D2D" w:rsidR="003B4D69" w:rsidRPr="000B0690" w:rsidRDefault="009E3FCA" w:rsidP="000B0690">
            <w:pPr>
              <w:pStyle w:val="Tabletext"/>
              <w:jc w:val="left"/>
              <w:cnfStyle w:val="000000000000" w:firstRow="0" w:lastRow="0" w:firstColumn="0" w:lastColumn="0" w:oddVBand="0" w:evenVBand="0" w:oddHBand="0" w:evenHBand="0" w:firstRowFirstColumn="0" w:firstRowLastColumn="0" w:lastRowFirstColumn="0" w:lastRowLastColumn="0"/>
            </w:pPr>
            <w:r w:rsidRPr="000B0690">
              <w:t>ARPANSA also collaborated with other state and Commonwealth regulators, as appropriate, sharing information and participating in events. This included regulators such as Australian Safeguards and Non-proliferation Office, and members of the Regulatory Science Network</w:t>
            </w:r>
            <w:r w:rsidR="003732CE" w:rsidRPr="000B0690">
              <w:t xml:space="preserve"> and Radiation Regulators Network</w:t>
            </w:r>
            <w:r w:rsidRPr="000B0690">
              <w:t>.</w:t>
            </w:r>
          </w:p>
        </w:tc>
      </w:tr>
      <w:tr w:rsidR="000B0690" w:rsidRPr="00110D4B" w14:paraId="33516A66" w14:textId="77777777" w:rsidTr="00D63C9F">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18" w:space="0" w:color="auto"/>
            </w:tcBorders>
            <w:shd w:val="clear" w:color="auto" w:fill="CDF1CD" w:themeFill="accent2" w:themeFillTint="33"/>
            <w:vAlign w:val="top"/>
          </w:tcPr>
          <w:p w14:paraId="455058B5" w14:textId="1E30928E" w:rsidR="000B0690" w:rsidRPr="000B0690" w:rsidRDefault="000B0690" w:rsidP="000B0690">
            <w:pPr>
              <w:spacing w:before="60"/>
              <w:jc w:val="left"/>
            </w:pPr>
            <w:r w:rsidRPr="000B0690">
              <w:rPr>
                <w:b w:val="0"/>
              </w:rPr>
              <w:t>Self-assessed rating:</w:t>
            </w:r>
            <w:r>
              <w:t xml:space="preserve"> </w:t>
            </w:r>
            <w:r w:rsidRPr="000B0690">
              <w:t>Met</w:t>
            </w:r>
          </w:p>
        </w:tc>
      </w:tr>
    </w:tbl>
    <w:p w14:paraId="245B8B41" w14:textId="2231112D" w:rsidR="00715703" w:rsidRDefault="00715703" w:rsidP="00F5034B">
      <w:pPr>
        <w:pStyle w:val="Heading3"/>
      </w:pPr>
    </w:p>
    <w:p w14:paraId="2059730D" w14:textId="77777777" w:rsidR="00715703" w:rsidRDefault="00715703">
      <w:pPr>
        <w:rPr>
          <w:rFonts w:eastAsiaTheme="majorEastAsia" w:cstheme="majorBidi"/>
          <w:b/>
          <w:bCs/>
          <w:i/>
          <w:color w:val="4E1A74"/>
          <w:sz w:val="24"/>
        </w:rPr>
      </w:pPr>
      <w:r>
        <w:br w:type="page"/>
      </w:r>
    </w:p>
    <w:p w14:paraId="24667708" w14:textId="66FA0332" w:rsidR="00F5034B" w:rsidRDefault="00F5034B" w:rsidP="00F5034B">
      <w:pPr>
        <w:pStyle w:val="Heading3"/>
      </w:pPr>
      <w:r>
        <w:lastRenderedPageBreak/>
        <w:t>Further evidence considered</w:t>
      </w:r>
    </w:p>
    <w:p w14:paraId="1734975B" w14:textId="0BB71019" w:rsidR="00B0073E" w:rsidRDefault="00B0073E" w:rsidP="00B0073E">
      <w:r>
        <w:t xml:space="preserve">ARPANSA collects regulatory information about </w:t>
      </w:r>
      <w:r w:rsidR="008B7841">
        <w:t>the safety performance of licen</w:t>
      </w:r>
      <w:r w:rsidR="00046A1A">
        <w:t>se</w:t>
      </w:r>
      <w:r>
        <w:t xml:space="preserve">es. This information is stored in </w:t>
      </w:r>
      <w:r w:rsidR="008B7841">
        <w:t xml:space="preserve">one or more of the following: the </w:t>
      </w:r>
      <w:r>
        <w:t>record management system</w:t>
      </w:r>
      <w:r w:rsidR="008B7841">
        <w:t xml:space="preserve"> (</w:t>
      </w:r>
      <w:r w:rsidR="00E269C3">
        <w:t>HPERM</w:t>
      </w:r>
      <w:r w:rsidR="008B7841">
        <w:t>)</w:t>
      </w:r>
      <w:r>
        <w:t>, a purpose</w:t>
      </w:r>
      <w:r w:rsidR="6B71811E">
        <w:t>-</w:t>
      </w:r>
      <w:r>
        <w:t xml:space="preserve">built </w:t>
      </w:r>
      <w:r w:rsidR="008B7841">
        <w:t xml:space="preserve">access </w:t>
      </w:r>
      <w:r>
        <w:t>database (LAD), the branch intranet page</w:t>
      </w:r>
      <w:r w:rsidR="008B7841">
        <w:t xml:space="preserve"> (ISAAC)</w:t>
      </w:r>
      <w:r>
        <w:t xml:space="preserve"> and </w:t>
      </w:r>
      <w:r w:rsidR="007829E9">
        <w:t>ad hoc tools such as</w:t>
      </w:r>
      <w:r>
        <w:t xml:space="preserve"> spreadsheets. </w:t>
      </w:r>
      <w:r w:rsidR="007829E9">
        <w:t>F</w:t>
      </w:r>
      <w:r w:rsidR="00BF054E">
        <w:t>unctionality such as dashboards</w:t>
      </w:r>
      <w:r w:rsidR="007829E9">
        <w:t>,</w:t>
      </w:r>
      <w:r w:rsidR="00BF054E">
        <w:t xml:space="preserve"> </w:t>
      </w:r>
      <w:r w:rsidR="007829E9">
        <w:t>which would assist officers and managers to maintain oversight, are</w:t>
      </w:r>
      <w:r w:rsidR="00BF054E">
        <w:t xml:space="preserve"> not </w:t>
      </w:r>
      <w:r w:rsidR="007829E9">
        <w:t xml:space="preserve">currently </w:t>
      </w:r>
      <w:r w:rsidR="00BF054E">
        <w:t>available</w:t>
      </w:r>
      <w:r>
        <w:t>.</w:t>
      </w:r>
      <w:r w:rsidRPr="0076071F">
        <w:t xml:space="preserve"> </w:t>
      </w:r>
      <w:r w:rsidR="007829E9">
        <w:t xml:space="preserve">The LAD system does not have a full range of </w:t>
      </w:r>
      <w:r w:rsidR="008A670B">
        <w:t xml:space="preserve">features </w:t>
      </w:r>
      <w:r w:rsidR="007829E9">
        <w:t>desirable to staff</w:t>
      </w:r>
      <w:r w:rsidR="00B6652C">
        <w:t>. For example</w:t>
      </w:r>
      <w:r w:rsidR="007829E9">
        <w:t>,</w:t>
      </w:r>
      <w:r w:rsidR="00B6652C">
        <w:t xml:space="preserve"> it is </w:t>
      </w:r>
      <w:r w:rsidR="00BF054E" w:rsidRPr="007B16F9">
        <w:t xml:space="preserve">not </w:t>
      </w:r>
      <w:r w:rsidR="00B6652C">
        <w:t>able to calculate</w:t>
      </w:r>
      <w:r w:rsidR="00BF054E" w:rsidRPr="007B16F9">
        <w:t xml:space="preserve"> fees, </w:t>
      </w:r>
      <w:r w:rsidR="00B6652C">
        <w:t xml:space="preserve">generate </w:t>
      </w:r>
      <w:r w:rsidR="00BF054E" w:rsidRPr="007B16F9">
        <w:t>licence</w:t>
      </w:r>
      <w:r w:rsidR="00B6652C">
        <w:t xml:space="preserve"> documents</w:t>
      </w:r>
      <w:r w:rsidR="00BF054E" w:rsidRPr="007B16F9">
        <w:t>, review inspection outcomes,</w:t>
      </w:r>
      <w:r w:rsidR="00B6652C">
        <w:t xml:space="preserve"> </w:t>
      </w:r>
      <w:r w:rsidR="002E0211">
        <w:t xml:space="preserve">or generate </w:t>
      </w:r>
      <w:r w:rsidR="007829E9">
        <w:t>report</w:t>
      </w:r>
      <w:r w:rsidR="002E0211">
        <w:t>s</w:t>
      </w:r>
      <w:r w:rsidR="007829E9">
        <w:t xml:space="preserve"> and </w:t>
      </w:r>
      <w:r w:rsidR="00B6652C">
        <w:t>inventory</w:t>
      </w:r>
      <w:r w:rsidR="007829E9">
        <w:t xml:space="preserve"> updates</w:t>
      </w:r>
      <w:r w:rsidR="00B6652C">
        <w:t xml:space="preserve"> </w:t>
      </w:r>
      <w:r w:rsidR="00BF054E" w:rsidRPr="007B16F9">
        <w:t xml:space="preserve">without the use of additional programs (e.g. </w:t>
      </w:r>
      <w:r w:rsidR="00E967A4">
        <w:t xml:space="preserve">via </w:t>
      </w:r>
      <w:r w:rsidR="00BF054E" w:rsidRPr="007B16F9">
        <w:t>spreadsheets).</w:t>
      </w:r>
    </w:p>
    <w:p w14:paraId="21CE0349" w14:textId="60006981" w:rsidR="00BF054E" w:rsidRPr="0003501C" w:rsidRDefault="00BF054E" w:rsidP="00BF054E">
      <w:pPr>
        <w:autoSpaceDE w:val="0"/>
        <w:autoSpaceDN w:val="0"/>
        <w:adjustRightInd w:val="0"/>
        <w:spacing w:after="120"/>
        <w:rPr>
          <w:rFonts w:cs="Times New Roman"/>
          <w:bCs/>
          <w:szCs w:val="24"/>
          <w:lang w:eastAsia="en-AU"/>
        </w:rPr>
      </w:pPr>
      <w:r w:rsidRPr="0003501C">
        <w:rPr>
          <w:rFonts w:cs="Times New Roman"/>
          <w:bCs/>
          <w:szCs w:val="24"/>
          <w:lang w:eastAsia="en-AU"/>
        </w:rPr>
        <w:t xml:space="preserve">A </w:t>
      </w:r>
      <w:r w:rsidR="007829E9">
        <w:rPr>
          <w:rFonts w:cs="Times New Roman"/>
          <w:bCs/>
          <w:szCs w:val="24"/>
          <w:lang w:eastAsia="en-AU"/>
        </w:rPr>
        <w:t>quarterly and annual</w:t>
      </w:r>
      <w:r w:rsidRPr="0003501C">
        <w:rPr>
          <w:rFonts w:cs="Times New Roman"/>
          <w:bCs/>
          <w:szCs w:val="24"/>
          <w:lang w:eastAsia="en-AU"/>
        </w:rPr>
        <w:t xml:space="preserve"> analysis of </w:t>
      </w:r>
      <w:r w:rsidR="007829E9">
        <w:rPr>
          <w:rFonts w:cs="Times New Roman"/>
          <w:bCs/>
          <w:szCs w:val="24"/>
          <w:lang w:eastAsia="en-AU"/>
        </w:rPr>
        <w:t>Inspection findings (</w:t>
      </w:r>
      <w:r w:rsidRPr="0003501C">
        <w:rPr>
          <w:rFonts w:cs="Times New Roman"/>
          <w:bCs/>
          <w:szCs w:val="24"/>
          <w:lang w:eastAsia="en-AU"/>
        </w:rPr>
        <w:t>AFIs, potential non-compliances, and good practices</w:t>
      </w:r>
      <w:r w:rsidR="007829E9">
        <w:rPr>
          <w:rFonts w:cs="Times New Roman"/>
          <w:bCs/>
          <w:szCs w:val="24"/>
          <w:lang w:eastAsia="en-AU"/>
        </w:rPr>
        <w:t>)</w:t>
      </w:r>
      <w:r w:rsidRPr="0003501C">
        <w:rPr>
          <w:rFonts w:cs="Times New Roman"/>
          <w:bCs/>
          <w:szCs w:val="24"/>
          <w:lang w:eastAsia="en-AU"/>
        </w:rPr>
        <w:t xml:space="preserve"> is </w:t>
      </w:r>
      <w:r w:rsidR="007829E9">
        <w:rPr>
          <w:rFonts w:cs="Times New Roman"/>
          <w:bCs/>
          <w:szCs w:val="24"/>
          <w:lang w:eastAsia="en-AU"/>
        </w:rPr>
        <w:t>sent to staff via email</w:t>
      </w:r>
      <w:r w:rsidRPr="0003501C">
        <w:rPr>
          <w:rFonts w:cs="Times New Roman"/>
          <w:bCs/>
          <w:szCs w:val="24"/>
          <w:lang w:eastAsia="en-AU"/>
        </w:rPr>
        <w:t xml:space="preserve">. This </w:t>
      </w:r>
      <w:r w:rsidR="007829E9">
        <w:rPr>
          <w:rFonts w:cs="Times New Roman"/>
          <w:bCs/>
          <w:szCs w:val="24"/>
          <w:lang w:eastAsia="en-AU"/>
        </w:rPr>
        <w:t xml:space="preserve">helps to </w:t>
      </w:r>
      <w:r w:rsidRPr="0003501C">
        <w:rPr>
          <w:rFonts w:cs="Times New Roman"/>
          <w:bCs/>
          <w:szCs w:val="24"/>
          <w:lang w:eastAsia="en-AU"/>
        </w:rPr>
        <w:t xml:space="preserve">monitor trends and identify emerging issues. </w:t>
      </w:r>
      <w:r w:rsidR="007829E9">
        <w:rPr>
          <w:rFonts w:cs="Times New Roman"/>
          <w:bCs/>
          <w:szCs w:val="24"/>
          <w:lang w:eastAsia="en-AU"/>
        </w:rPr>
        <w:t>The o</w:t>
      </w:r>
      <w:r w:rsidRPr="0003501C">
        <w:rPr>
          <w:rFonts w:cs="Times New Roman"/>
          <w:bCs/>
          <w:szCs w:val="24"/>
          <w:lang w:eastAsia="en-AU"/>
        </w:rPr>
        <w:t xml:space="preserve">utcomes of </w:t>
      </w:r>
      <w:r w:rsidR="007829E9">
        <w:rPr>
          <w:rFonts w:cs="Times New Roman"/>
          <w:bCs/>
          <w:szCs w:val="24"/>
          <w:lang w:eastAsia="en-AU"/>
        </w:rPr>
        <w:t xml:space="preserve">this </w:t>
      </w:r>
      <w:r w:rsidRPr="0003501C">
        <w:rPr>
          <w:rFonts w:cs="Times New Roman"/>
          <w:bCs/>
          <w:szCs w:val="24"/>
          <w:lang w:eastAsia="en-AU"/>
        </w:rPr>
        <w:t xml:space="preserve">analysis </w:t>
      </w:r>
      <w:r w:rsidR="007829E9">
        <w:rPr>
          <w:rFonts w:cs="Times New Roman"/>
          <w:bCs/>
          <w:szCs w:val="24"/>
          <w:lang w:eastAsia="en-AU"/>
        </w:rPr>
        <w:t xml:space="preserve">is </w:t>
      </w:r>
      <w:r w:rsidRPr="0003501C">
        <w:rPr>
          <w:rFonts w:cs="Times New Roman"/>
          <w:bCs/>
          <w:szCs w:val="24"/>
          <w:lang w:eastAsia="en-AU"/>
        </w:rPr>
        <w:t>made available to licence holders through the ARPANSA website</w:t>
      </w:r>
      <w:r w:rsidR="007829E9">
        <w:rPr>
          <w:rFonts w:cs="Times New Roman"/>
          <w:bCs/>
          <w:szCs w:val="24"/>
          <w:lang w:eastAsia="en-AU"/>
        </w:rPr>
        <w:t>, and discussed at forums,</w:t>
      </w:r>
      <w:r>
        <w:rPr>
          <w:rFonts w:cs="Times New Roman"/>
          <w:bCs/>
          <w:szCs w:val="24"/>
          <w:lang w:eastAsia="en-AU"/>
        </w:rPr>
        <w:t xml:space="preserve"> so that they may review their operations for similar </w:t>
      </w:r>
      <w:r w:rsidR="007829E9">
        <w:rPr>
          <w:rFonts w:cs="Times New Roman"/>
          <w:bCs/>
          <w:szCs w:val="24"/>
          <w:lang w:eastAsia="en-AU"/>
        </w:rPr>
        <w:t>issues</w:t>
      </w:r>
      <w:r w:rsidRPr="0003501C">
        <w:rPr>
          <w:rFonts w:cs="Times New Roman"/>
          <w:bCs/>
          <w:szCs w:val="24"/>
          <w:lang w:eastAsia="en-AU"/>
        </w:rPr>
        <w:t>.</w:t>
      </w:r>
    </w:p>
    <w:p w14:paraId="198C33EA" w14:textId="2B57E91D" w:rsidR="00FE4E2B" w:rsidRDefault="00FE4E2B" w:rsidP="00FE4E2B">
      <w:r>
        <w:rPr>
          <w:szCs w:val="24"/>
        </w:rPr>
        <w:t xml:space="preserve">ARPANSA has signed </w:t>
      </w:r>
      <w:r>
        <w:t xml:space="preserve">MOUs with other regulatory agencies, such as Comcare. </w:t>
      </w:r>
      <w:r w:rsidRPr="003B1AC5">
        <w:rPr>
          <w:szCs w:val="24"/>
        </w:rPr>
        <w:t>ARPANSA</w:t>
      </w:r>
      <w:r>
        <w:rPr>
          <w:szCs w:val="24"/>
        </w:rPr>
        <w:t xml:space="preserve"> has been working closely with </w:t>
      </w:r>
      <w:r>
        <w:t xml:space="preserve">Comcare in this </w:t>
      </w:r>
      <w:r w:rsidR="003718D6">
        <w:t xml:space="preserve">reporting </w:t>
      </w:r>
      <w:r>
        <w:t xml:space="preserve">period including joint inspections or site visits, meetings and close co-operation on the outcomes of reported incidents/accidents. This is a benefit to licence holders as there is a single clear message from both regulators without duplication of effort, while maintaining the independence of the regulators. </w:t>
      </w:r>
    </w:p>
    <w:p w14:paraId="2CDE3418" w14:textId="632522C9" w:rsidR="00B0073E" w:rsidRDefault="00B0073E" w:rsidP="00B0073E">
      <w:r w:rsidRPr="006D2B43">
        <w:t xml:space="preserve">ARPANSA </w:t>
      </w:r>
      <w:r w:rsidR="00EA725F">
        <w:t>has</w:t>
      </w:r>
      <w:r w:rsidR="00FE4E2B">
        <w:t xml:space="preserve"> a broad range of skills and experience </w:t>
      </w:r>
      <w:r>
        <w:t>within the regulatory branch</w:t>
      </w:r>
      <w:r w:rsidRPr="1919877C">
        <w:t xml:space="preserve">. </w:t>
      </w:r>
      <w:r w:rsidR="00EA725F">
        <w:t>F</w:t>
      </w:r>
      <w:r w:rsidR="00FE4E2B">
        <w:t>urther</w:t>
      </w:r>
      <w:r>
        <w:t xml:space="preserve"> assistance from the other parts of ARPANSA</w:t>
      </w:r>
      <w:r w:rsidR="1919877C">
        <w:t>,</w:t>
      </w:r>
      <w:r>
        <w:t xml:space="preserve"> and </w:t>
      </w:r>
      <w:r w:rsidR="00FE4E2B">
        <w:t>external contactors</w:t>
      </w:r>
      <w:r w:rsidR="1919877C">
        <w:t>,</w:t>
      </w:r>
      <w:r w:rsidR="00FE4E2B">
        <w:t xml:space="preserve"> is available and was used this reporting period</w:t>
      </w:r>
      <w:r w:rsidRPr="1919877C">
        <w:t>.</w:t>
      </w:r>
      <w:r w:rsidR="00EA725F">
        <w:t xml:space="preserve"> A </w:t>
      </w:r>
      <w:r>
        <w:t xml:space="preserve">strategic </w:t>
      </w:r>
      <w:r w:rsidR="00FE4E2B">
        <w:t>approach</w:t>
      </w:r>
      <w:r>
        <w:t xml:space="preserve"> to </w:t>
      </w:r>
      <w:r w:rsidR="00C80BD3">
        <w:t>training</w:t>
      </w:r>
      <w:r w:rsidR="00FE4E2B">
        <w:t xml:space="preserve"> such as </w:t>
      </w:r>
      <w:r>
        <w:t>skills matrix</w:t>
      </w:r>
      <w:r w:rsidR="00FE4E2B" w:rsidRPr="1919877C">
        <w:t>,</w:t>
      </w:r>
      <w:r>
        <w:t xml:space="preserve"> or </w:t>
      </w:r>
      <w:r w:rsidR="00FE4E2B">
        <w:t xml:space="preserve">job specific </w:t>
      </w:r>
      <w:r>
        <w:t xml:space="preserve">training requirements </w:t>
      </w:r>
      <w:r w:rsidR="00C80BD3">
        <w:t xml:space="preserve">beyond inspection competence were not evident </w:t>
      </w:r>
      <w:r>
        <w:t>at the branch level. Training generally occurs ‘on the job’</w:t>
      </w:r>
      <w:r w:rsidR="00FE4E2B">
        <w:t xml:space="preserve"> and through attendance at technical meetings or workshops, as well as a small amount of formal training</w:t>
      </w:r>
      <w:r>
        <w:t xml:space="preserve">. The formal sign-off of competencies </w:t>
      </w:r>
      <w:r w:rsidR="00FE4E2B">
        <w:t xml:space="preserve">for new inspectors, </w:t>
      </w:r>
      <w:r>
        <w:t>through the Qualcard modules</w:t>
      </w:r>
      <w:r w:rsidR="00C80BD3" w:rsidRPr="1919877C">
        <w:t>,</w:t>
      </w:r>
      <w:r w:rsidRPr="1919877C">
        <w:t xml:space="preserve"> </w:t>
      </w:r>
      <w:r w:rsidR="00FE4E2B">
        <w:t xml:space="preserve">has been developed but has not yet been formally </w:t>
      </w:r>
      <w:r w:rsidR="00C80BD3">
        <w:t>adopted within the quality framework</w:t>
      </w:r>
      <w:r w:rsidRPr="1919877C">
        <w:t xml:space="preserve">. </w:t>
      </w:r>
    </w:p>
    <w:p w14:paraId="0618793E" w14:textId="77777777" w:rsidR="00F5034B" w:rsidRDefault="00F5034B" w:rsidP="00F5034B">
      <w:pPr>
        <w:pStyle w:val="Heading3"/>
      </w:pPr>
      <w:r>
        <w:t>Identified opportunities for improvement</w:t>
      </w:r>
    </w:p>
    <w:p w14:paraId="583A3835" w14:textId="77777777" w:rsidR="000C7998" w:rsidRDefault="000C7998" w:rsidP="000C7998">
      <w:pPr>
        <w:pStyle w:val="Heading4"/>
      </w:pPr>
      <w:r>
        <w:t>Data management</w:t>
      </w:r>
    </w:p>
    <w:p w14:paraId="4C8B2DCF" w14:textId="11424FDD" w:rsidR="000C7998" w:rsidRPr="003D31AF" w:rsidRDefault="000C7998" w:rsidP="000C7998">
      <w:pPr>
        <w:spacing w:before="0"/>
        <w:rPr>
          <w:rFonts w:cs="Arial"/>
          <w:szCs w:val="24"/>
        </w:rPr>
      </w:pPr>
      <w:r>
        <w:rPr>
          <w:rFonts w:cs="Arial"/>
          <w:szCs w:val="24"/>
        </w:rPr>
        <w:t xml:space="preserve">As identified under KPI1, </w:t>
      </w:r>
      <w:r w:rsidR="00281E4A">
        <w:rPr>
          <w:rFonts w:cs="Arial"/>
          <w:szCs w:val="24"/>
        </w:rPr>
        <w:t>d</w:t>
      </w:r>
      <w:r w:rsidRPr="003D31AF">
        <w:rPr>
          <w:rFonts w:cs="Arial"/>
          <w:szCs w:val="24"/>
        </w:rPr>
        <w:t>ata</w:t>
      </w:r>
      <w:r>
        <w:rPr>
          <w:rFonts w:cs="Arial"/>
          <w:szCs w:val="24"/>
        </w:rPr>
        <w:t xml:space="preserve"> are fragmented across different sources and </w:t>
      </w:r>
      <w:r w:rsidRPr="003D31AF">
        <w:rPr>
          <w:rFonts w:cs="Arial"/>
          <w:szCs w:val="24"/>
        </w:rPr>
        <w:t>management tools</w:t>
      </w:r>
      <w:r>
        <w:rPr>
          <w:rFonts w:cs="Arial"/>
          <w:szCs w:val="24"/>
        </w:rPr>
        <w:t>.</w:t>
      </w:r>
      <w:r w:rsidRPr="003D31AF">
        <w:rPr>
          <w:rFonts w:cs="Arial"/>
          <w:szCs w:val="24"/>
        </w:rPr>
        <w:t xml:space="preserve"> </w:t>
      </w:r>
      <w:r>
        <w:rPr>
          <w:rFonts w:cs="Arial"/>
          <w:szCs w:val="24"/>
        </w:rPr>
        <w:t>It is recommended that the project to replace the platforms and systems</w:t>
      </w:r>
      <w:r w:rsidR="00281E4A">
        <w:rPr>
          <w:rFonts w:cs="Arial"/>
          <w:szCs w:val="24"/>
        </w:rPr>
        <w:t xml:space="preserve"> and</w:t>
      </w:r>
      <w:r>
        <w:rPr>
          <w:rFonts w:cs="Arial"/>
          <w:szCs w:val="24"/>
        </w:rPr>
        <w:t xml:space="preserve"> to address these issues be appropriately prioritised.</w:t>
      </w:r>
    </w:p>
    <w:p w14:paraId="0B7C46DE" w14:textId="5A65DE25" w:rsidR="000C7998" w:rsidRDefault="007F6900" w:rsidP="000C7998">
      <w:pPr>
        <w:pStyle w:val="Heading4"/>
      </w:pPr>
      <w:r>
        <w:t>Training and c</w:t>
      </w:r>
      <w:r w:rsidR="000C7998">
        <w:t>ompetence</w:t>
      </w:r>
    </w:p>
    <w:p w14:paraId="39B77316" w14:textId="0592FFF7" w:rsidR="000C7998" w:rsidRPr="003D31AF" w:rsidRDefault="00FE4E2B" w:rsidP="000C7998">
      <w:pPr>
        <w:spacing w:before="0"/>
        <w:rPr>
          <w:rFonts w:cs="Arial"/>
          <w:szCs w:val="24"/>
        </w:rPr>
      </w:pPr>
      <w:r>
        <w:rPr>
          <w:rFonts w:cs="Arial"/>
          <w:szCs w:val="24"/>
        </w:rPr>
        <w:t xml:space="preserve">A formal training and qualification program, such as through ISO17020, </w:t>
      </w:r>
      <w:r w:rsidR="00462964">
        <w:rPr>
          <w:rFonts w:cs="Arial"/>
          <w:szCs w:val="24"/>
        </w:rPr>
        <w:t xml:space="preserve">may assist in the identification of any </w:t>
      </w:r>
      <w:r w:rsidR="00C80BD3">
        <w:rPr>
          <w:rFonts w:cs="Arial"/>
          <w:szCs w:val="24"/>
        </w:rPr>
        <w:t xml:space="preserve">current or future </w:t>
      </w:r>
      <w:r w:rsidR="00462964">
        <w:rPr>
          <w:rFonts w:cs="Arial"/>
          <w:szCs w:val="24"/>
        </w:rPr>
        <w:t>gaps</w:t>
      </w:r>
      <w:r w:rsidR="00C80BD3">
        <w:rPr>
          <w:rFonts w:cs="Arial"/>
          <w:szCs w:val="24"/>
        </w:rPr>
        <w:t xml:space="preserve">. These </w:t>
      </w:r>
      <w:r w:rsidR="00462964">
        <w:rPr>
          <w:rFonts w:cs="Arial"/>
          <w:szCs w:val="24"/>
        </w:rPr>
        <w:t xml:space="preserve">could </w:t>
      </w:r>
      <w:r w:rsidR="00C80BD3">
        <w:rPr>
          <w:rFonts w:cs="Arial"/>
          <w:szCs w:val="24"/>
        </w:rPr>
        <w:t xml:space="preserve">then </w:t>
      </w:r>
      <w:r w:rsidR="00462964">
        <w:rPr>
          <w:rFonts w:cs="Arial"/>
          <w:szCs w:val="24"/>
        </w:rPr>
        <w:t>be addressed</w:t>
      </w:r>
      <w:r w:rsidR="007D3E21">
        <w:rPr>
          <w:rFonts w:cs="Arial"/>
          <w:szCs w:val="24"/>
        </w:rPr>
        <w:t>, for example,</w:t>
      </w:r>
      <w:r w:rsidR="00462964">
        <w:rPr>
          <w:rFonts w:cs="Arial"/>
          <w:szCs w:val="24"/>
        </w:rPr>
        <w:t xml:space="preserve"> through the utilisation of formal training programs or secon</w:t>
      </w:r>
      <w:r w:rsidR="00C80BD3">
        <w:rPr>
          <w:rFonts w:cs="Arial"/>
          <w:szCs w:val="24"/>
        </w:rPr>
        <w:t xml:space="preserve">dments to local or international peer </w:t>
      </w:r>
      <w:r w:rsidR="00462964">
        <w:rPr>
          <w:rFonts w:cs="Arial"/>
          <w:szCs w:val="24"/>
        </w:rPr>
        <w:t>organisations.</w:t>
      </w:r>
    </w:p>
    <w:p w14:paraId="4B1F511A" w14:textId="77777777" w:rsidR="00561938" w:rsidRDefault="00561938">
      <w:r>
        <w:br w:type="page"/>
      </w:r>
    </w:p>
    <w:p w14:paraId="008DBE91" w14:textId="275D1997" w:rsidR="00561938" w:rsidRDefault="00561938" w:rsidP="00561938">
      <w:pPr>
        <w:pStyle w:val="Heading2"/>
      </w:pPr>
      <w:bookmarkStart w:id="57" w:name="_Toc12884004"/>
      <w:bookmarkStart w:id="58" w:name="_Toc23846611"/>
      <w:bookmarkStart w:id="59" w:name="_Toc25225270"/>
      <w:r w:rsidRPr="00110D4B">
        <w:lastRenderedPageBreak/>
        <w:t>KPI 5 - Regulators are open and transparent in their dealing</w:t>
      </w:r>
      <w:r>
        <w:t>s</w:t>
      </w:r>
      <w:r w:rsidRPr="00110D4B">
        <w:t xml:space="preserve"> with regulated entities</w:t>
      </w:r>
      <w:bookmarkEnd w:id="57"/>
      <w:bookmarkEnd w:id="58"/>
      <w:bookmarkEnd w:id="59"/>
    </w:p>
    <w:p w14:paraId="619B255F" w14:textId="3AEEC695" w:rsidR="00B15317" w:rsidRPr="00E43A04" w:rsidRDefault="00B15317" w:rsidP="00B15317">
      <w:pPr>
        <w:autoSpaceDE w:val="0"/>
        <w:autoSpaceDN w:val="0"/>
        <w:adjustRightInd w:val="0"/>
        <w:spacing w:after="120"/>
        <w:rPr>
          <w:rFonts w:cs="Times New Roman"/>
          <w:bCs/>
          <w:szCs w:val="24"/>
          <w:lang w:eastAsia="en-AU"/>
        </w:rPr>
      </w:pPr>
      <w:r w:rsidRPr="00E43A04">
        <w:rPr>
          <w:rFonts w:cs="Times New Roman"/>
          <w:bCs/>
          <w:szCs w:val="24"/>
          <w:lang w:eastAsia="en-AU"/>
        </w:rPr>
        <w:t xml:space="preserve">ARPANSA has endeavoured to </w:t>
      </w:r>
      <w:r>
        <w:rPr>
          <w:rFonts w:cs="Times New Roman"/>
          <w:bCs/>
          <w:szCs w:val="24"/>
          <w:lang w:eastAsia="en-AU"/>
        </w:rPr>
        <w:t>be</w:t>
      </w:r>
      <w:r w:rsidRPr="00E43A04">
        <w:rPr>
          <w:rFonts w:cs="Times New Roman"/>
          <w:bCs/>
          <w:szCs w:val="24"/>
          <w:lang w:eastAsia="en-AU"/>
        </w:rPr>
        <w:t xml:space="preserve"> open and transparent in its approach to regulation and regulatory outcomes. This is important to promote consistent high standards of regulation</w:t>
      </w:r>
      <w:r>
        <w:rPr>
          <w:rFonts w:cs="Times New Roman"/>
          <w:bCs/>
          <w:szCs w:val="24"/>
          <w:lang w:eastAsia="en-AU"/>
        </w:rPr>
        <w:t>,</w:t>
      </w:r>
      <w:r w:rsidRPr="00E43A04">
        <w:rPr>
          <w:rFonts w:cs="Times New Roman"/>
          <w:bCs/>
          <w:szCs w:val="24"/>
          <w:lang w:eastAsia="en-AU"/>
        </w:rPr>
        <w:t xml:space="preserve"> and to </w:t>
      </w:r>
      <w:r>
        <w:t>build and maintain an honest and respectful dialogue</w:t>
      </w:r>
      <w:r w:rsidRPr="00E43A04">
        <w:rPr>
          <w:rFonts w:cs="Times New Roman"/>
          <w:bCs/>
          <w:szCs w:val="24"/>
          <w:lang w:eastAsia="en-AU"/>
        </w:rPr>
        <w:t xml:space="preserve"> with a</w:t>
      </w:r>
      <w:r>
        <w:rPr>
          <w:rFonts w:cs="Times New Roman"/>
          <w:bCs/>
          <w:szCs w:val="24"/>
          <w:lang w:eastAsia="en-AU"/>
        </w:rPr>
        <w:t>ll</w:t>
      </w:r>
      <w:r w:rsidRPr="00E43A04">
        <w:rPr>
          <w:rFonts w:cs="Times New Roman"/>
          <w:bCs/>
          <w:szCs w:val="24"/>
          <w:lang w:eastAsia="en-AU"/>
        </w:rPr>
        <w:t xml:space="preserve"> licence holder</w:t>
      </w:r>
      <w:r>
        <w:rPr>
          <w:rFonts w:cs="Times New Roman"/>
          <w:bCs/>
          <w:szCs w:val="24"/>
          <w:lang w:eastAsia="en-AU"/>
        </w:rPr>
        <w:t>s</w:t>
      </w:r>
      <w:r w:rsidRPr="00E43A04">
        <w:rPr>
          <w:rFonts w:cs="Times New Roman"/>
          <w:bCs/>
          <w:szCs w:val="24"/>
          <w:lang w:eastAsia="en-AU"/>
        </w:rPr>
        <w:t xml:space="preserve">. </w:t>
      </w:r>
    </w:p>
    <w:p w14:paraId="17F5A314" w14:textId="6696D3ED" w:rsidR="00B15317" w:rsidRPr="00692518" w:rsidRDefault="00B15317" w:rsidP="00692518">
      <w:pPr>
        <w:autoSpaceDE w:val="0"/>
        <w:autoSpaceDN w:val="0"/>
        <w:adjustRightInd w:val="0"/>
        <w:spacing w:after="120"/>
        <w:rPr>
          <w:rFonts w:cs="Times New Roman"/>
          <w:lang w:eastAsia="en-AU"/>
        </w:rPr>
      </w:pPr>
      <w:r w:rsidRPr="00692518">
        <w:rPr>
          <w:rFonts w:cs="Times New Roman"/>
          <w:bCs/>
          <w:szCs w:val="24"/>
          <w:lang w:eastAsia="en-AU"/>
        </w:rPr>
        <w:t>ARPANSA has published a range of information on its website describing how it implements a risk-informed approach to regulation. Information includes how to apply for a licence, inspection approaches, the promotion of international best practice</w:t>
      </w:r>
      <w:r w:rsidR="002E0211">
        <w:rPr>
          <w:rFonts w:cs="Times New Roman"/>
          <w:bCs/>
          <w:szCs w:val="24"/>
          <w:lang w:eastAsia="en-AU"/>
        </w:rPr>
        <w:t xml:space="preserve"> and</w:t>
      </w:r>
      <w:r w:rsidRPr="00692518">
        <w:rPr>
          <w:rFonts w:cs="Times New Roman"/>
          <w:bCs/>
          <w:szCs w:val="24"/>
          <w:lang w:eastAsia="en-AU"/>
        </w:rPr>
        <w:t xml:space="preserve"> outcomes of reviews and inspection programs. ARPANSA publishes its </w:t>
      </w:r>
      <w:hyperlink r:id="rId44" w:history="1">
        <w:r w:rsidRPr="00656FA3">
          <w:rPr>
            <w:rStyle w:val="Hyperlink"/>
            <w:rFonts w:cs="Times New Roman"/>
            <w:lang w:eastAsia="en-AU"/>
          </w:rPr>
          <w:t>inspection reports</w:t>
        </w:r>
      </w:hyperlink>
      <w:r w:rsidRPr="00692518">
        <w:rPr>
          <w:rFonts w:cs="Times New Roman"/>
          <w:bCs/>
          <w:szCs w:val="24"/>
          <w:lang w:eastAsia="en-AU"/>
        </w:rPr>
        <w:t>, except w</w:t>
      </w:r>
      <w:r w:rsidR="10D6EBE1" w:rsidRPr="00692518">
        <w:rPr>
          <w:rFonts w:cs="Times New Roman"/>
          <w:bCs/>
          <w:szCs w:val="24"/>
          <w:lang w:eastAsia="en-AU"/>
        </w:rPr>
        <w:t>h</w:t>
      </w:r>
      <w:r w:rsidRPr="00692518">
        <w:rPr>
          <w:rFonts w:cs="Times New Roman"/>
          <w:bCs/>
          <w:szCs w:val="24"/>
          <w:lang w:eastAsia="en-AU"/>
        </w:rPr>
        <w:t xml:space="preserve">ere they are redacted or withheld for security reasons. </w:t>
      </w:r>
    </w:p>
    <w:p w14:paraId="024CB884" w14:textId="6060FF56" w:rsidR="00726CEF" w:rsidRDefault="00B15317" w:rsidP="00B15317">
      <w:pPr>
        <w:autoSpaceDE w:val="0"/>
        <w:autoSpaceDN w:val="0"/>
        <w:adjustRightInd w:val="0"/>
        <w:spacing w:after="120"/>
        <w:rPr>
          <w:rFonts w:cs="Times New Roman"/>
          <w:bCs/>
          <w:szCs w:val="24"/>
          <w:lang w:eastAsia="en-AU"/>
        </w:rPr>
      </w:pPr>
      <w:r w:rsidRPr="00DC4D3D">
        <w:rPr>
          <w:rFonts w:cs="Times New Roman"/>
          <w:bCs/>
          <w:szCs w:val="24"/>
          <w:lang w:eastAsia="en-AU"/>
        </w:rPr>
        <w:t>As discussed in previous sections, ARPANSA publishes guides, codes and standards on a range of regulatory topics that describes how ARPANSA carries out its regulatory business and sets</w:t>
      </w:r>
      <w:r>
        <w:rPr>
          <w:rFonts w:cs="Times New Roman"/>
          <w:bCs/>
          <w:szCs w:val="24"/>
          <w:lang w:eastAsia="en-AU"/>
        </w:rPr>
        <w:t xml:space="preserve"> out expectations for </w:t>
      </w:r>
      <w:r w:rsidRPr="00DC4D3D">
        <w:rPr>
          <w:rFonts w:cs="Times New Roman"/>
          <w:bCs/>
          <w:szCs w:val="24"/>
          <w:lang w:eastAsia="en-AU"/>
        </w:rPr>
        <w:t>licence holder</w:t>
      </w:r>
      <w:r>
        <w:rPr>
          <w:rFonts w:cs="Times New Roman"/>
          <w:bCs/>
          <w:szCs w:val="24"/>
          <w:lang w:eastAsia="en-AU"/>
        </w:rPr>
        <w:t>s</w:t>
      </w:r>
      <w:r w:rsidRPr="00DC4D3D">
        <w:rPr>
          <w:rFonts w:cs="Times New Roman"/>
          <w:bCs/>
          <w:szCs w:val="24"/>
          <w:lang w:eastAsia="en-AU"/>
        </w:rPr>
        <w:t xml:space="preserve"> with respect to safety and security of sources and facilities. These guides, codes and standards </w:t>
      </w:r>
      <w:r>
        <w:rPr>
          <w:rFonts w:cs="Times New Roman"/>
          <w:bCs/>
          <w:szCs w:val="24"/>
          <w:lang w:eastAsia="en-AU"/>
        </w:rPr>
        <w:t xml:space="preserve">aim to </w:t>
      </w:r>
      <w:r w:rsidRPr="00DC4D3D">
        <w:rPr>
          <w:rFonts w:cs="Times New Roman"/>
          <w:bCs/>
          <w:szCs w:val="24"/>
          <w:lang w:eastAsia="en-AU"/>
        </w:rPr>
        <w:t>reflect international best practice. Consultation with licence holders on the development of such documents improves transparency in regulation.</w:t>
      </w:r>
    </w:p>
    <w:p w14:paraId="04306362" w14:textId="77777777" w:rsidR="00726CEF" w:rsidRDefault="00726CEF">
      <w:pPr>
        <w:rPr>
          <w:rFonts w:cs="Times New Roman"/>
          <w:bCs/>
          <w:szCs w:val="24"/>
          <w:lang w:eastAsia="en-AU"/>
        </w:rPr>
      </w:pPr>
      <w:r>
        <w:rPr>
          <w:rFonts w:cs="Times New Roman"/>
          <w:bCs/>
          <w:szCs w:val="24"/>
          <w:lang w:eastAsia="en-AU"/>
        </w:rPr>
        <w:br w:type="page"/>
      </w:r>
    </w:p>
    <w:tbl>
      <w:tblPr>
        <w:tblStyle w:val="GenericARPANSA4"/>
        <w:tblW w:w="5046" w:type="pct"/>
        <w:tblLayout w:type="fixed"/>
        <w:tblLook w:val="06A0" w:firstRow="1" w:lastRow="0" w:firstColumn="1" w:lastColumn="0" w:noHBand="1" w:noVBand="1"/>
        <w:tblDescription w:val="This table contains 2 heading columns, 1. KPIs/Measures/Metrics, 2. Evidence (Performance in  2016-17). Column 2 includes a self-assessed rating against KPI 5."/>
      </w:tblPr>
      <w:tblGrid>
        <w:gridCol w:w="4858"/>
        <w:gridCol w:w="4859"/>
      </w:tblGrid>
      <w:tr w:rsidR="00561938" w:rsidRPr="00482B19" w14:paraId="23BBB1FF" w14:textId="77777777" w:rsidTr="00482B19">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00" w:type="pct"/>
          </w:tcPr>
          <w:p w14:paraId="49574AE2" w14:textId="2A829104" w:rsidR="003B4D69" w:rsidRPr="00482B19" w:rsidRDefault="003B4D69" w:rsidP="00482B19">
            <w:pPr>
              <w:pStyle w:val="Heading3"/>
              <w:jc w:val="left"/>
              <w:outlineLvl w:val="2"/>
              <w:rPr>
                <w:b/>
                <w:i w:val="0"/>
                <w:color w:val="FFFFFF" w:themeColor="background1"/>
                <w:sz w:val="22"/>
              </w:rPr>
            </w:pPr>
            <w:r w:rsidRPr="00482B19">
              <w:rPr>
                <w:b/>
                <w:i w:val="0"/>
                <w:color w:val="FFFFFF" w:themeColor="background1"/>
                <w:sz w:val="22"/>
              </w:rPr>
              <w:lastRenderedPageBreak/>
              <w:t>Measures/</w:t>
            </w:r>
            <w:r w:rsidR="008B47DE">
              <w:rPr>
                <w:b/>
                <w:i w:val="0"/>
                <w:color w:val="FFFFFF" w:themeColor="background1"/>
                <w:sz w:val="22"/>
              </w:rPr>
              <w:t>m</w:t>
            </w:r>
            <w:r w:rsidRPr="00482B19">
              <w:rPr>
                <w:b/>
                <w:i w:val="0"/>
                <w:color w:val="FFFFFF" w:themeColor="background1"/>
                <w:sz w:val="22"/>
              </w:rPr>
              <w:t>etrics</w:t>
            </w:r>
          </w:p>
        </w:tc>
        <w:tc>
          <w:tcPr>
            <w:tcW w:w="2500" w:type="pct"/>
          </w:tcPr>
          <w:p w14:paraId="50D02928" w14:textId="60AF4529" w:rsidR="003B4D69" w:rsidRPr="00482B19" w:rsidRDefault="003B4D69" w:rsidP="008B47DE">
            <w:pPr>
              <w:pStyle w:val="Heading3"/>
              <w:jc w:val="left"/>
              <w:outlineLvl w:val="2"/>
              <w:cnfStyle w:val="100000000000" w:firstRow="1" w:lastRow="0" w:firstColumn="0" w:lastColumn="0" w:oddVBand="0" w:evenVBand="0" w:oddHBand="0" w:evenHBand="0" w:firstRowFirstColumn="0" w:firstRowLastColumn="0" w:lastRowFirstColumn="0" w:lastRowLastColumn="0"/>
              <w:rPr>
                <w:b/>
                <w:i w:val="0"/>
                <w:color w:val="FFFFFF" w:themeColor="background1"/>
                <w:sz w:val="22"/>
              </w:rPr>
            </w:pPr>
            <w:r w:rsidRPr="00482B19">
              <w:rPr>
                <w:b/>
                <w:i w:val="0"/>
                <w:color w:val="FFFFFF" w:themeColor="background1"/>
                <w:sz w:val="22"/>
              </w:rPr>
              <w:t>Evidence (</w:t>
            </w:r>
            <w:r w:rsidR="008B47DE">
              <w:rPr>
                <w:b/>
                <w:i w:val="0"/>
                <w:color w:val="FFFFFF" w:themeColor="background1"/>
                <w:sz w:val="22"/>
              </w:rPr>
              <w:t>p</w:t>
            </w:r>
            <w:r w:rsidRPr="00482B19">
              <w:rPr>
                <w:b/>
                <w:i w:val="0"/>
                <w:color w:val="FFFFFF" w:themeColor="background1"/>
                <w:sz w:val="22"/>
              </w:rPr>
              <w:t>erformance in 201</w:t>
            </w:r>
            <w:r w:rsidR="00B47516" w:rsidRPr="00482B19">
              <w:rPr>
                <w:b/>
                <w:i w:val="0"/>
                <w:color w:val="FFFFFF" w:themeColor="background1"/>
                <w:sz w:val="22"/>
              </w:rPr>
              <w:t>8</w:t>
            </w:r>
            <w:r w:rsidR="008B47DE">
              <w:rPr>
                <w:b/>
                <w:i w:val="0"/>
                <w:color w:val="FFFFFF" w:themeColor="background1"/>
                <w:sz w:val="22"/>
              </w:rPr>
              <w:t>–</w:t>
            </w:r>
            <w:r w:rsidRPr="00482B19">
              <w:rPr>
                <w:b/>
                <w:i w:val="0"/>
                <w:color w:val="FFFFFF" w:themeColor="background1"/>
                <w:sz w:val="22"/>
              </w:rPr>
              <w:t>1</w:t>
            </w:r>
            <w:r w:rsidR="00B47516" w:rsidRPr="00482B19">
              <w:rPr>
                <w:b/>
                <w:i w:val="0"/>
                <w:color w:val="FFFFFF" w:themeColor="background1"/>
                <w:sz w:val="22"/>
              </w:rPr>
              <w:t>9</w:t>
            </w:r>
            <w:r w:rsidRPr="00482B19">
              <w:rPr>
                <w:b/>
                <w:i w:val="0"/>
                <w:color w:val="FFFFFF" w:themeColor="background1"/>
                <w:sz w:val="22"/>
              </w:rPr>
              <w:t>)</w:t>
            </w:r>
          </w:p>
        </w:tc>
      </w:tr>
      <w:tr w:rsidR="003B4D69" w:rsidRPr="00482B19" w14:paraId="5023141B" w14:textId="77777777" w:rsidTr="00482B19">
        <w:trPr>
          <w:cantSplit/>
          <w:trHeight w:val="2242"/>
        </w:trPr>
        <w:tc>
          <w:tcPr>
            <w:cnfStyle w:val="001000000000" w:firstRow="0" w:lastRow="0" w:firstColumn="1" w:lastColumn="0" w:oddVBand="0" w:evenVBand="0" w:oddHBand="0" w:evenHBand="0" w:firstRowFirstColumn="0" w:firstRowLastColumn="0" w:lastRowFirstColumn="0" w:lastRowLastColumn="0"/>
            <w:tcW w:w="2500" w:type="pct"/>
            <w:vAlign w:val="top"/>
          </w:tcPr>
          <w:p w14:paraId="621DED59" w14:textId="10B82729" w:rsidR="003B4D69" w:rsidRPr="00482B19" w:rsidRDefault="00B47516" w:rsidP="00482B19">
            <w:pPr>
              <w:pStyle w:val="Tabletext"/>
              <w:jc w:val="left"/>
            </w:pPr>
            <w:r w:rsidRPr="00482B19">
              <w:t xml:space="preserve">PI </w:t>
            </w:r>
            <w:r w:rsidR="6F9414C3" w:rsidRPr="00482B19">
              <w:t>5.1 ARPANSA’s risk framework, the basis for regulatory decisions, and the outcomes of compliance monitoring are published on the web.</w:t>
            </w:r>
          </w:p>
          <w:p w14:paraId="5695BFC5" w14:textId="14192F67" w:rsidR="003B4D69" w:rsidRPr="00482B19" w:rsidRDefault="6F9414C3" w:rsidP="00427228">
            <w:pPr>
              <w:pStyle w:val="Tabletext"/>
              <w:spacing w:before="120"/>
              <w:jc w:val="left"/>
              <w:rPr>
                <w:b w:val="0"/>
              </w:rPr>
            </w:pPr>
            <w:r w:rsidRPr="00482B19">
              <w:rPr>
                <w:b w:val="0"/>
              </w:rPr>
              <w:t>To provide confidence to regulated entities and the wider community, ARPANSA publishes a range of reports and information on how it goes about its business. This information includes, whenever possible, the prompt publication of inspection reports and the ‘statement of reasons’ for any significant licensing decisions. Information relating to ARPANSA’s approach to risk and many of the processes used to manage the regulatory business are also published. These communication practices are part of ARPANSA’s no-surprise, evidence</w:t>
            </w:r>
            <w:r w:rsidR="005702ED" w:rsidRPr="00482B19">
              <w:rPr>
                <w:b w:val="0"/>
              </w:rPr>
              <w:t>-</w:t>
            </w:r>
            <w:r w:rsidRPr="00482B19">
              <w:rPr>
                <w:b w:val="0"/>
              </w:rPr>
              <w:t>based approach to regulation that provide</w:t>
            </w:r>
            <w:r w:rsidR="005702ED" w:rsidRPr="00482B19">
              <w:rPr>
                <w:b w:val="0"/>
              </w:rPr>
              <w:t>s</w:t>
            </w:r>
            <w:r w:rsidRPr="00482B19">
              <w:rPr>
                <w:b w:val="0"/>
              </w:rPr>
              <w:t xml:space="preserve"> trust from licen</w:t>
            </w:r>
            <w:r w:rsidR="005702ED" w:rsidRPr="00482B19">
              <w:rPr>
                <w:b w:val="0"/>
              </w:rPr>
              <w:t>s</w:t>
            </w:r>
            <w:r w:rsidRPr="00482B19">
              <w:rPr>
                <w:b w:val="0"/>
              </w:rPr>
              <w:t>ed entities and the wider community.</w:t>
            </w:r>
          </w:p>
          <w:p w14:paraId="1F3B1409" w14:textId="71FB2783" w:rsidR="003B4D69" w:rsidRPr="00427228" w:rsidRDefault="6F9414C3" w:rsidP="00482B19">
            <w:pPr>
              <w:pStyle w:val="Tabletext"/>
              <w:jc w:val="left"/>
              <w:rPr>
                <w:b w:val="0"/>
              </w:rPr>
            </w:pPr>
            <w:r w:rsidRPr="00482B19">
              <w:rPr>
                <w:b w:val="0"/>
              </w:rPr>
              <w:t>Appropriate feedback from a range of interested parties requires transparency in the regulatory decision framework and decision making. ARPANSA will use its website as the primary mechanism to improve transparency [Qualitative].</w:t>
            </w:r>
          </w:p>
        </w:tc>
        <w:tc>
          <w:tcPr>
            <w:tcW w:w="2500" w:type="pct"/>
            <w:vAlign w:val="top"/>
          </w:tcPr>
          <w:p w14:paraId="402A2F44" w14:textId="3EFD21B7" w:rsidR="008C2100" w:rsidRPr="00482B19" w:rsidRDefault="009E3FCA" w:rsidP="00482B19">
            <w:pPr>
              <w:pStyle w:val="Tabletext"/>
              <w:jc w:val="left"/>
              <w:cnfStyle w:val="000000000000" w:firstRow="0" w:lastRow="0" w:firstColumn="0" w:lastColumn="0" w:oddVBand="0" w:evenVBand="0" w:oddHBand="0" w:evenHBand="0" w:firstRowFirstColumn="0" w:firstRowLastColumn="0" w:lastRowFirstColumn="0" w:lastRowLastColumn="0"/>
              <w:rPr>
                <w:b/>
              </w:rPr>
            </w:pPr>
            <w:r w:rsidRPr="00482B19">
              <w:rPr>
                <w:b/>
              </w:rPr>
              <w:t xml:space="preserve">Target </w:t>
            </w:r>
            <w:r w:rsidR="008B47DE">
              <w:rPr>
                <w:b/>
              </w:rPr>
              <w:t>m</w:t>
            </w:r>
            <w:r w:rsidR="008B47DE" w:rsidRPr="00482B19">
              <w:rPr>
                <w:b/>
              </w:rPr>
              <w:t>et</w:t>
            </w:r>
          </w:p>
          <w:p w14:paraId="6091E547" w14:textId="27291BCC" w:rsidR="00B47748" w:rsidRPr="00482B19" w:rsidRDefault="00B47748" w:rsidP="00482B19">
            <w:pPr>
              <w:pStyle w:val="Tabletext"/>
              <w:spacing w:before="120"/>
              <w:jc w:val="left"/>
              <w:cnfStyle w:val="000000000000" w:firstRow="0" w:lastRow="0" w:firstColumn="0" w:lastColumn="0" w:oddVBand="0" w:evenVBand="0" w:oddHBand="0" w:evenHBand="0" w:firstRowFirstColumn="0" w:firstRowLastColumn="0" w:lastRowFirstColumn="0" w:lastRowLastColumn="0"/>
            </w:pPr>
            <w:r w:rsidRPr="00482B19">
              <w:rPr>
                <w:rFonts w:ascii="Calibri" w:hAnsi="Calibri"/>
              </w:rPr>
              <w:t xml:space="preserve">A total of 32 inspections </w:t>
            </w:r>
            <w:r w:rsidR="002B03D7" w:rsidRPr="00482B19">
              <w:rPr>
                <w:rFonts w:ascii="Calibri" w:hAnsi="Calibri"/>
              </w:rPr>
              <w:t>were</w:t>
            </w:r>
            <w:r w:rsidRPr="00482B19">
              <w:rPr>
                <w:rFonts w:ascii="Calibri" w:hAnsi="Calibri"/>
              </w:rPr>
              <w:t xml:space="preserve"> posted this FY</w:t>
            </w:r>
            <w:r w:rsidR="0021740F" w:rsidRPr="00482B19">
              <w:rPr>
                <w:rFonts w:ascii="Calibri" w:hAnsi="Calibri"/>
              </w:rPr>
              <w:t>, as of June 2019</w:t>
            </w:r>
            <w:r w:rsidRPr="00482B19">
              <w:rPr>
                <w:rFonts w:ascii="Calibri" w:hAnsi="Calibri"/>
              </w:rPr>
              <w:t>.</w:t>
            </w:r>
          </w:p>
          <w:p w14:paraId="08DB24CF" w14:textId="035A05E4" w:rsidR="008C2100" w:rsidRPr="00482B19" w:rsidRDefault="00B47748" w:rsidP="00482B19">
            <w:pPr>
              <w:pStyle w:val="Tabletext"/>
              <w:jc w:val="left"/>
              <w:cnfStyle w:val="000000000000" w:firstRow="0" w:lastRow="0" w:firstColumn="0" w:lastColumn="0" w:oddVBand="0" w:evenVBand="0" w:oddHBand="0" w:evenHBand="0" w:firstRowFirstColumn="0" w:firstRowLastColumn="0" w:lastRowFirstColumn="0" w:lastRowLastColumn="0"/>
            </w:pPr>
            <w:r w:rsidRPr="00482B19">
              <w:rPr>
                <w:rFonts w:ascii="Calibri" w:hAnsi="Calibri"/>
              </w:rPr>
              <w:t>Information is maintained on the website including updates to webpages and reporting on compliance.</w:t>
            </w:r>
            <w:r w:rsidR="0021740F" w:rsidRPr="00482B19">
              <w:t xml:space="preserve"> </w:t>
            </w:r>
            <w:r w:rsidR="008C2100" w:rsidRPr="00482B19">
              <w:t>Publications in this period include:</w:t>
            </w:r>
          </w:p>
          <w:p w14:paraId="165C979D" w14:textId="100351EF" w:rsidR="008C2100" w:rsidRPr="00482B19" w:rsidRDefault="008C2100" w:rsidP="00482B19">
            <w:pPr>
              <w:pStyle w:val="Tabletext"/>
              <w:numPr>
                <w:ilvl w:val="0"/>
                <w:numId w:val="23"/>
              </w:numPr>
              <w:jc w:val="left"/>
              <w:cnfStyle w:val="000000000000" w:firstRow="0" w:lastRow="0" w:firstColumn="0" w:lastColumn="0" w:oddVBand="0" w:evenVBand="0" w:oddHBand="0" w:evenHBand="0" w:firstRowFirstColumn="0" w:firstRowLastColumn="0" w:lastRowFirstColumn="0" w:lastRowLastColumn="0"/>
            </w:pPr>
            <w:r w:rsidRPr="00482B19">
              <w:t>Statement of Reasons for ANM</w:t>
            </w:r>
            <w:r w:rsidR="00950814">
              <w:t xml:space="preserve"> which</w:t>
            </w:r>
            <w:r w:rsidRPr="00482B19">
              <w:t xml:space="preserve"> were published for the </w:t>
            </w:r>
            <w:hyperlink r:id="rId45" w:history="1">
              <w:r w:rsidRPr="00482B19">
                <w:rPr>
                  <w:rStyle w:val="Hyperlink"/>
                </w:rPr>
                <w:t>limited operation</w:t>
              </w:r>
            </w:hyperlink>
            <w:r w:rsidRPr="00482B19">
              <w:t xml:space="preserve"> (commissioning), </w:t>
            </w:r>
            <w:hyperlink r:id="rId46" w:history="1">
              <w:r w:rsidR="002349D1" w:rsidRPr="00482B19">
                <w:rPr>
                  <w:rStyle w:val="Hyperlink"/>
                </w:rPr>
                <w:t xml:space="preserve">routine </w:t>
              </w:r>
              <w:r w:rsidRPr="00482B19">
                <w:rPr>
                  <w:rStyle w:val="Hyperlink"/>
                </w:rPr>
                <w:t>production</w:t>
              </w:r>
            </w:hyperlink>
            <w:r w:rsidRPr="00482B19">
              <w:t xml:space="preserve"> (</w:t>
            </w:r>
            <w:r w:rsidR="002349D1" w:rsidRPr="00482B19">
              <w:t>operate</w:t>
            </w:r>
            <w:r w:rsidRPr="00482B19">
              <w:t xml:space="preserve">), and </w:t>
            </w:r>
            <w:hyperlink r:id="rId47" w:history="1">
              <w:r w:rsidRPr="00482B19">
                <w:rPr>
                  <w:rStyle w:val="Hyperlink"/>
                </w:rPr>
                <w:t>restricted</w:t>
              </w:r>
            </w:hyperlink>
            <w:r w:rsidRPr="00482B19">
              <w:t xml:space="preserve"> (following an incident)</w:t>
            </w:r>
            <w:r w:rsidR="002349D1" w:rsidRPr="00482B19">
              <w:t xml:space="preserve"> licences</w:t>
            </w:r>
          </w:p>
          <w:p w14:paraId="2D3901D8" w14:textId="24E89AF0" w:rsidR="008C2100" w:rsidRPr="00482B19" w:rsidRDefault="008C2100" w:rsidP="00482B19">
            <w:pPr>
              <w:pStyle w:val="Tabletext"/>
              <w:numPr>
                <w:ilvl w:val="0"/>
                <w:numId w:val="23"/>
              </w:numPr>
              <w:jc w:val="left"/>
              <w:cnfStyle w:val="000000000000" w:firstRow="0" w:lastRow="0" w:firstColumn="0" w:lastColumn="0" w:oddVBand="0" w:evenVBand="0" w:oddHBand="0" w:evenHBand="0" w:firstRowFirstColumn="0" w:firstRowLastColumn="0" w:lastRowFirstColumn="0" w:lastRowLastColumn="0"/>
            </w:pPr>
            <w:r w:rsidRPr="00482B19">
              <w:t xml:space="preserve">ARPANS Regulations 1999 and ARPANS Licence Charges Regulations 2000 </w:t>
            </w:r>
            <w:r w:rsidR="00950814">
              <w:t xml:space="preserve">which </w:t>
            </w:r>
            <w:r w:rsidR="1EE3DA43" w:rsidRPr="00482B19">
              <w:t>w</w:t>
            </w:r>
            <w:r w:rsidR="57DFCADE" w:rsidRPr="00482B19">
              <w:t>ere</w:t>
            </w:r>
            <w:r w:rsidRPr="00482B19">
              <w:t xml:space="preserve"> repealed and re</w:t>
            </w:r>
            <w:r w:rsidR="57DFCADE" w:rsidRPr="00482B19">
              <w:t>made</w:t>
            </w:r>
            <w:r w:rsidR="00950814">
              <w:t>.</w:t>
            </w:r>
            <w:r w:rsidR="57DFCADE" w:rsidRPr="00482B19">
              <w:t xml:space="preserve"> </w:t>
            </w:r>
            <w:r w:rsidR="00950814">
              <w:t>This</w:t>
            </w:r>
            <w:r w:rsidR="00950814" w:rsidRPr="00482B19">
              <w:t xml:space="preserve"> </w:t>
            </w:r>
            <w:r w:rsidR="004C6745" w:rsidRPr="00482B19">
              <w:t xml:space="preserve">required a significant number of guidance documents and </w:t>
            </w:r>
            <w:r w:rsidR="00950814">
              <w:t xml:space="preserve">updating of </w:t>
            </w:r>
            <w:r w:rsidR="004C6745" w:rsidRPr="00482B19">
              <w:t>website content.</w:t>
            </w:r>
          </w:p>
          <w:p w14:paraId="562C75D1" w14:textId="0A8CB3BF" w:rsidR="008C2C4D" w:rsidRPr="00482B19" w:rsidRDefault="00950814" w:rsidP="00482B19">
            <w:pPr>
              <w:pStyle w:val="Tabletext"/>
              <w:numPr>
                <w:ilvl w:val="0"/>
                <w:numId w:val="23"/>
              </w:numPr>
              <w:jc w:val="left"/>
              <w:cnfStyle w:val="000000000000" w:firstRow="0" w:lastRow="0" w:firstColumn="0" w:lastColumn="0" w:oddVBand="0" w:evenVBand="0" w:oddHBand="0" w:evenHBand="0" w:firstRowFirstColumn="0" w:firstRowLastColumn="0" w:lastRowFirstColumn="0" w:lastRowLastColumn="0"/>
            </w:pPr>
            <w:r>
              <w:t>a</w:t>
            </w:r>
            <w:r w:rsidR="008C2100" w:rsidRPr="00482B19">
              <w:t xml:space="preserve"> direction</w:t>
            </w:r>
            <w:r w:rsidR="008C2C4D" w:rsidRPr="00482B19">
              <w:t>,</w:t>
            </w:r>
            <w:r w:rsidR="008C2100" w:rsidRPr="00482B19">
              <w:t xml:space="preserve"> issued in the previous financial year</w:t>
            </w:r>
            <w:r w:rsidR="008C2C4D" w:rsidRPr="00482B19">
              <w:t>,</w:t>
            </w:r>
            <w:r w:rsidR="008C2100" w:rsidRPr="00482B19">
              <w:t xml:space="preserve"> </w:t>
            </w:r>
            <w:r>
              <w:t xml:space="preserve">which </w:t>
            </w:r>
            <w:r w:rsidR="008C2100" w:rsidRPr="00482B19">
              <w:t xml:space="preserve">was published </w:t>
            </w:r>
            <w:r w:rsidR="002349D1" w:rsidRPr="00482B19">
              <w:t xml:space="preserve">following tabling in </w:t>
            </w:r>
            <w:r w:rsidR="008C2C4D" w:rsidRPr="00482B19">
              <w:t>parliament.</w:t>
            </w:r>
          </w:p>
        </w:tc>
      </w:tr>
      <w:tr w:rsidR="003B4D69" w:rsidRPr="00482B19" w14:paraId="664355AD" w14:textId="77777777" w:rsidTr="00D63C9F">
        <w:trPr>
          <w:cantSplit/>
          <w:trHeight w:val="2243"/>
        </w:trPr>
        <w:tc>
          <w:tcPr>
            <w:cnfStyle w:val="001000000000" w:firstRow="0" w:lastRow="0" w:firstColumn="1" w:lastColumn="0" w:oddVBand="0" w:evenVBand="0" w:oddHBand="0" w:evenHBand="0" w:firstRowFirstColumn="0" w:firstRowLastColumn="0" w:lastRowFirstColumn="0" w:lastRowLastColumn="0"/>
            <w:tcW w:w="2500" w:type="pct"/>
            <w:tcBorders>
              <w:bottom w:val="single" w:sz="18" w:space="0" w:color="auto"/>
            </w:tcBorders>
            <w:vAlign w:val="top"/>
          </w:tcPr>
          <w:p w14:paraId="277F2C49" w14:textId="70A4EC8B" w:rsidR="003B4D69" w:rsidRPr="00482B19" w:rsidRDefault="6F9414C3" w:rsidP="00482B19">
            <w:pPr>
              <w:pStyle w:val="Tabletext"/>
              <w:jc w:val="left"/>
            </w:pPr>
            <w:r w:rsidRPr="00482B19">
              <w:t>5.2 Stakeholders, including the public, are consulted on the development of codes and guidance publications.</w:t>
            </w:r>
          </w:p>
          <w:p w14:paraId="3974CE9E" w14:textId="7FFDDD9B" w:rsidR="003B4D69" w:rsidRPr="00482B19" w:rsidRDefault="6F9414C3" w:rsidP="00427228">
            <w:pPr>
              <w:pStyle w:val="Tabletext"/>
              <w:spacing w:before="120"/>
              <w:jc w:val="left"/>
              <w:rPr>
                <w:b w:val="0"/>
              </w:rPr>
            </w:pPr>
            <w:r w:rsidRPr="00482B19">
              <w:rPr>
                <w:b w:val="0"/>
              </w:rPr>
              <w:t>ARPANSA publishes guides, codes and standards on a range of regulatory topics which set out expectations for ARPANSA’s licence holder with respect to safety of sources and facilities. This includes national documents such as the Regulatory Protection Series and local documents such as Regulatory guides. These documents typically reflect international best practice. ARPANSA will consult with licence holders for feedback on the development or significant amendment of guides and codes so as to improve transparency in regulation and support continuous improvement [Quantitative].</w:t>
            </w:r>
          </w:p>
          <w:p w14:paraId="1A965116" w14:textId="46AFC29E" w:rsidR="003B4D69" w:rsidRPr="00482B19" w:rsidRDefault="003B4D69" w:rsidP="00482B19">
            <w:pPr>
              <w:pStyle w:val="Tabletext"/>
              <w:jc w:val="left"/>
            </w:pPr>
          </w:p>
        </w:tc>
        <w:tc>
          <w:tcPr>
            <w:tcW w:w="2500" w:type="pct"/>
            <w:tcBorders>
              <w:bottom w:val="single" w:sz="18" w:space="0" w:color="auto"/>
            </w:tcBorders>
            <w:vAlign w:val="top"/>
          </w:tcPr>
          <w:p w14:paraId="42AD9275" w14:textId="52D84F99" w:rsidR="009E3FCA" w:rsidRPr="00482B19" w:rsidRDefault="009E3FCA" w:rsidP="00482B19">
            <w:pPr>
              <w:pStyle w:val="Tabletext"/>
              <w:spacing w:before="120"/>
              <w:jc w:val="left"/>
              <w:cnfStyle w:val="000000000000" w:firstRow="0" w:lastRow="0" w:firstColumn="0" w:lastColumn="0" w:oddVBand="0" w:evenVBand="0" w:oddHBand="0" w:evenHBand="0" w:firstRowFirstColumn="0" w:firstRowLastColumn="0" w:lastRowFirstColumn="0" w:lastRowLastColumn="0"/>
              <w:rPr>
                <w:b/>
              </w:rPr>
            </w:pPr>
            <w:r w:rsidRPr="00482B19">
              <w:rPr>
                <w:b/>
              </w:rPr>
              <w:t xml:space="preserve">Target </w:t>
            </w:r>
            <w:r w:rsidR="003E3909">
              <w:rPr>
                <w:b/>
              </w:rPr>
              <w:t>m</w:t>
            </w:r>
            <w:r w:rsidR="003E3909" w:rsidRPr="00482B19">
              <w:rPr>
                <w:b/>
              </w:rPr>
              <w:t>et</w:t>
            </w:r>
          </w:p>
          <w:p w14:paraId="3A5F9B39" w14:textId="2B28B5C5" w:rsidR="00D966EE" w:rsidRPr="00482B19" w:rsidRDefault="00D966EE" w:rsidP="00482B19">
            <w:pPr>
              <w:pStyle w:val="Tabletext"/>
              <w:spacing w:before="120"/>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482B19">
              <w:rPr>
                <w:rFonts w:ascii="Calibri" w:hAnsi="Calibri"/>
              </w:rPr>
              <w:t>ARPANSA consulted with licence holders for feedback on the development or significant amendment of guides and codes to improve transparency in regulation and support continuous improvement.</w:t>
            </w:r>
            <w:r w:rsidR="00C1716C">
              <w:rPr>
                <w:rFonts w:ascii="Calibri" w:hAnsi="Calibri"/>
              </w:rPr>
              <w:t xml:space="preserve"> </w:t>
            </w:r>
          </w:p>
          <w:p w14:paraId="14D51179" w14:textId="77777777" w:rsidR="00D966EE" w:rsidRPr="00482B19" w:rsidRDefault="00D966EE" w:rsidP="00482B19">
            <w:pPr>
              <w:pStyle w:val="Tabletext"/>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482B19">
              <w:rPr>
                <w:rFonts w:ascii="Calibri" w:hAnsi="Calibri"/>
              </w:rPr>
              <w:t xml:space="preserve">These included: </w:t>
            </w:r>
          </w:p>
          <w:p w14:paraId="0F6E3967" w14:textId="4F7276AD" w:rsidR="00D966EE" w:rsidRPr="00482B19" w:rsidRDefault="0021740F" w:rsidP="00482B19">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E269C3">
              <w:rPr>
                <w:rFonts w:ascii="Calibri" w:hAnsi="Calibri"/>
                <w:i/>
              </w:rPr>
              <w:t>Code of Radiation Protection Requirements for Industrial Radiography</w:t>
            </w:r>
            <w:r w:rsidRPr="00482B19">
              <w:rPr>
                <w:rFonts w:ascii="Calibri" w:hAnsi="Calibri"/>
              </w:rPr>
              <w:t xml:space="preserve"> (2018)</w:t>
            </w:r>
            <w:r w:rsidR="00D966EE" w:rsidRPr="00482B19">
              <w:rPr>
                <w:rFonts w:ascii="Calibri" w:hAnsi="Calibri"/>
              </w:rPr>
              <w:t xml:space="preserve"> </w:t>
            </w:r>
          </w:p>
          <w:p w14:paraId="5079F108" w14:textId="753F995F" w:rsidR="00D966EE" w:rsidRPr="00482B19" w:rsidRDefault="00D966EE" w:rsidP="00482B19">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E269C3">
              <w:rPr>
                <w:rFonts w:ascii="Calibri" w:hAnsi="Calibri"/>
                <w:i/>
              </w:rPr>
              <w:t>Code for Disposal Facilities for Solid Radioactive Waste</w:t>
            </w:r>
            <w:r w:rsidRPr="00482B19">
              <w:rPr>
                <w:rFonts w:ascii="Calibri" w:hAnsi="Calibri"/>
              </w:rPr>
              <w:t xml:space="preserve"> (2018)</w:t>
            </w:r>
          </w:p>
          <w:p w14:paraId="4124A34B" w14:textId="23EBB924" w:rsidR="00D966EE" w:rsidRPr="00482B19" w:rsidRDefault="00D966EE" w:rsidP="00482B19">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E269C3">
              <w:rPr>
                <w:rFonts w:ascii="Calibri" w:hAnsi="Calibri"/>
                <w:i/>
              </w:rPr>
              <w:t>Guide for Radiation Protection in Emergency Exposure Situations</w:t>
            </w:r>
            <w:r w:rsidRPr="00482B19">
              <w:rPr>
                <w:rFonts w:ascii="Calibri" w:hAnsi="Calibri"/>
              </w:rPr>
              <w:t xml:space="preserve"> (2019)</w:t>
            </w:r>
          </w:p>
          <w:p w14:paraId="7DF4E37C" w14:textId="3BF34B94" w:rsidR="003B4D69" w:rsidRPr="00482B19" w:rsidRDefault="0021740F" w:rsidP="00482B19">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E269C3">
              <w:rPr>
                <w:rFonts w:ascii="Calibri" w:hAnsi="Calibri"/>
                <w:i/>
              </w:rPr>
              <w:t xml:space="preserve">ARPANSA </w:t>
            </w:r>
            <w:r w:rsidR="00D966EE" w:rsidRPr="00E269C3">
              <w:rPr>
                <w:rFonts w:ascii="Calibri" w:hAnsi="Calibri"/>
                <w:i/>
              </w:rPr>
              <w:t>Regu</w:t>
            </w:r>
            <w:r w:rsidRPr="00E269C3">
              <w:rPr>
                <w:rFonts w:ascii="Calibri" w:hAnsi="Calibri"/>
                <w:i/>
              </w:rPr>
              <w:t>latory Guide:</w:t>
            </w:r>
            <w:r w:rsidR="00D966EE" w:rsidRPr="00E269C3">
              <w:rPr>
                <w:rFonts w:ascii="Calibri" w:hAnsi="Calibri"/>
                <w:i/>
              </w:rPr>
              <w:t xml:space="preserve"> Decommissi</w:t>
            </w:r>
            <w:r w:rsidRPr="00E269C3">
              <w:rPr>
                <w:rFonts w:ascii="Calibri" w:hAnsi="Calibri"/>
                <w:i/>
              </w:rPr>
              <w:t>oning of Controlled Facilitie</w:t>
            </w:r>
            <w:r w:rsidRPr="00482B19">
              <w:rPr>
                <w:rFonts w:ascii="Calibri" w:hAnsi="Calibri"/>
              </w:rPr>
              <w:t>s.</w:t>
            </w:r>
          </w:p>
        </w:tc>
      </w:tr>
      <w:tr w:rsidR="00482B19" w:rsidRPr="00482B19" w14:paraId="30177224" w14:textId="77777777" w:rsidTr="00D63C9F">
        <w:trPr>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18" w:space="0" w:color="auto"/>
            </w:tcBorders>
            <w:shd w:val="clear" w:color="auto" w:fill="CDF1CD" w:themeFill="accent2" w:themeFillTint="33"/>
            <w:vAlign w:val="top"/>
          </w:tcPr>
          <w:p w14:paraId="1F2EC897" w14:textId="4223A70F" w:rsidR="00482B19" w:rsidRPr="00482B19" w:rsidRDefault="00482B19" w:rsidP="008740A2">
            <w:pPr>
              <w:spacing w:before="60"/>
              <w:jc w:val="left"/>
            </w:pPr>
            <w:r w:rsidRPr="00482B19">
              <w:rPr>
                <w:b w:val="0"/>
              </w:rPr>
              <w:t xml:space="preserve">Self-assessed rating: </w:t>
            </w:r>
            <w:r w:rsidRPr="00482B19">
              <w:t>Met</w:t>
            </w:r>
          </w:p>
        </w:tc>
      </w:tr>
    </w:tbl>
    <w:p w14:paraId="54E11D2A" w14:textId="50680531" w:rsidR="003B4D69" w:rsidRDefault="003B4D69" w:rsidP="003B4D69">
      <w:pPr>
        <w:spacing w:after="200"/>
      </w:pPr>
    </w:p>
    <w:p w14:paraId="083FA1A5" w14:textId="77777777" w:rsidR="00726CEF" w:rsidRDefault="00726CEF">
      <w:pPr>
        <w:rPr>
          <w:rFonts w:eastAsiaTheme="majorEastAsia" w:cstheme="majorBidi"/>
          <w:b/>
          <w:bCs/>
          <w:i/>
          <w:color w:val="4E1A74"/>
          <w:sz w:val="24"/>
        </w:rPr>
      </w:pPr>
      <w:r>
        <w:br w:type="page"/>
      </w:r>
    </w:p>
    <w:p w14:paraId="7ACBCA7A" w14:textId="2DC8B7CB" w:rsidR="00F5034B" w:rsidRDefault="00F5034B" w:rsidP="00F5034B">
      <w:pPr>
        <w:pStyle w:val="Heading3"/>
      </w:pPr>
      <w:r>
        <w:lastRenderedPageBreak/>
        <w:t>Further evidence considered</w:t>
      </w:r>
    </w:p>
    <w:p w14:paraId="0A663A6E" w14:textId="79689843" w:rsidR="00961061" w:rsidRDefault="00961061" w:rsidP="00961061">
      <w:pPr>
        <w:rPr>
          <w:lang w:eastAsia="en-AU"/>
        </w:rPr>
      </w:pPr>
      <w:r>
        <w:t>Evidence of other consultation was observed, for example during the</w:t>
      </w:r>
      <w:r w:rsidR="00852235">
        <w:rPr>
          <w:rFonts w:cs="Times New Roman"/>
          <w:bCs/>
          <w:szCs w:val="24"/>
          <w:lang w:eastAsia="en-AU"/>
        </w:rPr>
        <w:t xml:space="preserve"> consultation for the </w:t>
      </w:r>
      <w:r w:rsidR="00852235">
        <w:t xml:space="preserve">cost recovery project (see </w:t>
      </w:r>
      <w:r w:rsidR="00852235">
        <w:rPr>
          <w:color w:val="2B579A"/>
          <w:shd w:val="clear" w:color="auto" w:fill="E6E6E6"/>
        </w:rPr>
        <w:fldChar w:fldCharType="begin"/>
      </w:r>
      <w:r w:rsidR="00852235">
        <w:instrText xml:space="preserve"> REF _Ref15649055 \r \h </w:instrText>
      </w:r>
      <w:r w:rsidR="00852235">
        <w:rPr>
          <w:color w:val="2B579A"/>
          <w:shd w:val="clear" w:color="auto" w:fill="E6E6E6"/>
        </w:rPr>
      </w:r>
      <w:r w:rsidR="00852235">
        <w:rPr>
          <w:color w:val="2B579A"/>
          <w:shd w:val="clear" w:color="auto" w:fill="E6E6E6"/>
        </w:rPr>
        <w:fldChar w:fldCharType="separate"/>
      </w:r>
      <w:r w:rsidR="00852235">
        <w:t>KPI 1</w:t>
      </w:r>
      <w:r w:rsidR="00852235">
        <w:rPr>
          <w:color w:val="2B579A"/>
          <w:shd w:val="clear" w:color="auto" w:fill="E6E6E6"/>
        </w:rPr>
        <w:fldChar w:fldCharType="end"/>
      </w:r>
      <w:r w:rsidR="00852235">
        <w:t>)</w:t>
      </w:r>
      <w:r>
        <w:t xml:space="preserve">, several licence holders provided input which was responded to and actioned as appropriate. </w:t>
      </w:r>
      <w:r>
        <w:rPr>
          <w:lang w:eastAsia="en-AU"/>
        </w:rPr>
        <w:t xml:space="preserve">Consultation was also undertaken for other publications such as the recent </w:t>
      </w:r>
      <w:r w:rsidRPr="004E49A9">
        <w:rPr>
          <w:i/>
          <w:lang w:eastAsia="en-AU"/>
        </w:rPr>
        <w:t>Australian Radiation Incident Register Annual Report</w:t>
      </w:r>
      <w:r>
        <w:rPr>
          <w:lang w:eastAsia="en-AU"/>
        </w:rPr>
        <w:t>, for which professional bodies and State/Territory regulators were consulted. This shows a commitment to seeking and listening to feedback from stakeholders.</w:t>
      </w:r>
    </w:p>
    <w:p w14:paraId="765F585C" w14:textId="77777777" w:rsidR="00F5034B" w:rsidRDefault="00F5034B" w:rsidP="00F5034B">
      <w:pPr>
        <w:pStyle w:val="Heading3"/>
      </w:pPr>
      <w:r>
        <w:t>Identified opportunities for improvement</w:t>
      </w:r>
    </w:p>
    <w:p w14:paraId="6907A24D" w14:textId="252A55A6" w:rsidR="00934238" w:rsidRDefault="00934238" w:rsidP="00934238">
      <w:pPr>
        <w:pStyle w:val="Heading4"/>
      </w:pPr>
      <w:r>
        <w:t xml:space="preserve">Management of </w:t>
      </w:r>
      <w:r w:rsidR="00FA23CF">
        <w:t>workflow</w:t>
      </w:r>
    </w:p>
    <w:p w14:paraId="145723B1" w14:textId="11AC9D7B" w:rsidR="00A50510" w:rsidRPr="0030652D" w:rsidRDefault="00934238" w:rsidP="0030652D">
      <w:pPr>
        <w:spacing w:before="0"/>
        <w:rPr>
          <w:rFonts w:cs="Arial"/>
        </w:rPr>
      </w:pPr>
      <w:r w:rsidRPr="006868A0">
        <w:rPr>
          <w:rFonts w:cs="Arial"/>
        </w:rPr>
        <w:t>As described in KPI1, approval and review process</w:t>
      </w:r>
      <w:r w:rsidR="00927F84">
        <w:rPr>
          <w:rFonts w:cs="Arial"/>
        </w:rPr>
        <w:t>es</w:t>
      </w:r>
      <w:r w:rsidRPr="006868A0">
        <w:rPr>
          <w:rFonts w:cs="Arial"/>
        </w:rPr>
        <w:t xml:space="preserve"> were not considered streamlined</w:t>
      </w:r>
      <w:r w:rsidR="6F39B97B" w:rsidRPr="006868A0">
        <w:rPr>
          <w:rFonts w:cs="Arial"/>
        </w:rPr>
        <w:t xml:space="preserve">. </w:t>
      </w:r>
      <w:r w:rsidR="00EE3D3F">
        <w:rPr>
          <w:rFonts w:cs="Arial"/>
        </w:rPr>
        <w:t>During interviews</w:t>
      </w:r>
      <w:r w:rsidR="4E8E64C4" w:rsidRPr="0030652D">
        <w:rPr>
          <w:rFonts w:cs="Arial"/>
        </w:rPr>
        <w:t>,</w:t>
      </w:r>
      <w:r w:rsidR="00972B02">
        <w:rPr>
          <w:rFonts w:cs="Arial"/>
        </w:rPr>
        <w:t xml:space="preserve"> s</w:t>
      </w:r>
      <w:r w:rsidR="00EE3D3F">
        <w:rPr>
          <w:rFonts w:cs="Arial"/>
        </w:rPr>
        <w:t>taff</w:t>
      </w:r>
      <w:r w:rsidR="4E8E64C4" w:rsidRPr="0030652D">
        <w:rPr>
          <w:rFonts w:cs="Arial"/>
        </w:rPr>
        <w:t xml:space="preserve"> </w:t>
      </w:r>
      <w:r w:rsidR="6F39B97B" w:rsidRPr="0030652D">
        <w:rPr>
          <w:rFonts w:cs="Arial"/>
        </w:rPr>
        <w:t>id</w:t>
      </w:r>
      <w:r w:rsidR="55E40FE8" w:rsidRPr="0030652D">
        <w:rPr>
          <w:rFonts w:cs="Arial"/>
        </w:rPr>
        <w:t>entified that this</w:t>
      </w:r>
      <w:r w:rsidR="1A420504" w:rsidRPr="0030652D">
        <w:rPr>
          <w:rFonts w:cs="Arial"/>
        </w:rPr>
        <w:t xml:space="preserve"> </w:t>
      </w:r>
      <w:r w:rsidRPr="0030652D">
        <w:rPr>
          <w:rFonts w:cs="Arial"/>
        </w:rPr>
        <w:t xml:space="preserve">contributed </w:t>
      </w:r>
      <w:r w:rsidR="60C5AAC9" w:rsidRPr="0030652D">
        <w:rPr>
          <w:rFonts w:cs="Arial"/>
        </w:rPr>
        <w:t>t</w:t>
      </w:r>
      <w:r w:rsidRPr="0030652D">
        <w:rPr>
          <w:rFonts w:cs="Arial"/>
        </w:rPr>
        <w:t>o the majority</w:t>
      </w:r>
      <w:r w:rsidR="00961061" w:rsidRPr="0030652D">
        <w:rPr>
          <w:rFonts w:cs="Arial"/>
        </w:rPr>
        <w:t xml:space="preserve"> (75%)</w:t>
      </w:r>
      <w:r w:rsidRPr="0030652D">
        <w:rPr>
          <w:rFonts w:cs="Arial"/>
        </w:rPr>
        <w:t xml:space="preserve"> of inspections not being posted within the </w:t>
      </w:r>
      <w:r w:rsidR="00961061" w:rsidRPr="0030652D">
        <w:rPr>
          <w:rFonts w:cs="Arial"/>
        </w:rPr>
        <w:t xml:space="preserve">internal </w:t>
      </w:r>
      <w:r w:rsidRPr="0030652D">
        <w:rPr>
          <w:rFonts w:cs="Arial"/>
        </w:rPr>
        <w:t xml:space="preserve">target timeframes. </w:t>
      </w:r>
      <w:r w:rsidR="55E40FE8" w:rsidRPr="0030652D">
        <w:rPr>
          <w:rFonts w:cs="Arial"/>
        </w:rPr>
        <w:t xml:space="preserve">However, </w:t>
      </w:r>
      <w:r w:rsidR="62DEE698" w:rsidRPr="0030652D">
        <w:rPr>
          <w:rFonts w:cs="Arial"/>
        </w:rPr>
        <w:t>an</w:t>
      </w:r>
      <w:r w:rsidR="7AD5CFAE" w:rsidRPr="0030652D">
        <w:rPr>
          <w:rFonts w:cs="Arial"/>
        </w:rPr>
        <w:t xml:space="preserve"> analysis of the deviations to the timeframes was not available and was not performed during this review.</w:t>
      </w:r>
      <w:r w:rsidR="1A420504" w:rsidRPr="0030652D">
        <w:rPr>
          <w:rFonts w:cs="Arial"/>
        </w:rPr>
        <w:t xml:space="preserve"> </w:t>
      </w:r>
      <w:r w:rsidR="00961061" w:rsidRPr="0030652D">
        <w:rPr>
          <w:rFonts w:cs="Arial"/>
        </w:rPr>
        <w:t>As this timeframe is a target, not a requirement, this is not considered a non-conformance with the management system.</w:t>
      </w:r>
    </w:p>
    <w:p w14:paraId="73E4096D" w14:textId="23FB4590" w:rsidR="00B47516" w:rsidRDefault="00B01704" w:rsidP="00B47516">
      <w:pPr>
        <w:pStyle w:val="Heading4"/>
      </w:pPr>
      <w:r>
        <w:t>Management of w</w:t>
      </w:r>
      <w:r w:rsidR="00B47516">
        <w:t>ebsite content</w:t>
      </w:r>
    </w:p>
    <w:p w14:paraId="5AB50FDE" w14:textId="2622435D" w:rsidR="00A50510" w:rsidRDefault="73B353AE" w:rsidP="0030652D">
      <w:pPr>
        <w:spacing w:before="0"/>
      </w:pPr>
      <w:r>
        <w:t xml:space="preserve">Internally ARPANSA uses ‘quality documents’ which are maintained in the records management system </w:t>
      </w:r>
      <w:r w:rsidR="00E269C3">
        <w:t>HPERM</w:t>
      </w:r>
      <w:r>
        <w:t>.</w:t>
      </w:r>
      <w:r w:rsidRPr="52D57B74">
        <w:t xml:space="preserve"> </w:t>
      </w:r>
      <w:r w:rsidR="00B47516">
        <w:t>In some instances</w:t>
      </w:r>
      <w:r w:rsidR="00A14F77">
        <w:t>,</w:t>
      </w:r>
      <w:r w:rsidR="00B47516">
        <w:t xml:space="preserve"> </w:t>
      </w:r>
      <w:r w:rsidR="00934238">
        <w:t xml:space="preserve">information on the website was found to be out of date or inconsistent with the </w:t>
      </w:r>
      <w:r w:rsidR="00A50510">
        <w:t>version in the quality system</w:t>
      </w:r>
      <w:r w:rsidR="00961061" w:rsidRPr="52D57B74">
        <w:t xml:space="preserve">. </w:t>
      </w:r>
      <w:r>
        <w:t>Website management follows a separate process from quality documents.</w:t>
      </w:r>
    </w:p>
    <w:p w14:paraId="759EC594" w14:textId="6A779478" w:rsidR="00A50510" w:rsidRDefault="00A50510" w:rsidP="00934238">
      <w:r>
        <w:t xml:space="preserve">For example, the information on one webpage was found to discuss a previous licence stage, but included content from the current licence stage. This </w:t>
      </w:r>
      <w:r w:rsidR="6135BEA3">
        <w:t xml:space="preserve">may be </w:t>
      </w:r>
      <w:r>
        <w:t xml:space="preserve">confusing to the reader and the entire page should have been updated. It was </w:t>
      </w:r>
      <w:r w:rsidR="160B4457">
        <w:t xml:space="preserve">also </w:t>
      </w:r>
      <w:r>
        <w:t xml:space="preserve">not clear </w:t>
      </w:r>
      <w:r w:rsidR="13EC6E07">
        <w:t xml:space="preserve">to the team </w:t>
      </w:r>
      <w:r>
        <w:t>when the page was last reviewed</w:t>
      </w:r>
      <w:r w:rsidR="00961061">
        <w:t>, or would next be reviewed</w:t>
      </w:r>
      <w:r w:rsidRPr="160B4457">
        <w:t>.</w:t>
      </w:r>
      <w:r w:rsidR="00961061" w:rsidRPr="160B4457">
        <w:t xml:space="preserve"> </w:t>
      </w:r>
    </w:p>
    <w:p w14:paraId="7D2B1A04" w14:textId="4A7896B3" w:rsidR="00561938" w:rsidRPr="00B47516" w:rsidRDefault="00A50510">
      <w:r>
        <w:t>Differences observed between the</w:t>
      </w:r>
      <w:r w:rsidR="3CB9AFED">
        <w:t>s</w:t>
      </w:r>
      <w:r w:rsidR="56AD38E6">
        <w:t>e</w:t>
      </w:r>
      <w:r>
        <w:t xml:space="preserve"> quality documents and the documents</w:t>
      </w:r>
      <w:r w:rsidR="00961061">
        <w:t xml:space="preserve"> on the website</w:t>
      </w:r>
      <w:r>
        <w:t xml:space="preserve"> was limited to formatting and minor variations, however it highlights the possibility for incorrect content to be on the website. For example, one instance was observed of a form from the quality system being provided to a licence holder. This contained internal information (the document change register) and was not formatted the same as the website version. A reconciliation between the website and quality documents is recommended, and </w:t>
      </w:r>
      <w:r w:rsidR="00961061">
        <w:t>improvements</w:t>
      </w:r>
      <w:r>
        <w:t xml:space="preserve"> to the system in capturing and controlling web content.</w:t>
      </w:r>
      <w:r w:rsidR="00561938" w:rsidRPr="00B47516">
        <w:br w:type="page"/>
      </w:r>
    </w:p>
    <w:p w14:paraId="27490B84" w14:textId="3054B61D" w:rsidR="00561938" w:rsidRDefault="00561938" w:rsidP="00561938">
      <w:pPr>
        <w:pStyle w:val="Heading2"/>
      </w:pPr>
      <w:bookmarkStart w:id="60" w:name="_Toc23846612"/>
      <w:bookmarkStart w:id="61" w:name="_Toc25225271"/>
      <w:r w:rsidRPr="00110D4B">
        <w:lastRenderedPageBreak/>
        <w:t>KPI 6 - Regulators actively contribute to the continuous improvement of regulatory</w:t>
      </w:r>
      <w:r w:rsidR="6A5A8808" w:rsidRPr="00110D4B">
        <w:t xml:space="preserve"> frameworks</w:t>
      </w:r>
      <w:bookmarkEnd w:id="60"/>
      <w:bookmarkEnd w:id="61"/>
    </w:p>
    <w:p w14:paraId="4548C0E9" w14:textId="77777777" w:rsidR="002C369D" w:rsidRDefault="002C369D" w:rsidP="00C73950">
      <w:pPr>
        <w:rPr>
          <w:rFonts w:cs="Times New Roman"/>
          <w:bCs/>
          <w:szCs w:val="24"/>
          <w:lang w:eastAsia="en-AU"/>
        </w:rPr>
      </w:pPr>
      <w:r w:rsidRPr="00222C4F">
        <w:rPr>
          <w:rFonts w:cs="Times New Roman"/>
          <w:bCs/>
          <w:szCs w:val="24"/>
          <w:lang w:eastAsia="en-AU"/>
        </w:rPr>
        <w:t xml:space="preserve">ARPANSA </w:t>
      </w:r>
      <w:r>
        <w:rPr>
          <w:rFonts w:cs="Times New Roman"/>
          <w:bCs/>
          <w:szCs w:val="24"/>
          <w:lang w:eastAsia="en-AU"/>
        </w:rPr>
        <w:t>strives to be</w:t>
      </w:r>
      <w:r w:rsidRPr="00222C4F">
        <w:rPr>
          <w:rFonts w:cs="Times New Roman"/>
          <w:bCs/>
          <w:szCs w:val="24"/>
          <w:lang w:eastAsia="en-AU"/>
        </w:rPr>
        <w:t xml:space="preserve"> adaptable to meet the needs of </w:t>
      </w:r>
      <w:r>
        <w:rPr>
          <w:rFonts w:cs="Times New Roman"/>
          <w:bCs/>
          <w:szCs w:val="24"/>
          <w:lang w:eastAsia="en-AU"/>
        </w:rPr>
        <w:t xml:space="preserve">the community and </w:t>
      </w:r>
      <w:r w:rsidRPr="00222C4F">
        <w:rPr>
          <w:rFonts w:cs="Times New Roman"/>
          <w:bCs/>
          <w:szCs w:val="24"/>
          <w:lang w:eastAsia="en-AU"/>
        </w:rPr>
        <w:t>regulated entities</w:t>
      </w:r>
      <w:r>
        <w:rPr>
          <w:rFonts w:cs="Times New Roman"/>
          <w:bCs/>
          <w:szCs w:val="24"/>
          <w:lang w:eastAsia="en-AU"/>
        </w:rPr>
        <w:t xml:space="preserve">, </w:t>
      </w:r>
      <w:r w:rsidRPr="00222C4F">
        <w:rPr>
          <w:rFonts w:cs="Times New Roman"/>
          <w:bCs/>
          <w:szCs w:val="24"/>
          <w:lang w:eastAsia="en-AU"/>
        </w:rPr>
        <w:t xml:space="preserve">assuring compliance with the Act and </w:t>
      </w:r>
      <w:r>
        <w:rPr>
          <w:rFonts w:cs="Times New Roman"/>
          <w:bCs/>
          <w:szCs w:val="24"/>
          <w:lang w:eastAsia="en-AU"/>
        </w:rPr>
        <w:t xml:space="preserve">Regulations and </w:t>
      </w:r>
      <w:r w:rsidRPr="00222C4F">
        <w:rPr>
          <w:rFonts w:cs="Times New Roman"/>
          <w:bCs/>
          <w:szCs w:val="24"/>
          <w:lang w:eastAsia="en-AU"/>
        </w:rPr>
        <w:t xml:space="preserve">high levels of nuclear safety and radiation protection. </w:t>
      </w:r>
    </w:p>
    <w:p w14:paraId="0C5FF5D2" w14:textId="01B51910" w:rsidR="00C73950" w:rsidRDefault="002C369D" w:rsidP="00C73950">
      <w:r w:rsidRPr="00222C4F">
        <w:rPr>
          <w:rFonts w:cs="Times New Roman"/>
          <w:bCs/>
          <w:szCs w:val="24"/>
          <w:lang w:eastAsia="en-AU"/>
        </w:rPr>
        <w:t>A program of continuous improvement is recognised as being important to building a resilient regulator that know</w:t>
      </w:r>
      <w:r w:rsidR="00927F84">
        <w:rPr>
          <w:rFonts w:cs="Times New Roman"/>
          <w:bCs/>
          <w:szCs w:val="24"/>
          <w:lang w:eastAsia="en-AU"/>
        </w:rPr>
        <w:t>s</w:t>
      </w:r>
      <w:r w:rsidRPr="00222C4F">
        <w:rPr>
          <w:rFonts w:cs="Times New Roman"/>
          <w:bCs/>
          <w:szCs w:val="24"/>
          <w:lang w:eastAsia="en-AU"/>
        </w:rPr>
        <w:t xml:space="preserve"> what to expect, monitor</w:t>
      </w:r>
      <w:r w:rsidR="00927F84">
        <w:rPr>
          <w:rFonts w:cs="Times New Roman"/>
          <w:bCs/>
          <w:szCs w:val="24"/>
          <w:lang w:eastAsia="en-AU"/>
        </w:rPr>
        <w:t>s</w:t>
      </w:r>
      <w:r w:rsidRPr="00222C4F">
        <w:rPr>
          <w:rFonts w:cs="Times New Roman"/>
          <w:bCs/>
          <w:szCs w:val="24"/>
          <w:lang w:eastAsia="en-AU"/>
        </w:rPr>
        <w:t xml:space="preserve"> its regulatory environment, adapt</w:t>
      </w:r>
      <w:r w:rsidR="00927F84">
        <w:rPr>
          <w:rFonts w:cs="Times New Roman"/>
          <w:bCs/>
          <w:szCs w:val="24"/>
          <w:lang w:eastAsia="en-AU"/>
        </w:rPr>
        <w:t>s</w:t>
      </w:r>
      <w:r w:rsidRPr="00222C4F">
        <w:rPr>
          <w:rFonts w:cs="Times New Roman"/>
          <w:bCs/>
          <w:szCs w:val="24"/>
          <w:lang w:eastAsia="en-AU"/>
        </w:rPr>
        <w:t xml:space="preserve"> to challenges, and learn</w:t>
      </w:r>
      <w:r w:rsidR="00927F84">
        <w:rPr>
          <w:rFonts w:cs="Times New Roman"/>
          <w:bCs/>
          <w:szCs w:val="24"/>
          <w:lang w:eastAsia="en-AU"/>
        </w:rPr>
        <w:t>s</w:t>
      </w:r>
      <w:r w:rsidRPr="00222C4F">
        <w:rPr>
          <w:rFonts w:cs="Times New Roman"/>
          <w:bCs/>
          <w:szCs w:val="24"/>
          <w:lang w:eastAsia="en-AU"/>
        </w:rPr>
        <w:t xml:space="preserve"> from </w:t>
      </w:r>
      <w:r w:rsidRPr="00FD0A5A">
        <w:rPr>
          <w:rFonts w:cs="Times New Roman"/>
          <w:bCs/>
          <w:szCs w:val="24"/>
          <w:lang w:eastAsia="en-AU"/>
        </w:rPr>
        <w:t>experience.</w:t>
      </w:r>
    </w:p>
    <w:p w14:paraId="30203819" w14:textId="27C287B7" w:rsidR="004C7D75" w:rsidRPr="00BD7793" w:rsidRDefault="002C369D" w:rsidP="002C369D">
      <w:pPr>
        <w:autoSpaceDE w:val="0"/>
        <w:autoSpaceDN w:val="0"/>
        <w:adjustRightInd w:val="0"/>
        <w:spacing w:after="120"/>
        <w:rPr>
          <w:rFonts w:cs="Times New Roman"/>
          <w:bCs/>
          <w:szCs w:val="24"/>
          <w:lang w:eastAsia="en-AU"/>
        </w:rPr>
      </w:pPr>
      <w:r>
        <w:rPr>
          <w:rFonts w:cs="Times New Roman"/>
          <w:bCs/>
          <w:szCs w:val="24"/>
          <w:lang w:eastAsia="en-AU"/>
        </w:rPr>
        <w:t>T</w:t>
      </w:r>
      <w:r w:rsidRPr="00BD7793">
        <w:rPr>
          <w:rFonts w:cs="Times New Roman"/>
          <w:bCs/>
          <w:szCs w:val="24"/>
          <w:lang w:eastAsia="en-AU"/>
        </w:rPr>
        <w:t xml:space="preserve">he regulatory framework </w:t>
      </w:r>
      <w:r>
        <w:rPr>
          <w:rFonts w:cs="Times New Roman"/>
          <w:bCs/>
          <w:szCs w:val="24"/>
          <w:lang w:eastAsia="en-AU"/>
        </w:rPr>
        <w:t xml:space="preserve">is reviewed, and potential improvements identified, </w:t>
      </w:r>
      <w:r w:rsidRPr="00BD7793">
        <w:rPr>
          <w:rFonts w:cs="Times New Roman"/>
          <w:bCs/>
          <w:szCs w:val="24"/>
          <w:lang w:eastAsia="en-AU"/>
        </w:rPr>
        <w:t>via various methods</w:t>
      </w:r>
      <w:r>
        <w:rPr>
          <w:rFonts w:cs="Times New Roman"/>
          <w:bCs/>
          <w:szCs w:val="24"/>
          <w:lang w:eastAsia="en-AU"/>
        </w:rPr>
        <w:t xml:space="preserve">. This includes </w:t>
      </w:r>
      <w:r w:rsidRPr="00BD7793">
        <w:rPr>
          <w:rFonts w:cs="Times New Roman"/>
          <w:bCs/>
          <w:szCs w:val="24"/>
          <w:lang w:eastAsia="en-AU"/>
        </w:rPr>
        <w:t>this annual self-assessment</w:t>
      </w:r>
      <w:r>
        <w:rPr>
          <w:rFonts w:cs="Times New Roman"/>
          <w:bCs/>
          <w:szCs w:val="24"/>
          <w:lang w:eastAsia="en-AU"/>
        </w:rPr>
        <w:t>,</w:t>
      </w:r>
      <w:r w:rsidRPr="00BD7793">
        <w:rPr>
          <w:rFonts w:cs="Times New Roman"/>
          <w:bCs/>
          <w:szCs w:val="24"/>
          <w:lang w:eastAsia="en-AU"/>
        </w:rPr>
        <w:t xml:space="preserve"> </w:t>
      </w:r>
      <w:r>
        <w:rPr>
          <w:rFonts w:cs="Times New Roman"/>
          <w:bCs/>
          <w:szCs w:val="24"/>
          <w:lang w:eastAsia="en-AU"/>
        </w:rPr>
        <w:t>internal audits</w:t>
      </w:r>
      <w:r w:rsidRPr="00BD7793">
        <w:rPr>
          <w:rFonts w:cs="Times New Roman"/>
          <w:bCs/>
          <w:szCs w:val="24"/>
          <w:lang w:eastAsia="en-AU"/>
        </w:rPr>
        <w:t>,</w:t>
      </w:r>
      <w:r>
        <w:rPr>
          <w:rFonts w:cs="Times New Roman"/>
          <w:bCs/>
          <w:szCs w:val="24"/>
          <w:lang w:eastAsia="en-AU"/>
        </w:rPr>
        <w:t xml:space="preserve"> stakeholder forums,</w:t>
      </w:r>
      <w:r w:rsidRPr="00BD7793">
        <w:rPr>
          <w:rFonts w:cs="Times New Roman"/>
          <w:bCs/>
          <w:szCs w:val="24"/>
          <w:lang w:eastAsia="en-AU"/>
        </w:rPr>
        <w:t xml:space="preserve"> </w:t>
      </w:r>
      <w:r>
        <w:rPr>
          <w:rFonts w:cs="Times New Roman"/>
          <w:bCs/>
          <w:szCs w:val="24"/>
          <w:lang w:eastAsia="en-AU"/>
        </w:rPr>
        <w:t xml:space="preserve">periodic </w:t>
      </w:r>
      <w:r w:rsidRPr="00BD7793">
        <w:rPr>
          <w:rFonts w:cs="Times New Roman"/>
          <w:bCs/>
          <w:szCs w:val="24"/>
          <w:lang w:eastAsia="en-AU"/>
        </w:rPr>
        <w:t xml:space="preserve">reviews of the regulatory management system, stakeholder feedback surveys, external audits </w:t>
      </w:r>
      <w:r>
        <w:rPr>
          <w:rFonts w:cs="Times New Roman"/>
          <w:bCs/>
          <w:szCs w:val="24"/>
          <w:lang w:eastAsia="en-AU"/>
        </w:rPr>
        <w:t xml:space="preserve">and </w:t>
      </w:r>
      <w:r w:rsidRPr="00BD7793">
        <w:rPr>
          <w:rFonts w:cs="Times New Roman"/>
          <w:bCs/>
          <w:szCs w:val="24"/>
          <w:lang w:eastAsia="en-AU"/>
        </w:rPr>
        <w:t>peer review missions.</w:t>
      </w:r>
      <w:r w:rsidR="004C7D75">
        <w:rPr>
          <w:rFonts w:cs="Times New Roman"/>
          <w:bCs/>
          <w:szCs w:val="24"/>
          <w:lang w:eastAsia="en-AU"/>
        </w:rPr>
        <w:t xml:space="preserve"> </w:t>
      </w:r>
      <w:r w:rsidR="004C7D75">
        <w:t>A list of potential improvements including all areas for improvement from reviews is maintained and updated such as when an action is closed following completion.</w:t>
      </w:r>
    </w:p>
    <w:tbl>
      <w:tblPr>
        <w:tblStyle w:val="GenericARPANSA4"/>
        <w:tblW w:w="5046" w:type="pct"/>
        <w:tblLayout w:type="fixed"/>
        <w:tblLook w:val="06A0" w:firstRow="1" w:lastRow="0" w:firstColumn="1" w:lastColumn="0" w:noHBand="1" w:noVBand="1"/>
        <w:tblDescription w:val="This table contains 2 heading columns, 1. KPIs/Measures/Metrics, 2. Evidence (Performance in  2016-17). Column 2 includes a self-assessed rating against KPI 5."/>
      </w:tblPr>
      <w:tblGrid>
        <w:gridCol w:w="4858"/>
        <w:gridCol w:w="4859"/>
      </w:tblGrid>
      <w:tr w:rsidR="00C73950" w:rsidRPr="00B37D36" w14:paraId="01856590" w14:textId="77777777" w:rsidTr="00BA129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500" w:type="pct"/>
          </w:tcPr>
          <w:p w14:paraId="19AC545F" w14:textId="04B3A781" w:rsidR="00C73950" w:rsidRPr="00B37D36" w:rsidRDefault="00C73950" w:rsidP="00A15B0E">
            <w:pPr>
              <w:pStyle w:val="Heading3"/>
              <w:jc w:val="left"/>
              <w:outlineLvl w:val="2"/>
              <w:rPr>
                <w:b/>
                <w:i w:val="0"/>
                <w:color w:val="FFFFFF" w:themeColor="background1"/>
                <w:sz w:val="22"/>
              </w:rPr>
            </w:pPr>
            <w:r w:rsidRPr="00B37D36">
              <w:rPr>
                <w:b/>
                <w:i w:val="0"/>
                <w:color w:val="FFFFFF" w:themeColor="background1"/>
                <w:sz w:val="22"/>
              </w:rPr>
              <w:t>Measures/</w:t>
            </w:r>
            <w:r w:rsidR="00A15B0E">
              <w:rPr>
                <w:b/>
                <w:i w:val="0"/>
                <w:color w:val="FFFFFF" w:themeColor="background1"/>
                <w:sz w:val="22"/>
              </w:rPr>
              <w:t>m</w:t>
            </w:r>
            <w:r w:rsidR="00A15B0E" w:rsidRPr="00B37D36">
              <w:rPr>
                <w:b/>
                <w:i w:val="0"/>
                <w:color w:val="FFFFFF" w:themeColor="background1"/>
                <w:sz w:val="22"/>
              </w:rPr>
              <w:t>etrics</w:t>
            </w:r>
          </w:p>
        </w:tc>
        <w:tc>
          <w:tcPr>
            <w:tcW w:w="2500" w:type="pct"/>
          </w:tcPr>
          <w:p w14:paraId="032D7245" w14:textId="209CA0EE" w:rsidR="00C73950" w:rsidRPr="00B37D36" w:rsidRDefault="007A5F0A" w:rsidP="00A15B0E">
            <w:pPr>
              <w:pStyle w:val="Heading3"/>
              <w:jc w:val="left"/>
              <w:outlineLvl w:val="2"/>
              <w:cnfStyle w:val="100000000000" w:firstRow="1" w:lastRow="0" w:firstColumn="0" w:lastColumn="0" w:oddVBand="0" w:evenVBand="0" w:oddHBand="0" w:evenHBand="0" w:firstRowFirstColumn="0" w:firstRowLastColumn="0" w:lastRowFirstColumn="0" w:lastRowLastColumn="0"/>
              <w:rPr>
                <w:b/>
                <w:i w:val="0"/>
                <w:color w:val="FFFFFF" w:themeColor="background1"/>
                <w:sz w:val="22"/>
              </w:rPr>
            </w:pPr>
            <w:r w:rsidRPr="00B37D36">
              <w:rPr>
                <w:b/>
                <w:i w:val="0"/>
                <w:color w:val="FFFFFF" w:themeColor="background1"/>
                <w:sz w:val="22"/>
              </w:rPr>
              <w:t>Evidence (</w:t>
            </w:r>
            <w:r w:rsidR="00A15B0E">
              <w:rPr>
                <w:b/>
                <w:i w:val="0"/>
                <w:color w:val="FFFFFF" w:themeColor="background1"/>
                <w:sz w:val="22"/>
              </w:rPr>
              <w:t>p</w:t>
            </w:r>
            <w:r w:rsidRPr="00B37D36">
              <w:rPr>
                <w:b/>
                <w:i w:val="0"/>
                <w:color w:val="FFFFFF" w:themeColor="background1"/>
                <w:sz w:val="22"/>
              </w:rPr>
              <w:t>erformance in 2018</w:t>
            </w:r>
            <w:r w:rsidR="00A15B0E">
              <w:rPr>
                <w:b/>
                <w:i w:val="0"/>
                <w:color w:val="FFFFFF" w:themeColor="background1"/>
                <w:sz w:val="22"/>
              </w:rPr>
              <w:t>–</w:t>
            </w:r>
            <w:r w:rsidRPr="00B37D36">
              <w:rPr>
                <w:b/>
                <w:i w:val="0"/>
                <w:color w:val="FFFFFF" w:themeColor="background1"/>
                <w:sz w:val="22"/>
              </w:rPr>
              <w:t>19</w:t>
            </w:r>
            <w:r w:rsidR="00C73950" w:rsidRPr="00B37D36">
              <w:rPr>
                <w:b/>
                <w:i w:val="0"/>
                <w:color w:val="FFFFFF" w:themeColor="background1"/>
                <w:sz w:val="22"/>
              </w:rPr>
              <w:t>)</w:t>
            </w:r>
          </w:p>
        </w:tc>
      </w:tr>
      <w:tr w:rsidR="00C73950" w:rsidRPr="00B37D36" w14:paraId="0A7B38B0" w14:textId="77777777" w:rsidTr="00BA1292">
        <w:trPr>
          <w:cantSplit/>
          <w:trHeight w:val="2242"/>
        </w:trPr>
        <w:tc>
          <w:tcPr>
            <w:cnfStyle w:val="001000000000" w:firstRow="0" w:lastRow="0" w:firstColumn="1" w:lastColumn="0" w:oddVBand="0" w:evenVBand="0" w:oddHBand="0" w:evenHBand="0" w:firstRowFirstColumn="0" w:firstRowLastColumn="0" w:lastRowFirstColumn="0" w:lastRowLastColumn="0"/>
            <w:tcW w:w="2500" w:type="pct"/>
            <w:vAlign w:val="top"/>
          </w:tcPr>
          <w:p w14:paraId="663B3ECD" w14:textId="77777777" w:rsidR="00C73950" w:rsidRPr="00B37D36" w:rsidRDefault="00C73950" w:rsidP="00B37D36">
            <w:pPr>
              <w:pStyle w:val="Tabletext"/>
              <w:jc w:val="left"/>
            </w:pPr>
            <w:r w:rsidRPr="00B37D36">
              <w:t>PI 6.1 Feedback from licence holders is encouraged and feedback received is positive, constructive and drives improvement.</w:t>
            </w:r>
          </w:p>
          <w:p w14:paraId="7EE0B14F" w14:textId="04574842" w:rsidR="00C73950" w:rsidRPr="00B37D36" w:rsidRDefault="00C73950" w:rsidP="00427228">
            <w:pPr>
              <w:pStyle w:val="Tabletext"/>
              <w:spacing w:before="120"/>
              <w:jc w:val="left"/>
              <w:rPr>
                <w:b w:val="0"/>
              </w:rPr>
            </w:pPr>
            <w:r w:rsidRPr="00B37D36">
              <w:rPr>
                <w:b w:val="0"/>
              </w:rPr>
              <w:t>Soon after the completion of an inspection, licence application, change request (</w:t>
            </w:r>
            <w:r w:rsidR="00004834" w:rsidRPr="00B37D36">
              <w:rPr>
                <w:b w:val="0"/>
              </w:rPr>
              <w:t>section 63 of the Regulations</w:t>
            </w:r>
            <w:r w:rsidRPr="00B37D36">
              <w:rPr>
                <w:b w:val="0"/>
              </w:rPr>
              <w:t xml:space="preserve">) or construction request </w:t>
            </w:r>
            <w:r w:rsidR="00004834" w:rsidRPr="00B37D36">
              <w:rPr>
                <w:b w:val="0"/>
              </w:rPr>
              <w:t xml:space="preserve">for an item important for safety </w:t>
            </w:r>
            <w:r w:rsidRPr="00B37D36">
              <w:rPr>
                <w:b w:val="0"/>
              </w:rPr>
              <w:t>(</w:t>
            </w:r>
            <w:r w:rsidR="00004834" w:rsidRPr="00B37D36">
              <w:rPr>
                <w:b w:val="0"/>
              </w:rPr>
              <w:t>section 66 of the Regulations</w:t>
            </w:r>
            <w:r w:rsidRPr="00B37D36">
              <w:rPr>
                <w:b w:val="0"/>
              </w:rPr>
              <w:t>), the Office of the CEO will administer a survey independent of the Regulatory Services Branch, to ask for feedback on the service provided. The options for response from the licence holder range from ‘strongly agree’ to ‘strongly disagree’.</w:t>
            </w:r>
          </w:p>
          <w:p w14:paraId="0CFF2388" w14:textId="77777777" w:rsidR="00C73950" w:rsidRPr="00B37D36" w:rsidRDefault="00C73950" w:rsidP="00B37D36">
            <w:pPr>
              <w:pStyle w:val="Tabletext"/>
              <w:jc w:val="left"/>
              <w:rPr>
                <w:b w:val="0"/>
              </w:rPr>
            </w:pPr>
            <w:r w:rsidRPr="00B37D36">
              <w:rPr>
                <w:b w:val="0"/>
              </w:rPr>
              <w:t xml:space="preserve">A survey score is used to trend ARPANSA’s performance [Quantitative]. </w:t>
            </w:r>
          </w:p>
          <w:p w14:paraId="773B3EE0" w14:textId="7136D79E" w:rsidR="00C73950" w:rsidRPr="00B37D36" w:rsidRDefault="00C73950" w:rsidP="00B37D36">
            <w:pPr>
              <w:pStyle w:val="Tabletext"/>
              <w:jc w:val="left"/>
            </w:pPr>
            <w:r w:rsidRPr="00B37D36">
              <w:rPr>
                <w:b w:val="0"/>
              </w:rPr>
              <w:t xml:space="preserve">The survey format provides the opportunity to add specific comments on the service provided. Feedback is an opportunity to identify improvements and enhance consistency of good practices. ARPANSA will analyse results to help gauge how effective regulatory staff </w:t>
            </w:r>
            <w:r w:rsidR="00004834" w:rsidRPr="00B37D36">
              <w:rPr>
                <w:b w:val="0"/>
              </w:rPr>
              <w:t>are</w:t>
            </w:r>
            <w:r w:rsidRPr="00B37D36">
              <w:rPr>
                <w:b w:val="0"/>
              </w:rPr>
              <w:t xml:space="preserve"> in putting the six KPIs into practice [Qualitative].</w:t>
            </w:r>
          </w:p>
        </w:tc>
        <w:tc>
          <w:tcPr>
            <w:tcW w:w="2500" w:type="pct"/>
            <w:vAlign w:val="top"/>
          </w:tcPr>
          <w:p w14:paraId="6FDF79FF" w14:textId="33D68F2C" w:rsidR="00F72BB7" w:rsidRPr="00B37D36" w:rsidRDefault="00B37D36" w:rsidP="00B37D36">
            <w:pPr>
              <w:pStyle w:val="Tabletext"/>
              <w:jc w:val="left"/>
              <w:cnfStyle w:val="000000000000" w:firstRow="0" w:lastRow="0" w:firstColumn="0" w:lastColumn="0" w:oddVBand="0" w:evenVBand="0" w:oddHBand="0" w:evenHBand="0" w:firstRowFirstColumn="0" w:firstRowLastColumn="0" w:lastRowFirstColumn="0" w:lastRowLastColumn="0"/>
              <w:rPr>
                <w:rFonts w:ascii="Calibri" w:hAnsi="Calibri"/>
                <w:b/>
              </w:rPr>
            </w:pPr>
            <w:r>
              <w:rPr>
                <w:rFonts w:ascii="Calibri" w:hAnsi="Calibri"/>
                <w:b/>
              </w:rPr>
              <w:t xml:space="preserve">Target </w:t>
            </w:r>
            <w:r w:rsidR="00A15B0E">
              <w:rPr>
                <w:rFonts w:ascii="Calibri" w:hAnsi="Calibri"/>
                <w:b/>
              </w:rPr>
              <w:t>m</w:t>
            </w:r>
            <w:r>
              <w:rPr>
                <w:rFonts w:ascii="Calibri" w:hAnsi="Calibri"/>
                <w:b/>
              </w:rPr>
              <w:t>et</w:t>
            </w:r>
          </w:p>
          <w:p w14:paraId="5F6FD59A" w14:textId="1D8AC12B" w:rsidR="00B47748" w:rsidRPr="00B37D36" w:rsidRDefault="00CF6219" w:rsidP="00427228">
            <w:pPr>
              <w:pStyle w:val="Tabletext"/>
              <w:spacing w:before="120"/>
              <w:jc w:val="left"/>
              <w:cnfStyle w:val="000000000000" w:firstRow="0" w:lastRow="0" w:firstColumn="0" w:lastColumn="0" w:oddVBand="0" w:evenVBand="0" w:oddHBand="0" w:evenHBand="0" w:firstRowFirstColumn="0" w:firstRowLastColumn="0" w:lastRowFirstColumn="0" w:lastRowLastColumn="0"/>
              <w:rPr>
                <w:rFonts w:ascii="Calibri" w:hAnsi="Calibri"/>
              </w:rPr>
            </w:pPr>
            <w:r>
              <w:rPr>
                <w:rFonts w:ascii="Calibri" w:hAnsi="Calibri"/>
              </w:rPr>
              <w:t xml:space="preserve">A total of </w:t>
            </w:r>
            <w:r w:rsidR="00B47748" w:rsidRPr="00B37D36">
              <w:rPr>
                <w:rFonts w:ascii="Calibri" w:hAnsi="Calibri"/>
              </w:rPr>
              <w:t xml:space="preserve">36 </w:t>
            </w:r>
            <w:r>
              <w:rPr>
                <w:rFonts w:ascii="Calibri" w:hAnsi="Calibri"/>
              </w:rPr>
              <w:t>p</w:t>
            </w:r>
            <w:r w:rsidR="00B47748" w:rsidRPr="00B37D36">
              <w:rPr>
                <w:rFonts w:ascii="Calibri" w:hAnsi="Calibri"/>
              </w:rPr>
              <w:t>ost</w:t>
            </w:r>
            <w:r w:rsidR="00530364">
              <w:rPr>
                <w:rFonts w:ascii="Calibri" w:hAnsi="Calibri"/>
              </w:rPr>
              <w:t>-</w:t>
            </w:r>
            <w:r w:rsidR="00B47748" w:rsidRPr="00B37D36">
              <w:rPr>
                <w:rFonts w:ascii="Calibri" w:hAnsi="Calibri"/>
              </w:rPr>
              <w:t>inspection surveys were received, with an average overall satisfaction score of 87%</w:t>
            </w:r>
            <w:r w:rsidR="00F72BB7" w:rsidRPr="00B37D36">
              <w:rPr>
                <w:rFonts w:ascii="Calibri" w:hAnsi="Calibri"/>
              </w:rPr>
              <w:t>.</w:t>
            </w:r>
            <w:r w:rsidR="00413FA6" w:rsidRPr="00B37D36">
              <w:rPr>
                <w:rFonts w:ascii="Calibri" w:eastAsia="Calibri" w:hAnsi="Calibri" w:cs="Calibri"/>
              </w:rPr>
              <w:t xml:space="preserve"> This is consistent with previous </w:t>
            </w:r>
            <w:r w:rsidR="00B74605" w:rsidRPr="00B37D36">
              <w:rPr>
                <w:rFonts w:ascii="Calibri" w:eastAsia="Calibri" w:hAnsi="Calibri" w:cs="Calibri"/>
              </w:rPr>
              <w:t>year’s</w:t>
            </w:r>
            <w:r w:rsidR="00413FA6" w:rsidRPr="00B37D36">
              <w:rPr>
                <w:rFonts w:ascii="Calibri" w:eastAsia="Calibri" w:hAnsi="Calibri" w:cs="Calibri"/>
              </w:rPr>
              <w:t xml:space="preserve"> </w:t>
            </w:r>
            <w:r w:rsidR="00B74605" w:rsidRPr="00B37D36">
              <w:rPr>
                <w:rFonts w:ascii="Calibri" w:eastAsia="Calibri" w:hAnsi="Calibri" w:cs="Calibri"/>
              </w:rPr>
              <w:t xml:space="preserve">results </w:t>
            </w:r>
            <w:r w:rsidR="00413FA6" w:rsidRPr="00B37D36">
              <w:rPr>
                <w:rFonts w:ascii="Calibri" w:eastAsia="Calibri" w:hAnsi="Calibri" w:cs="Calibri"/>
              </w:rPr>
              <w:t>of 87%, and 88%.</w:t>
            </w:r>
          </w:p>
          <w:p w14:paraId="3A0EA8BE" w14:textId="699E2E81" w:rsidR="00F72BB7" w:rsidRPr="00B37D36" w:rsidRDefault="00CF6219" w:rsidP="00B37D36">
            <w:pPr>
              <w:pStyle w:val="Tabletext"/>
              <w:jc w:val="left"/>
              <w:cnfStyle w:val="000000000000" w:firstRow="0" w:lastRow="0" w:firstColumn="0" w:lastColumn="0" w:oddVBand="0" w:evenVBand="0" w:oddHBand="0" w:evenHBand="0" w:firstRowFirstColumn="0" w:firstRowLastColumn="0" w:lastRowFirstColumn="0" w:lastRowLastColumn="0"/>
            </w:pPr>
            <w:r>
              <w:t>Four</w:t>
            </w:r>
            <w:r w:rsidR="00F72BB7" w:rsidRPr="00B37D36">
              <w:t xml:space="preserve"> post</w:t>
            </w:r>
            <w:r w:rsidR="00582A92">
              <w:t>-</w:t>
            </w:r>
            <w:r w:rsidR="00F72BB7" w:rsidRPr="00B37D36">
              <w:t>assessment surveys were received</w:t>
            </w:r>
            <w:r w:rsidR="00F72BB7" w:rsidRPr="00B37D36">
              <w:rPr>
                <w:rFonts w:ascii="Calibri" w:hAnsi="Calibri"/>
              </w:rPr>
              <w:t>, with an average overall satisfaction score of</w:t>
            </w:r>
            <w:r w:rsidR="00F72BB7" w:rsidRPr="00B37D36">
              <w:t xml:space="preserve"> 86%.</w:t>
            </w:r>
            <w:r w:rsidR="00B74605" w:rsidRPr="00B37D36">
              <w:t xml:space="preserve"> This the first year this measure has been used.</w:t>
            </w:r>
          </w:p>
          <w:p w14:paraId="7D1785F6" w14:textId="6C324AD4" w:rsidR="00C73950" w:rsidRPr="00B37D36" w:rsidRDefault="00F72BB7" w:rsidP="00B37D36">
            <w:pPr>
              <w:pStyle w:val="Tabletext"/>
              <w:jc w:val="left"/>
              <w:cnfStyle w:val="000000000000" w:firstRow="0" w:lastRow="0" w:firstColumn="0" w:lastColumn="0" w:oddVBand="0" w:evenVBand="0" w:oddHBand="0" w:evenHBand="0" w:firstRowFirstColumn="0" w:firstRowLastColumn="0" w:lastRowFirstColumn="0" w:lastRowLastColumn="0"/>
            </w:pPr>
            <w:r w:rsidRPr="00B37D36">
              <w:rPr>
                <w:rFonts w:ascii="Calibri" w:hAnsi="Calibri"/>
              </w:rPr>
              <w:t xml:space="preserve">The comments are also analysed for improvement opportunities. </w:t>
            </w:r>
            <w:r w:rsidR="00B47748" w:rsidRPr="00B37D36">
              <w:rPr>
                <w:rFonts w:ascii="Calibri" w:hAnsi="Calibri"/>
              </w:rPr>
              <w:t>The</w:t>
            </w:r>
            <w:r w:rsidR="005745AE" w:rsidRPr="00B37D36">
              <w:rPr>
                <w:rFonts w:ascii="Calibri" w:hAnsi="Calibri"/>
              </w:rPr>
              <w:t xml:space="preserve"> </w:t>
            </w:r>
            <w:r w:rsidR="007C61D7" w:rsidRPr="00B37D36">
              <w:rPr>
                <w:rFonts w:ascii="Calibri" w:hAnsi="Calibri"/>
              </w:rPr>
              <w:t>comments</w:t>
            </w:r>
            <w:r w:rsidR="005745AE" w:rsidRPr="00B37D36">
              <w:rPr>
                <w:rFonts w:ascii="Calibri" w:hAnsi="Calibri"/>
              </w:rPr>
              <w:t xml:space="preserve"> received</w:t>
            </w:r>
            <w:r w:rsidR="00B47748" w:rsidRPr="00B37D36">
              <w:rPr>
                <w:rFonts w:ascii="Calibri" w:hAnsi="Calibri"/>
              </w:rPr>
              <w:t xml:space="preserve"> </w:t>
            </w:r>
            <w:r w:rsidR="007C61D7" w:rsidRPr="00B37D36">
              <w:rPr>
                <w:rFonts w:ascii="Calibri" w:hAnsi="Calibri"/>
              </w:rPr>
              <w:t>indicate</w:t>
            </w:r>
            <w:r w:rsidR="005745AE" w:rsidRPr="00B37D36">
              <w:rPr>
                <w:rFonts w:ascii="Calibri" w:hAnsi="Calibri"/>
              </w:rPr>
              <w:t xml:space="preserve"> </w:t>
            </w:r>
            <w:r w:rsidR="00927F84" w:rsidRPr="00B37D36">
              <w:rPr>
                <w:rFonts w:ascii="Calibri" w:eastAsia="Calibri" w:hAnsi="Calibri" w:cs="Calibri"/>
              </w:rPr>
              <w:t>a</w:t>
            </w:r>
            <w:r w:rsidR="007C61D7" w:rsidRPr="00B37D36">
              <w:rPr>
                <w:rFonts w:ascii="Calibri" w:eastAsia="Calibri" w:hAnsi="Calibri" w:cs="Calibri"/>
              </w:rPr>
              <w:t>n</w:t>
            </w:r>
            <w:r w:rsidR="007C61D7" w:rsidRPr="00B37D36">
              <w:rPr>
                <w:rFonts w:ascii="Calibri" w:hAnsi="Calibri"/>
              </w:rPr>
              <w:t xml:space="preserve"> overall </w:t>
            </w:r>
            <w:r w:rsidR="00B47748" w:rsidRPr="00B37D36">
              <w:rPr>
                <w:rFonts w:ascii="Calibri" w:hAnsi="Calibri"/>
              </w:rPr>
              <w:t xml:space="preserve">positive </w:t>
            </w:r>
            <w:r w:rsidR="005745AE" w:rsidRPr="00B37D36">
              <w:rPr>
                <w:rFonts w:ascii="Calibri" w:hAnsi="Calibri"/>
              </w:rPr>
              <w:t xml:space="preserve">perception </w:t>
            </w:r>
            <w:r w:rsidR="00B47748" w:rsidRPr="00B37D36">
              <w:rPr>
                <w:rFonts w:ascii="Calibri" w:hAnsi="Calibri"/>
              </w:rPr>
              <w:t xml:space="preserve">of the delivery of regulatory </w:t>
            </w:r>
            <w:r w:rsidR="00B47748" w:rsidRPr="00B37D36">
              <w:rPr>
                <w:rFonts w:ascii="Calibri" w:eastAsia="Calibri" w:hAnsi="Calibri" w:cs="Calibri"/>
              </w:rPr>
              <w:t>service</w:t>
            </w:r>
            <w:r w:rsidR="00927F84" w:rsidRPr="00B37D36">
              <w:rPr>
                <w:rFonts w:ascii="Calibri" w:eastAsia="Calibri" w:hAnsi="Calibri" w:cs="Calibri"/>
              </w:rPr>
              <w:t>s</w:t>
            </w:r>
            <w:r w:rsidR="00B47748" w:rsidRPr="00B37D36">
              <w:rPr>
                <w:rFonts w:ascii="Calibri" w:hAnsi="Calibri"/>
              </w:rPr>
              <w:t>.</w:t>
            </w:r>
          </w:p>
        </w:tc>
      </w:tr>
      <w:tr w:rsidR="00C73950" w:rsidRPr="00B37D36" w14:paraId="55E035AC" w14:textId="77777777" w:rsidTr="00BA1292">
        <w:trPr>
          <w:cantSplit/>
          <w:trHeight w:val="2243"/>
        </w:trPr>
        <w:tc>
          <w:tcPr>
            <w:cnfStyle w:val="001000000000" w:firstRow="0" w:lastRow="0" w:firstColumn="1" w:lastColumn="0" w:oddVBand="0" w:evenVBand="0" w:oddHBand="0" w:evenHBand="0" w:firstRowFirstColumn="0" w:firstRowLastColumn="0" w:lastRowFirstColumn="0" w:lastRowLastColumn="0"/>
            <w:tcW w:w="2500" w:type="pct"/>
            <w:vAlign w:val="top"/>
          </w:tcPr>
          <w:p w14:paraId="132C4447" w14:textId="5BDEFFAB" w:rsidR="00C73950" w:rsidRPr="00B37D36" w:rsidRDefault="00C73950" w:rsidP="00104B1D">
            <w:pPr>
              <w:spacing w:before="60"/>
              <w:jc w:val="left"/>
              <w:rPr>
                <w:b w:val="0"/>
              </w:rPr>
            </w:pPr>
            <w:r w:rsidRPr="00B37D36">
              <w:lastRenderedPageBreak/>
              <w:t xml:space="preserve">PI 6.2 - Improvements identified through internal or external reviews, self-assessment or feedback, are implemented effectively. </w:t>
            </w:r>
          </w:p>
          <w:p w14:paraId="244407E6" w14:textId="77777777" w:rsidR="00C73950" w:rsidRPr="00B37D36" w:rsidRDefault="00C73950" w:rsidP="00104B1D">
            <w:pPr>
              <w:spacing w:before="120"/>
              <w:jc w:val="left"/>
              <w:rPr>
                <w:b w:val="0"/>
              </w:rPr>
            </w:pPr>
            <w:r w:rsidRPr="00B37D36">
              <w:rPr>
                <w:b w:val="0"/>
              </w:rPr>
              <w:t xml:space="preserve">Areas for improvement in the regulatory framework can be identified via various routes such as annual self-assessments. Additional opportunities include internal procedure and policy reviews as part of the Regulatory Services Branch Quality Management System, staff suggestions, external audits of ARPANSA including international peer review missions, and stakeholder feedback from surveys and licence holder forums. </w:t>
            </w:r>
          </w:p>
          <w:p w14:paraId="1B18539C" w14:textId="60EFCD8E" w:rsidR="00C73950" w:rsidRPr="00B37D36" w:rsidRDefault="00C73950" w:rsidP="00BA1292">
            <w:pPr>
              <w:pStyle w:val="Tabletext"/>
              <w:jc w:val="left"/>
            </w:pPr>
            <w:r w:rsidRPr="00B37D36">
              <w:rPr>
                <w:b w:val="0"/>
              </w:rPr>
              <w:t>The number of regulatory improvements identified and implemented will measure ARPANSA’s actions to continuously improve the regulatory framework [Quantitative].</w:t>
            </w:r>
          </w:p>
        </w:tc>
        <w:tc>
          <w:tcPr>
            <w:tcW w:w="2500" w:type="pct"/>
            <w:vAlign w:val="top"/>
          </w:tcPr>
          <w:p w14:paraId="40A25D81" w14:textId="746AE8BF" w:rsidR="00C73950" w:rsidRPr="00B37D36" w:rsidRDefault="00F72BB7" w:rsidP="00BA1292">
            <w:pPr>
              <w:pStyle w:val="Tabletext"/>
              <w:jc w:val="left"/>
              <w:cnfStyle w:val="000000000000" w:firstRow="0" w:lastRow="0" w:firstColumn="0" w:lastColumn="0" w:oddVBand="0" w:evenVBand="0" w:oddHBand="0" w:evenHBand="0" w:firstRowFirstColumn="0" w:firstRowLastColumn="0" w:lastRowFirstColumn="0" w:lastRowLastColumn="0"/>
              <w:rPr>
                <w:b/>
              </w:rPr>
            </w:pPr>
            <w:r w:rsidRPr="00B37D36">
              <w:rPr>
                <w:b/>
              </w:rPr>
              <w:t xml:space="preserve">Target </w:t>
            </w:r>
            <w:r w:rsidR="00604C74">
              <w:rPr>
                <w:b/>
              </w:rPr>
              <w:t>m</w:t>
            </w:r>
            <w:r w:rsidR="00604C74" w:rsidRPr="00B37D36">
              <w:rPr>
                <w:b/>
              </w:rPr>
              <w:t>et</w:t>
            </w:r>
          </w:p>
          <w:p w14:paraId="7A9CF437" w14:textId="344991CA" w:rsidR="00B90E51" w:rsidRPr="00B37D36" w:rsidRDefault="004C7D75" w:rsidP="00BA1292">
            <w:pPr>
              <w:pStyle w:val="Tabletext"/>
              <w:spacing w:before="120"/>
              <w:jc w:val="left"/>
              <w:cnfStyle w:val="000000000000" w:firstRow="0" w:lastRow="0" w:firstColumn="0" w:lastColumn="0" w:oddVBand="0" w:evenVBand="0" w:oddHBand="0" w:evenHBand="0" w:firstRowFirstColumn="0" w:firstRowLastColumn="0" w:lastRowFirstColumn="0" w:lastRowLastColumn="0"/>
            </w:pPr>
            <w:r w:rsidRPr="00B37D36">
              <w:t xml:space="preserve">A list of potential improvements is maintained and updated as actions are completed. </w:t>
            </w:r>
            <w:r w:rsidR="00B90E51" w:rsidRPr="00B37D36">
              <w:t>Improvements implemented this financial year included:</w:t>
            </w:r>
          </w:p>
          <w:p w14:paraId="19101773" w14:textId="11C1584D" w:rsidR="00B90E51" w:rsidRPr="00B37D36" w:rsidRDefault="00AB1C33" w:rsidP="00BA1292">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pPr>
            <w:r>
              <w:t>t</w:t>
            </w:r>
            <w:r w:rsidR="00B90E51" w:rsidRPr="00B37D36">
              <w:t>wo changes made to the LAD database to enhance application and non-compliance management</w:t>
            </w:r>
          </w:p>
          <w:p w14:paraId="6B71549A" w14:textId="640ADF93" w:rsidR="00B90E51" w:rsidRPr="00B37D36" w:rsidRDefault="00AB1C33" w:rsidP="00BA1292">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pPr>
            <w:r>
              <w:t>e</w:t>
            </w:r>
            <w:r w:rsidR="00B90E51" w:rsidRPr="00B37D36">
              <w:t>nhanced transparency by publishing the manuals for assessment, inspection and enforcement on the website</w:t>
            </w:r>
          </w:p>
          <w:p w14:paraId="2588C076" w14:textId="102FFC99" w:rsidR="00B90E51" w:rsidRPr="00B37D36" w:rsidRDefault="00AB1C33" w:rsidP="00BA1292">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pPr>
            <w:r>
              <w:t>i</w:t>
            </w:r>
            <w:r w:rsidR="00B90E51" w:rsidRPr="00B37D36">
              <w:t xml:space="preserve">mproved efficiency of </w:t>
            </w:r>
            <w:r w:rsidR="00927F84" w:rsidRPr="00B37D36">
              <w:t xml:space="preserve">the </w:t>
            </w:r>
            <w:r w:rsidR="00B90E51" w:rsidRPr="00B37D36">
              <w:t>annual cost charging process and integration with finance.</w:t>
            </w:r>
          </w:p>
          <w:p w14:paraId="3DC2B349" w14:textId="1EAA4FB5" w:rsidR="00F72BB7" w:rsidRPr="00B37D36" w:rsidRDefault="00B90E51" w:rsidP="00BA1292">
            <w:pPr>
              <w:pStyle w:val="Tabletext"/>
              <w:jc w:val="left"/>
              <w:cnfStyle w:val="000000000000" w:firstRow="0" w:lastRow="0" w:firstColumn="0" w:lastColumn="0" w:oddVBand="0" w:evenVBand="0" w:oddHBand="0" w:evenHBand="0" w:firstRowFirstColumn="0" w:firstRowLastColumn="0" w:lastRowFirstColumn="0" w:lastRowLastColumn="0"/>
            </w:pPr>
            <w:r w:rsidRPr="00B37D36">
              <w:t>R</w:t>
            </w:r>
            <w:r w:rsidR="00F72BB7" w:rsidRPr="00B37D36">
              <w:t xml:space="preserve">eviews </w:t>
            </w:r>
            <w:r w:rsidRPr="00B37D36">
              <w:t xml:space="preserve">in this period </w:t>
            </w:r>
            <w:r w:rsidR="00F72BB7" w:rsidRPr="00B37D36">
              <w:t>have included:</w:t>
            </w:r>
          </w:p>
          <w:p w14:paraId="7164DB3F" w14:textId="1BFA262B" w:rsidR="00F72BB7" w:rsidRPr="00B37D36" w:rsidRDefault="00AB1C33" w:rsidP="00BA1292">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pPr>
            <w:r>
              <w:t xml:space="preserve">an </w:t>
            </w:r>
            <w:r w:rsidR="00F72BB7" w:rsidRPr="00B37D36">
              <w:t xml:space="preserve">Integrated Regulatory Review Service </w:t>
            </w:r>
            <w:r w:rsidR="00B90E51" w:rsidRPr="00B37D36">
              <w:t>mission in November 2018</w:t>
            </w:r>
          </w:p>
          <w:p w14:paraId="453BF706" w14:textId="4868F2B6" w:rsidR="00F72BB7" w:rsidRPr="00B37D36" w:rsidRDefault="00AB1C33" w:rsidP="00BA1292">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pPr>
            <w:r>
              <w:t>a</w:t>
            </w:r>
            <w:r w:rsidR="00F72BB7" w:rsidRPr="00B37D36">
              <w:t xml:space="preserve"> safety culture assessment of regulatory functions</w:t>
            </w:r>
            <w:r w:rsidR="00B90E51" w:rsidRPr="00B37D36">
              <w:t xml:space="preserve"> in</w:t>
            </w:r>
            <w:r w:rsidR="00F72BB7" w:rsidRPr="00B37D36">
              <w:t xml:space="preserve"> </w:t>
            </w:r>
            <w:r w:rsidR="00B90E51" w:rsidRPr="00B37D36">
              <w:t>early 2019</w:t>
            </w:r>
            <w:r w:rsidR="00F72BB7" w:rsidRPr="00B37D36">
              <w:t xml:space="preserve"> </w:t>
            </w:r>
          </w:p>
          <w:p w14:paraId="318BA4A8" w14:textId="4F46BAFF" w:rsidR="00F72BB7" w:rsidRPr="00B37D36" w:rsidRDefault="00AB1C33" w:rsidP="00BA1292">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pPr>
            <w:r>
              <w:t>an i</w:t>
            </w:r>
            <w:r w:rsidR="00B90E51" w:rsidRPr="00B37D36">
              <w:t>nternal audit of t</w:t>
            </w:r>
            <w:r w:rsidR="00F72BB7" w:rsidRPr="00B37D36">
              <w:t xml:space="preserve">he management system in March </w:t>
            </w:r>
            <w:r w:rsidR="00B90E51" w:rsidRPr="00B37D36">
              <w:t>2019</w:t>
            </w:r>
          </w:p>
          <w:p w14:paraId="42B2868A" w14:textId="6780A492" w:rsidR="00F72BB7" w:rsidRPr="00B37D36" w:rsidRDefault="00AB1C33" w:rsidP="00BA1292">
            <w:pPr>
              <w:pStyle w:val="Tabletext"/>
              <w:numPr>
                <w:ilvl w:val="0"/>
                <w:numId w:val="22"/>
              </w:numPr>
              <w:jc w:val="left"/>
              <w:cnfStyle w:val="000000000000" w:firstRow="0" w:lastRow="0" w:firstColumn="0" w:lastColumn="0" w:oddVBand="0" w:evenVBand="0" w:oddHBand="0" w:evenHBand="0" w:firstRowFirstColumn="0" w:firstRowLastColumn="0" w:lastRowFirstColumn="0" w:lastRowLastColumn="0"/>
            </w:pPr>
            <w:r>
              <w:t>t</w:t>
            </w:r>
            <w:r w:rsidR="00F72BB7" w:rsidRPr="00B37D36">
              <w:t>he Regulatory Performance Framework review in July 2019</w:t>
            </w:r>
            <w:r w:rsidR="00B90E51" w:rsidRPr="00B37D36">
              <w:t>.</w:t>
            </w:r>
          </w:p>
        </w:tc>
      </w:tr>
      <w:tr w:rsidR="00C73950" w:rsidRPr="00B37D36" w14:paraId="0744C9AF" w14:textId="77777777" w:rsidTr="00D63C9F">
        <w:trPr>
          <w:cantSplit/>
          <w:trHeight w:val="2243"/>
        </w:trPr>
        <w:tc>
          <w:tcPr>
            <w:cnfStyle w:val="001000000000" w:firstRow="0" w:lastRow="0" w:firstColumn="1" w:lastColumn="0" w:oddVBand="0" w:evenVBand="0" w:oddHBand="0" w:evenHBand="0" w:firstRowFirstColumn="0" w:firstRowLastColumn="0" w:lastRowFirstColumn="0" w:lastRowLastColumn="0"/>
            <w:tcW w:w="2500" w:type="pct"/>
            <w:tcBorders>
              <w:bottom w:val="single" w:sz="18" w:space="0" w:color="auto"/>
            </w:tcBorders>
            <w:vAlign w:val="top"/>
          </w:tcPr>
          <w:p w14:paraId="1E471597" w14:textId="7CA4020D" w:rsidR="00C73950" w:rsidRPr="00B37D36" w:rsidRDefault="00C73950" w:rsidP="00BA1292">
            <w:pPr>
              <w:jc w:val="left"/>
            </w:pPr>
            <w:r w:rsidRPr="00B37D36">
              <w:t>PI 6.3 - Promote the use of international best practice across Australia.</w:t>
            </w:r>
          </w:p>
          <w:p w14:paraId="31F8243F" w14:textId="2813FA34" w:rsidR="00C73950" w:rsidRPr="00B37D36" w:rsidRDefault="00C73950" w:rsidP="00104B1D">
            <w:pPr>
              <w:spacing w:before="120"/>
              <w:jc w:val="left"/>
              <w:rPr>
                <w:b w:val="0"/>
              </w:rPr>
            </w:pPr>
            <w:r w:rsidRPr="00B37D36">
              <w:rPr>
                <w:b w:val="0"/>
              </w:rPr>
              <w:t>ARPANSA’s regulatory activities should meet national and international standards of good practice. To achieve this, ARPANSA will co-operate with national and international bodies in the development of best practice radiation regulation including in the development of international standards and recommendations [Qualitative].</w:t>
            </w:r>
          </w:p>
        </w:tc>
        <w:tc>
          <w:tcPr>
            <w:tcW w:w="2500" w:type="pct"/>
            <w:tcBorders>
              <w:bottom w:val="single" w:sz="18" w:space="0" w:color="auto"/>
            </w:tcBorders>
            <w:vAlign w:val="top"/>
          </w:tcPr>
          <w:p w14:paraId="5E3D2193" w14:textId="4D36705F" w:rsidR="00D966EE" w:rsidRPr="00B37D36" w:rsidRDefault="00D966EE" w:rsidP="00BA1292">
            <w:pPr>
              <w:pStyle w:val="Tabletext"/>
              <w:jc w:val="left"/>
              <w:cnfStyle w:val="000000000000" w:firstRow="0" w:lastRow="0" w:firstColumn="0" w:lastColumn="0" w:oddVBand="0" w:evenVBand="0" w:oddHBand="0" w:evenHBand="0" w:firstRowFirstColumn="0" w:firstRowLastColumn="0" w:lastRowFirstColumn="0" w:lastRowLastColumn="0"/>
              <w:rPr>
                <w:b/>
              </w:rPr>
            </w:pPr>
            <w:r w:rsidRPr="00B37D36">
              <w:rPr>
                <w:b/>
              </w:rPr>
              <w:t xml:space="preserve">Target </w:t>
            </w:r>
            <w:r w:rsidR="00BB3B54">
              <w:rPr>
                <w:b/>
              </w:rPr>
              <w:t>m</w:t>
            </w:r>
            <w:r w:rsidRPr="00B37D36">
              <w:rPr>
                <w:b/>
              </w:rPr>
              <w:t>et</w:t>
            </w:r>
          </w:p>
          <w:p w14:paraId="28A05AAD" w14:textId="41BE1D1B" w:rsidR="00C73950" w:rsidRPr="00B37D36" w:rsidRDefault="00B90E51" w:rsidP="00104B1D">
            <w:pPr>
              <w:pStyle w:val="Tabletext"/>
              <w:spacing w:before="120"/>
              <w:jc w:val="left"/>
              <w:cnfStyle w:val="000000000000" w:firstRow="0" w:lastRow="0" w:firstColumn="0" w:lastColumn="0" w:oddVBand="0" w:evenVBand="0" w:oddHBand="0" w:evenHBand="0" w:firstRowFirstColumn="0" w:firstRowLastColumn="0" w:lastRowFirstColumn="0" w:lastRowLastColumn="0"/>
            </w:pPr>
            <w:r w:rsidRPr="00B37D36">
              <w:t xml:space="preserve">ARPANSA demonstrated strong international engagement including working with </w:t>
            </w:r>
            <w:r w:rsidR="00D966EE" w:rsidRPr="00B37D36">
              <w:t>international regulators, IAEA standards committees, and participation in IRRS missions.</w:t>
            </w:r>
          </w:p>
          <w:p w14:paraId="17934182" w14:textId="77AD2BAA" w:rsidR="00D966EE" w:rsidRPr="00B37D36" w:rsidRDefault="00D966EE" w:rsidP="00BA1292">
            <w:pPr>
              <w:pStyle w:val="Tabletext"/>
              <w:jc w:val="left"/>
              <w:cnfStyle w:val="000000000000" w:firstRow="0" w:lastRow="0" w:firstColumn="0" w:lastColumn="0" w:oddVBand="0" w:evenVBand="0" w:oddHBand="0" w:evenHBand="0" w:firstRowFirstColumn="0" w:firstRowLastColumn="0" w:lastRowFirstColumn="0" w:lastRowLastColumn="0"/>
              <w:rPr>
                <w:rFonts w:ascii="Calibri" w:hAnsi="Calibri"/>
              </w:rPr>
            </w:pPr>
            <w:r w:rsidRPr="00B37D36">
              <w:t xml:space="preserve">ARPANSA promoted best practice across Australia through </w:t>
            </w:r>
            <w:r w:rsidR="002052E6" w:rsidRPr="00B37D36">
              <w:t xml:space="preserve">the Radiation Health Committee and </w:t>
            </w:r>
            <w:r w:rsidRPr="00B37D36">
              <w:t xml:space="preserve">initiatives such as </w:t>
            </w:r>
            <w:r w:rsidR="00433B58" w:rsidRPr="00B37D36">
              <w:t xml:space="preserve">the </w:t>
            </w:r>
            <w:r w:rsidRPr="00B37D36">
              <w:t xml:space="preserve">Radiation Regulators Network, </w:t>
            </w:r>
            <w:r w:rsidR="00433B58" w:rsidRPr="00B37D36">
              <w:t xml:space="preserve">the </w:t>
            </w:r>
            <w:r w:rsidR="0046213C" w:rsidRPr="00B37D36">
              <w:t xml:space="preserve">Australian National </w:t>
            </w:r>
            <w:r w:rsidR="00433B58" w:rsidRPr="00B37D36">
              <w:t xml:space="preserve">Radiation </w:t>
            </w:r>
            <w:r w:rsidR="0046213C" w:rsidRPr="00B37D36">
              <w:t xml:space="preserve">Dose Register, </w:t>
            </w:r>
            <w:r w:rsidR="00433B58" w:rsidRPr="00B37D36">
              <w:t xml:space="preserve">the Australian Radiation Incident Register </w:t>
            </w:r>
            <w:r w:rsidRPr="00B37D36">
              <w:t xml:space="preserve">and working collaboratively with </w:t>
            </w:r>
            <w:r w:rsidR="00780930" w:rsidRPr="00B37D36">
              <w:t>the Environmental Health Standing Committee (enHealth), comprising senior health officials from all Australian jurisdictions and reporting to the Australian Health Protection Principal Committee (AHPPC)</w:t>
            </w:r>
            <w:r w:rsidRPr="00B37D36">
              <w:t>.</w:t>
            </w:r>
          </w:p>
        </w:tc>
      </w:tr>
      <w:tr w:rsidR="00BA1292" w:rsidRPr="00B37D36" w14:paraId="7798EEC9" w14:textId="77777777" w:rsidTr="00D63C9F">
        <w:trPr>
          <w:cantSplit/>
        </w:trPr>
        <w:tc>
          <w:tcPr>
            <w:cnfStyle w:val="001000000000" w:firstRow="0" w:lastRow="0" w:firstColumn="1" w:lastColumn="0" w:oddVBand="0" w:evenVBand="0" w:oddHBand="0" w:evenHBand="0" w:firstRowFirstColumn="0" w:firstRowLastColumn="0" w:lastRowFirstColumn="0" w:lastRowLastColumn="0"/>
            <w:tcW w:w="5000" w:type="pct"/>
            <w:gridSpan w:val="2"/>
            <w:tcBorders>
              <w:bottom w:val="single" w:sz="18" w:space="0" w:color="auto"/>
            </w:tcBorders>
            <w:shd w:val="clear" w:color="auto" w:fill="CDF1CD" w:themeFill="accent2" w:themeFillTint="33"/>
            <w:vAlign w:val="top"/>
          </w:tcPr>
          <w:p w14:paraId="63FCE2E2" w14:textId="20215BB2" w:rsidR="00BA1292" w:rsidRPr="00BA1292" w:rsidRDefault="00BA1292" w:rsidP="008740A2">
            <w:pPr>
              <w:spacing w:before="60"/>
              <w:jc w:val="left"/>
            </w:pPr>
            <w:r w:rsidRPr="00BA1292">
              <w:rPr>
                <w:b w:val="0"/>
              </w:rPr>
              <w:t>Self-assessed rating:</w:t>
            </w:r>
            <w:r>
              <w:t xml:space="preserve"> </w:t>
            </w:r>
            <w:r w:rsidRPr="00BA1292">
              <w:t>Met</w:t>
            </w:r>
          </w:p>
        </w:tc>
      </w:tr>
    </w:tbl>
    <w:p w14:paraId="0F681F95" w14:textId="371BC6EB" w:rsidR="000014D7" w:rsidRDefault="000014D7" w:rsidP="00F5034B">
      <w:pPr>
        <w:pStyle w:val="Heading3"/>
      </w:pPr>
    </w:p>
    <w:p w14:paraId="41741A86" w14:textId="77777777" w:rsidR="000014D7" w:rsidRDefault="000014D7">
      <w:pPr>
        <w:rPr>
          <w:rFonts w:eastAsiaTheme="majorEastAsia" w:cstheme="majorBidi"/>
          <w:b/>
          <w:bCs/>
          <w:i/>
          <w:color w:val="4E1A74"/>
          <w:sz w:val="24"/>
        </w:rPr>
      </w:pPr>
      <w:r>
        <w:br w:type="page"/>
      </w:r>
    </w:p>
    <w:p w14:paraId="37C5BC2A" w14:textId="28904357" w:rsidR="00F5034B" w:rsidRDefault="00F5034B" w:rsidP="00F5034B">
      <w:pPr>
        <w:pStyle w:val="Heading3"/>
      </w:pPr>
      <w:r>
        <w:lastRenderedPageBreak/>
        <w:t>Further evidence considered</w:t>
      </w:r>
    </w:p>
    <w:p w14:paraId="74872711" w14:textId="3C81C59A" w:rsidR="0034657C" w:rsidRPr="0030652D" w:rsidRDefault="0034657C">
      <w:pPr>
        <w:rPr>
          <w:rFonts w:cs="Times New Roman"/>
          <w:lang w:eastAsia="en-AU"/>
        </w:rPr>
      </w:pPr>
      <w:r w:rsidRPr="006868A0">
        <w:rPr>
          <w:rFonts w:cs="Times New Roman"/>
          <w:lang w:eastAsia="en-AU"/>
        </w:rPr>
        <w:t xml:space="preserve">ARPANSA has </w:t>
      </w:r>
      <w:r w:rsidR="00B90E51" w:rsidRPr="006868A0">
        <w:rPr>
          <w:rFonts w:cs="Times New Roman"/>
          <w:lang w:eastAsia="en-AU"/>
        </w:rPr>
        <w:t>strong</w:t>
      </w:r>
      <w:r w:rsidRPr="006868A0">
        <w:rPr>
          <w:rFonts w:cs="Times New Roman"/>
          <w:lang w:eastAsia="en-AU"/>
        </w:rPr>
        <w:t xml:space="preserve"> international engagement, which helps to ensure that best practice in regulation can be adopted in Australia and </w:t>
      </w:r>
      <w:r w:rsidR="009A7807" w:rsidRPr="0030652D">
        <w:rPr>
          <w:rFonts w:cs="Times New Roman"/>
          <w:lang w:eastAsia="en-AU"/>
        </w:rPr>
        <w:t>reduces potential barriers to licence holders adopting international best practice</w:t>
      </w:r>
      <w:r w:rsidRPr="0030652D">
        <w:rPr>
          <w:rFonts w:cs="Times New Roman"/>
          <w:lang w:eastAsia="en-AU"/>
        </w:rPr>
        <w:t xml:space="preserve">. ARPANSA participates in multiple IAEA safety committees and has nine bi-lateral agreements for information and resource sharing with international radiation protection and nuclear safety regulators. </w:t>
      </w:r>
      <w:r w:rsidR="00AB7390">
        <w:rPr>
          <w:rFonts w:cs="Times New Roman"/>
          <w:lang w:eastAsia="en-AU"/>
        </w:rPr>
        <w:t xml:space="preserve">Activities have included </w:t>
      </w:r>
      <w:r w:rsidR="009A7807" w:rsidRPr="0030652D">
        <w:rPr>
          <w:rFonts w:cs="Times New Roman"/>
          <w:lang w:eastAsia="en-AU"/>
        </w:rPr>
        <w:t>visits by the Dutch regulator</w:t>
      </w:r>
      <w:r w:rsidRPr="0030652D">
        <w:rPr>
          <w:rFonts w:cs="Times New Roman"/>
          <w:lang w:eastAsia="en-AU"/>
        </w:rPr>
        <w:t xml:space="preserve"> </w:t>
      </w:r>
      <w:r w:rsidR="009A7807" w:rsidRPr="0030652D">
        <w:rPr>
          <w:rFonts w:cs="Times New Roman"/>
          <w:lang w:eastAsia="en-AU"/>
        </w:rPr>
        <w:t>(AN</w:t>
      </w:r>
      <w:r w:rsidR="000036EA">
        <w:rPr>
          <w:rFonts w:cs="Times New Roman"/>
          <w:lang w:eastAsia="en-AU"/>
        </w:rPr>
        <w:t>VS</w:t>
      </w:r>
      <w:r w:rsidR="009A7807" w:rsidRPr="0030652D">
        <w:rPr>
          <w:rFonts w:cs="Times New Roman"/>
          <w:lang w:eastAsia="en-AU"/>
        </w:rPr>
        <w:t>)</w:t>
      </w:r>
      <w:r w:rsidR="00AB7390">
        <w:rPr>
          <w:rFonts w:cs="Times New Roman"/>
          <w:lang w:eastAsia="en-AU"/>
        </w:rPr>
        <w:t xml:space="preserve"> and</w:t>
      </w:r>
      <w:r w:rsidR="009A7807" w:rsidRPr="0030652D">
        <w:rPr>
          <w:rFonts w:cs="Times New Roman"/>
          <w:lang w:eastAsia="en-AU"/>
        </w:rPr>
        <w:t xml:space="preserve"> </w:t>
      </w:r>
      <w:r w:rsidR="3A487CA8" w:rsidRPr="0030652D">
        <w:rPr>
          <w:rFonts w:cs="Times New Roman"/>
          <w:lang w:eastAsia="en-AU"/>
        </w:rPr>
        <w:t xml:space="preserve">the </w:t>
      </w:r>
      <w:r w:rsidR="316803A9" w:rsidRPr="0030652D">
        <w:rPr>
          <w:rFonts w:cs="Times New Roman"/>
          <w:lang w:eastAsia="en-AU"/>
        </w:rPr>
        <w:t>V</w:t>
      </w:r>
      <w:r w:rsidR="3A487CA8" w:rsidRPr="0030652D">
        <w:rPr>
          <w:rFonts w:cs="Times New Roman"/>
          <w:lang w:eastAsia="en-AU"/>
        </w:rPr>
        <w:t>ietnamese</w:t>
      </w:r>
      <w:r w:rsidR="32A4CAAD" w:rsidRPr="0030652D">
        <w:rPr>
          <w:rFonts w:cs="Times New Roman"/>
          <w:lang w:eastAsia="en-AU"/>
        </w:rPr>
        <w:t xml:space="preserve"> regulator (V</w:t>
      </w:r>
      <w:r w:rsidR="316803A9" w:rsidRPr="0030652D">
        <w:rPr>
          <w:rFonts w:cs="Times New Roman"/>
          <w:lang w:eastAsia="en-AU"/>
        </w:rPr>
        <w:t>ARANS)</w:t>
      </w:r>
      <w:r w:rsidR="000036EA">
        <w:rPr>
          <w:rFonts w:cs="Times New Roman"/>
          <w:lang w:eastAsia="en-AU"/>
        </w:rPr>
        <w:t>,</w:t>
      </w:r>
      <w:r w:rsidR="3A487CA8" w:rsidRPr="0030652D">
        <w:rPr>
          <w:rFonts w:cs="Times New Roman"/>
          <w:lang w:eastAsia="en-AU"/>
        </w:rPr>
        <w:t xml:space="preserve"> </w:t>
      </w:r>
      <w:r w:rsidRPr="0030652D">
        <w:rPr>
          <w:rFonts w:cs="Times New Roman"/>
          <w:lang w:eastAsia="en-AU"/>
        </w:rPr>
        <w:t xml:space="preserve">a </w:t>
      </w:r>
      <w:r w:rsidR="3F3DC10D" w:rsidRPr="0030652D">
        <w:rPr>
          <w:rFonts w:cs="Times New Roman"/>
          <w:lang w:eastAsia="en-AU"/>
        </w:rPr>
        <w:t>two</w:t>
      </w:r>
      <w:r w:rsidR="00B52226">
        <w:rPr>
          <w:rFonts w:cs="Times New Roman"/>
          <w:lang w:eastAsia="en-AU"/>
        </w:rPr>
        <w:noBreakHyphen/>
      </w:r>
      <w:r w:rsidR="3F3DC10D" w:rsidRPr="0030652D">
        <w:rPr>
          <w:rFonts w:cs="Times New Roman"/>
          <w:lang w:eastAsia="en-AU"/>
        </w:rPr>
        <w:t xml:space="preserve">week </w:t>
      </w:r>
      <w:r w:rsidR="000036EA">
        <w:rPr>
          <w:rFonts w:cs="Times New Roman"/>
          <w:lang w:eastAsia="en-AU"/>
        </w:rPr>
        <w:t xml:space="preserve">technical cooperation </w:t>
      </w:r>
      <w:r w:rsidRPr="006868A0">
        <w:rPr>
          <w:rFonts w:cs="Times New Roman"/>
          <w:lang w:eastAsia="en-AU"/>
        </w:rPr>
        <w:t xml:space="preserve">visit to ARPANSA from </w:t>
      </w:r>
      <w:r w:rsidR="008C2C4D" w:rsidRPr="006868A0">
        <w:rPr>
          <w:rFonts w:cs="Times New Roman"/>
          <w:lang w:eastAsia="en-AU"/>
        </w:rPr>
        <w:t xml:space="preserve">the </w:t>
      </w:r>
      <w:r w:rsidRPr="006868A0">
        <w:rPr>
          <w:rFonts w:cs="Times New Roman"/>
          <w:lang w:eastAsia="en-AU"/>
        </w:rPr>
        <w:t>Thai regulatory body</w:t>
      </w:r>
      <w:r w:rsidR="008C2C4D" w:rsidRPr="0030652D">
        <w:rPr>
          <w:rFonts w:cs="Times New Roman"/>
          <w:lang w:eastAsia="en-AU"/>
        </w:rPr>
        <w:t xml:space="preserve"> (OAP)</w:t>
      </w:r>
      <w:r w:rsidR="009A7807" w:rsidRPr="0030652D">
        <w:rPr>
          <w:rFonts w:cs="Times New Roman"/>
          <w:lang w:eastAsia="en-AU"/>
        </w:rPr>
        <w:t>, and ARPANSA participation in IRRS mission</w:t>
      </w:r>
      <w:r w:rsidR="00AB7390">
        <w:rPr>
          <w:rFonts w:cs="Times New Roman"/>
          <w:lang w:eastAsia="en-AU"/>
        </w:rPr>
        <w:t>s to Spain, Norway and Germany</w:t>
      </w:r>
      <w:r w:rsidRPr="0030652D">
        <w:rPr>
          <w:rFonts w:cs="Times New Roman"/>
          <w:lang w:eastAsia="en-AU"/>
        </w:rPr>
        <w:t xml:space="preserve">. </w:t>
      </w:r>
    </w:p>
    <w:p w14:paraId="34F03263" w14:textId="6F2AB6F2" w:rsidR="00E96F5F" w:rsidRDefault="008B0DBA" w:rsidP="00E96F5F">
      <w:r w:rsidRPr="00C82A4C">
        <w:t xml:space="preserve">ARPANSA also promotes national uniformity of radiation regulation through </w:t>
      </w:r>
      <w:r>
        <w:t>the Radiation Health Committee. ARPANSA has recently worked collaboratively with the State and Territory radiation safety regulators to reinvigorate the national uniformity program through the newly established Radiation Regulator’s Network (RRN).</w:t>
      </w:r>
      <w:r w:rsidR="009A7807">
        <w:t xml:space="preserve"> The RRN is currently working on national issues such as exemptions, equipment testing, and transport security requirements. Nationally uniform requirements can significantly reduce regulatory burden on persons working in more than one jurisdiction. </w:t>
      </w:r>
    </w:p>
    <w:p w14:paraId="2B6FB1BA" w14:textId="14E5A46C" w:rsidR="007C018D" w:rsidRPr="00F72BB7" w:rsidRDefault="007C018D" w:rsidP="00F72BB7">
      <w:pPr>
        <w:spacing w:after="120"/>
        <w:rPr>
          <w:rFonts w:cs="Times New Roman"/>
          <w:bCs/>
          <w:szCs w:val="24"/>
          <w:lang w:eastAsia="en-AU"/>
        </w:rPr>
      </w:pPr>
      <w:r>
        <w:rPr>
          <w:rFonts w:cs="Times New Roman"/>
          <w:bCs/>
          <w:szCs w:val="24"/>
          <w:lang w:eastAsia="en-AU"/>
        </w:rPr>
        <w:t xml:space="preserve">ARPANSA has recently introduced a series of informal communication measures including </w:t>
      </w:r>
      <w:r w:rsidR="00D966EE">
        <w:rPr>
          <w:rFonts w:cs="Times New Roman"/>
          <w:bCs/>
          <w:szCs w:val="24"/>
          <w:lang w:eastAsia="en-AU"/>
        </w:rPr>
        <w:t>‘</w:t>
      </w:r>
      <w:r>
        <w:rPr>
          <w:rFonts w:cs="Times New Roman"/>
          <w:bCs/>
          <w:szCs w:val="24"/>
          <w:lang w:eastAsia="en-AU"/>
        </w:rPr>
        <w:t>morning tea information sessions</w:t>
      </w:r>
      <w:r w:rsidR="00D966EE">
        <w:rPr>
          <w:rFonts w:cs="Times New Roman"/>
          <w:bCs/>
          <w:szCs w:val="24"/>
          <w:lang w:eastAsia="en-AU"/>
        </w:rPr>
        <w:t>’</w:t>
      </w:r>
      <w:r>
        <w:rPr>
          <w:rFonts w:cs="Times New Roman"/>
          <w:bCs/>
          <w:szCs w:val="24"/>
          <w:lang w:eastAsia="en-AU"/>
        </w:rPr>
        <w:t xml:space="preserve">, where an officer provides updates on recent regulatory and international matters. This is a positive initiative which was developed as a result of improvement opportunities identified in previous RPF reports. </w:t>
      </w:r>
    </w:p>
    <w:p w14:paraId="68C451C1" w14:textId="77777777" w:rsidR="000014D7" w:rsidRDefault="000014D7">
      <w:pPr>
        <w:rPr>
          <w:rFonts w:eastAsiaTheme="majorEastAsia" w:cstheme="majorBidi"/>
          <w:b/>
          <w:bCs/>
          <w:i/>
          <w:color w:val="4E1A74"/>
          <w:sz w:val="24"/>
        </w:rPr>
      </w:pPr>
      <w:r>
        <w:br w:type="page"/>
      </w:r>
    </w:p>
    <w:p w14:paraId="3F50AF2B" w14:textId="67EF7765" w:rsidR="00EE1374" w:rsidRPr="00EE1374" w:rsidRDefault="00F5034B" w:rsidP="00EE1374">
      <w:pPr>
        <w:pStyle w:val="Heading3"/>
      </w:pPr>
      <w:r>
        <w:lastRenderedPageBreak/>
        <w:t xml:space="preserve">Strengths </w:t>
      </w:r>
    </w:p>
    <w:p w14:paraId="2524E1E3" w14:textId="7E475662" w:rsidR="54D379D8" w:rsidRDefault="6B94E277" w:rsidP="00692518">
      <w:pPr>
        <w:pStyle w:val="Heading4"/>
      </w:pPr>
      <w:r w:rsidRPr="6B94E277">
        <w:t xml:space="preserve">Open </w:t>
      </w:r>
      <w:r w:rsidR="751EDE16" w:rsidRPr="6B94E277">
        <w:t xml:space="preserve">and transparent </w:t>
      </w:r>
      <w:r w:rsidRPr="6B94E277">
        <w:t>review of performance</w:t>
      </w:r>
    </w:p>
    <w:p w14:paraId="4201AA9F" w14:textId="59867DA9" w:rsidR="00E96F5F" w:rsidRDefault="00E96F5F" w:rsidP="00692518">
      <w:pPr>
        <w:spacing w:before="0"/>
      </w:pPr>
      <w:r>
        <w:t>ARPANSA is committed to reviewing its performance and identifying potential improvements.</w:t>
      </w:r>
      <w:r w:rsidR="18C87E70">
        <w:t xml:space="preserve"> </w:t>
      </w:r>
      <w:r w:rsidR="000D6E80">
        <w:t>A number of reviews have taken place this financial year</w:t>
      </w:r>
      <w:r>
        <w:t>:</w:t>
      </w:r>
    </w:p>
    <w:p w14:paraId="54FB6868" w14:textId="4D1954BE" w:rsidR="00E96F5F" w:rsidRDefault="00E96F5F">
      <w:pPr>
        <w:pStyle w:val="ListParagraph"/>
        <w:numPr>
          <w:ilvl w:val="0"/>
          <w:numId w:val="22"/>
        </w:numPr>
      </w:pPr>
      <w:r>
        <w:t xml:space="preserve">ARPANSA hosted an International Atomic Energy Agency (IAEA) coordinated </w:t>
      </w:r>
      <w:hyperlink r:id="rId48" w:history="1">
        <w:r>
          <w:rPr>
            <w:rStyle w:val="Hyperlink"/>
          </w:rPr>
          <w:t>Integrated Regulatory Review Service (IRRS) mission</w:t>
        </w:r>
      </w:hyperlink>
      <w:r w:rsidRPr="00EA0D9E">
        <w:t xml:space="preserve"> in November 2018</w:t>
      </w:r>
      <w:r w:rsidR="3AF931D9" w:rsidRPr="00EA0D9E">
        <w:t xml:space="preserve"> (</w:t>
      </w:r>
      <w:r w:rsidR="3AF931D9">
        <w:t>report is published online)</w:t>
      </w:r>
      <w:r w:rsidRPr="12D8A098">
        <w:t xml:space="preserve">. </w:t>
      </w:r>
      <w:r w:rsidR="003732CE">
        <w:t>The review included 15 international experts, three IAEA staff, and two observers. T</w:t>
      </w:r>
      <w:r>
        <w:t xml:space="preserve">he </w:t>
      </w:r>
      <w:r w:rsidR="003732CE">
        <w:t>team</w:t>
      </w:r>
      <w:r>
        <w:t xml:space="preserve"> </w:t>
      </w:r>
      <w:r w:rsidRPr="002349D1">
        <w:t xml:space="preserve">reviewed Australia’s national, legal and governmental framework for nuclear and radiation safety against the IAEA’s Safety Standards. </w:t>
      </w:r>
      <w:r w:rsidR="00F62E3F">
        <w:t xml:space="preserve">The mission was opened by the Deputy Director General for Nuclear Safety and Security of the IAEA, Mr Juan Carlos Lentijo, in the presence of ARPANSA’s Minister, Senator The Hon Bridget McKenzie. </w:t>
      </w:r>
      <w:r w:rsidR="00D966EE">
        <w:t>This two week mission and preparation of a summary report of over 200 pages was a considerable commitment by ARPANSA</w:t>
      </w:r>
      <w:r w:rsidR="00F62E3F">
        <w:t xml:space="preserve"> and jurisdictional regulators</w:t>
      </w:r>
      <w:r w:rsidR="00D966EE">
        <w:t xml:space="preserve">, demonstrating commitment to international best practice regulation. </w:t>
      </w:r>
      <w:r w:rsidRPr="002349D1">
        <w:t xml:space="preserve">This was the first IRRS mission to undertake a comprehensive multi-jurisdictional review, including all six states, two territories and the Commonwealth, and this was identified as a good practice by the IRRS team. </w:t>
      </w:r>
      <w:r>
        <w:t>T</w:t>
      </w:r>
      <w:r w:rsidRPr="002349D1">
        <w:t xml:space="preserve">he </w:t>
      </w:r>
      <w:r>
        <w:t xml:space="preserve">IRRS </w:t>
      </w:r>
      <w:r w:rsidRPr="002349D1">
        <w:t>report</w:t>
      </w:r>
      <w:r>
        <w:t xml:space="preserve"> also</w:t>
      </w:r>
      <w:r w:rsidRPr="002349D1">
        <w:t xml:space="preserve"> noted Australia’s robust national safety framework and detailed several other good practices, while also identifying areas for improvement. </w:t>
      </w:r>
    </w:p>
    <w:p w14:paraId="1B8DC309" w14:textId="630D0A7C" w:rsidR="12D8A098" w:rsidRDefault="00214063">
      <w:pPr>
        <w:pStyle w:val="ListParagraph"/>
        <w:numPr>
          <w:ilvl w:val="0"/>
          <w:numId w:val="22"/>
        </w:numPr>
      </w:pPr>
      <w:r>
        <w:t>In early 2019, ARPANSA</w:t>
      </w:r>
      <w:r w:rsidR="00E96F5F">
        <w:t xml:space="preserve"> conducted</w:t>
      </w:r>
      <w:r w:rsidR="00E96F5F" w:rsidRPr="00EA0D9E">
        <w:t xml:space="preserve"> a </w:t>
      </w:r>
      <w:hyperlink r:id="rId49" w:history="1">
        <w:r w:rsidR="00E96F5F" w:rsidRPr="00941BF7">
          <w:rPr>
            <w:rStyle w:val="Hyperlink"/>
          </w:rPr>
          <w:t>safety culture assessment</w:t>
        </w:r>
      </w:hyperlink>
      <w:r w:rsidR="00E96F5F" w:rsidRPr="00EA0D9E">
        <w:t xml:space="preserve"> of its regulatory functions and then developed an action plan based on the outcomes</w:t>
      </w:r>
      <w:r w:rsidR="6B829081">
        <w:t xml:space="preserve"> (report and action plan are published online)</w:t>
      </w:r>
      <w:r w:rsidR="00E96F5F" w:rsidRPr="48A8984E">
        <w:t xml:space="preserve">. </w:t>
      </w:r>
      <w:r w:rsidR="00E96F5F">
        <w:t xml:space="preserve">This assessment </w:t>
      </w:r>
      <w:r w:rsidR="00E96F5F" w:rsidRPr="00EA0D9E">
        <w:t xml:space="preserve">is about the core values, beliefs and behaviours </w:t>
      </w:r>
      <w:r w:rsidR="00E96F5F">
        <w:t xml:space="preserve">of ARPANSA </w:t>
      </w:r>
      <w:r w:rsidR="00E96F5F" w:rsidRPr="00EA0D9E">
        <w:t>and how they affect</w:t>
      </w:r>
      <w:r w:rsidR="00E96F5F">
        <w:t xml:space="preserve"> not only ARPANSA’s</w:t>
      </w:r>
      <w:r w:rsidR="00E96F5F" w:rsidRPr="00EA0D9E">
        <w:t xml:space="preserve"> safety</w:t>
      </w:r>
      <w:r w:rsidR="00E96F5F">
        <w:t xml:space="preserve"> but also that of licence holders through our regulatory dealings</w:t>
      </w:r>
      <w:r w:rsidR="00E96F5F" w:rsidRPr="48A8984E">
        <w:t xml:space="preserve">. </w:t>
      </w:r>
      <w:r w:rsidR="00E96F5F" w:rsidRPr="00EA0D9E">
        <w:t xml:space="preserve">The results showed an overall positive safety culture ranging in maturity from ‘individual commitment’ to ‘cooperative’ levels. </w:t>
      </w:r>
    </w:p>
    <w:p w14:paraId="5A0B5392" w14:textId="0990811B" w:rsidR="12D8A098" w:rsidRDefault="00DD5986" w:rsidP="00692518">
      <w:pPr>
        <w:pStyle w:val="ListParagraph"/>
        <w:numPr>
          <w:ilvl w:val="0"/>
          <w:numId w:val="22"/>
        </w:numPr>
      </w:pPr>
      <w:r>
        <w:t xml:space="preserve">ARPANSA conducted an assessment in March </w:t>
      </w:r>
      <w:r w:rsidR="008C3E0D">
        <w:t xml:space="preserve">2019 </w:t>
      </w:r>
      <w:r>
        <w:t>as part of an</w:t>
      </w:r>
      <w:r w:rsidRPr="00DD5986">
        <w:t xml:space="preserve"> internal audit </w:t>
      </w:r>
      <w:r>
        <w:t xml:space="preserve">program </w:t>
      </w:r>
      <w:r w:rsidRPr="00DD5986">
        <w:t xml:space="preserve">to </w:t>
      </w:r>
      <w:r>
        <w:t xml:space="preserve">evaluate the compliance of the </w:t>
      </w:r>
      <w:r w:rsidRPr="00DD5986">
        <w:t>management system to applicable standard</w:t>
      </w:r>
      <w:r>
        <w:t xml:space="preserve"> or requirements. </w:t>
      </w:r>
    </w:p>
    <w:p w14:paraId="6F7BA1BB" w14:textId="06581157" w:rsidR="0E66A092" w:rsidRDefault="00E96F5F">
      <w:pPr>
        <w:pStyle w:val="ListParagraph"/>
        <w:numPr>
          <w:ilvl w:val="0"/>
          <w:numId w:val="22"/>
        </w:numPr>
      </w:pPr>
      <w:r>
        <w:t>The Regulatory Performance Framework reviews, FY</w:t>
      </w:r>
      <w:r w:rsidR="00BC6405">
        <w:t xml:space="preserve"> </w:t>
      </w:r>
      <w:r>
        <w:t>2017</w:t>
      </w:r>
      <w:r w:rsidR="00BC6405">
        <w:t>–</w:t>
      </w:r>
      <w:r>
        <w:t>18</w:t>
      </w:r>
      <w:r w:rsidR="5864138A">
        <w:t xml:space="preserve"> report (published online), which </w:t>
      </w:r>
      <w:r w:rsidR="009A7807" w:rsidRPr="009A7807">
        <w:t>found a high level of commitment to the RPF</w:t>
      </w:r>
      <w:r w:rsidR="009A7807">
        <w:t xml:space="preserve"> and overall assessed ARPANSA’s performance as ‘very good’ and identified a number of</w:t>
      </w:r>
      <w:r w:rsidR="00DD5986" w:rsidRPr="0017469C">
        <w:t xml:space="preserve"> </w:t>
      </w:r>
      <w:r w:rsidR="009A7807">
        <w:t>opportunities</w:t>
      </w:r>
      <w:r w:rsidR="00DD5986">
        <w:t xml:space="preserve"> for improvement.</w:t>
      </w:r>
    </w:p>
    <w:p w14:paraId="5F709E00" w14:textId="2A480C92" w:rsidR="00E96F5F" w:rsidRDefault="00DF20F4" w:rsidP="00E96F5F">
      <w:r>
        <w:t xml:space="preserve">These </w:t>
      </w:r>
      <w:r w:rsidR="00E96F5F">
        <w:t>review</w:t>
      </w:r>
      <w:r>
        <w:t>s</w:t>
      </w:r>
      <w:r w:rsidR="00E96F5F">
        <w:t xml:space="preserve"> </w:t>
      </w:r>
      <w:r>
        <w:t xml:space="preserve">are </w:t>
      </w:r>
      <w:r w:rsidR="00E96F5F">
        <w:t>example</w:t>
      </w:r>
      <w:r>
        <w:t>s</w:t>
      </w:r>
      <w:r w:rsidR="00E96F5F">
        <w:t xml:space="preserve"> of</w:t>
      </w:r>
      <w:r>
        <w:t xml:space="preserve"> how </w:t>
      </w:r>
      <w:r w:rsidR="00E96F5F" w:rsidRPr="00EE1374">
        <w:t xml:space="preserve">ARPANSA </w:t>
      </w:r>
      <w:r>
        <w:t xml:space="preserve">critically reviews </w:t>
      </w:r>
      <w:r w:rsidR="009A7807">
        <w:t>its</w:t>
      </w:r>
      <w:r>
        <w:t xml:space="preserve"> performance and </w:t>
      </w:r>
      <w:r w:rsidR="009A7807">
        <w:t>seeks ou</w:t>
      </w:r>
      <w:r w:rsidR="008C3E0D">
        <w:t>t</w:t>
      </w:r>
      <w:r w:rsidR="009A7807">
        <w:t xml:space="preserve"> areas where performance can be improved.</w:t>
      </w:r>
    </w:p>
    <w:p w14:paraId="6C1B6A04" w14:textId="77777777" w:rsidR="00F5034B" w:rsidRDefault="00F5034B" w:rsidP="00F5034B">
      <w:pPr>
        <w:pStyle w:val="Heading3"/>
      </w:pPr>
      <w:r>
        <w:t>Identified opportunities for improvement</w:t>
      </w:r>
    </w:p>
    <w:p w14:paraId="30C952EE" w14:textId="1C5DCD05" w:rsidR="000C7998" w:rsidRPr="00692518" w:rsidRDefault="32D1AE70">
      <w:pPr>
        <w:pStyle w:val="Heading4"/>
        <w:rPr>
          <w:lang w:eastAsia="en-AU"/>
        </w:rPr>
      </w:pPr>
      <w:r w:rsidRPr="00692518">
        <w:t xml:space="preserve">Recording and encouraging feedback </w:t>
      </w:r>
      <w:r w:rsidR="5585EE57">
        <w:t>(post-</w:t>
      </w:r>
      <w:r w:rsidR="253DF9CE">
        <w:t>asses</w:t>
      </w:r>
      <w:r w:rsidR="5585EE57">
        <w:t>sment</w:t>
      </w:r>
      <w:r w:rsidRPr="27970808">
        <w:t>)</w:t>
      </w:r>
    </w:p>
    <w:p w14:paraId="03EFCA41" w14:textId="07B5916C" w:rsidR="00656FA3" w:rsidRPr="00692518" w:rsidRDefault="000C7998" w:rsidP="00692518">
      <w:pPr>
        <w:autoSpaceDE w:val="0"/>
        <w:autoSpaceDN w:val="0"/>
        <w:adjustRightInd w:val="0"/>
        <w:spacing w:before="0" w:after="120"/>
        <w:sectPr w:rsidR="00656FA3" w:rsidRPr="00692518" w:rsidSect="00FF0473">
          <w:footerReference w:type="default" r:id="rId50"/>
          <w:pgSz w:w="11906" w:h="16838"/>
          <w:pgMar w:top="1134" w:right="1134" w:bottom="1134" w:left="1134" w:header="567" w:footer="567" w:gutter="0"/>
          <w:pgNumType w:start="1"/>
          <w:cols w:space="708"/>
          <w:docGrid w:linePitch="360"/>
        </w:sectPr>
      </w:pPr>
      <w:r w:rsidRPr="00692518">
        <w:t xml:space="preserve">ARPANSA conducts a large number of assessments including </w:t>
      </w:r>
      <w:r w:rsidR="00562969" w:rsidRPr="00692518">
        <w:t>applications (11)</w:t>
      </w:r>
      <w:r w:rsidRPr="00692518">
        <w:t xml:space="preserve">, </w:t>
      </w:r>
      <w:r w:rsidR="00562969" w:rsidRPr="00692518">
        <w:t xml:space="preserve">significant </w:t>
      </w:r>
      <w:r w:rsidRPr="00692518">
        <w:t>changes</w:t>
      </w:r>
      <w:r w:rsidR="00562969" w:rsidRPr="00692518">
        <w:t xml:space="preserve"> (22)</w:t>
      </w:r>
      <w:r w:rsidRPr="00692518">
        <w:t xml:space="preserve">, </w:t>
      </w:r>
      <w:r w:rsidR="00562969" w:rsidRPr="00692518">
        <w:t>disposals (105)</w:t>
      </w:r>
      <w:r w:rsidRPr="00692518">
        <w:t xml:space="preserve"> and transport approvals. </w:t>
      </w:r>
      <w:r w:rsidR="006F6D6F" w:rsidRPr="00692518">
        <w:t xml:space="preserve">ARPANSA has a system to seek feedback, which includes a survey link on emails. </w:t>
      </w:r>
      <w:r w:rsidR="00413FA6">
        <w:t>It was noted that the system is new, h</w:t>
      </w:r>
      <w:r w:rsidRPr="00692518">
        <w:t xml:space="preserve">owever, the number of post-assessment </w:t>
      </w:r>
      <w:r w:rsidR="00865E18" w:rsidRPr="00692518">
        <w:t xml:space="preserve">survey </w:t>
      </w:r>
      <w:r w:rsidRPr="00692518">
        <w:t xml:space="preserve">responses received </w:t>
      </w:r>
      <w:r w:rsidR="133B4C7B" w:rsidRPr="00692518">
        <w:t>w</w:t>
      </w:r>
      <w:r w:rsidR="346EF0D9" w:rsidRPr="00692518">
        <w:t>as</w:t>
      </w:r>
      <w:r w:rsidRPr="00692518">
        <w:t xml:space="preserve"> low (4). </w:t>
      </w:r>
      <w:r w:rsidR="00E05881" w:rsidRPr="00692518">
        <w:t>Strategies to enhance the response rate should be investigated and implemented where appropriate.</w:t>
      </w:r>
      <w:r w:rsidR="00927F84">
        <w:t xml:space="preserve"> </w:t>
      </w:r>
    </w:p>
    <w:p w14:paraId="7DBEADC5" w14:textId="09F2C8F8" w:rsidR="003B4D69" w:rsidRDefault="003B4D69" w:rsidP="00D25EFE">
      <w:pPr>
        <w:pStyle w:val="Heading1"/>
        <w:spacing w:before="0"/>
      </w:pPr>
      <w:bookmarkStart w:id="62" w:name="_Toc12884006"/>
      <w:bookmarkStart w:id="63" w:name="_Toc23846613"/>
      <w:bookmarkStart w:id="64" w:name="_Toc25225272"/>
      <w:r w:rsidRPr="008308B9">
        <w:lastRenderedPageBreak/>
        <w:t>Concluding remarks</w:t>
      </w:r>
      <w:bookmarkEnd w:id="62"/>
      <w:bookmarkEnd w:id="63"/>
      <w:bookmarkEnd w:id="64"/>
    </w:p>
    <w:p w14:paraId="64E990E9" w14:textId="3BFECC50" w:rsidR="00513B24" w:rsidRPr="00692518" w:rsidRDefault="00513B24" w:rsidP="00692518">
      <w:pPr>
        <w:autoSpaceDE w:val="0"/>
        <w:autoSpaceDN w:val="0"/>
        <w:adjustRightInd w:val="0"/>
        <w:spacing w:after="120"/>
        <w:rPr>
          <w:rFonts w:cs="Times New Roman"/>
          <w:lang w:eastAsia="en-AU"/>
        </w:rPr>
      </w:pPr>
      <w:r w:rsidRPr="00692518">
        <w:t>This was ARPANSA’s fourth self-assessment performed under the</w:t>
      </w:r>
      <w:r w:rsidR="008C3E0D">
        <w:t xml:space="preserve"> Australian</w:t>
      </w:r>
      <w:r w:rsidRPr="00692518">
        <w:t xml:space="preserve"> Government Regulatory Performance Framework. It was observed in the </w:t>
      </w:r>
      <w:hyperlink r:id="rId51" w:history="1">
        <w:r w:rsidR="00337A95" w:rsidRPr="00012A34">
          <w:rPr>
            <w:rStyle w:val="Hyperlink"/>
          </w:rPr>
          <w:t>previous</w:t>
        </w:r>
        <w:r w:rsidRPr="00012A34">
          <w:rPr>
            <w:rStyle w:val="Hyperlink"/>
          </w:rPr>
          <w:t xml:space="preserve"> year</w:t>
        </w:r>
        <w:r w:rsidR="786F3441" w:rsidRPr="00012A34">
          <w:rPr>
            <w:rStyle w:val="Hyperlink"/>
          </w:rPr>
          <w:t>’</w:t>
        </w:r>
        <w:r w:rsidRPr="00012A34">
          <w:rPr>
            <w:rStyle w:val="Hyperlink"/>
          </w:rPr>
          <w:t>s review</w:t>
        </w:r>
      </w:hyperlink>
      <w:r w:rsidRPr="00692518">
        <w:t xml:space="preserve"> that</w:t>
      </w:r>
      <w:r w:rsidR="003A285A">
        <w:t>,</w:t>
      </w:r>
      <w:r w:rsidRPr="00692518">
        <w:t xml:space="preserve"> a number of the </w:t>
      </w:r>
      <w:r w:rsidR="786F3441" w:rsidRPr="00692518">
        <w:t>op</w:t>
      </w:r>
      <w:r w:rsidR="6FEB6DF2" w:rsidRPr="00692518">
        <w:t>po</w:t>
      </w:r>
      <w:r w:rsidR="786F3441" w:rsidRPr="00692518">
        <w:t xml:space="preserve">rtunities for improvement </w:t>
      </w:r>
      <w:r w:rsidRPr="00692518">
        <w:t xml:space="preserve">identified </w:t>
      </w:r>
      <w:r w:rsidR="003A285A">
        <w:t>appear over multiple years</w:t>
      </w:r>
      <w:r w:rsidRPr="00692518">
        <w:t xml:space="preserve">. </w:t>
      </w:r>
      <w:r>
        <w:t xml:space="preserve">A </w:t>
      </w:r>
      <w:r w:rsidR="3BCBCFF1">
        <w:t xml:space="preserve">major reason for this is that a </w:t>
      </w:r>
      <w:r>
        <w:t>number of these issues have a long timeframe for implementation which can span several years</w:t>
      </w:r>
      <w:r w:rsidR="322E8CD1">
        <w:t xml:space="preserve"> and require significant fina</w:t>
      </w:r>
      <w:r w:rsidR="33114762">
        <w:t>n</w:t>
      </w:r>
      <w:r w:rsidR="322E8CD1">
        <w:t>cial and human resources</w:t>
      </w:r>
      <w:r w:rsidRPr="33114762">
        <w:t>.</w:t>
      </w:r>
      <w:r w:rsidR="00C1716C">
        <w:t xml:space="preserve"> </w:t>
      </w:r>
    </w:p>
    <w:p w14:paraId="70316AFA" w14:textId="5AB45639" w:rsidR="6FEB6DF2" w:rsidRPr="00692518" w:rsidRDefault="00337A95" w:rsidP="00692518">
      <w:pPr>
        <w:autoSpaceDE w:val="0"/>
        <w:autoSpaceDN w:val="0"/>
        <w:adjustRightInd w:val="0"/>
        <w:spacing w:after="120"/>
        <w:rPr>
          <w:rFonts w:cs="Times New Roman"/>
          <w:bCs/>
          <w:szCs w:val="24"/>
          <w:lang w:eastAsia="en-AU"/>
        </w:rPr>
      </w:pPr>
      <w:r>
        <w:t>In line with the recommendation of the previous year, t</w:t>
      </w:r>
      <w:r w:rsidR="00513B24" w:rsidRPr="0072284A">
        <w:t>his self-assessment followed a</w:t>
      </w:r>
      <w:r w:rsidR="00F57F91">
        <w:t xml:space="preserve"> more streamlined approach to </w:t>
      </w:r>
      <w:r>
        <w:t xml:space="preserve">the </w:t>
      </w:r>
      <w:r w:rsidR="00F57F91">
        <w:t xml:space="preserve">previous assessments, focusing more closely on the </w:t>
      </w:r>
      <w:r w:rsidR="003A285A">
        <w:t xml:space="preserve">core requirements of the </w:t>
      </w:r>
      <w:r w:rsidR="2FD09C94">
        <w:t>R</w:t>
      </w:r>
      <w:r w:rsidR="00F57F91">
        <w:t xml:space="preserve">egulator </w:t>
      </w:r>
      <w:r w:rsidR="2FD09C94">
        <w:t>P</w:t>
      </w:r>
      <w:r w:rsidR="00F57F91">
        <w:t xml:space="preserve">erformance </w:t>
      </w:r>
      <w:r w:rsidR="2FD09C94">
        <w:t>F</w:t>
      </w:r>
      <w:r w:rsidR="00F57F91">
        <w:t>ramework</w:t>
      </w:r>
      <w:r>
        <w:t xml:space="preserve">. It </w:t>
      </w:r>
      <w:r w:rsidR="00DE4137" w:rsidRPr="00692518">
        <w:rPr>
          <w:rFonts w:cs="Times New Roman"/>
          <w:bCs/>
          <w:szCs w:val="24"/>
          <w:lang w:eastAsia="en-AU"/>
        </w:rPr>
        <w:t xml:space="preserve">included interviews with staff and review of data but </w:t>
      </w:r>
      <w:r w:rsidR="00F57F91" w:rsidRPr="00692518">
        <w:rPr>
          <w:rFonts w:cs="Times New Roman"/>
          <w:bCs/>
          <w:szCs w:val="24"/>
          <w:lang w:eastAsia="en-AU"/>
        </w:rPr>
        <w:t>did not include external participants or observations</w:t>
      </w:r>
      <w:r w:rsidR="6E2B1045" w:rsidRPr="00692518">
        <w:rPr>
          <w:rFonts w:cs="Times New Roman"/>
          <w:bCs/>
          <w:szCs w:val="24"/>
          <w:lang w:eastAsia="en-AU"/>
        </w:rPr>
        <w:t xml:space="preserve"> of work performed</w:t>
      </w:r>
      <w:r w:rsidR="00F57F91" w:rsidRPr="00692518">
        <w:rPr>
          <w:rFonts w:cs="Times New Roman"/>
          <w:bCs/>
          <w:szCs w:val="24"/>
          <w:lang w:eastAsia="en-AU"/>
        </w:rPr>
        <w:t>.</w:t>
      </w:r>
      <w:r w:rsidR="00513B24" w:rsidRPr="00692518">
        <w:rPr>
          <w:rFonts w:cs="Times New Roman"/>
          <w:bCs/>
          <w:szCs w:val="24"/>
          <w:lang w:eastAsia="en-AU"/>
        </w:rPr>
        <w:t xml:space="preserve"> </w:t>
      </w:r>
      <w:r w:rsidR="00F57F91" w:rsidRPr="00692518">
        <w:rPr>
          <w:rFonts w:cs="Times New Roman"/>
          <w:bCs/>
          <w:szCs w:val="24"/>
          <w:lang w:eastAsia="en-AU"/>
        </w:rPr>
        <w:t>ARPANSA may consider carrying out more detailed reviews at a set frequency such as every third year.</w:t>
      </w:r>
      <w:r w:rsidR="3BCBCFF1" w:rsidRPr="00692518">
        <w:rPr>
          <w:rFonts w:cs="Times New Roman"/>
          <w:bCs/>
          <w:szCs w:val="24"/>
          <w:lang w:eastAsia="en-AU"/>
        </w:rPr>
        <w:t xml:space="preserve"> </w:t>
      </w:r>
      <w:r w:rsidR="6FEB6DF2" w:rsidRPr="00692518">
        <w:rPr>
          <w:rFonts w:cs="Times New Roman"/>
          <w:bCs/>
          <w:szCs w:val="24"/>
          <w:lang w:eastAsia="en-AU"/>
        </w:rPr>
        <w:t>However, the team felt the streamlined process was appropriate for evaluation against the Regulator Performance Framework.</w:t>
      </w:r>
    </w:p>
    <w:p w14:paraId="5B95CD12" w14:textId="6F973C0C" w:rsidR="003B4D69" w:rsidRDefault="00513B24" w:rsidP="00337A95">
      <w:pPr>
        <w:autoSpaceDE w:val="0"/>
        <w:autoSpaceDN w:val="0"/>
        <w:adjustRightInd w:val="0"/>
        <w:spacing w:after="120"/>
        <w:rPr>
          <w:rFonts w:cs="Times New Roman"/>
          <w:bCs/>
          <w:szCs w:val="24"/>
          <w:lang w:eastAsia="en-AU"/>
        </w:rPr>
      </w:pPr>
      <w:r w:rsidRPr="0077635E">
        <w:rPr>
          <w:rFonts w:cs="Times New Roman"/>
          <w:bCs/>
          <w:szCs w:val="24"/>
          <w:lang w:eastAsia="en-AU"/>
        </w:rPr>
        <w:t xml:space="preserve">The assessment </w:t>
      </w:r>
      <w:r>
        <w:rPr>
          <w:rFonts w:cs="Times New Roman"/>
          <w:bCs/>
          <w:szCs w:val="24"/>
          <w:lang w:eastAsia="en-AU"/>
        </w:rPr>
        <w:t>team</w:t>
      </w:r>
      <w:r w:rsidRPr="0077635E">
        <w:rPr>
          <w:rFonts w:cs="Times New Roman"/>
          <w:bCs/>
          <w:szCs w:val="24"/>
          <w:lang w:eastAsia="en-AU"/>
        </w:rPr>
        <w:t xml:space="preserve"> co</w:t>
      </w:r>
      <w:r>
        <w:rPr>
          <w:rFonts w:cs="Times New Roman"/>
          <w:bCs/>
          <w:szCs w:val="24"/>
          <w:lang w:eastAsia="en-AU"/>
        </w:rPr>
        <w:t xml:space="preserve">ncluded that ARPANSA has been an </w:t>
      </w:r>
      <w:r w:rsidR="00A25119">
        <w:rPr>
          <w:rFonts w:cs="Times New Roman"/>
          <w:bCs/>
          <w:szCs w:val="24"/>
          <w:lang w:eastAsia="en-AU"/>
        </w:rPr>
        <w:t>efficient</w:t>
      </w:r>
      <w:r w:rsidRPr="0077635E">
        <w:rPr>
          <w:rFonts w:cs="Times New Roman"/>
          <w:bCs/>
          <w:szCs w:val="24"/>
          <w:lang w:eastAsia="en-AU"/>
        </w:rPr>
        <w:t xml:space="preserve"> regulator during the reporting period and that the structure and consistency of its services is </w:t>
      </w:r>
      <w:r>
        <w:rPr>
          <w:rFonts w:cs="Times New Roman"/>
          <w:bCs/>
          <w:szCs w:val="24"/>
          <w:lang w:eastAsia="en-AU"/>
        </w:rPr>
        <w:t>improving</w:t>
      </w:r>
      <w:r w:rsidR="00B74605">
        <w:rPr>
          <w:rFonts w:cs="Times New Roman"/>
          <w:bCs/>
          <w:szCs w:val="24"/>
          <w:lang w:eastAsia="en-AU"/>
        </w:rPr>
        <w:t>, as evidenced by improvements made in this period and the feedback reviewed</w:t>
      </w:r>
      <w:r w:rsidRPr="0077635E">
        <w:rPr>
          <w:rFonts w:cs="Times New Roman"/>
          <w:bCs/>
          <w:szCs w:val="24"/>
          <w:lang w:eastAsia="en-AU"/>
        </w:rPr>
        <w:t xml:space="preserve">. </w:t>
      </w:r>
      <w:r w:rsidRPr="009744C2">
        <w:rPr>
          <w:rFonts w:cs="Times New Roman"/>
          <w:bCs/>
          <w:szCs w:val="24"/>
          <w:lang w:eastAsia="en-AU"/>
        </w:rPr>
        <w:t xml:space="preserve">Throughout the self-assessment, the </w:t>
      </w:r>
      <w:r>
        <w:rPr>
          <w:rFonts w:cs="Times New Roman"/>
          <w:bCs/>
          <w:szCs w:val="24"/>
          <w:lang w:eastAsia="en-AU"/>
        </w:rPr>
        <w:t>team</w:t>
      </w:r>
      <w:r w:rsidRPr="009744C2">
        <w:rPr>
          <w:rFonts w:cs="Times New Roman"/>
          <w:bCs/>
          <w:szCs w:val="24"/>
          <w:lang w:eastAsia="en-AU"/>
        </w:rPr>
        <w:t xml:space="preserve"> found RSB staff to be open and responsive. This was an indication that staff are engaged in the process of continuous improvement</w:t>
      </w:r>
      <w:r w:rsidR="00337A95">
        <w:rPr>
          <w:rFonts w:cs="Times New Roman"/>
          <w:bCs/>
          <w:szCs w:val="24"/>
          <w:lang w:eastAsia="en-AU"/>
        </w:rPr>
        <w:t>, and were open in their regulatory conduct</w:t>
      </w:r>
      <w:r w:rsidRPr="009744C2">
        <w:rPr>
          <w:rFonts w:cs="Times New Roman"/>
          <w:bCs/>
          <w:szCs w:val="24"/>
          <w:lang w:eastAsia="en-AU"/>
        </w:rPr>
        <w:t>.</w:t>
      </w:r>
    </w:p>
    <w:p w14:paraId="683AE2B1" w14:textId="5A87BD76" w:rsidR="00FF20CA" w:rsidRDefault="00AB6342" w:rsidP="00337A95">
      <w:pPr>
        <w:autoSpaceDE w:val="0"/>
        <w:autoSpaceDN w:val="0"/>
        <w:adjustRightInd w:val="0"/>
        <w:spacing w:after="120"/>
        <w:rPr>
          <w:rFonts w:cs="Times New Roman"/>
          <w:bCs/>
          <w:szCs w:val="24"/>
          <w:lang w:eastAsia="en-AU"/>
        </w:rPr>
      </w:pPr>
      <w:r>
        <w:rPr>
          <w:rFonts w:cs="Times New Roman"/>
          <w:bCs/>
          <w:szCs w:val="24"/>
          <w:lang w:eastAsia="en-AU"/>
        </w:rPr>
        <w:t>S</w:t>
      </w:r>
      <w:r w:rsidR="00FA0DC7">
        <w:rPr>
          <w:rFonts w:cs="Times New Roman"/>
          <w:bCs/>
          <w:szCs w:val="24"/>
          <w:lang w:eastAsia="en-AU"/>
        </w:rPr>
        <w:t xml:space="preserve">uccessive self-assessments </w:t>
      </w:r>
      <w:r w:rsidR="00D17403">
        <w:rPr>
          <w:rFonts w:cs="Times New Roman"/>
          <w:bCs/>
          <w:szCs w:val="24"/>
          <w:lang w:eastAsia="en-AU"/>
        </w:rPr>
        <w:t xml:space="preserve">carried out under the Regulator Performance Framework </w:t>
      </w:r>
      <w:r w:rsidR="00FA0DC7">
        <w:rPr>
          <w:rFonts w:cs="Times New Roman"/>
          <w:bCs/>
          <w:szCs w:val="24"/>
          <w:lang w:eastAsia="en-AU"/>
        </w:rPr>
        <w:t>have been instrumental in promoting the efficiency of ARPANSA’s regulatory processes, and contributed to a generally good and respectful relationship between the agency and the licence holders</w:t>
      </w:r>
      <w:r>
        <w:rPr>
          <w:rFonts w:cs="Times New Roman"/>
          <w:bCs/>
          <w:szCs w:val="24"/>
          <w:lang w:eastAsia="en-AU"/>
        </w:rPr>
        <w:t>. However, as pointed out in the introduction to this report</w:t>
      </w:r>
      <w:r w:rsidR="00FA0DC7">
        <w:rPr>
          <w:rFonts w:cs="Times New Roman"/>
          <w:bCs/>
          <w:szCs w:val="24"/>
          <w:lang w:eastAsia="en-AU"/>
        </w:rPr>
        <w:t xml:space="preserve">, the object of the Act </w:t>
      </w:r>
      <w:r>
        <w:rPr>
          <w:rFonts w:cs="Times New Roman"/>
          <w:bCs/>
          <w:szCs w:val="24"/>
          <w:lang w:eastAsia="en-AU"/>
        </w:rPr>
        <w:t>is</w:t>
      </w:r>
      <w:r w:rsidR="00FA0DC7">
        <w:rPr>
          <w:rFonts w:cs="Times New Roman"/>
          <w:bCs/>
          <w:szCs w:val="24"/>
          <w:lang w:eastAsia="en-AU"/>
        </w:rPr>
        <w:t xml:space="preserve"> to </w:t>
      </w:r>
      <w:r w:rsidR="00FA0DC7" w:rsidRPr="00012A34">
        <w:rPr>
          <w:rFonts w:cs="Times New Roman"/>
          <w:bCs/>
          <w:i/>
          <w:szCs w:val="24"/>
          <w:lang w:eastAsia="en-AU"/>
        </w:rPr>
        <w:t>protect people, and the environment, from the harmful effects of radiation</w:t>
      </w:r>
      <w:r w:rsidR="00FA0DC7">
        <w:rPr>
          <w:rFonts w:cs="Times New Roman"/>
          <w:bCs/>
          <w:szCs w:val="24"/>
          <w:lang w:eastAsia="en-AU"/>
        </w:rPr>
        <w:t xml:space="preserve">. </w:t>
      </w:r>
      <w:r w:rsidR="00D17403">
        <w:rPr>
          <w:rFonts w:cs="Times New Roman"/>
          <w:bCs/>
          <w:szCs w:val="24"/>
          <w:lang w:eastAsia="en-AU"/>
        </w:rPr>
        <w:t xml:space="preserve">Efficient operation of regulatory activities should allow for increased focus on achieving the object of the Act; </w:t>
      </w:r>
      <w:r w:rsidR="00FA0DC7">
        <w:rPr>
          <w:rFonts w:cs="Times New Roman"/>
          <w:bCs/>
          <w:szCs w:val="24"/>
          <w:lang w:eastAsia="en-AU"/>
        </w:rPr>
        <w:t xml:space="preserve">ARPANSA must therefore consider </w:t>
      </w:r>
      <w:r>
        <w:rPr>
          <w:rFonts w:cs="Times New Roman"/>
          <w:bCs/>
          <w:szCs w:val="24"/>
          <w:lang w:eastAsia="en-AU"/>
        </w:rPr>
        <w:t>how</w:t>
      </w:r>
      <w:r w:rsidR="00FA0DC7">
        <w:rPr>
          <w:rFonts w:cs="Times New Roman"/>
          <w:bCs/>
          <w:szCs w:val="24"/>
          <w:lang w:eastAsia="en-AU"/>
        </w:rPr>
        <w:t xml:space="preserve"> </w:t>
      </w:r>
      <w:r w:rsidR="00FA0DC7" w:rsidRPr="00012A34">
        <w:rPr>
          <w:rFonts w:cs="Times New Roman"/>
          <w:bCs/>
          <w:i/>
          <w:szCs w:val="24"/>
          <w:lang w:eastAsia="en-AU"/>
        </w:rPr>
        <w:t>effective</w:t>
      </w:r>
      <w:r w:rsidR="00FA0DC7">
        <w:rPr>
          <w:rFonts w:cs="Times New Roman"/>
          <w:bCs/>
          <w:szCs w:val="24"/>
          <w:lang w:eastAsia="en-AU"/>
        </w:rPr>
        <w:t xml:space="preserve"> </w:t>
      </w:r>
      <w:r>
        <w:rPr>
          <w:rFonts w:cs="Times New Roman"/>
          <w:bCs/>
          <w:szCs w:val="24"/>
          <w:lang w:eastAsia="en-AU"/>
        </w:rPr>
        <w:t xml:space="preserve">its regulatory actions have been when measured against the </w:t>
      </w:r>
      <w:r w:rsidR="00FA0DC7">
        <w:rPr>
          <w:rFonts w:cs="Times New Roman"/>
          <w:bCs/>
          <w:szCs w:val="24"/>
          <w:lang w:eastAsia="en-AU"/>
        </w:rPr>
        <w:t>object of the Act</w:t>
      </w:r>
      <w:r>
        <w:rPr>
          <w:rFonts w:cs="Times New Roman"/>
          <w:bCs/>
          <w:szCs w:val="24"/>
          <w:lang w:eastAsia="en-AU"/>
        </w:rPr>
        <w:t xml:space="preserve">. </w:t>
      </w:r>
    </w:p>
    <w:p w14:paraId="34E31C4E" w14:textId="65F9C953" w:rsidR="00D17403" w:rsidRDefault="00FA0DC7" w:rsidP="00337A95">
      <w:pPr>
        <w:autoSpaceDE w:val="0"/>
        <w:autoSpaceDN w:val="0"/>
        <w:adjustRightInd w:val="0"/>
        <w:spacing w:after="120"/>
        <w:rPr>
          <w:rFonts w:cs="Times New Roman"/>
          <w:bCs/>
          <w:szCs w:val="24"/>
          <w:lang w:eastAsia="en-AU"/>
        </w:rPr>
      </w:pPr>
      <w:r>
        <w:rPr>
          <w:rFonts w:cs="Times New Roman"/>
          <w:bCs/>
          <w:szCs w:val="24"/>
          <w:lang w:eastAsia="en-AU"/>
        </w:rPr>
        <w:t>The report for 2017–18 highlighted that a direction had been issued to one licence holder following a series of events of safety significance</w:t>
      </w:r>
      <w:r w:rsidR="00D17403">
        <w:rPr>
          <w:rFonts w:cs="Times New Roman"/>
          <w:bCs/>
          <w:szCs w:val="24"/>
          <w:lang w:eastAsia="en-AU"/>
        </w:rPr>
        <w:t xml:space="preserve">. The licence holder was directed to initiate an independent review of safety practices at its premises. This report is available at </w:t>
      </w:r>
      <w:hyperlink r:id="rId52" w:history="1">
        <w:r w:rsidR="00D17403" w:rsidRPr="00012A34">
          <w:rPr>
            <w:rStyle w:val="Hyperlink"/>
            <w:rFonts w:cs="Times New Roman"/>
            <w:bCs/>
            <w:szCs w:val="24"/>
            <w:lang w:eastAsia="en-AU"/>
          </w:rPr>
          <w:t>ARPANSA’s website</w:t>
        </w:r>
      </w:hyperlink>
      <w:r w:rsidR="00D17403">
        <w:rPr>
          <w:rFonts w:cs="Times New Roman"/>
          <w:bCs/>
          <w:szCs w:val="24"/>
          <w:lang w:eastAsia="en-AU"/>
        </w:rPr>
        <w:t xml:space="preserve"> and includes </w:t>
      </w:r>
      <w:r w:rsidR="00BC6405">
        <w:rPr>
          <w:rFonts w:cs="Times New Roman"/>
          <w:bCs/>
          <w:szCs w:val="24"/>
          <w:lang w:eastAsia="en-AU"/>
        </w:rPr>
        <w:t>85 </w:t>
      </w:r>
      <w:r w:rsidR="00D17403">
        <w:rPr>
          <w:rFonts w:cs="Times New Roman"/>
          <w:bCs/>
          <w:szCs w:val="24"/>
          <w:lang w:eastAsia="en-AU"/>
        </w:rPr>
        <w:t xml:space="preserve">recommendations, some of </w:t>
      </w:r>
      <w:r w:rsidR="00933B1C">
        <w:rPr>
          <w:rFonts w:cs="Times New Roman"/>
          <w:bCs/>
          <w:szCs w:val="24"/>
          <w:lang w:eastAsia="en-AU"/>
        </w:rPr>
        <w:t xml:space="preserve">them </w:t>
      </w:r>
      <w:r w:rsidR="00D17403">
        <w:rPr>
          <w:rFonts w:cs="Times New Roman"/>
          <w:bCs/>
          <w:szCs w:val="24"/>
          <w:lang w:eastAsia="en-AU"/>
        </w:rPr>
        <w:t xml:space="preserve">also directed to ARPANSA or shared with the licence holder. </w:t>
      </w:r>
    </w:p>
    <w:p w14:paraId="40D5C1D7" w14:textId="7A88801D" w:rsidR="00FA0DC7" w:rsidRDefault="00D17403" w:rsidP="00337A95">
      <w:pPr>
        <w:autoSpaceDE w:val="0"/>
        <w:autoSpaceDN w:val="0"/>
        <w:adjustRightInd w:val="0"/>
        <w:spacing w:after="120"/>
        <w:rPr>
          <w:rFonts w:cs="Times New Roman"/>
          <w:bCs/>
          <w:szCs w:val="24"/>
          <w:lang w:eastAsia="en-AU"/>
        </w:rPr>
      </w:pPr>
      <w:r>
        <w:rPr>
          <w:rFonts w:cs="Times New Roman"/>
          <w:bCs/>
          <w:szCs w:val="24"/>
          <w:lang w:eastAsia="en-AU"/>
        </w:rPr>
        <w:t xml:space="preserve">ARPANSA has responded to, or is addressing, the recommendations </w:t>
      </w:r>
      <w:r w:rsidR="00D66CE6">
        <w:rPr>
          <w:rFonts w:cs="Times New Roman"/>
          <w:bCs/>
          <w:szCs w:val="24"/>
          <w:lang w:eastAsia="en-AU"/>
        </w:rPr>
        <w:t xml:space="preserve">from the independent review </w:t>
      </w:r>
      <w:r>
        <w:rPr>
          <w:rFonts w:cs="Times New Roman"/>
          <w:bCs/>
          <w:szCs w:val="24"/>
          <w:lang w:eastAsia="en-AU"/>
        </w:rPr>
        <w:t xml:space="preserve">that </w:t>
      </w:r>
      <w:r w:rsidR="00102D60">
        <w:rPr>
          <w:rFonts w:cs="Times New Roman"/>
          <w:bCs/>
          <w:szCs w:val="24"/>
          <w:lang w:eastAsia="en-AU"/>
        </w:rPr>
        <w:t>are relevant to</w:t>
      </w:r>
      <w:r>
        <w:rPr>
          <w:rFonts w:cs="Times New Roman"/>
          <w:bCs/>
          <w:szCs w:val="24"/>
          <w:lang w:eastAsia="en-AU"/>
        </w:rPr>
        <w:t xml:space="preserve"> the agency</w:t>
      </w:r>
      <w:r w:rsidR="00AB6342">
        <w:rPr>
          <w:rFonts w:cs="Times New Roman"/>
          <w:bCs/>
          <w:szCs w:val="24"/>
          <w:lang w:eastAsia="en-AU"/>
        </w:rPr>
        <w:t xml:space="preserve">. </w:t>
      </w:r>
      <w:r>
        <w:rPr>
          <w:rFonts w:cs="Times New Roman"/>
          <w:bCs/>
          <w:szCs w:val="24"/>
          <w:lang w:eastAsia="en-AU"/>
        </w:rPr>
        <w:t xml:space="preserve">A project has been established to monitor progress </w:t>
      </w:r>
      <w:r w:rsidR="00927F84">
        <w:rPr>
          <w:rFonts w:cs="Times New Roman"/>
          <w:bCs/>
          <w:szCs w:val="24"/>
          <w:lang w:eastAsia="en-AU"/>
        </w:rPr>
        <w:t>of</w:t>
      </w:r>
      <w:r>
        <w:rPr>
          <w:rFonts w:cs="Times New Roman"/>
          <w:bCs/>
          <w:szCs w:val="24"/>
          <w:lang w:eastAsia="en-AU"/>
        </w:rPr>
        <w:t xml:space="preserve"> the licence holder’s implementation of the recommendations and to take stock of learning</w:t>
      </w:r>
      <w:r w:rsidR="00D66CE6">
        <w:rPr>
          <w:rFonts w:cs="Times New Roman"/>
          <w:bCs/>
          <w:szCs w:val="24"/>
          <w:lang w:eastAsia="en-AU"/>
        </w:rPr>
        <w:t xml:space="preserve">s that are relevant for </w:t>
      </w:r>
      <w:r>
        <w:rPr>
          <w:rFonts w:cs="Times New Roman"/>
          <w:bCs/>
          <w:szCs w:val="24"/>
          <w:lang w:eastAsia="en-AU"/>
        </w:rPr>
        <w:t xml:space="preserve">ARPANSA. However, a second contamination event took place at the same licence holder during the year covered by this report. </w:t>
      </w:r>
      <w:r w:rsidR="00D66CE6">
        <w:rPr>
          <w:rFonts w:cs="Times New Roman"/>
          <w:bCs/>
          <w:szCs w:val="24"/>
          <w:lang w:eastAsia="en-AU"/>
        </w:rPr>
        <w:t xml:space="preserve">This </w:t>
      </w:r>
      <w:r w:rsidR="00AB6342">
        <w:rPr>
          <w:rFonts w:cs="Times New Roman"/>
          <w:bCs/>
          <w:szCs w:val="24"/>
          <w:lang w:eastAsia="en-AU"/>
        </w:rPr>
        <w:t>highlights</w:t>
      </w:r>
      <w:r w:rsidR="00D66CE6">
        <w:rPr>
          <w:rFonts w:cs="Times New Roman"/>
          <w:bCs/>
          <w:szCs w:val="24"/>
          <w:lang w:eastAsia="en-AU"/>
        </w:rPr>
        <w:t xml:space="preserve"> the need for deeper understanding of the approaches to safety among licence holders, including leadership and management for safety (broadly captured under the umbrella term ‘safety culture’) and how human factors contribute to events with safety significance.</w:t>
      </w:r>
      <w:r w:rsidR="000502BA">
        <w:rPr>
          <w:rFonts w:cs="Times New Roman"/>
          <w:bCs/>
          <w:szCs w:val="24"/>
          <w:lang w:eastAsia="en-AU"/>
        </w:rPr>
        <w:t xml:space="preserve"> This will help ARPANSA </w:t>
      </w:r>
      <w:r w:rsidR="00927F84">
        <w:rPr>
          <w:rFonts w:cs="Times New Roman"/>
          <w:bCs/>
          <w:szCs w:val="24"/>
          <w:lang w:eastAsia="en-AU"/>
        </w:rPr>
        <w:t>to have an</w:t>
      </w:r>
      <w:r w:rsidR="000502BA">
        <w:rPr>
          <w:rFonts w:cs="Times New Roman"/>
          <w:bCs/>
          <w:szCs w:val="24"/>
          <w:lang w:eastAsia="en-AU"/>
        </w:rPr>
        <w:t xml:space="preserve"> increasing impact on the safety practices among licence holders and in doing so </w:t>
      </w:r>
      <w:r w:rsidR="00927F84">
        <w:rPr>
          <w:rFonts w:cs="Times New Roman"/>
          <w:bCs/>
          <w:szCs w:val="24"/>
          <w:lang w:eastAsia="en-AU"/>
        </w:rPr>
        <w:t>improve</w:t>
      </w:r>
      <w:r w:rsidR="000502BA">
        <w:rPr>
          <w:rFonts w:cs="Times New Roman"/>
          <w:bCs/>
          <w:szCs w:val="24"/>
          <w:lang w:eastAsia="en-AU"/>
        </w:rPr>
        <w:t xml:space="preserve"> the </w:t>
      </w:r>
      <w:r w:rsidR="000502BA" w:rsidRPr="00012A34">
        <w:rPr>
          <w:rFonts w:cs="Times New Roman"/>
          <w:bCs/>
          <w:i/>
          <w:szCs w:val="24"/>
          <w:lang w:eastAsia="en-AU"/>
        </w:rPr>
        <w:t>effectiveness</w:t>
      </w:r>
      <w:r w:rsidR="000502BA">
        <w:rPr>
          <w:rFonts w:cs="Times New Roman"/>
          <w:bCs/>
          <w:szCs w:val="24"/>
          <w:lang w:eastAsia="en-AU"/>
        </w:rPr>
        <w:t xml:space="preserve"> of </w:t>
      </w:r>
      <w:r w:rsidR="00927F84">
        <w:rPr>
          <w:rFonts w:cs="Times New Roman"/>
          <w:bCs/>
          <w:szCs w:val="24"/>
          <w:lang w:eastAsia="en-AU"/>
        </w:rPr>
        <w:t>its</w:t>
      </w:r>
      <w:r w:rsidR="000502BA">
        <w:rPr>
          <w:rFonts w:cs="Times New Roman"/>
          <w:bCs/>
          <w:szCs w:val="24"/>
          <w:lang w:eastAsia="en-AU"/>
        </w:rPr>
        <w:t xml:space="preserve"> regulatory work.</w:t>
      </w:r>
    </w:p>
    <w:p w14:paraId="6A214026" w14:textId="2743265C" w:rsidR="00D66CE6" w:rsidRDefault="00D66CE6" w:rsidP="00337A95">
      <w:pPr>
        <w:autoSpaceDE w:val="0"/>
        <w:autoSpaceDN w:val="0"/>
        <w:adjustRightInd w:val="0"/>
        <w:spacing w:after="120"/>
        <w:rPr>
          <w:rFonts w:cs="Times New Roman"/>
          <w:bCs/>
          <w:szCs w:val="24"/>
          <w:lang w:eastAsia="en-AU"/>
        </w:rPr>
      </w:pPr>
      <w:r>
        <w:rPr>
          <w:rFonts w:cs="Times New Roman"/>
          <w:bCs/>
          <w:szCs w:val="24"/>
          <w:lang w:eastAsia="en-AU"/>
        </w:rPr>
        <w:t xml:space="preserve">The values underpinning good safety culture of a licence holder and of a regulator are fundamentally the same. The safety culture survey carried out at ARPANSA’s regulatory branch is therefore useful </w:t>
      </w:r>
      <w:r w:rsidR="00933B1C">
        <w:rPr>
          <w:rFonts w:cs="Times New Roman"/>
          <w:bCs/>
          <w:szCs w:val="24"/>
          <w:lang w:eastAsia="en-AU"/>
        </w:rPr>
        <w:t xml:space="preserve">for improved </w:t>
      </w:r>
      <w:r>
        <w:rPr>
          <w:rFonts w:cs="Times New Roman"/>
          <w:bCs/>
          <w:szCs w:val="24"/>
          <w:lang w:eastAsia="en-AU"/>
        </w:rPr>
        <w:t xml:space="preserve">understanding </w:t>
      </w:r>
      <w:r w:rsidR="00933B1C">
        <w:rPr>
          <w:rFonts w:cs="Times New Roman"/>
          <w:bCs/>
          <w:szCs w:val="24"/>
          <w:lang w:eastAsia="en-AU"/>
        </w:rPr>
        <w:t xml:space="preserve">of, </w:t>
      </w:r>
      <w:r>
        <w:rPr>
          <w:rFonts w:cs="Times New Roman"/>
          <w:bCs/>
          <w:szCs w:val="24"/>
          <w:lang w:eastAsia="en-AU"/>
        </w:rPr>
        <w:t xml:space="preserve">not only the approaches to safety of the agency’s staff, but </w:t>
      </w:r>
      <w:r w:rsidR="00933B1C">
        <w:rPr>
          <w:rFonts w:cs="Times New Roman"/>
          <w:bCs/>
          <w:szCs w:val="24"/>
          <w:lang w:eastAsia="en-AU"/>
        </w:rPr>
        <w:t>the approaches taken by the licence holders. ARPANSA is planning to roll out the safety culture survey across the whole agency during 2019–2020, noting that ARPANSA is also a licence holder under the Act.</w:t>
      </w:r>
    </w:p>
    <w:p w14:paraId="0DB3A783" w14:textId="1FECF564" w:rsidR="00102D60" w:rsidRDefault="008C5DC6" w:rsidP="008C5DC6">
      <w:pPr>
        <w:autoSpaceDE w:val="0"/>
        <w:autoSpaceDN w:val="0"/>
        <w:adjustRightInd w:val="0"/>
        <w:spacing w:after="120"/>
        <w:rPr>
          <w:rFonts w:cs="Times New Roman"/>
          <w:bCs/>
          <w:szCs w:val="24"/>
          <w:lang w:eastAsia="en-AU"/>
        </w:rPr>
      </w:pPr>
      <w:r>
        <w:rPr>
          <w:rFonts w:cs="Times New Roman"/>
          <w:bCs/>
          <w:szCs w:val="24"/>
          <w:lang w:eastAsia="en-AU"/>
        </w:rPr>
        <w:lastRenderedPageBreak/>
        <w:t>The IRRS mission conducted in November</w:t>
      </w:r>
      <w:r w:rsidR="00B9753B">
        <w:rPr>
          <w:rFonts w:cs="Times New Roman"/>
          <w:bCs/>
          <w:szCs w:val="24"/>
          <w:lang w:eastAsia="en-AU"/>
        </w:rPr>
        <w:t xml:space="preserve"> 2018</w:t>
      </w:r>
      <w:r>
        <w:rPr>
          <w:rFonts w:cs="Times New Roman"/>
          <w:bCs/>
          <w:szCs w:val="24"/>
          <w:lang w:eastAsia="en-AU"/>
        </w:rPr>
        <w:t xml:space="preserve"> found a high degree of </w:t>
      </w:r>
      <w:r w:rsidRPr="008C5DC6">
        <w:rPr>
          <w:rFonts w:cs="Times New Roman"/>
          <w:bCs/>
          <w:szCs w:val="24"/>
          <w:lang w:eastAsia="en-AU"/>
        </w:rPr>
        <w:t xml:space="preserve">alignment with international standards and </w:t>
      </w:r>
      <w:r>
        <w:rPr>
          <w:rFonts w:cs="Times New Roman"/>
          <w:bCs/>
          <w:szCs w:val="24"/>
          <w:lang w:eastAsia="en-AU"/>
        </w:rPr>
        <w:t xml:space="preserve">was positive on the </w:t>
      </w:r>
      <w:r w:rsidRPr="008C5DC6">
        <w:rPr>
          <w:rFonts w:cs="Times New Roman"/>
          <w:bCs/>
          <w:szCs w:val="24"/>
          <w:lang w:eastAsia="en-AU"/>
        </w:rPr>
        <w:t>overall regulatory effectiveness of ARPANSA.</w:t>
      </w:r>
      <w:r>
        <w:rPr>
          <w:rFonts w:cs="Times New Roman"/>
          <w:bCs/>
          <w:szCs w:val="24"/>
          <w:lang w:eastAsia="en-AU"/>
        </w:rPr>
        <w:t xml:space="preserve"> However, the IRRS identified that protection may not be equally applied and achieved across jurisdictions. This is related to </w:t>
      </w:r>
      <w:r w:rsidR="00102D60">
        <w:rPr>
          <w:rFonts w:cs="Times New Roman"/>
          <w:bCs/>
          <w:szCs w:val="24"/>
          <w:lang w:eastAsia="en-AU"/>
        </w:rPr>
        <w:t xml:space="preserve">the ‘functions of the CEO’ laid out in section 15 of the Act, </w:t>
      </w:r>
      <w:r>
        <w:rPr>
          <w:rFonts w:cs="Times New Roman"/>
          <w:bCs/>
          <w:szCs w:val="24"/>
          <w:lang w:eastAsia="en-AU"/>
        </w:rPr>
        <w:t xml:space="preserve">on the </w:t>
      </w:r>
      <w:r w:rsidR="00A33665">
        <w:rPr>
          <w:rFonts w:cs="Times New Roman"/>
          <w:bCs/>
          <w:szCs w:val="24"/>
          <w:lang w:eastAsia="en-AU"/>
        </w:rPr>
        <w:t>promotion</w:t>
      </w:r>
      <w:r w:rsidR="00102D60">
        <w:rPr>
          <w:rFonts w:cs="Times New Roman"/>
          <w:bCs/>
          <w:szCs w:val="24"/>
          <w:lang w:eastAsia="en-AU"/>
        </w:rPr>
        <w:t xml:space="preserve"> of nationally uniform policies and practices for radiation protection </w:t>
      </w:r>
      <w:r w:rsidR="0020035B">
        <w:rPr>
          <w:rFonts w:cs="Times New Roman"/>
          <w:bCs/>
          <w:szCs w:val="24"/>
          <w:lang w:eastAsia="en-AU"/>
        </w:rPr>
        <w:t>across Commonwealth, the states and the territories. The</w:t>
      </w:r>
      <w:r w:rsidR="003A285A">
        <w:rPr>
          <w:rFonts w:cs="Times New Roman"/>
          <w:bCs/>
          <w:szCs w:val="24"/>
          <w:lang w:eastAsia="en-AU"/>
        </w:rPr>
        <w:t xml:space="preserve"> preparation for, and conduct of, the</w:t>
      </w:r>
      <w:r w:rsidR="0020035B">
        <w:rPr>
          <w:rFonts w:cs="Times New Roman"/>
          <w:bCs/>
          <w:szCs w:val="24"/>
          <w:lang w:eastAsia="en-AU"/>
        </w:rPr>
        <w:t xml:space="preserve"> IRRS </w:t>
      </w:r>
      <w:r w:rsidR="003A285A">
        <w:rPr>
          <w:rFonts w:cs="Times New Roman"/>
          <w:bCs/>
          <w:szCs w:val="24"/>
          <w:lang w:eastAsia="en-AU"/>
        </w:rPr>
        <w:t>mission</w:t>
      </w:r>
      <w:r w:rsidR="0020035B">
        <w:rPr>
          <w:rFonts w:cs="Times New Roman"/>
          <w:bCs/>
          <w:szCs w:val="24"/>
          <w:lang w:eastAsia="en-AU"/>
        </w:rPr>
        <w:t xml:space="preserve"> has contributed to an increased attention to both safety outcomes and procedural arrangements for achieving uniform outcomes</w:t>
      </w:r>
      <w:r w:rsidR="003A285A">
        <w:rPr>
          <w:rFonts w:cs="Times New Roman"/>
          <w:bCs/>
          <w:szCs w:val="24"/>
          <w:lang w:eastAsia="en-AU"/>
        </w:rPr>
        <w:t>.</w:t>
      </w:r>
      <w:r w:rsidR="0020035B">
        <w:rPr>
          <w:rFonts w:cs="Times New Roman"/>
          <w:bCs/>
          <w:szCs w:val="24"/>
          <w:lang w:eastAsia="en-AU"/>
        </w:rPr>
        <w:t xml:space="preserve"> </w:t>
      </w:r>
      <w:r w:rsidR="00940C56">
        <w:rPr>
          <w:rFonts w:cs="Times New Roman"/>
          <w:bCs/>
          <w:szCs w:val="24"/>
          <w:lang w:eastAsia="en-AU"/>
        </w:rPr>
        <w:t>This includes the commitment to</w:t>
      </w:r>
      <w:r w:rsidR="0020035B">
        <w:rPr>
          <w:rFonts w:cs="Times New Roman"/>
          <w:bCs/>
          <w:szCs w:val="24"/>
          <w:lang w:eastAsia="en-AU"/>
        </w:rPr>
        <w:t xml:space="preserve"> a seamless experience for individuals and businesses moving across jurisdictional borders to carry out safe radiation practices. </w:t>
      </w:r>
    </w:p>
    <w:p w14:paraId="1F651084" w14:textId="59FD249F" w:rsidR="00A33665" w:rsidRDefault="000502BA" w:rsidP="00337A95">
      <w:pPr>
        <w:autoSpaceDE w:val="0"/>
        <w:autoSpaceDN w:val="0"/>
        <w:adjustRightInd w:val="0"/>
        <w:spacing w:after="120"/>
        <w:rPr>
          <w:rFonts w:cs="Times New Roman"/>
          <w:bCs/>
          <w:szCs w:val="24"/>
          <w:lang w:eastAsia="en-AU"/>
        </w:rPr>
      </w:pPr>
      <w:r>
        <w:rPr>
          <w:rFonts w:cs="Times New Roman"/>
          <w:bCs/>
          <w:szCs w:val="24"/>
          <w:lang w:eastAsia="en-AU"/>
        </w:rPr>
        <w:t xml:space="preserve">While the Regulator Performance Framework provides a lens by </w:t>
      </w:r>
      <w:r w:rsidR="009D366B">
        <w:rPr>
          <w:rFonts w:cs="Times New Roman"/>
          <w:bCs/>
          <w:szCs w:val="24"/>
          <w:lang w:eastAsia="en-AU"/>
        </w:rPr>
        <w:t>which regulatory</w:t>
      </w:r>
      <w:r>
        <w:rPr>
          <w:rFonts w:cs="Times New Roman"/>
          <w:bCs/>
          <w:szCs w:val="24"/>
          <w:lang w:eastAsia="en-AU"/>
        </w:rPr>
        <w:t xml:space="preserve"> activities can be viewed and assessed, ARPANSA’s regulatory activities are broad and go </w:t>
      </w:r>
      <w:r w:rsidR="00A33665">
        <w:rPr>
          <w:rFonts w:cs="Times New Roman"/>
          <w:bCs/>
          <w:szCs w:val="24"/>
          <w:lang w:eastAsia="en-AU"/>
        </w:rPr>
        <w:t>beyond</w:t>
      </w:r>
      <w:r>
        <w:rPr>
          <w:rFonts w:cs="Times New Roman"/>
          <w:bCs/>
          <w:szCs w:val="24"/>
          <w:lang w:eastAsia="en-AU"/>
        </w:rPr>
        <w:t xml:space="preserve"> the metrics developed under the Framework. The publically available </w:t>
      </w:r>
      <w:hyperlink r:id="rId53" w:history="1">
        <w:r w:rsidRPr="00012A34">
          <w:rPr>
            <w:rStyle w:val="Hyperlink"/>
            <w:rFonts w:cs="Times New Roman"/>
            <w:bCs/>
            <w:szCs w:val="24"/>
            <w:lang w:eastAsia="en-AU"/>
          </w:rPr>
          <w:t>Policy for ARPANSA’s Regulatory Activities</w:t>
        </w:r>
      </w:hyperlink>
      <w:r w:rsidR="00012A34">
        <w:rPr>
          <w:rFonts w:cs="Times New Roman"/>
          <w:bCs/>
          <w:szCs w:val="24"/>
          <w:lang w:eastAsia="en-AU"/>
        </w:rPr>
        <w:t xml:space="preserve"> </w:t>
      </w:r>
      <w:r>
        <w:rPr>
          <w:rFonts w:cs="Times New Roman"/>
          <w:bCs/>
          <w:szCs w:val="24"/>
          <w:lang w:eastAsia="en-AU"/>
        </w:rPr>
        <w:t xml:space="preserve">provides an overview. </w:t>
      </w:r>
    </w:p>
    <w:p w14:paraId="76613317" w14:textId="7C15D20B" w:rsidR="00D66CE6" w:rsidRPr="00337A95" w:rsidRDefault="003F07CE" w:rsidP="00337A95">
      <w:pPr>
        <w:autoSpaceDE w:val="0"/>
        <w:autoSpaceDN w:val="0"/>
        <w:adjustRightInd w:val="0"/>
        <w:spacing w:after="120"/>
        <w:rPr>
          <w:rFonts w:cs="Times New Roman"/>
          <w:bCs/>
          <w:szCs w:val="24"/>
          <w:lang w:eastAsia="en-AU"/>
        </w:rPr>
      </w:pPr>
      <w:r>
        <w:rPr>
          <w:rFonts w:cs="Times New Roman"/>
          <w:bCs/>
          <w:szCs w:val="24"/>
          <w:lang w:eastAsia="en-AU"/>
        </w:rPr>
        <w:t>ARPANSA is striving to continuously improve the safety outcome for the Australian community, through regulation and otherwise, while not unduly impeding on justified practices carried out safely and responsibly by holders (or applicants) of licences issued under the ARPANS Act. This takes into account</w:t>
      </w:r>
      <w:r w:rsidR="000502BA">
        <w:rPr>
          <w:rFonts w:cs="Times New Roman"/>
          <w:bCs/>
          <w:szCs w:val="24"/>
          <w:lang w:eastAsia="en-AU"/>
        </w:rPr>
        <w:t xml:space="preserve"> events among licence holders, and other sources of information such as the </w:t>
      </w:r>
      <w:hyperlink r:id="rId54" w:history="1">
        <w:r w:rsidR="000502BA" w:rsidRPr="00012A34">
          <w:rPr>
            <w:rStyle w:val="Hyperlink"/>
            <w:rFonts w:cs="Times New Roman"/>
            <w:bCs/>
            <w:szCs w:val="24"/>
            <w:lang w:eastAsia="en-AU"/>
          </w:rPr>
          <w:t xml:space="preserve">Royal Commission </w:t>
        </w:r>
        <w:r w:rsidR="008460E8" w:rsidRPr="00012A34">
          <w:rPr>
            <w:rStyle w:val="Hyperlink"/>
            <w:rFonts w:ascii="Calibri" w:eastAsia="Calibri" w:hAnsi="Calibri" w:cs="Calibri"/>
          </w:rPr>
          <w:t>into Misconduct in the Banking, Superannuation and Financial Services Industry</w:t>
        </w:r>
      </w:hyperlink>
      <w:r w:rsidR="00012A34">
        <w:rPr>
          <w:rFonts w:ascii="Calibri" w:eastAsia="Calibri" w:hAnsi="Calibri" w:cs="Calibri"/>
        </w:rPr>
        <w:t>,</w:t>
      </w:r>
      <w:r w:rsidR="008460E8">
        <w:rPr>
          <w:rFonts w:ascii="Calibri" w:eastAsia="Calibri" w:hAnsi="Calibri" w:cs="Calibri"/>
        </w:rPr>
        <w:t xml:space="preserve"> and the report of the </w:t>
      </w:r>
      <w:hyperlink r:id="rId55" w:history="1">
        <w:r w:rsidR="008460E8" w:rsidRPr="00012A34">
          <w:rPr>
            <w:rStyle w:val="Hyperlink"/>
            <w:rFonts w:ascii="Calibri" w:eastAsia="Calibri" w:hAnsi="Calibri" w:cs="Calibri"/>
          </w:rPr>
          <w:t>South Australian Independent Commissioner Against Corruption (ICAC) on regulatory practices of SafeWork SA</w:t>
        </w:r>
      </w:hyperlink>
      <w:r w:rsidR="008460E8">
        <w:rPr>
          <w:rFonts w:ascii="Calibri" w:eastAsia="Calibri" w:hAnsi="Calibri" w:cs="Calibri"/>
        </w:rPr>
        <w:t>.</w:t>
      </w:r>
      <w:r w:rsidR="00B8258A">
        <w:rPr>
          <w:rFonts w:cs="Times New Roman"/>
          <w:bCs/>
          <w:szCs w:val="24"/>
          <w:lang w:eastAsia="en-AU"/>
        </w:rPr>
        <w:t xml:space="preserve"> </w:t>
      </w:r>
    </w:p>
    <w:p w14:paraId="5220BBB2" w14:textId="77777777" w:rsidR="00780428" w:rsidRDefault="00780428">
      <w:r>
        <w:br w:type="page"/>
      </w:r>
    </w:p>
    <w:p w14:paraId="04C7796E" w14:textId="1DFCBC89" w:rsidR="00780428" w:rsidRDefault="00780428" w:rsidP="000F0205">
      <w:pPr>
        <w:pStyle w:val="Heading1"/>
        <w:spacing w:before="0"/>
        <w:rPr>
          <w:shd w:val="clear" w:color="auto" w:fill="FFFFFF"/>
        </w:rPr>
      </w:pPr>
      <w:bookmarkStart w:id="65" w:name="_Toc23846614"/>
      <w:bookmarkStart w:id="66" w:name="_Toc25225273"/>
      <w:r>
        <w:rPr>
          <w:shd w:val="clear" w:color="auto" w:fill="FFFFFF"/>
        </w:rPr>
        <w:lastRenderedPageBreak/>
        <w:t>Glossary</w:t>
      </w:r>
      <w:bookmarkEnd w:id="65"/>
      <w:bookmarkEnd w:id="66"/>
      <w:r w:rsidR="000F0205">
        <w:rPr>
          <w:shd w:val="clear" w:color="auto" w:fill="FFFFFF"/>
        </w:rPr>
        <w:br/>
      </w:r>
    </w:p>
    <w:tbl>
      <w:tblPr>
        <w:tblStyle w:val="GenericARPANSA"/>
        <w:tblW w:w="5000" w:type="pct"/>
        <w:tblLook w:val="04A0" w:firstRow="1" w:lastRow="0" w:firstColumn="1" w:lastColumn="0" w:noHBand="0" w:noVBand="1"/>
      </w:tblPr>
      <w:tblGrid>
        <w:gridCol w:w="2762"/>
        <w:gridCol w:w="6866"/>
      </w:tblGrid>
      <w:tr w:rsidR="00780428" w:rsidRPr="00B309DC" w14:paraId="52A94D82" w14:textId="77777777" w:rsidTr="00C905D3">
        <w:trPr>
          <w:cnfStyle w:val="100000000000" w:firstRow="1" w:lastRow="0" w:firstColumn="0" w:lastColumn="0" w:oddVBand="0" w:evenVBand="0" w:oddHBand="0" w:evenHBand="0" w:firstRowFirstColumn="0" w:firstRowLastColumn="0" w:lastRowFirstColumn="0" w:lastRowLastColumn="0"/>
        </w:trPr>
        <w:tc>
          <w:tcPr>
            <w:tcW w:w="2599" w:type="dxa"/>
          </w:tcPr>
          <w:p w14:paraId="239E1072" w14:textId="77777777" w:rsidR="00780428" w:rsidRPr="00B309DC" w:rsidRDefault="00780428" w:rsidP="000F0205">
            <w:pPr>
              <w:jc w:val="left"/>
              <w:rPr>
                <w:b w:val="0"/>
              </w:rPr>
            </w:pPr>
            <w:r w:rsidRPr="00B309DC">
              <w:t>Acronym</w:t>
            </w:r>
          </w:p>
        </w:tc>
        <w:tc>
          <w:tcPr>
            <w:tcW w:w="6461" w:type="dxa"/>
          </w:tcPr>
          <w:p w14:paraId="31FF54C8" w14:textId="77777777" w:rsidR="00780428" w:rsidRPr="00B309DC" w:rsidRDefault="00780428" w:rsidP="000F0205">
            <w:pPr>
              <w:jc w:val="left"/>
              <w:rPr>
                <w:b w:val="0"/>
              </w:rPr>
            </w:pPr>
            <w:r w:rsidRPr="00B309DC">
              <w:t>Description</w:t>
            </w:r>
          </w:p>
        </w:tc>
      </w:tr>
      <w:tr w:rsidR="00B01704" w14:paraId="6D9C8D39" w14:textId="77777777" w:rsidTr="000708F3">
        <w:tc>
          <w:tcPr>
            <w:tcW w:w="2599" w:type="dxa"/>
            <w:vAlign w:val="top"/>
          </w:tcPr>
          <w:p w14:paraId="675E05EE" w14:textId="058FAE1F" w:rsidR="00B01704" w:rsidRPr="007F6900" w:rsidRDefault="00B01704" w:rsidP="000708F3">
            <w:pPr>
              <w:jc w:val="left"/>
              <w:rPr>
                <w:b/>
                <w:lang w:val="en-US"/>
              </w:rPr>
            </w:pPr>
            <w:r w:rsidRPr="007F6900">
              <w:rPr>
                <w:b/>
              </w:rPr>
              <w:t>AFI</w:t>
            </w:r>
          </w:p>
        </w:tc>
        <w:tc>
          <w:tcPr>
            <w:tcW w:w="6461" w:type="dxa"/>
            <w:vAlign w:val="top"/>
          </w:tcPr>
          <w:p w14:paraId="2FC17F8B" w14:textId="1AF39BFE" w:rsidR="00B01704" w:rsidRPr="004D72C5" w:rsidRDefault="00B01704" w:rsidP="000708F3">
            <w:pPr>
              <w:tabs>
                <w:tab w:val="left" w:pos="2235"/>
              </w:tabs>
              <w:jc w:val="left"/>
              <w:rPr>
                <w:lang w:val="en-US"/>
              </w:rPr>
            </w:pPr>
            <w:r w:rsidRPr="008F7C1D">
              <w:t xml:space="preserve">Areas for Improvement </w:t>
            </w:r>
            <w:r w:rsidR="005C5339">
              <w:t>(inspection outcome, suggested improvement rather than a non-compliance)</w:t>
            </w:r>
          </w:p>
        </w:tc>
      </w:tr>
      <w:tr w:rsidR="00B01704" w14:paraId="0A4F7224" w14:textId="77777777" w:rsidTr="000708F3">
        <w:trPr>
          <w:cnfStyle w:val="000000010000" w:firstRow="0" w:lastRow="0" w:firstColumn="0" w:lastColumn="0" w:oddVBand="0" w:evenVBand="0" w:oddHBand="0" w:evenHBand="1" w:firstRowFirstColumn="0" w:firstRowLastColumn="0" w:lastRowFirstColumn="0" w:lastRowLastColumn="0"/>
        </w:trPr>
        <w:tc>
          <w:tcPr>
            <w:tcW w:w="2599" w:type="dxa"/>
            <w:vAlign w:val="top"/>
          </w:tcPr>
          <w:p w14:paraId="5AE48A43" w14:textId="069BCA4A" w:rsidR="00B01704" w:rsidRPr="007F6900" w:rsidRDefault="00B01704" w:rsidP="000708F3">
            <w:pPr>
              <w:jc w:val="left"/>
              <w:rPr>
                <w:b/>
                <w:lang w:val="en-US"/>
              </w:rPr>
            </w:pPr>
            <w:r w:rsidRPr="007F6900">
              <w:rPr>
                <w:b/>
              </w:rPr>
              <w:t>ANM</w:t>
            </w:r>
          </w:p>
        </w:tc>
        <w:tc>
          <w:tcPr>
            <w:tcW w:w="6461" w:type="dxa"/>
            <w:vAlign w:val="top"/>
          </w:tcPr>
          <w:p w14:paraId="50F40DEB" w14:textId="0556F5B0" w:rsidR="00B01704" w:rsidRPr="004D72C5" w:rsidRDefault="00B01704" w:rsidP="000708F3">
            <w:pPr>
              <w:tabs>
                <w:tab w:val="left" w:pos="2235"/>
              </w:tabs>
              <w:jc w:val="left"/>
              <w:rPr>
                <w:lang w:val="en-US"/>
              </w:rPr>
            </w:pPr>
            <w:r w:rsidRPr="008F7C1D">
              <w:t xml:space="preserve">ANSTO </w:t>
            </w:r>
            <w:r w:rsidR="00B8258A">
              <w:t>N</w:t>
            </w:r>
            <w:r w:rsidR="00B8258A" w:rsidRPr="008F7C1D">
              <w:t xml:space="preserve">uclear </w:t>
            </w:r>
            <w:r w:rsidR="00B8258A">
              <w:t>M</w:t>
            </w:r>
            <w:r w:rsidR="00B8258A" w:rsidRPr="008F7C1D">
              <w:t>edicine</w:t>
            </w:r>
            <w:r w:rsidR="00B8258A">
              <w:t xml:space="preserve"> </w:t>
            </w:r>
            <w:r w:rsidR="007F6900">
              <w:t>(Facility)</w:t>
            </w:r>
          </w:p>
        </w:tc>
      </w:tr>
      <w:tr w:rsidR="00B01704" w14:paraId="77A52294" w14:textId="77777777" w:rsidTr="000708F3">
        <w:tc>
          <w:tcPr>
            <w:tcW w:w="2599" w:type="dxa"/>
            <w:vAlign w:val="top"/>
          </w:tcPr>
          <w:p w14:paraId="007DCDA8" w14:textId="55B5604F" w:rsidR="00B01704" w:rsidRPr="007F6900" w:rsidRDefault="00B01704" w:rsidP="000708F3">
            <w:pPr>
              <w:jc w:val="left"/>
              <w:rPr>
                <w:b/>
              </w:rPr>
            </w:pPr>
            <w:r w:rsidRPr="007F6900">
              <w:rPr>
                <w:b/>
              </w:rPr>
              <w:t>ANSTO</w:t>
            </w:r>
          </w:p>
        </w:tc>
        <w:tc>
          <w:tcPr>
            <w:tcW w:w="6461" w:type="dxa"/>
            <w:vAlign w:val="top"/>
          </w:tcPr>
          <w:p w14:paraId="450EA2D7" w14:textId="7202FE79" w:rsidR="00B01704" w:rsidRPr="004D72C5" w:rsidRDefault="00B01704" w:rsidP="000708F3">
            <w:pPr>
              <w:tabs>
                <w:tab w:val="left" w:pos="2235"/>
              </w:tabs>
              <w:jc w:val="left"/>
            </w:pPr>
            <w:r w:rsidRPr="008F7C1D">
              <w:t>Australian Nuclear Science and Technology Organisation</w:t>
            </w:r>
          </w:p>
        </w:tc>
      </w:tr>
      <w:tr w:rsidR="00B01704" w14:paraId="3DD355C9" w14:textId="77777777" w:rsidTr="000708F3">
        <w:trPr>
          <w:cnfStyle w:val="000000010000" w:firstRow="0" w:lastRow="0" w:firstColumn="0" w:lastColumn="0" w:oddVBand="0" w:evenVBand="0" w:oddHBand="0" w:evenHBand="1" w:firstRowFirstColumn="0" w:firstRowLastColumn="0" w:lastRowFirstColumn="0" w:lastRowLastColumn="0"/>
        </w:trPr>
        <w:tc>
          <w:tcPr>
            <w:tcW w:w="2599" w:type="dxa"/>
            <w:vAlign w:val="top"/>
          </w:tcPr>
          <w:p w14:paraId="1A81F0B1" w14:textId="4DF7D98A" w:rsidR="00B01704" w:rsidRPr="007F6900" w:rsidRDefault="00B01704" w:rsidP="000708F3">
            <w:pPr>
              <w:jc w:val="left"/>
              <w:rPr>
                <w:b/>
              </w:rPr>
            </w:pPr>
            <w:r w:rsidRPr="007F6900">
              <w:rPr>
                <w:b/>
              </w:rPr>
              <w:t>ARPANS Act/Regulations</w:t>
            </w:r>
          </w:p>
        </w:tc>
        <w:tc>
          <w:tcPr>
            <w:tcW w:w="6461" w:type="dxa"/>
            <w:vAlign w:val="top"/>
          </w:tcPr>
          <w:p w14:paraId="717AAFBA" w14:textId="4409B488" w:rsidR="00B01704" w:rsidRPr="004D72C5" w:rsidRDefault="00B01704" w:rsidP="000708F3">
            <w:pPr>
              <w:jc w:val="left"/>
            </w:pPr>
            <w:r w:rsidRPr="00012A34">
              <w:rPr>
                <w:i/>
              </w:rPr>
              <w:t>Australian Radiation Protection and Nuclear Safety Act</w:t>
            </w:r>
            <w:r w:rsidR="00B8258A" w:rsidRPr="00012A34">
              <w:rPr>
                <w:i/>
              </w:rPr>
              <w:t xml:space="preserve"> 1998</w:t>
            </w:r>
            <w:r w:rsidRPr="008F7C1D">
              <w:t>/Regulation</w:t>
            </w:r>
            <w:r w:rsidR="3A52F06C" w:rsidRPr="008F7C1D">
              <w:t>s</w:t>
            </w:r>
            <w:r w:rsidR="00B8258A">
              <w:t xml:space="preserve"> 2018</w:t>
            </w:r>
          </w:p>
        </w:tc>
      </w:tr>
      <w:tr w:rsidR="00B01704" w14:paraId="56EE48EE" w14:textId="77777777" w:rsidTr="000708F3">
        <w:tc>
          <w:tcPr>
            <w:tcW w:w="2599" w:type="dxa"/>
            <w:vAlign w:val="top"/>
          </w:tcPr>
          <w:p w14:paraId="2908EB2C" w14:textId="34A449FF" w:rsidR="00B01704" w:rsidRPr="007F6900" w:rsidRDefault="00B01704" w:rsidP="000708F3">
            <w:pPr>
              <w:jc w:val="left"/>
              <w:rPr>
                <w:b/>
              </w:rPr>
            </w:pPr>
            <w:r w:rsidRPr="007F6900">
              <w:rPr>
                <w:b/>
              </w:rPr>
              <w:t>ARPANSA</w:t>
            </w:r>
          </w:p>
        </w:tc>
        <w:tc>
          <w:tcPr>
            <w:tcW w:w="6461" w:type="dxa"/>
            <w:vAlign w:val="top"/>
          </w:tcPr>
          <w:p w14:paraId="121FD38A" w14:textId="2378E2D4" w:rsidR="00B01704" w:rsidRPr="004D72C5" w:rsidRDefault="00B01704" w:rsidP="000708F3">
            <w:pPr>
              <w:jc w:val="left"/>
            </w:pPr>
            <w:r w:rsidRPr="008F7C1D">
              <w:t>Australian Radiation Protection and Nuclear Safety Agency</w:t>
            </w:r>
          </w:p>
        </w:tc>
      </w:tr>
      <w:tr w:rsidR="00B01704" w14:paraId="1FE2DD96" w14:textId="77777777" w:rsidTr="000708F3">
        <w:trPr>
          <w:cnfStyle w:val="000000010000" w:firstRow="0" w:lastRow="0" w:firstColumn="0" w:lastColumn="0" w:oddVBand="0" w:evenVBand="0" w:oddHBand="0" w:evenHBand="1" w:firstRowFirstColumn="0" w:firstRowLastColumn="0" w:lastRowFirstColumn="0" w:lastRowLastColumn="0"/>
        </w:trPr>
        <w:tc>
          <w:tcPr>
            <w:tcW w:w="2599" w:type="dxa"/>
            <w:vAlign w:val="top"/>
          </w:tcPr>
          <w:p w14:paraId="27357532" w14:textId="4B47F888" w:rsidR="00B01704" w:rsidRPr="007F6900" w:rsidRDefault="00B01704" w:rsidP="000708F3">
            <w:pPr>
              <w:jc w:val="left"/>
              <w:rPr>
                <w:b/>
              </w:rPr>
            </w:pPr>
            <w:r w:rsidRPr="007F6900">
              <w:rPr>
                <w:b/>
              </w:rPr>
              <w:t>ASNO</w:t>
            </w:r>
          </w:p>
        </w:tc>
        <w:tc>
          <w:tcPr>
            <w:tcW w:w="6461" w:type="dxa"/>
            <w:vAlign w:val="top"/>
          </w:tcPr>
          <w:p w14:paraId="07F023C8" w14:textId="1C44E311" w:rsidR="00B01704" w:rsidRPr="004D72C5" w:rsidRDefault="00B01704" w:rsidP="000708F3">
            <w:pPr>
              <w:jc w:val="left"/>
            </w:pPr>
            <w:r w:rsidRPr="008F7C1D">
              <w:t>Australian Safeguards and Non-</w:t>
            </w:r>
            <w:r w:rsidR="00B8258A">
              <w:t>P</w:t>
            </w:r>
            <w:r w:rsidR="00B8258A" w:rsidRPr="008F7C1D">
              <w:t xml:space="preserve">roliferation </w:t>
            </w:r>
            <w:r w:rsidRPr="008F7C1D">
              <w:t>Office</w:t>
            </w:r>
          </w:p>
        </w:tc>
      </w:tr>
      <w:tr w:rsidR="03EE252C" w14:paraId="0B8064B4" w14:textId="77777777" w:rsidTr="000708F3">
        <w:tc>
          <w:tcPr>
            <w:tcW w:w="2599" w:type="dxa"/>
            <w:vAlign w:val="top"/>
          </w:tcPr>
          <w:p w14:paraId="66F3C567" w14:textId="4771EBFB" w:rsidR="03EE252C" w:rsidRPr="0030652D" w:rsidRDefault="03EE252C" w:rsidP="000708F3">
            <w:pPr>
              <w:jc w:val="left"/>
              <w:rPr>
                <w:b/>
                <w:bCs/>
              </w:rPr>
            </w:pPr>
            <w:r w:rsidRPr="0030652D">
              <w:rPr>
                <w:b/>
                <w:bCs/>
              </w:rPr>
              <w:t>C</w:t>
            </w:r>
            <w:r w:rsidR="5953F714" w:rsidRPr="0030652D">
              <w:rPr>
                <w:b/>
                <w:bCs/>
              </w:rPr>
              <w:t>omcare</w:t>
            </w:r>
          </w:p>
        </w:tc>
        <w:tc>
          <w:tcPr>
            <w:tcW w:w="6461" w:type="dxa"/>
            <w:vAlign w:val="top"/>
          </w:tcPr>
          <w:p w14:paraId="561B01C5" w14:textId="5E1538E6" w:rsidR="03EE252C" w:rsidRDefault="5C0879A1" w:rsidP="000708F3">
            <w:pPr>
              <w:jc w:val="left"/>
            </w:pPr>
            <w:r w:rsidRPr="5C0879A1">
              <w:t xml:space="preserve">Comcare is </w:t>
            </w:r>
            <w:r w:rsidR="55317D04" w:rsidRPr="5C0879A1">
              <w:t>t</w:t>
            </w:r>
            <w:r w:rsidR="52D57B74" w:rsidRPr="5C0879A1">
              <w:t>he</w:t>
            </w:r>
            <w:r w:rsidRPr="5C0879A1">
              <w:t xml:space="preserve"> </w:t>
            </w:r>
            <w:r w:rsidR="52D57B74" w:rsidRPr="5C0879A1">
              <w:t>C</w:t>
            </w:r>
            <w:r w:rsidRPr="5C0879A1">
              <w:t xml:space="preserve">ommonwealth agency with regulatory responsibility for work health and safety </w:t>
            </w:r>
            <w:r w:rsidR="52D57B74" w:rsidRPr="52D57B74">
              <w:t>for</w:t>
            </w:r>
            <w:r w:rsidR="55317D04" w:rsidRPr="55317D04">
              <w:t xml:space="preserve"> the </w:t>
            </w:r>
            <w:r w:rsidR="52D57B74" w:rsidRPr="55317D04">
              <w:t>C</w:t>
            </w:r>
            <w:r w:rsidR="55317D04" w:rsidRPr="55317D04">
              <w:t xml:space="preserve">ommonwealth </w:t>
            </w:r>
            <w:r w:rsidR="52D57B74" w:rsidRPr="55317D04">
              <w:t>G</w:t>
            </w:r>
            <w:r w:rsidR="55317D04" w:rsidRPr="55317D04">
              <w:t>overnment</w:t>
            </w:r>
            <w:r w:rsidRPr="52D57B74">
              <w:t>.</w:t>
            </w:r>
          </w:p>
        </w:tc>
      </w:tr>
      <w:tr w:rsidR="00B01704" w14:paraId="4BDB5498" w14:textId="77777777" w:rsidTr="000708F3">
        <w:trPr>
          <w:cnfStyle w:val="000000010000" w:firstRow="0" w:lastRow="0" w:firstColumn="0" w:lastColumn="0" w:oddVBand="0" w:evenVBand="0" w:oddHBand="0" w:evenHBand="1" w:firstRowFirstColumn="0" w:firstRowLastColumn="0" w:lastRowFirstColumn="0" w:lastRowLastColumn="0"/>
        </w:trPr>
        <w:tc>
          <w:tcPr>
            <w:tcW w:w="2599" w:type="dxa"/>
            <w:vAlign w:val="top"/>
          </w:tcPr>
          <w:p w14:paraId="2916C19D" w14:textId="5736B756" w:rsidR="00B01704" w:rsidRPr="007F6900" w:rsidRDefault="00B01704" w:rsidP="000708F3">
            <w:pPr>
              <w:jc w:val="left"/>
              <w:rPr>
                <w:b/>
              </w:rPr>
            </w:pPr>
            <w:r w:rsidRPr="007F6900">
              <w:rPr>
                <w:b/>
              </w:rPr>
              <w:t>HP</w:t>
            </w:r>
            <w:r w:rsidR="00E269C3">
              <w:rPr>
                <w:b/>
              </w:rPr>
              <w:t>E</w:t>
            </w:r>
            <w:r w:rsidRPr="007F6900">
              <w:rPr>
                <w:b/>
              </w:rPr>
              <w:t>RM</w:t>
            </w:r>
          </w:p>
        </w:tc>
        <w:tc>
          <w:tcPr>
            <w:tcW w:w="6461" w:type="dxa"/>
            <w:vAlign w:val="top"/>
          </w:tcPr>
          <w:p w14:paraId="74869460" w14:textId="66A6903C" w:rsidR="00B01704" w:rsidRPr="004D72C5" w:rsidRDefault="00B01704" w:rsidP="000708F3">
            <w:pPr>
              <w:jc w:val="left"/>
            </w:pPr>
            <w:r w:rsidRPr="008F7C1D">
              <w:t>Hewlett Packard</w:t>
            </w:r>
            <w:r w:rsidR="00E269C3">
              <w:t xml:space="preserve"> Enterprise</w:t>
            </w:r>
            <w:r w:rsidRPr="008F7C1D">
              <w:t xml:space="preserve"> Records Manager</w:t>
            </w:r>
            <w:r w:rsidR="00692518">
              <w:t xml:space="preserve"> (records management platform)</w:t>
            </w:r>
          </w:p>
        </w:tc>
      </w:tr>
      <w:tr w:rsidR="00B01704" w14:paraId="187F57B8" w14:textId="77777777" w:rsidTr="000708F3">
        <w:tc>
          <w:tcPr>
            <w:tcW w:w="2599" w:type="dxa"/>
            <w:vAlign w:val="top"/>
          </w:tcPr>
          <w:p w14:paraId="54738AF4" w14:textId="420AC602" w:rsidR="00B01704" w:rsidRPr="007F6900" w:rsidRDefault="00B01704" w:rsidP="000708F3">
            <w:pPr>
              <w:jc w:val="left"/>
              <w:rPr>
                <w:b/>
              </w:rPr>
            </w:pPr>
            <w:r w:rsidRPr="007F6900">
              <w:rPr>
                <w:b/>
              </w:rPr>
              <w:t>IAEA</w:t>
            </w:r>
          </w:p>
        </w:tc>
        <w:tc>
          <w:tcPr>
            <w:tcW w:w="6461" w:type="dxa"/>
            <w:vAlign w:val="top"/>
          </w:tcPr>
          <w:p w14:paraId="46ABBD8F" w14:textId="5724D492" w:rsidR="00B01704" w:rsidRPr="004D72C5" w:rsidRDefault="00B01704" w:rsidP="000708F3">
            <w:pPr>
              <w:jc w:val="left"/>
            </w:pPr>
            <w:r w:rsidRPr="008F7C1D">
              <w:t xml:space="preserve">International Atomic Energy Agency </w:t>
            </w:r>
            <w:r>
              <w:t>(</w:t>
            </w:r>
            <w:r w:rsidRPr="008F7C1D">
              <w:t>an independent Agency in the United Nations system)</w:t>
            </w:r>
          </w:p>
        </w:tc>
      </w:tr>
      <w:tr w:rsidR="00B01704" w14:paraId="3382A365" w14:textId="77777777" w:rsidTr="000708F3">
        <w:trPr>
          <w:cnfStyle w:val="000000010000" w:firstRow="0" w:lastRow="0" w:firstColumn="0" w:lastColumn="0" w:oddVBand="0" w:evenVBand="0" w:oddHBand="0" w:evenHBand="1" w:firstRowFirstColumn="0" w:firstRowLastColumn="0" w:lastRowFirstColumn="0" w:lastRowLastColumn="0"/>
        </w:trPr>
        <w:tc>
          <w:tcPr>
            <w:tcW w:w="2599" w:type="dxa"/>
            <w:vAlign w:val="top"/>
          </w:tcPr>
          <w:p w14:paraId="5C71F136" w14:textId="6F6D1938" w:rsidR="00B01704" w:rsidRPr="007F6900" w:rsidRDefault="00B01704" w:rsidP="000708F3">
            <w:pPr>
              <w:jc w:val="left"/>
              <w:rPr>
                <w:b/>
                <w:lang w:val="en-US"/>
              </w:rPr>
            </w:pPr>
            <w:r w:rsidRPr="007F6900">
              <w:rPr>
                <w:b/>
              </w:rPr>
              <w:t>INES</w:t>
            </w:r>
          </w:p>
        </w:tc>
        <w:tc>
          <w:tcPr>
            <w:tcW w:w="6461" w:type="dxa"/>
            <w:vAlign w:val="top"/>
          </w:tcPr>
          <w:p w14:paraId="62199465" w14:textId="4DBA4328" w:rsidR="00B01704" w:rsidRPr="004D72C5" w:rsidRDefault="00B01704" w:rsidP="000708F3">
            <w:pPr>
              <w:tabs>
                <w:tab w:val="left" w:pos="2475"/>
              </w:tabs>
              <w:jc w:val="left"/>
              <w:rPr>
                <w:rFonts w:eastAsia="Calibri"/>
                <w:color w:val="000000"/>
              </w:rPr>
            </w:pPr>
            <w:r w:rsidRPr="008F7C1D">
              <w:t>International Nuclear and Radiological Event Scale (used by IAEA for reporting of incidents)</w:t>
            </w:r>
          </w:p>
        </w:tc>
      </w:tr>
      <w:tr w:rsidR="00B01704" w14:paraId="0DA123B1" w14:textId="77777777" w:rsidTr="000708F3">
        <w:tc>
          <w:tcPr>
            <w:tcW w:w="2599" w:type="dxa"/>
            <w:vAlign w:val="top"/>
          </w:tcPr>
          <w:p w14:paraId="4C4CEA3D" w14:textId="475CA2CB" w:rsidR="00B01704" w:rsidRPr="007F6900" w:rsidRDefault="00B01704" w:rsidP="000708F3">
            <w:pPr>
              <w:jc w:val="left"/>
              <w:rPr>
                <w:b/>
                <w:lang w:val="en-US"/>
              </w:rPr>
            </w:pPr>
            <w:r w:rsidRPr="007F6900">
              <w:rPr>
                <w:b/>
              </w:rPr>
              <w:t>ISAAC</w:t>
            </w:r>
          </w:p>
        </w:tc>
        <w:tc>
          <w:tcPr>
            <w:tcW w:w="6461" w:type="dxa"/>
            <w:vAlign w:val="top"/>
          </w:tcPr>
          <w:p w14:paraId="50895670" w14:textId="717D40CE" w:rsidR="00B01704" w:rsidRPr="004D72C5" w:rsidRDefault="008C3E0D" w:rsidP="000708F3">
            <w:pPr>
              <w:tabs>
                <w:tab w:val="left" w:pos="2475"/>
              </w:tabs>
              <w:jc w:val="left"/>
              <w:rPr>
                <w:lang w:val="en"/>
              </w:rPr>
            </w:pPr>
            <w:r>
              <w:t>ARPANSA</w:t>
            </w:r>
            <w:r w:rsidR="00E2794C">
              <w:t>’s</w:t>
            </w:r>
            <w:r>
              <w:t xml:space="preserve"> intranet</w:t>
            </w:r>
          </w:p>
        </w:tc>
      </w:tr>
      <w:tr w:rsidR="00B01704" w14:paraId="38C1F859" w14:textId="77777777" w:rsidTr="000708F3">
        <w:trPr>
          <w:cnfStyle w:val="000000010000" w:firstRow="0" w:lastRow="0" w:firstColumn="0" w:lastColumn="0" w:oddVBand="0" w:evenVBand="0" w:oddHBand="0" w:evenHBand="1" w:firstRowFirstColumn="0" w:firstRowLastColumn="0" w:lastRowFirstColumn="0" w:lastRowLastColumn="0"/>
        </w:trPr>
        <w:tc>
          <w:tcPr>
            <w:tcW w:w="2599" w:type="dxa"/>
            <w:vAlign w:val="top"/>
          </w:tcPr>
          <w:p w14:paraId="0C8FE7CE" w14:textId="2A124F2C" w:rsidR="00B01704" w:rsidRPr="007F6900" w:rsidRDefault="00B01704" w:rsidP="000708F3">
            <w:pPr>
              <w:jc w:val="left"/>
              <w:rPr>
                <w:b/>
                <w:lang w:val="en-US"/>
              </w:rPr>
            </w:pPr>
            <w:r w:rsidRPr="007F6900">
              <w:rPr>
                <w:b/>
              </w:rPr>
              <w:t>KPI</w:t>
            </w:r>
          </w:p>
        </w:tc>
        <w:tc>
          <w:tcPr>
            <w:tcW w:w="6461" w:type="dxa"/>
            <w:vAlign w:val="top"/>
          </w:tcPr>
          <w:p w14:paraId="41004F19" w14:textId="4F376109" w:rsidR="00B01704" w:rsidRDefault="00B01704" w:rsidP="000708F3">
            <w:pPr>
              <w:tabs>
                <w:tab w:val="left" w:pos="2475"/>
              </w:tabs>
              <w:jc w:val="left"/>
              <w:rPr>
                <w:lang w:val="en"/>
              </w:rPr>
            </w:pPr>
            <w:r w:rsidRPr="008F7C1D">
              <w:t>Key Performance Indicator (as defined in the RPF)</w:t>
            </w:r>
          </w:p>
        </w:tc>
      </w:tr>
      <w:tr w:rsidR="00B01704" w14:paraId="67C0C651" w14:textId="77777777" w:rsidTr="000708F3">
        <w:tc>
          <w:tcPr>
            <w:tcW w:w="2599" w:type="dxa"/>
            <w:vAlign w:val="top"/>
          </w:tcPr>
          <w:p w14:paraId="308D56CC" w14:textId="7DF23EB4" w:rsidR="00B01704" w:rsidRPr="007F6900" w:rsidRDefault="00B01704" w:rsidP="000708F3">
            <w:pPr>
              <w:jc w:val="left"/>
              <w:rPr>
                <w:b/>
              </w:rPr>
            </w:pPr>
            <w:r w:rsidRPr="007F6900">
              <w:rPr>
                <w:b/>
              </w:rPr>
              <w:t>LHF</w:t>
            </w:r>
          </w:p>
        </w:tc>
        <w:tc>
          <w:tcPr>
            <w:tcW w:w="6461" w:type="dxa"/>
            <w:vAlign w:val="top"/>
          </w:tcPr>
          <w:p w14:paraId="797E50C6" w14:textId="50EED189" w:rsidR="00B01704" w:rsidRPr="004D72C5" w:rsidRDefault="00B01704" w:rsidP="000708F3">
            <w:pPr>
              <w:jc w:val="left"/>
            </w:pPr>
            <w:r w:rsidRPr="008F7C1D">
              <w:t xml:space="preserve">Licence </w:t>
            </w:r>
            <w:r w:rsidR="00E0167F">
              <w:t>h</w:t>
            </w:r>
            <w:r w:rsidRPr="008F7C1D">
              <w:t xml:space="preserve">older </w:t>
            </w:r>
            <w:r w:rsidR="00E0167F">
              <w:t>f</w:t>
            </w:r>
            <w:r w:rsidRPr="008F7C1D">
              <w:t>orum</w:t>
            </w:r>
          </w:p>
        </w:tc>
      </w:tr>
      <w:tr w:rsidR="007F6900" w14:paraId="6EA530C0" w14:textId="77777777" w:rsidTr="000708F3">
        <w:trPr>
          <w:cnfStyle w:val="000000010000" w:firstRow="0" w:lastRow="0" w:firstColumn="0" w:lastColumn="0" w:oddVBand="0" w:evenVBand="0" w:oddHBand="0" w:evenHBand="1" w:firstRowFirstColumn="0" w:firstRowLastColumn="0" w:lastRowFirstColumn="0" w:lastRowLastColumn="0"/>
        </w:trPr>
        <w:tc>
          <w:tcPr>
            <w:tcW w:w="2599" w:type="dxa"/>
            <w:vAlign w:val="top"/>
          </w:tcPr>
          <w:p w14:paraId="773634D0" w14:textId="77777777" w:rsidR="007F6900" w:rsidRPr="007F6900" w:rsidRDefault="007F6900" w:rsidP="000708F3">
            <w:pPr>
              <w:jc w:val="left"/>
              <w:rPr>
                <w:b/>
                <w:lang w:val="en-US"/>
              </w:rPr>
            </w:pPr>
            <w:r w:rsidRPr="007F6900">
              <w:rPr>
                <w:b/>
                <w:lang w:val="en-US"/>
              </w:rPr>
              <w:t>OECD</w:t>
            </w:r>
          </w:p>
        </w:tc>
        <w:tc>
          <w:tcPr>
            <w:tcW w:w="6461" w:type="dxa"/>
            <w:vAlign w:val="top"/>
          </w:tcPr>
          <w:p w14:paraId="7594F5C3" w14:textId="77777777" w:rsidR="007F6900" w:rsidRPr="00012A34" w:rsidRDefault="007F6900" w:rsidP="000708F3">
            <w:pPr>
              <w:tabs>
                <w:tab w:val="left" w:pos="2475"/>
              </w:tabs>
              <w:jc w:val="left"/>
            </w:pPr>
            <w:r w:rsidRPr="0030652D">
              <w:t>Organisation for Economic Co-operation and Development</w:t>
            </w:r>
          </w:p>
        </w:tc>
      </w:tr>
      <w:tr w:rsidR="00B01704" w14:paraId="7B04FA47" w14:textId="77777777" w:rsidTr="000708F3">
        <w:tc>
          <w:tcPr>
            <w:tcW w:w="2599" w:type="dxa"/>
            <w:vAlign w:val="top"/>
          </w:tcPr>
          <w:p w14:paraId="568C698B" w14:textId="7D02C4AC" w:rsidR="00B01704" w:rsidRPr="007F6900" w:rsidRDefault="00B01704" w:rsidP="000708F3">
            <w:pPr>
              <w:jc w:val="left"/>
              <w:rPr>
                <w:b/>
                <w:lang w:val="en-US"/>
              </w:rPr>
            </w:pPr>
            <w:r w:rsidRPr="007F6900">
              <w:rPr>
                <w:b/>
              </w:rPr>
              <w:t>OPAL</w:t>
            </w:r>
          </w:p>
        </w:tc>
        <w:tc>
          <w:tcPr>
            <w:tcW w:w="6461" w:type="dxa"/>
            <w:vAlign w:val="top"/>
          </w:tcPr>
          <w:p w14:paraId="1A939487" w14:textId="28081DAF" w:rsidR="00B01704" w:rsidRPr="004D72C5" w:rsidRDefault="00B01704" w:rsidP="000708F3">
            <w:pPr>
              <w:tabs>
                <w:tab w:val="left" w:pos="2475"/>
              </w:tabs>
              <w:jc w:val="left"/>
              <w:rPr>
                <w:lang w:val="en"/>
              </w:rPr>
            </w:pPr>
            <w:r w:rsidRPr="008F7C1D">
              <w:t>Open-Pool Australian Lightwater (reactor)</w:t>
            </w:r>
          </w:p>
        </w:tc>
      </w:tr>
      <w:tr w:rsidR="00B01704" w14:paraId="6AA258D8" w14:textId="77777777" w:rsidTr="000708F3">
        <w:trPr>
          <w:cnfStyle w:val="000000010000" w:firstRow="0" w:lastRow="0" w:firstColumn="0" w:lastColumn="0" w:oddVBand="0" w:evenVBand="0" w:oddHBand="0" w:evenHBand="1" w:firstRowFirstColumn="0" w:firstRowLastColumn="0" w:lastRowFirstColumn="0" w:lastRowLastColumn="0"/>
        </w:trPr>
        <w:tc>
          <w:tcPr>
            <w:tcW w:w="2599" w:type="dxa"/>
            <w:vAlign w:val="top"/>
          </w:tcPr>
          <w:p w14:paraId="6FFBD3EC" w14:textId="4FE90E38" w:rsidR="00B01704" w:rsidRPr="007F6900" w:rsidRDefault="00B01704" w:rsidP="000708F3">
            <w:pPr>
              <w:jc w:val="left"/>
              <w:rPr>
                <w:b/>
              </w:rPr>
            </w:pPr>
            <w:r w:rsidRPr="007F6900">
              <w:rPr>
                <w:b/>
              </w:rPr>
              <w:t>PI</w:t>
            </w:r>
          </w:p>
        </w:tc>
        <w:tc>
          <w:tcPr>
            <w:tcW w:w="6461" w:type="dxa"/>
            <w:vAlign w:val="top"/>
          </w:tcPr>
          <w:p w14:paraId="30DCCCAD" w14:textId="59A4917C" w:rsidR="00B01704" w:rsidRPr="004D72C5" w:rsidRDefault="00B01704" w:rsidP="000708F3">
            <w:pPr>
              <w:jc w:val="left"/>
            </w:pPr>
            <w:r w:rsidRPr="008F7C1D">
              <w:t>Performance Indicator (a metric set by ARPANSA)</w:t>
            </w:r>
          </w:p>
        </w:tc>
      </w:tr>
      <w:tr w:rsidR="00B01704" w14:paraId="36AF6883" w14:textId="77777777" w:rsidTr="000708F3">
        <w:tc>
          <w:tcPr>
            <w:tcW w:w="2599" w:type="dxa"/>
            <w:vAlign w:val="top"/>
          </w:tcPr>
          <w:p w14:paraId="54C529ED" w14:textId="31FC9072" w:rsidR="00B01704" w:rsidRPr="007F6900" w:rsidRDefault="00B01704" w:rsidP="000708F3">
            <w:pPr>
              <w:jc w:val="left"/>
              <w:rPr>
                <w:b/>
              </w:rPr>
            </w:pPr>
            <w:r w:rsidRPr="007F6900">
              <w:rPr>
                <w:b/>
              </w:rPr>
              <w:t>PNC</w:t>
            </w:r>
          </w:p>
        </w:tc>
        <w:tc>
          <w:tcPr>
            <w:tcW w:w="6461" w:type="dxa"/>
            <w:vAlign w:val="top"/>
          </w:tcPr>
          <w:p w14:paraId="1C0157D6" w14:textId="2CC611E6" w:rsidR="00B01704" w:rsidRPr="004D72C5" w:rsidRDefault="00B01704" w:rsidP="000708F3">
            <w:pPr>
              <w:jc w:val="left"/>
            </w:pPr>
            <w:r w:rsidRPr="008F7C1D">
              <w:t>Potential non-compliance (regulatory finding prior to the CEO</w:t>
            </w:r>
            <w:r w:rsidR="56AA7632" w:rsidRPr="008F7C1D">
              <w:t>’s</w:t>
            </w:r>
            <w:r w:rsidRPr="008F7C1D">
              <w:t xml:space="preserve"> determination o</w:t>
            </w:r>
            <w:r w:rsidR="0514C47B" w:rsidRPr="008F7C1D">
              <w:t xml:space="preserve">f whether a </w:t>
            </w:r>
            <w:r w:rsidRPr="008F7C1D">
              <w:t xml:space="preserve">breach of the </w:t>
            </w:r>
            <w:r w:rsidR="0514C47B" w:rsidRPr="008F7C1D">
              <w:t>A</w:t>
            </w:r>
            <w:r w:rsidRPr="008F7C1D">
              <w:t>ct has occurred</w:t>
            </w:r>
            <w:r w:rsidR="71927D99" w:rsidRPr="0514C47B">
              <w:t>)</w:t>
            </w:r>
            <w:r w:rsidRPr="0514C47B">
              <w:t>.</w:t>
            </w:r>
          </w:p>
        </w:tc>
      </w:tr>
      <w:tr w:rsidR="00B01704" w14:paraId="3691E7B2" w14:textId="77777777" w:rsidTr="000708F3">
        <w:trPr>
          <w:cnfStyle w:val="000000010000" w:firstRow="0" w:lastRow="0" w:firstColumn="0" w:lastColumn="0" w:oddVBand="0" w:evenVBand="0" w:oddHBand="0" w:evenHBand="1" w:firstRowFirstColumn="0" w:firstRowLastColumn="0" w:lastRowFirstColumn="0" w:lastRowLastColumn="0"/>
        </w:trPr>
        <w:tc>
          <w:tcPr>
            <w:tcW w:w="2599" w:type="dxa"/>
            <w:vAlign w:val="top"/>
          </w:tcPr>
          <w:p w14:paraId="526770CE" w14:textId="1BFA4B31" w:rsidR="00B01704" w:rsidRPr="007F6900" w:rsidRDefault="00B01704" w:rsidP="000708F3">
            <w:pPr>
              <w:jc w:val="left"/>
              <w:rPr>
                <w:b/>
                <w:lang w:val="en-US"/>
              </w:rPr>
            </w:pPr>
            <w:r w:rsidRPr="007F6900">
              <w:rPr>
                <w:b/>
              </w:rPr>
              <w:t>PO&amp;C</w:t>
            </w:r>
          </w:p>
        </w:tc>
        <w:tc>
          <w:tcPr>
            <w:tcW w:w="6461" w:type="dxa"/>
            <w:vAlign w:val="top"/>
          </w:tcPr>
          <w:p w14:paraId="7CBEED82" w14:textId="345FD505" w:rsidR="00B01704" w:rsidRPr="004D72C5" w:rsidRDefault="00B01704" w:rsidP="000708F3">
            <w:pPr>
              <w:jc w:val="left"/>
            </w:pPr>
            <w:r w:rsidRPr="008F7C1D">
              <w:t xml:space="preserve">Performance </w:t>
            </w:r>
            <w:r w:rsidR="00784AA7">
              <w:t>o</w:t>
            </w:r>
            <w:r w:rsidRPr="008F7C1D">
              <w:t xml:space="preserve">bjectives and </w:t>
            </w:r>
            <w:r w:rsidR="00784AA7">
              <w:t>c</w:t>
            </w:r>
            <w:r w:rsidRPr="008F7C1D">
              <w:t>riteria</w:t>
            </w:r>
          </w:p>
        </w:tc>
      </w:tr>
      <w:tr w:rsidR="007F6900" w14:paraId="434A19DD" w14:textId="77777777" w:rsidTr="000708F3">
        <w:tc>
          <w:tcPr>
            <w:tcW w:w="2599" w:type="dxa"/>
            <w:vAlign w:val="top"/>
          </w:tcPr>
          <w:p w14:paraId="6972A53D" w14:textId="1A57CDCC" w:rsidR="007F6900" w:rsidRPr="007F6900" w:rsidRDefault="007F6900" w:rsidP="000708F3">
            <w:pPr>
              <w:jc w:val="left"/>
              <w:rPr>
                <w:b/>
              </w:rPr>
            </w:pPr>
            <w:r w:rsidRPr="007F6900">
              <w:rPr>
                <w:b/>
              </w:rPr>
              <w:t>RHC</w:t>
            </w:r>
          </w:p>
        </w:tc>
        <w:tc>
          <w:tcPr>
            <w:tcW w:w="6461" w:type="dxa"/>
            <w:vAlign w:val="top"/>
          </w:tcPr>
          <w:p w14:paraId="6E3A07CC" w14:textId="608D4BEF" w:rsidR="007F6900" w:rsidRPr="008F7C1D" w:rsidRDefault="007F6900" w:rsidP="000708F3">
            <w:pPr>
              <w:jc w:val="left"/>
            </w:pPr>
            <w:r>
              <w:t>Radiation Health Committee</w:t>
            </w:r>
            <w:r w:rsidR="008C3E0D">
              <w:t xml:space="preserve">, established under the ARPANS Act consisting mainly of </w:t>
            </w:r>
            <w:r w:rsidRPr="008F7C1D">
              <w:t xml:space="preserve">radiation </w:t>
            </w:r>
            <w:r w:rsidR="00B8258A">
              <w:t>control officers</w:t>
            </w:r>
            <w:r w:rsidRPr="008F7C1D">
              <w:t xml:space="preserve"> from </w:t>
            </w:r>
            <w:r w:rsidR="00B8258A">
              <w:t>the states and territories, advising the CEO on policies and standards for national adoption</w:t>
            </w:r>
          </w:p>
        </w:tc>
      </w:tr>
      <w:tr w:rsidR="00B01704" w14:paraId="6E36661F" w14:textId="77777777" w:rsidTr="000708F3">
        <w:trPr>
          <w:cnfStyle w:val="000000010000" w:firstRow="0" w:lastRow="0" w:firstColumn="0" w:lastColumn="0" w:oddVBand="0" w:evenVBand="0" w:oddHBand="0" w:evenHBand="1" w:firstRowFirstColumn="0" w:firstRowLastColumn="0" w:lastRowFirstColumn="0" w:lastRowLastColumn="0"/>
        </w:trPr>
        <w:tc>
          <w:tcPr>
            <w:tcW w:w="2599" w:type="dxa"/>
            <w:vAlign w:val="top"/>
          </w:tcPr>
          <w:p w14:paraId="38645DC7" w14:textId="0AD18696" w:rsidR="00B01704" w:rsidRPr="007F6900" w:rsidRDefault="00B01704" w:rsidP="000708F3">
            <w:pPr>
              <w:jc w:val="left"/>
              <w:rPr>
                <w:b/>
              </w:rPr>
            </w:pPr>
            <w:r w:rsidRPr="007F6900">
              <w:rPr>
                <w:b/>
              </w:rPr>
              <w:t>RPF</w:t>
            </w:r>
          </w:p>
        </w:tc>
        <w:tc>
          <w:tcPr>
            <w:tcW w:w="6461" w:type="dxa"/>
            <w:vAlign w:val="top"/>
          </w:tcPr>
          <w:p w14:paraId="135E58C4" w14:textId="45388D30" w:rsidR="00B01704" w:rsidRPr="004D72C5" w:rsidRDefault="00B01704" w:rsidP="000708F3">
            <w:pPr>
              <w:jc w:val="left"/>
            </w:pPr>
            <w:r w:rsidRPr="008F7C1D">
              <w:t>Regulator Performance Framework</w:t>
            </w:r>
          </w:p>
        </w:tc>
      </w:tr>
      <w:tr w:rsidR="00B01704" w14:paraId="62EBF9A1" w14:textId="77777777" w:rsidTr="000708F3">
        <w:tc>
          <w:tcPr>
            <w:tcW w:w="2599" w:type="dxa"/>
            <w:vAlign w:val="top"/>
          </w:tcPr>
          <w:p w14:paraId="0C6C2CD5" w14:textId="0921D463" w:rsidR="00B01704" w:rsidRPr="007F6900" w:rsidRDefault="00B01704" w:rsidP="000708F3">
            <w:pPr>
              <w:jc w:val="left"/>
              <w:rPr>
                <w:b/>
              </w:rPr>
            </w:pPr>
            <w:r w:rsidRPr="007F6900">
              <w:rPr>
                <w:b/>
              </w:rPr>
              <w:t>RRN</w:t>
            </w:r>
          </w:p>
        </w:tc>
        <w:tc>
          <w:tcPr>
            <w:tcW w:w="6461" w:type="dxa"/>
            <w:vAlign w:val="top"/>
          </w:tcPr>
          <w:p w14:paraId="709E88E4" w14:textId="1F4B7321" w:rsidR="00B01704" w:rsidRPr="004D72C5" w:rsidRDefault="00B01704" w:rsidP="000708F3">
            <w:pPr>
              <w:tabs>
                <w:tab w:val="left" w:pos="2235"/>
              </w:tabs>
              <w:jc w:val="left"/>
            </w:pPr>
            <w:r w:rsidRPr="008F7C1D">
              <w:t>Radiation Regulators</w:t>
            </w:r>
            <w:r w:rsidR="00B8258A">
              <w:t>’</w:t>
            </w:r>
            <w:r w:rsidRPr="008F7C1D">
              <w:t xml:space="preserve"> Network </w:t>
            </w:r>
            <w:r w:rsidR="008C3E0D">
              <w:t xml:space="preserve">(a working </w:t>
            </w:r>
            <w:r w:rsidRPr="008F7C1D">
              <w:t>group of radiation regulators from across Australia</w:t>
            </w:r>
            <w:r w:rsidR="008C3E0D">
              <w:t xml:space="preserve"> tasked with improving national uniformity in regulation</w:t>
            </w:r>
            <w:r w:rsidRPr="008F7C1D">
              <w:t>)</w:t>
            </w:r>
          </w:p>
        </w:tc>
      </w:tr>
      <w:tr w:rsidR="00B01704" w14:paraId="508C98E9" w14:textId="77777777" w:rsidTr="000708F3">
        <w:trPr>
          <w:cnfStyle w:val="000000010000" w:firstRow="0" w:lastRow="0" w:firstColumn="0" w:lastColumn="0" w:oddVBand="0" w:evenVBand="0" w:oddHBand="0" w:evenHBand="1" w:firstRowFirstColumn="0" w:firstRowLastColumn="0" w:lastRowFirstColumn="0" w:lastRowLastColumn="0"/>
        </w:trPr>
        <w:tc>
          <w:tcPr>
            <w:tcW w:w="2599" w:type="dxa"/>
            <w:vAlign w:val="top"/>
          </w:tcPr>
          <w:p w14:paraId="779F8E76" w14:textId="401641FA" w:rsidR="00B01704" w:rsidRPr="007F6900" w:rsidRDefault="00B01704" w:rsidP="000708F3">
            <w:pPr>
              <w:jc w:val="left"/>
              <w:rPr>
                <w:b/>
              </w:rPr>
            </w:pPr>
            <w:r w:rsidRPr="007F6900">
              <w:rPr>
                <w:b/>
              </w:rPr>
              <w:t>RSB</w:t>
            </w:r>
          </w:p>
        </w:tc>
        <w:tc>
          <w:tcPr>
            <w:tcW w:w="6461" w:type="dxa"/>
            <w:vAlign w:val="top"/>
          </w:tcPr>
          <w:p w14:paraId="7818863E" w14:textId="34ABE815" w:rsidR="00B01704" w:rsidRPr="004D72C5" w:rsidRDefault="00B01704" w:rsidP="000708F3">
            <w:pPr>
              <w:jc w:val="left"/>
            </w:pPr>
            <w:r w:rsidRPr="008F7C1D">
              <w:t>Regulatory Services Branch (of ARPANSA)</w:t>
            </w:r>
          </w:p>
        </w:tc>
      </w:tr>
      <w:tr w:rsidR="00B01704" w14:paraId="44F69B9A" w14:textId="77777777" w:rsidTr="000708F3">
        <w:tc>
          <w:tcPr>
            <w:tcW w:w="2599" w:type="dxa"/>
            <w:vAlign w:val="top"/>
          </w:tcPr>
          <w:p w14:paraId="5F07D11E" w14:textId="4A8ABC78" w:rsidR="00B01704" w:rsidRPr="007F6900" w:rsidRDefault="00B01704" w:rsidP="000708F3">
            <w:pPr>
              <w:jc w:val="left"/>
              <w:rPr>
                <w:b/>
                <w:lang w:val="en-US"/>
              </w:rPr>
            </w:pPr>
            <w:r w:rsidRPr="007F6900">
              <w:rPr>
                <w:b/>
              </w:rPr>
              <w:t>TGA</w:t>
            </w:r>
          </w:p>
        </w:tc>
        <w:tc>
          <w:tcPr>
            <w:tcW w:w="6461" w:type="dxa"/>
            <w:vAlign w:val="top"/>
          </w:tcPr>
          <w:p w14:paraId="41508A3C" w14:textId="476D28B3" w:rsidR="00B01704" w:rsidRPr="004D72C5" w:rsidRDefault="00B01704" w:rsidP="000708F3">
            <w:pPr>
              <w:tabs>
                <w:tab w:val="left" w:pos="2475"/>
              </w:tabs>
              <w:jc w:val="left"/>
            </w:pPr>
            <w:r w:rsidRPr="005F0AC4">
              <w:t>Therapeutic Goods Administration</w:t>
            </w:r>
          </w:p>
        </w:tc>
      </w:tr>
    </w:tbl>
    <w:p w14:paraId="5B2F9378" w14:textId="77777777" w:rsidR="003D2646" w:rsidRPr="003B4D69" w:rsidRDefault="003D2646" w:rsidP="00AB3888"/>
    <w:sectPr w:rsidR="003D2646" w:rsidRPr="003B4D69" w:rsidSect="000D1A66">
      <w:footerReference w:type="first" r:id="rId56"/>
      <w:pgSz w:w="11906" w:h="16838" w:code="9"/>
      <w:pgMar w:top="1134" w:right="1134" w:bottom="1134" w:left="1134" w:header="567" w:footer="567"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579C58AE" w16cid:durableId="6BD75EBC"/>
  <w16cid:commentId w16cid:paraId="5E326C8F" w16cid:durableId="354C50FB"/>
  <w16cid:commentId w16cid:paraId="03736BA1" w16cid:durableId="1E8613C4"/>
  <w16cid:commentId w16cid:paraId="2BE3FF07" w16cid:durableId="3BB2F672"/>
  <w16cid:commentId w16cid:paraId="4560752E" w16cid:durableId="1A1F68D9"/>
  <w16cid:commentId w16cid:paraId="58289823" w16cid:durableId="3B4E5FA9"/>
  <w16cid:commentId w16cid:paraId="72684A03" w16cid:durableId="7928001B"/>
  <w16cid:commentId w16cid:paraId="1EED32B6" w16cid:durableId="3B3822A8"/>
  <w16cid:commentId w16cid:paraId="5A23E30E" w16cid:durableId="2C1401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682CD" w14:textId="77777777" w:rsidR="006D092A" w:rsidRDefault="006D092A" w:rsidP="00037687">
      <w:r>
        <w:separator/>
      </w:r>
    </w:p>
  </w:endnote>
  <w:endnote w:type="continuationSeparator" w:id="0">
    <w:p w14:paraId="57BC40C6" w14:textId="77777777" w:rsidR="006D092A" w:rsidRDefault="006D092A" w:rsidP="00037687">
      <w:r>
        <w:continuationSeparator/>
      </w:r>
    </w:p>
  </w:endnote>
  <w:endnote w:type="continuationNotice" w:id="1">
    <w:p w14:paraId="6B87D8C6" w14:textId="77777777" w:rsidR="006D092A" w:rsidRDefault="006D092A">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62F47" w14:textId="2FBBFE89" w:rsidR="006B55ED" w:rsidRPr="00561938" w:rsidRDefault="006B55ED" w:rsidP="008A670B">
    <w:pPr>
      <w:pStyle w:val="Footer"/>
      <w:tabs>
        <w:tab w:val="clear" w:pos="4513"/>
        <w:tab w:val="clear" w:pos="9026"/>
        <w:tab w:val="center" w:pos="5245"/>
        <w:tab w:val="right" w:pos="9639"/>
      </w:tabs>
      <w:spacing w:before="120"/>
      <w:rPr>
        <w:noProof/>
        <w:sz w:val="18"/>
        <w:lang w:eastAsia="en-AU"/>
      </w:rPr>
    </w:pPr>
    <w:r w:rsidRPr="00692518">
      <w:rPr>
        <w:noProof/>
        <w:color w:val="auto"/>
        <w:sz w:val="18"/>
        <w:lang w:eastAsia="en-AU"/>
      </w:rPr>
      <w:drawing>
        <wp:anchor distT="0" distB="0" distL="114300" distR="114300" simplePos="0" relativeHeight="251652608" behindDoc="0" locked="0" layoutInCell="1" allowOverlap="1" wp14:anchorId="10309F79" wp14:editId="34628EEB">
          <wp:simplePos x="0" y="0"/>
          <wp:positionH relativeFrom="column">
            <wp:posOffset>0</wp:posOffset>
          </wp:positionH>
          <wp:positionV relativeFrom="paragraph">
            <wp:posOffset>175895</wp:posOffset>
          </wp:positionV>
          <wp:extent cx="6120000" cy="54000"/>
          <wp:effectExtent l="0" t="0" r="0" b="3175"/>
          <wp:wrapTopAndBottom/>
          <wp:docPr id="21"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00692518">
      <w:rPr>
        <w:noProof/>
        <w:color w:val="auto"/>
        <w:sz w:val="18"/>
        <w:szCs w:val="18"/>
        <w:lang w:eastAsia="en-AU"/>
      </w:rPr>
      <w:t>Regulator Performance Framework</w:t>
    </w:r>
    <w:r w:rsidRPr="00FF6AB9">
      <w:rPr>
        <w:sz w:val="18"/>
      </w:rPr>
      <w:tab/>
    </w:r>
    <w:r>
      <w:rPr>
        <w:sz w:val="18"/>
      </w:rPr>
      <w:tab/>
    </w:r>
    <w:r w:rsidRPr="00692518">
      <w:rPr>
        <w:color w:val="auto"/>
        <w:sz w:val="18"/>
        <w:szCs w:val="18"/>
        <w:shd w:val="clear" w:color="auto" w:fill="E6E6E6"/>
      </w:rPr>
      <w:fldChar w:fldCharType="begin"/>
    </w:r>
    <w:r w:rsidRPr="00692518">
      <w:rPr>
        <w:color w:val="auto"/>
        <w:sz w:val="18"/>
      </w:rPr>
      <w:instrText xml:space="preserve"> PAGE   \* MERGEFORMAT </w:instrText>
    </w:r>
    <w:r w:rsidRPr="00692518">
      <w:rPr>
        <w:color w:val="auto"/>
        <w:sz w:val="18"/>
        <w:shd w:val="clear" w:color="auto" w:fill="E6E6E6"/>
      </w:rPr>
      <w:fldChar w:fldCharType="separate"/>
    </w:r>
    <w:r w:rsidRPr="00D904AA">
      <w:rPr>
        <w:noProof/>
        <w:color w:val="auto"/>
        <w:sz w:val="18"/>
        <w:szCs w:val="18"/>
      </w:rPr>
      <w:t>iii</w:t>
    </w:r>
    <w:r w:rsidRPr="00692518">
      <w:rPr>
        <w:noProof/>
        <w:color w:val="auto"/>
        <w:sz w:val="18"/>
        <w:szCs w:val="18"/>
        <w:shd w:val="clear" w:color="auto" w:fill="E6E6E6"/>
      </w:rPr>
      <w:fldChar w:fldCharType="end"/>
    </w:r>
    <w:r w:rsidRPr="00692518">
      <w:rPr>
        <w:noProof/>
        <w:color w:val="auto"/>
        <w:sz w:val="18"/>
        <w:szCs w:val="18"/>
      </w:rPr>
      <w:t xml:space="preserve"> of </w:t>
    </w:r>
    <w:r w:rsidRPr="00692518">
      <w:rPr>
        <w:noProof/>
        <w:color w:val="auto"/>
        <w:sz w:val="18"/>
        <w:szCs w:val="18"/>
        <w:shd w:val="clear" w:color="auto" w:fill="E6E6E6"/>
      </w:rPr>
      <w:fldChar w:fldCharType="begin"/>
    </w:r>
    <w:r w:rsidRPr="00692518">
      <w:rPr>
        <w:noProof/>
        <w:color w:val="auto"/>
        <w:sz w:val="18"/>
        <w:szCs w:val="18"/>
      </w:rPr>
      <w:instrText xml:space="preserve"> NUMPAGES   \* MERGEFORMAT </w:instrText>
    </w:r>
    <w:r w:rsidRPr="00692518">
      <w:rPr>
        <w:noProof/>
        <w:color w:val="auto"/>
        <w:sz w:val="18"/>
        <w:szCs w:val="18"/>
        <w:shd w:val="clear" w:color="auto" w:fill="E6E6E6"/>
      </w:rPr>
      <w:fldChar w:fldCharType="separate"/>
    </w:r>
    <w:r>
      <w:rPr>
        <w:noProof/>
        <w:color w:val="auto"/>
        <w:sz w:val="18"/>
        <w:szCs w:val="18"/>
      </w:rPr>
      <w:t>27</w:t>
    </w:r>
    <w:r w:rsidRPr="00692518">
      <w:rPr>
        <w:noProof/>
        <w:color w:val="auto"/>
        <w:sz w:val="18"/>
        <w:szCs w:val="18"/>
        <w:shd w:val="clear" w:color="auto" w:fill="E6E6E6"/>
      </w:rPr>
      <w:fldChar w:fldCharType="end"/>
    </w:r>
    <w:r>
      <w:rPr>
        <w:sz w:val="18"/>
      </w:rPr>
      <w:br/>
    </w:r>
    <w:r w:rsidRPr="00692518">
      <w:rPr>
        <w:noProof/>
        <w:color w:val="auto"/>
        <w:sz w:val="18"/>
        <w:szCs w:val="18"/>
        <w:lang w:eastAsia="en-AU"/>
      </w:rPr>
      <w:t>Self-Assessment Report 2018-19</w:t>
    </w:r>
  </w:p>
  <w:p w14:paraId="47E0754D" w14:textId="0A1B4FD7" w:rsidR="006B55ED" w:rsidRDefault="006B55ED" w:rsidP="008A67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2BB2B" w14:textId="37B0B887" w:rsidR="006B55ED" w:rsidRPr="009D61FB" w:rsidRDefault="006B55ED" w:rsidP="00D25EFE">
    <w:pPr>
      <w:pStyle w:val="Footer"/>
      <w:tabs>
        <w:tab w:val="clear" w:pos="4513"/>
        <w:tab w:val="clear" w:pos="9026"/>
        <w:tab w:val="left" w:pos="3686"/>
        <w:tab w:val="right" w:pos="9639"/>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1EECA" w14:textId="2C155332" w:rsidR="006B55ED" w:rsidRPr="00646C2A" w:rsidRDefault="006B55ED" w:rsidP="000B237F">
    <w:pPr>
      <w:pStyle w:val="Footer"/>
      <w:tabs>
        <w:tab w:val="clear" w:pos="4513"/>
        <w:tab w:val="clear" w:pos="9026"/>
        <w:tab w:val="center" w:pos="4820"/>
        <w:tab w:val="right" w:pos="9639"/>
      </w:tabs>
      <w:spacing w:before="120"/>
      <w:rPr>
        <w:noProof/>
        <w:sz w:val="18"/>
        <w:lang w:eastAsia="en-AU"/>
      </w:rPr>
    </w:pPr>
    <w:r w:rsidRPr="00FF6AB9">
      <w:rPr>
        <w:noProof/>
        <w:sz w:val="18"/>
        <w:lang w:eastAsia="en-AU"/>
      </w:rPr>
      <w:drawing>
        <wp:anchor distT="0" distB="0" distL="114300" distR="114300" simplePos="0" relativeHeight="251659264" behindDoc="0" locked="0" layoutInCell="1" allowOverlap="1" wp14:anchorId="5A389EB4" wp14:editId="492D4ECF">
          <wp:simplePos x="0" y="0"/>
          <wp:positionH relativeFrom="column">
            <wp:posOffset>0</wp:posOffset>
          </wp:positionH>
          <wp:positionV relativeFrom="paragraph">
            <wp:posOffset>213995</wp:posOffset>
          </wp:positionV>
          <wp:extent cx="6120000" cy="54000"/>
          <wp:effectExtent l="0" t="0" r="0" b="3175"/>
          <wp:wrapTopAndBottom/>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0B237F" w:rsidRPr="000B237F">
      <w:rPr>
        <w:sz w:val="18"/>
      </w:rPr>
      <w:t xml:space="preserve"> </w:t>
    </w:r>
    <w:r w:rsidR="000B237F">
      <w:rPr>
        <w:sz w:val="18"/>
      </w:rPr>
      <w:t>R19/09227</w:t>
    </w:r>
    <w:r w:rsidR="000B237F" w:rsidRPr="00646C2A">
      <w:rPr>
        <w:sz w:val="18"/>
      </w:rPr>
      <w:tab/>
    </w:r>
    <w:r w:rsidR="000B237F" w:rsidRPr="00646C2A">
      <w:rPr>
        <w:noProof/>
        <w:sz w:val="18"/>
        <w:szCs w:val="18"/>
        <w:lang w:eastAsia="en-AU"/>
      </w:rPr>
      <w:t>Regulator Performance Framework</w:t>
    </w:r>
    <w:r w:rsidR="000B237F">
      <w:rPr>
        <w:noProof/>
        <w:sz w:val="18"/>
        <w:szCs w:val="18"/>
        <w:lang w:eastAsia="en-AU"/>
      </w:rPr>
      <w:t xml:space="preserve"> - </w:t>
    </w:r>
    <w:r w:rsidR="000B237F" w:rsidRPr="00646C2A">
      <w:rPr>
        <w:noProof/>
        <w:sz w:val="18"/>
        <w:szCs w:val="18"/>
        <w:lang w:eastAsia="en-AU"/>
      </w:rPr>
      <w:t>Self-Assessment Report 2018</w:t>
    </w:r>
    <w:r w:rsidR="000B237F">
      <w:rPr>
        <w:noProof/>
        <w:sz w:val="18"/>
        <w:szCs w:val="18"/>
        <w:lang w:eastAsia="en-AU"/>
      </w:rPr>
      <w:t>–</w:t>
    </w:r>
    <w:r w:rsidR="000B237F" w:rsidRPr="00646C2A">
      <w:rPr>
        <w:noProof/>
        <w:sz w:val="18"/>
        <w:szCs w:val="18"/>
        <w:lang w:eastAsia="en-AU"/>
      </w:rPr>
      <w:t>19</w:t>
    </w:r>
    <w:r w:rsidRPr="00646C2A">
      <w:rPr>
        <w:sz w:val="18"/>
      </w:rPr>
      <w:tab/>
    </w:r>
    <w:r w:rsidRPr="00646C2A">
      <w:rPr>
        <w:sz w:val="18"/>
        <w:szCs w:val="18"/>
        <w:shd w:val="clear" w:color="auto" w:fill="E6E6E6"/>
      </w:rPr>
      <w:fldChar w:fldCharType="begin"/>
    </w:r>
    <w:r w:rsidRPr="00646C2A">
      <w:rPr>
        <w:sz w:val="18"/>
      </w:rPr>
      <w:instrText xml:space="preserve"> PAGE   \* MERGEFORMAT </w:instrText>
    </w:r>
    <w:r w:rsidRPr="00646C2A">
      <w:rPr>
        <w:sz w:val="18"/>
        <w:shd w:val="clear" w:color="auto" w:fill="E6E6E6"/>
      </w:rPr>
      <w:fldChar w:fldCharType="separate"/>
    </w:r>
    <w:r w:rsidR="004329D4" w:rsidRPr="004329D4">
      <w:rPr>
        <w:noProof/>
        <w:sz w:val="18"/>
        <w:szCs w:val="18"/>
      </w:rPr>
      <w:t>ii</w:t>
    </w:r>
    <w:r w:rsidRPr="00646C2A">
      <w:rPr>
        <w:noProof/>
        <w:sz w:val="18"/>
        <w:szCs w:val="18"/>
        <w:shd w:val="clear" w:color="auto" w:fill="E6E6E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80E4A" w14:textId="33F80EEA" w:rsidR="006B55ED" w:rsidRPr="00646C2A" w:rsidRDefault="006B55ED" w:rsidP="000B237F">
    <w:pPr>
      <w:pStyle w:val="Footer"/>
      <w:tabs>
        <w:tab w:val="clear" w:pos="4513"/>
        <w:tab w:val="clear" w:pos="9026"/>
        <w:tab w:val="center" w:pos="4820"/>
        <w:tab w:val="right" w:pos="9639"/>
      </w:tabs>
      <w:spacing w:before="120"/>
      <w:rPr>
        <w:noProof/>
        <w:sz w:val="18"/>
        <w:lang w:eastAsia="en-AU"/>
      </w:rPr>
    </w:pPr>
    <w:r w:rsidRPr="00646C2A">
      <w:rPr>
        <w:noProof/>
        <w:sz w:val="18"/>
        <w:lang w:eastAsia="en-AU"/>
      </w:rPr>
      <w:drawing>
        <wp:anchor distT="0" distB="0" distL="114300" distR="114300" simplePos="0" relativeHeight="251657216" behindDoc="0" locked="0" layoutInCell="1" allowOverlap="1" wp14:anchorId="77290299" wp14:editId="7B559FFD">
          <wp:simplePos x="0" y="0"/>
          <wp:positionH relativeFrom="column">
            <wp:posOffset>0</wp:posOffset>
          </wp:positionH>
          <wp:positionV relativeFrom="paragraph">
            <wp:posOffset>175895</wp:posOffset>
          </wp:positionV>
          <wp:extent cx="6120000" cy="54000"/>
          <wp:effectExtent l="0" t="0" r="0" b="3175"/>
          <wp:wrapTopAndBottom/>
          <wp:docPr id="23"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0B237F">
      <w:rPr>
        <w:sz w:val="18"/>
      </w:rPr>
      <w:t>R19/09227</w:t>
    </w:r>
    <w:r w:rsidRPr="00646C2A">
      <w:rPr>
        <w:sz w:val="18"/>
      </w:rPr>
      <w:tab/>
    </w:r>
    <w:r w:rsidR="000B237F" w:rsidRPr="00646C2A">
      <w:rPr>
        <w:noProof/>
        <w:sz w:val="18"/>
        <w:szCs w:val="18"/>
        <w:lang w:eastAsia="en-AU"/>
      </w:rPr>
      <w:t>Regulator Performance Framework</w:t>
    </w:r>
    <w:r w:rsidR="000B237F">
      <w:rPr>
        <w:noProof/>
        <w:sz w:val="18"/>
        <w:szCs w:val="18"/>
        <w:lang w:eastAsia="en-AU"/>
      </w:rPr>
      <w:t xml:space="preserve"> - </w:t>
    </w:r>
    <w:r w:rsidR="000B237F" w:rsidRPr="00646C2A">
      <w:rPr>
        <w:noProof/>
        <w:sz w:val="18"/>
        <w:szCs w:val="18"/>
        <w:lang w:eastAsia="en-AU"/>
      </w:rPr>
      <w:t>Self-Assessment Report 2018</w:t>
    </w:r>
    <w:r w:rsidR="000B237F">
      <w:rPr>
        <w:noProof/>
        <w:sz w:val="18"/>
        <w:szCs w:val="18"/>
        <w:lang w:eastAsia="en-AU"/>
      </w:rPr>
      <w:t>–</w:t>
    </w:r>
    <w:r w:rsidR="000B237F" w:rsidRPr="00646C2A">
      <w:rPr>
        <w:noProof/>
        <w:sz w:val="18"/>
        <w:szCs w:val="18"/>
        <w:lang w:eastAsia="en-AU"/>
      </w:rPr>
      <w:t>19</w:t>
    </w:r>
    <w:r w:rsidRPr="00646C2A">
      <w:rPr>
        <w:sz w:val="18"/>
      </w:rPr>
      <w:tab/>
    </w:r>
    <w:r w:rsidRPr="00646C2A">
      <w:rPr>
        <w:sz w:val="18"/>
        <w:szCs w:val="18"/>
        <w:shd w:val="clear" w:color="auto" w:fill="E6E6E6"/>
      </w:rPr>
      <w:fldChar w:fldCharType="begin"/>
    </w:r>
    <w:r w:rsidRPr="00646C2A">
      <w:rPr>
        <w:sz w:val="18"/>
      </w:rPr>
      <w:instrText xml:space="preserve"> PAGE   \* MERGEFORMAT </w:instrText>
    </w:r>
    <w:r w:rsidRPr="00646C2A">
      <w:rPr>
        <w:sz w:val="18"/>
        <w:shd w:val="clear" w:color="auto" w:fill="E6E6E6"/>
      </w:rPr>
      <w:fldChar w:fldCharType="separate"/>
    </w:r>
    <w:r w:rsidR="004329D4" w:rsidRPr="004329D4">
      <w:rPr>
        <w:noProof/>
        <w:sz w:val="18"/>
        <w:szCs w:val="18"/>
      </w:rPr>
      <w:t>18</w:t>
    </w:r>
    <w:r w:rsidRPr="00646C2A">
      <w:rPr>
        <w:noProof/>
        <w:sz w:val="18"/>
        <w:szCs w:val="18"/>
        <w:shd w:val="clear" w:color="auto" w:fill="E6E6E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38CE1" w14:textId="3E3F19FF" w:rsidR="006B55ED" w:rsidRPr="00527E7B" w:rsidRDefault="006B55ED" w:rsidP="00976C8F">
    <w:pPr>
      <w:pStyle w:val="Footer"/>
      <w:tabs>
        <w:tab w:val="clear" w:pos="4513"/>
        <w:tab w:val="clear" w:pos="9026"/>
        <w:tab w:val="center" w:pos="4820"/>
        <w:tab w:val="right" w:pos="9639"/>
      </w:tabs>
      <w:spacing w:before="120"/>
      <w:rPr>
        <w:sz w:val="18"/>
        <w:szCs w:val="18"/>
      </w:rPr>
    </w:pPr>
    <w:r w:rsidRPr="00FF6AB9">
      <w:rPr>
        <w:noProof/>
        <w:color w:val="2B579A"/>
        <w:sz w:val="18"/>
        <w:shd w:val="clear" w:color="auto" w:fill="E6E6E6"/>
        <w:lang w:eastAsia="en-AU"/>
      </w:rPr>
      <w:drawing>
        <wp:anchor distT="0" distB="0" distL="114300" distR="114300" simplePos="0" relativeHeight="251659776" behindDoc="0" locked="0" layoutInCell="1" allowOverlap="1" wp14:anchorId="54542AC5" wp14:editId="3BF9B749">
          <wp:simplePos x="0" y="0"/>
          <wp:positionH relativeFrom="column">
            <wp:posOffset>0</wp:posOffset>
          </wp:positionH>
          <wp:positionV relativeFrom="paragraph">
            <wp:posOffset>175895</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Pr="501E5E53">
      <w:rPr>
        <w:sz w:val="18"/>
        <w:szCs w:val="18"/>
      </w:rPr>
      <w:t>Document Title</w:t>
    </w:r>
    <w:r w:rsidRPr="00203CCE">
      <w:rPr>
        <w:sz w:val="18"/>
        <w:szCs w:val="18"/>
      </w:rPr>
      <w:tab/>
    </w:r>
    <w:r w:rsidRPr="00203CCE">
      <w:rPr>
        <w:sz w:val="18"/>
        <w:szCs w:val="18"/>
      </w:rPr>
      <w:tab/>
    </w:r>
    <w:r w:rsidRPr="00203CCE">
      <w:rPr>
        <w:sz w:val="18"/>
        <w:szCs w:val="18"/>
      </w:rPr>
      <w:br/>
      <w:t>v.1.0</w:t>
    </w:r>
    <w:r w:rsidRPr="00203CCE">
      <w:rPr>
        <w:sz w:val="18"/>
        <w:szCs w:val="18"/>
      </w:rPr>
      <w:tab/>
      <w:t>ARPANSA-XXX-XXXXX</w:t>
    </w:r>
    <w:r w:rsidRPr="00203CCE">
      <w:rPr>
        <w:sz w:val="18"/>
        <w:szCs w:val="18"/>
      </w:rPr>
      <w:tab/>
    </w:r>
    <w:r w:rsidRPr="00203CCE">
      <w:rPr>
        <w:sz w:val="18"/>
        <w:szCs w:val="18"/>
        <w:shd w:val="clear" w:color="auto" w:fill="E6E6E6"/>
      </w:rPr>
      <w:fldChar w:fldCharType="begin"/>
    </w:r>
    <w:r w:rsidRPr="00203CCE">
      <w:rPr>
        <w:sz w:val="18"/>
        <w:szCs w:val="18"/>
      </w:rPr>
      <w:instrText xml:space="preserve"> PAGE  \* Arabic  \* MERGEFORMAT </w:instrText>
    </w:r>
    <w:r w:rsidRPr="00203CCE">
      <w:rPr>
        <w:color w:val="2B579A"/>
        <w:sz w:val="18"/>
        <w:szCs w:val="18"/>
        <w:shd w:val="clear" w:color="auto" w:fill="E6E6E6"/>
      </w:rPr>
      <w:fldChar w:fldCharType="separate"/>
    </w:r>
    <w:r>
      <w:rPr>
        <w:noProof/>
        <w:sz w:val="18"/>
        <w:szCs w:val="18"/>
      </w:rPr>
      <w:t>27</w:t>
    </w:r>
    <w:r w:rsidRPr="00203CCE">
      <w:rPr>
        <w:color w:val="2B579A"/>
        <w:sz w:val="18"/>
        <w:szCs w:val="18"/>
        <w:shd w:val="clear" w:color="auto" w:fill="E6E6E6"/>
      </w:rPr>
      <w:fldChar w:fldCharType="end"/>
    </w:r>
    <w:r w:rsidRPr="00203CCE">
      <w:rPr>
        <w:sz w:val="18"/>
        <w:szCs w:val="18"/>
      </w:rPr>
      <w:t xml:space="preserve"> of </w:t>
    </w:r>
    <w:r w:rsidRPr="00203CCE">
      <w:rPr>
        <w:sz w:val="18"/>
        <w:szCs w:val="18"/>
        <w:shd w:val="clear" w:color="auto" w:fill="E6E6E6"/>
      </w:rPr>
      <w:fldChar w:fldCharType="begin"/>
    </w:r>
    <w:r w:rsidRPr="00203CCE">
      <w:rPr>
        <w:sz w:val="18"/>
        <w:szCs w:val="18"/>
      </w:rPr>
      <w:instrText xml:space="preserve"> NUMPAGES  \* Arabic  \* MERGEFORMAT </w:instrText>
    </w:r>
    <w:r w:rsidRPr="00203CCE">
      <w:rPr>
        <w:color w:val="2B579A"/>
        <w:sz w:val="18"/>
        <w:szCs w:val="18"/>
        <w:shd w:val="clear" w:color="auto" w:fill="E6E6E6"/>
      </w:rPr>
      <w:fldChar w:fldCharType="separate"/>
    </w:r>
    <w:r>
      <w:rPr>
        <w:noProof/>
        <w:sz w:val="18"/>
        <w:szCs w:val="18"/>
      </w:rPr>
      <w:t>29</w:t>
    </w:r>
    <w:r w:rsidRPr="00203CCE">
      <w:rPr>
        <w:color w:val="2B579A"/>
        <w:sz w:val="18"/>
        <w:szCs w:val="18"/>
        <w:shd w:val="clear" w:color="auto" w:fill="E6E6E6"/>
      </w:rPr>
      <w:fldChar w:fldCharType="end"/>
    </w:r>
  </w:p>
  <w:p w14:paraId="58E6DD4E" w14:textId="77777777" w:rsidR="006B55ED" w:rsidRDefault="006B55E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F5942" w14:textId="77777777" w:rsidR="006D092A" w:rsidRDefault="006D092A" w:rsidP="00037687">
      <w:r>
        <w:separator/>
      </w:r>
    </w:p>
  </w:footnote>
  <w:footnote w:type="continuationSeparator" w:id="0">
    <w:p w14:paraId="711AE585" w14:textId="77777777" w:rsidR="006D092A" w:rsidRDefault="006D092A" w:rsidP="00037687">
      <w:r>
        <w:continuationSeparator/>
      </w:r>
    </w:p>
  </w:footnote>
  <w:footnote w:type="continuationNotice" w:id="1">
    <w:p w14:paraId="5CCDEC2B" w14:textId="77777777" w:rsidR="006D092A" w:rsidRDefault="006D092A">
      <w:pPr>
        <w:spacing w:before="0" w:line="240" w:lineRule="auto"/>
      </w:pPr>
    </w:p>
  </w:footnote>
  <w:footnote w:id="2">
    <w:p w14:paraId="089737AB" w14:textId="62C767A9" w:rsidR="006B55ED" w:rsidRDefault="006B55ED" w:rsidP="007C44A8">
      <w:pPr>
        <w:pStyle w:val="FootnoteText"/>
      </w:pPr>
      <w:r>
        <w:rPr>
          <w:rStyle w:val="FootnoteReference"/>
        </w:rPr>
        <w:footnoteRef/>
      </w:r>
      <w:r>
        <w:t xml:space="preserve"> </w:t>
      </w:r>
      <w:r>
        <w:tab/>
      </w:r>
      <w:r w:rsidRPr="00E57C99">
        <w:t xml:space="preserve">Sources </w:t>
      </w:r>
      <w:r>
        <w:t xml:space="preserve">include </w:t>
      </w:r>
      <w:r w:rsidRPr="00E57C99">
        <w:t>‘controlled apparatus’ and ‘controlled material’</w:t>
      </w:r>
      <w:r>
        <w:t xml:space="preserve"> as </w:t>
      </w:r>
      <w:hyperlink r:id="rId1" w:history="1">
        <w:r w:rsidRPr="00E4453B">
          <w:rPr>
            <w:rStyle w:val="Hyperlink"/>
          </w:rPr>
          <w:t xml:space="preserve">defined </w:t>
        </w:r>
        <w:r>
          <w:rPr>
            <w:rStyle w:val="Hyperlink"/>
          </w:rPr>
          <w:t>in the legislation.</w:t>
        </w:r>
      </w:hyperlink>
      <w:r>
        <w:t xml:space="preserve"> </w:t>
      </w:r>
    </w:p>
  </w:footnote>
  <w:footnote w:id="3">
    <w:p w14:paraId="2C3F4036" w14:textId="0CFE2E36" w:rsidR="006B55ED" w:rsidRDefault="006B55ED" w:rsidP="007C44A8">
      <w:pPr>
        <w:pStyle w:val="FootnoteText"/>
      </w:pPr>
      <w:r>
        <w:rPr>
          <w:rStyle w:val="FootnoteReference"/>
        </w:rPr>
        <w:footnoteRef/>
      </w:r>
      <w:r>
        <w:t xml:space="preserve"> </w:t>
      </w:r>
      <w:r>
        <w:tab/>
      </w:r>
      <w:r w:rsidRPr="00E57C99">
        <w:t xml:space="preserve">Facilities </w:t>
      </w:r>
      <w:r>
        <w:t>included both</w:t>
      </w:r>
      <w:r w:rsidRPr="00E57C99">
        <w:t xml:space="preserve"> ‘prescribed radiation facilities’ and ‘nuclear installations’</w:t>
      </w:r>
      <w:r>
        <w:t xml:space="preserve"> as </w:t>
      </w:r>
      <w:hyperlink r:id="rId2" w:history="1">
        <w:r w:rsidRPr="00E4453B">
          <w:rPr>
            <w:rStyle w:val="Hyperlink"/>
          </w:rPr>
          <w:t xml:space="preserve">defined </w:t>
        </w:r>
        <w:r>
          <w:rPr>
            <w:rStyle w:val="Hyperlink"/>
          </w:rPr>
          <w:t>in the legislation</w:t>
        </w:r>
      </w:hyperlink>
      <w:r>
        <w:rPr>
          <w:rStyle w:val="Hyperlink"/>
        </w:rPr>
        <w:t>.</w:t>
      </w:r>
      <w:r>
        <w:t xml:space="preserve"> </w:t>
      </w:r>
    </w:p>
  </w:footnote>
  <w:footnote w:id="4">
    <w:p w14:paraId="38EE8CE6" w14:textId="77777777" w:rsidR="006B55ED" w:rsidRDefault="006B55ED" w:rsidP="003B4D69">
      <w:pPr>
        <w:pStyle w:val="FootnoteText"/>
      </w:pPr>
      <w:r>
        <w:rPr>
          <w:rStyle w:val="FootnoteReference"/>
        </w:rPr>
        <w:footnoteRef/>
      </w:r>
      <w:r>
        <w:t xml:space="preserve"> Further information on the Regulator Performance Framework is available at </w:t>
      </w:r>
      <w:hyperlink r:id="rId3" w:tooltip="Regulator Performance Framework information" w:history="1">
        <w:r w:rsidRPr="00B30C7F">
          <w:rPr>
            <w:rStyle w:val="Hyperlink"/>
          </w:rPr>
          <w:t>https://docs.jobs.gov.au/documents/regulator-performance-framework</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D796" w14:textId="3D7873F6" w:rsidR="006B55ED" w:rsidRDefault="006B55ED">
    <w:pPr>
      <w:pStyle w:val="Header"/>
    </w:pPr>
  </w:p>
  <w:p w14:paraId="0D142F6F" w14:textId="6FF49C52" w:rsidR="006B55ED" w:rsidRDefault="006B55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2760" w:hanging="284"/>
      </w:pPr>
      <w:rPr>
        <w:rFonts w:ascii="Times New Roman" w:hAnsi="Times New Roman" w:cs="Times New Roman" w:hint="default"/>
      </w:rPr>
    </w:lvl>
    <w:lvl w:ilvl="1" w:tplc="0C090003" w:tentative="1">
      <w:start w:val="1"/>
      <w:numFmt w:val="bullet"/>
      <w:lvlText w:val="o"/>
      <w:lvlJc w:val="left"/>
      <w:pPr>
        <w:ind w:left="3349" w:hanging="360"/>
      </w:pPr>
      <w:rPr>
        <w:rFonts w:ascii="Courier New" w:hAnsi="Courier New" w:cs="Courier New" w:hint="default"/>
      </w:rPr>
    </w:lvl>
    <w:lvl w:ilvl="2" w:tplc="0C090005" w:tentative="1">
      <w:start w:val="1"/>
      <w:numFmt w:val="bullet"/>
      <w:lvlText w:val=""/>
      <w:lvlJc w:val="left"/>
      <w:pPr>
        <w:ind w:left="4069" w:hanging="360"/>
      </w:pPr>
      <w:rPr>
        <w:rFonts w:ascii="Wingdings" w:hAnsi="Wingdings" w:hint="default"/>
      </w:rPr>
    </w:lvl>
    <w:lvl w:ilvl="3" w:tplc="0C090001" w:tentative="1">
      <w:start w:val="1"/>
      <w:numFmt w:val="bullet"/>
      <w:lvlText w:val=""/>
      <w:lvlJc w:val="left"/>
      <w:pPr>
        <w:ind w:left="4789" w:hanging="360"/>
      </w:pPr>
      <w:rPr>
        <w:rFonts w:ascii="Symbol" w:hAnsi="Symbol" w:hint="default"/>
      </w:rPr>
    </w:lvl>
    <w:lvl w:ilvl="4" w:tplc="0C090003" w:tentative="1">
      <w:start w:val="1"/>
      <w:numFmt w:val="bullet"/>
      <w:lvlText w:val="o"/>
      <w:lvlJc w:val="left"/>
      <w:pPr>
        <w:ind w:left="5509" w:hanging="360"/>
      </w:pPr>
      <w:rPr>
        <w:rFonts w:ascii="Courier New" w:hAnsi="Courier New" w:cs="Courier New" w:hint="default"/>
      </w:rPr>
    </w:lvl>
    <w:lvl w:ilvl="5" w:tplc="0C090005" w:tentative="1">
      <w:start w:val="1"/>
      <w:numFmt w:val="bullet"/>
      <w:lvlText w:val=""/>
      <w:lvlJc w:val="left"/>
      <w:pPr>
        <w:ind w:left="6229" w:hanging="360"/>
      </w:pPr>
      <w:rPr>
        <w:rFonts w:ascii="Wingdings" w:hAnsi="Wingdings" w:hint="default"/>
      </w:rPr>
    </w:lvl>
    <w:lvl w:ilvl="6" w:tplc="0C090001" w:tentative="1">
      <w:start w:val="1"/>
      <w:numFmt w:val="bullet"/>
      <w:lvlText w:val=""/>
      <w:lvlJc w:val="left"/>
      <w:pPr>
        <w:ind w:left="6949" w:hanging="360"/>
      </w:pPr>
      <w:rPr>
        <w:rFonts w:ascii="Symbol" w:hAnsi="Symbol" w:hint="default"/>
      </w:rPr>
    </w:lvl>
    <w:lvl w:ilvl="7" w:tplc="0C090003" w:tentative="1">
      <w:start w:val="1"/>
      <w:numFmt w:val="bullet"/>
      <w:lvlText w:val="o"/>
      <w:lvlJc w:val="left"/>
      <w:pPr>
        <w:ind w:left="7669" w:hanging="360"/>
      </w:pPr>
      <w:rPr>
        <w:rFonts w:ascii="Courier New" w:hAnsi="Courier New" w:cs="Courier New" w:hint="default"/>
      </w:rPr>
    </w:lvl>
    <w:lvl w:ilvl="8" w:tplc="0C090005" w:tentative="1">
      <w:start w:val="1"/>
      <w:numFmt w:val="bullet"/>
      <w:lvlText w:val=""/>
      <w:lvlJc w:val="left"/>
      <w:pPr>
        <w:ind w:left="8389" w:hanging="360"/>
      </w:pPr>
      <w:rPr>
        <w:rFonts w:ascii="Wingdings" w:hAnsi="Wingdings" w:hint="default"/>
      </w:rPr>
    </w:lvl>
  </w:abstractNum>
  <w:abstractNum w:abstractNumId="1" w15:restartNumberingAfterBreak="0">
    <w:nsid w:val="075C0473"/>
    <w:multiLevelType w:val="hybridMultilevel"/>
    <w:tmpl w:val="C67649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0A3F18"/>
    <w:multiLevelType w:val="hybridMultilevel"/>
    <w:tmpl w:val="734CBD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8BC07D7"/>
    <w:multiLevelType w:val="hybridMultilevel"/>
    <w:tmpl w:val="F9B077D8"/>
    <w:lvl w:ilvl="0" w:tplc="0C090001">
      <w:start w:val="1"/>
      <w:numFmt w:val="bullet"/>
      <w:lvlText w:val=""/>
      <w:lvlJc w:val="left"/>
      <w:pPr>
        <w:ind w:left="895" w:hanging="360"/>
      </w:pPr>
      <w:rPr>
        <w:rFonts w:ascii="Symbol" w:hAnsi="Symbol" w:hint="default"/>
      </w:rPr>
    </w:lvl>
    <w:lvl w:ilvl="1" w:tplc="0C090003" w:tentative="1">
      <w:start w:val="1"/>
      <w:numFmt w:val="bullet"/>
      <w:lvlText w:val="o"/>
      <w:lvlJc w:val="left"/>
      <w:pPr>
        <w:ind w:left="1615" w:hanging="360"/>
      </w:pPr>
      <w:rPr>
        <w:rFonts w:ascii="Courier New" w:hAnsi="Courier New" w:cs="Courier New" w:hint="default"/>
      </w:rPr>
    </w:lvl>
    <w:lvl w:ilvl="2" w:tplc="0C090005" w:tentative="1">
      <w:start w:val="1"/>
      <w:numFmt w:val="bullet"/>
      <w:lvlText w:val=""/>
      <w:lvlJc w:val="left"/>
      <w:pPr>
        <w:ind w:left="2335" w:hanging="360"/>
      </w:pPr>
      <w:rPr>
        <w:rFonts w:ascii="Wingdings" w:hAnsi="Wingdings" w:hint="default"/>
      </w:rPr>
    </w:lvl>
    <w:lvl w:ilvl="3" w:tplc="0C090001" w:tentative="1">
      <w:start w:val="1"/>
      <w:numFmt w:val="bullet"/>
      <w:lvlText w:val=""/>
      <w:lvlJc w:val="left"/>
      <w:pPr>
        <w:ind w:left="3055" w:hanging="360"/>
      </w:pPr>
      <w:rPr>
        <w:rFonts w:ascii="Symbol" w:hAnsi="Symbol" w:hint="default"/>
      </w:rPr>
    </w:lvl>
    <w:lvl w:ilvl="4" w:tplc="0C090003" w:tentative="1">
      <w:start w:val="1"/>
      <w:numFmt w:val="bullet"/>
      <w:lvlText w:val="o"/>
      <w:lvlJc w:val="left"/>
      <w:pPr>
        <w:ind w:left="3775" w:hanging="360"/>
      </w:pPr>
      <w:rPr>
        <w:rFonts w:ascii="Courier New" w:hAnsi="Courier New" w:cs="Courier New" w:hint="default"/>
      </w:rPr>
    </w:lvl>
    <w:lvl w:ilvl="5" w:tplc="0C090005" w:tentative="1">
      <w:start w:val="1"/>
      <w:numFmt w:val="bullet"/>
      <w:lvlText w:val=""/>
      <w:lvlJc w:val="left"/>
      <w:pPr>
        <w:ind w:left="4495" w:hanging="360"/>
      </w:pPr>
      <w:rPr>
        <w:rFonts w:ascii="Wingdings" w:hAnsi="Wingdings" w:hint="default"/>
      </w:rPr>
    </w:lvl>
    <w:lvl w:ilvl="6" w:tplc="0C090001" w:tentative="1">
      <w:start w:val="1"/>
      <w:numFmt w:val="bullet"/>
      <w:lvlText w:val=""/>
      <w:lvlJc w:val="left"/>
      <w:pPr>
        <w:ind w:left="5215" w:hanging="360"/>
      </w:pPr>
      <w:rPr>
        <w:rFonts w:ascii="Symbol" w:hAnsi="Symbol" w:hint="default"/>
      </w:rPr>
    </w:lvl>
    <w:lvl w:ilvl="7" w:tplc="0C090003" w:tentative="1">
      <w:start w:val="1"/>
      <w:numFmt w:val="bullet"/>
      <w:lvlText w:val="o"/>
      <w:lvlJc w:val="left"/>
      <w:pPr>
        <w:ind w:left="5935" w:hanging="360"/>
      </w:pPr>
      <w:rPr>
        <w:rFonts w:ascii="Courier New" w:hAnsi="Courier New" w:cs="Courier New" w:hint="default"/>
      </w:rPr>
    </w:lvl>
    <w:lvl w:ilvl="8" w:tplc="0C090005" w:tentative="1">
      <w:start w:val="1"/>
      <w:numFmt w:val="bullet"/>
      <w:lvlText w:val=""/>
      <w:lvlJc w:val="left"/>
      <w:pPr>
        <w:ind w:left="6655" w:hanging="360"/>
      </w:pPr>
      <w:rPr>
        <w:rFonts w:ascii="Wingdings" w:hAnsi="Wingdings" w:hint="default"/>
      </w:rPr>
    </w:lvl>
  </w:abstractNum>
  <w:abstractNum w:abstractNumId="4" w15:restartNumberingAfterBreak="0">
    <w:nsid w:val="209700D4"/>
    <w:multiLevelType w:val="hybridMultilevel"/>
    <w:tmpl w:val="C09E294E"/>
    <w:lvl w:ilvl="0" w:tplc="3C4EC76A">
      <w:start w:val="1"/>
      <w:numFmt w:val="decimal"/>
      <w:lvlText w:val="%1."/>
      <w:lvlJc w:val="left"/>
      <w:pPr>
        <w:ind w:left="1080" w:hanging="360"/>
      </w:pPr>
      <w:rPr>
        <w:rFonts w:ascii="Calibri" w:hAnsi="Calibri" w:hint="default"/>
        <w:sz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26C406F"/>
    <w:multiLevelType w:val="hybridMultilevel"/>
    <w:tmpl w:val="34CA7558"/>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8" w15:restartNumberingAfterBreak="0">
    <w:nsid w:val="2A4B2E32"/>
    <w:multiLevelType w:val="hybridMultilevel"/>
    <w:tmpl w:val="C804F544"/>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3DB07E4"/>
    <w:multiLevelType w:val="hybridMultilevel"/>
    <w:tmpl w:val="D570B2D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1818A5"/>
    <w:multiLevelType w:val="hybridMultilevel"/>
    <w:tmpl w:val="39945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F73B5D"/>
    <w:multiLevelType w:val="hybridMultilevel"/>
    <w:tmpl w:val="5DE69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7"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8" w15:restartNumberingAfterBreak="0">
    <w:nsid w:val="51283DEE"/>
    <w:multiLevelType w:val="hybridMultilevel"/>
    <w:tmpl w:val="49A6E1B8"/>
    <w:lvl w:ilvl="0" w:tplc="0C090001">
      <w:start w:val="1"/>
      <w:numFmt w:val="bullet"/>
      <w:lvlText w:val=""/>
      <w:lvlJc w:val="left"/>
      <w:pPr>
        <w:ind w:left="765" w:hanging="360"/>
      </w:pPr>
      <w:rPr>
        <w:rFonts w:ascii="Symbol" w:hAnsi="Symbol" w:hint="default"/>
      </w:rPr>
    </w:lvl>
    <w:lvl w:ilvl="1" w:tplc="0C090001">
      <w:start w:val="1"/>
      <w:numFmt w:val="bullet"/>
      <w:lvlText w:val=""/>
      <w:lvlJc w:val="left"/>
      <w:pPr>
        <w:ind w:left="1485" w:hanging="360"/>
      </w:pPr>
      <w:rPr>
        <w:rFonts w:ascii="Symbol" w:hAnsi="Symbol"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9" w15:restartNumberingAfterBreak="0">
    <w:nsid w:val="53D024D9"/>
    <w:multiLevelType w:val="hybridMultilevel"/>
    <w:tmpl w:val="C1D45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21" w15:restartNumberingAfterBreak="0">
    <w:nsid w:val="561370B7"/>
    <w:multiLevelType w:val="hybridMultilevel"/>
    <w:tmpl w:val="BDE6A51A"/>
    <w:lvl w:ilvl="0" w:tplc="68F05A34">
      <w:start w:val="1"/>
      <w:numFmt w:val="bullet"/>
      <w:lvlText w:val=""/>
      <w:lvlJc w:val="left"/>
      <w:pPr>
        <w:ind w:left="720" w:hanging="360"/>
      </w:pPr>
      <w:rPr>
        <w:rFonts w:ascii="Symbol" w:hAnsi="Symbol" w:hint="default"/>
      </w:rPr>
    </w:lvl>
    <w:lvl w:ilvl="1" w:tplc="F3F82B1E">
      <w:start w:val="1"/>
      <w:numFmt w:val="bullet"/>
      <w:lvlText w:val="o"/>
      <w:lvlJc w:val="left"/>
      <w:pPr>
        <w:ind w:left="1440" w:hanging="360"/>
      </w:pPr>
      <w:rPr>
        <w:rFonts w:ascii="Courier New" w:hAnsi="Courier New" w:hint="default"/>
      </w:rPr>
    </w:lvl>
    <w:lvl w:ilvl="2" w:tplc="74009296">
      <w:start w:val="1"/>
      <w:numFmt w:val="bullet"/>
      <w:lvlText w:val=""/>
      <w:lvlJc w:val="left"/>
      <w:pPr>
        <w:ind w:left="2160" w:hanging="360"/>
      </w:pPr>
      <w:rPr>
        <w:rFonts w:ascii="Wingdings" w:hAnsi="Wingdings" w:hint="default"/>
      </w:rPr>
    </w:lvl>
    <w:lvl w:ilvl="3" w:tplc="13FE6942">
      <w:start w:val="1"/>
      <w:numFmt w:val="bullet"/>
      <w:lvlText w:val=""/>
      <w:lvlJc w:val="left"/>
      <w:pPr>
        <w:ind w:left="2880" w:hanging="360"/>
      </w:pPr>
      <w:rPr>
        <w:rFonts w:ascii="Symbol" w:hAnsi="Symbol" w:hint="default"/>
      </w:rPr>
    </w:lvl>
    <w:lvl w:ilvl="4" w:tplc="880E0AF8">
      <w:start w:val="1"/>
      <w:numFmt w:val="bullet"/>
      <w:lvlText w:val="o"/>
      <w:lvlJc w:val="left"/>
      <w:pPr>
        <w:ind w:left="3600" w:hanging="360"/>
      </w:pPr>
      <w:rPr>
        <w:rFonts w:ascii="Courier New" w:hAnsi="Courier New" w:hint="default"/>
      </w:rPr>
    </w:lvl>
    <w:lvl w:ilvl="5" w:tplc="11FE8B0E">
      <w:start w:val="1"/>
      <w:numFmt w:val="bullet"/>
      <w:lvlText w:val=""/>
      <w:lvlJc w:val="left"/>
      <w:pPr>
        <w:ind w:left="4320" w:hanging="360"/>
      </w:pPr>
      <w:rPr>
        <w:rFonts w:ascii="Wingdings" w:hAnsi="Wingdings" w:hint="default"/>
      </w:rPr>
    </w:lvl>
    <w:lvl w:ilvl="6" w:tplc="10BECBBE">
      <w:start w:val="1"/>
      <w:numFmt w:val="bullet"/>
      <w:lvlText w:val=""/>
      <w:lvlJc w:val="left"/>
      <w:pPr>
        <w:ind w:left="5040" w:hanging="360"/>
      </w:pPr>
      <w:rPr>
        <w:rFonts w:ascii="Symbol" w:hAnsi="Symbol" w:hint="default"/>
      </w:rPr>
    </w:lvl>
    <w:lvl w:ilvl="7" w:tplc="EB907C42">
      <w:start w:val="1"/>
      <w:numFmt w:val="bullet"/>
      <w:lvlText w:val="o"/>
      <w:lvlJc w:val="left"/>
      <w:pPr>
        <w:ind w:left="5760" w:hanging="360"/>
      </w:pPr>
      <w:rPr>
        <w:rFonts w:ascii="Courier New" w:hAnsi="Courier New" w:hint="default"/>
      </w:rPr>
    </w:lvl>
    <w:lvl w:ilvl="8" w:tplc="92E497DC">
      <w:start w:val="1"/>
      <w:numFmt w:val="bullet"/>
      <w:lvlText w:val=""/>
      <w:lvlJc w:val="left"/>
      <w:pPr>
        <w:ind w:left="6480" w:hanging="360"/>
      </w:pPr>
      <w:rPr>
        <w:rFonts w:ascii="Wingdings" w:hAnsi="Wingdings" w:hint="default"/>
      </w:rPr>
    </w:lvl>
  </w:abstractNum>
  <w:abstractNum w:abstractNumId="22" w15:restartNumberingAfterBreak="0">
    <w:nsid w:val="59CB0FD8"/>
    <w:multiLevelType w:val="hybridMultilevel"/>
    <w:tmpl w:val="BF0CB5E2"/>
    <w:lvl w:ilvl="0" w:tplc="E1480616">
      <w:start w:val="1"/>
      <w:numFmt w:val="decimal"/>
      <w:lvlText w:val="KPI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C53D45"/>
    <w:multiLevelType w:val="hybridMultilevel"/>
    <w:tmpl w:val="A7700D1A"/>
    <w:lvl w:ilvl="0" w:tplc="1458D632">
      <w:start w:val="1"/>
      <w:numFmt w:val="bullet"/>
      <w:lvlText w:val=""/>
      <w:lvlJc w:val="left"/>
      <w:pPr>
        <w:ind w:left="720" w:hanging="360"/>
      </w:pPr>
      <w:rPr>
        <w:rFonts w:ascii="Symbol" w:hAnsi="Symbol" w:hint="default"/>
      </w:rPr>
    </w:lvl>
    <w:lvl w:ilvl="1" w:tplc="C050614A">
      <w:start w:val="1"/>
      <w:numFmt w:val="bullet"/>
      <w:lvlText w:val="o"/>
      <w:lvlJc w:val="left"/>
      <w:pPr>
        <w:ind w:left="1440" w:hanging="360"/>
      </w:pPr>
      <w:rPr>
        <w:rFonts w:ascii="Courier New" w:hAnsi="Courier New" w:hint="default"/>
      </w:rPr>
    </w:lvl>
    <w:lvl w:ilvl="2" w:tplc="DBE6BA7A">
      <w:start w:val="1"/>
      <w:numFmt w:val="bullet"/>
      <w:lvlText w:val=""/>
      <w:lvlJc w:val="left"/>
      <w:pPr>
        <w:ind w:left="2160" w:hanging="360"/>
      </w:pPr>
      <w:rPr>
        <w:rFonts w:ascii="Wingdings" w:hAnsi="Wingdings" w:hint="default"/>
      </w:rPr>
    </w:lvl>
    <w:lvl w:ilvl="3" w:tplc="515CCC3C">
      <w:start w:val="1"/>
      <w:numFmt w:val="bullet"/>
      <w:lvlText w:val=""/>
      <w:lvlJc w:val="left"/>
      <w:pPr>
        <w:ind w:left="2880" w:hanging="360"/>
      </w:pPr>
      <w:rPr>
        <w:rFonts w:ascii="Symbol" w:hAnsi="Symbol" w:hint="default"/>
      </w:rPr>
    </w:lvl>
    <w:lvl w:ilvl="4" w:tplc="D51EA1CC">
      <w:start w:val="1"/>
      <w:numFmt w:val="bullet"/>
      <w:lvlText w:val="o"/>
      <w:lvlJc w:val="left"/>
      <w:pPr>
        <w:ind w:left="3600" w:hanging="360"/>
      </w:pPr>
      <w:rPr>
        <w:rFonts w:ascii="Courier New" w:hAnsi="Courier New" w:hint="default"/>
      </w:rPr>
    </w:lvl>
    <w:lvl w:ilvl="5" w:tplc="A89E61C0">
      <w:start w:val="1"/>
      <w:numFmt w:val="bullet"/>
      <w:lvlText w:val=""/>
      <w:lvlJc w:val="left"/>
      <w:pPr>
        <w:ind w:left="4320" w:hanging="360"/>
      </w:pPr>
      <w:rPr>
        <w:rFonts w:ascii="Wingdings" w:hAnsi="Wingdings" w:hint="default"/>
      </w:rPr>
    </w:lvl>
    <w:lvl w:ilvl="6" w:tplc="69D20AB6">
      <w:start w:val="1"/>
      <w:numFmt w:val="bullet"/>
      <w:lvlText w:val=""/>
      <w:lvlJc w:val="left"/>
      <w:pPr>
        <w:ind w:left="5040" w:hanging="360"/>
      </w:pPr>
      <w:rPr>
        <w:rFonts w:ascii="Symbol" w:hAnsi="Symbol" w:hint="default"/>
      </w:rPr>
    </w:lvl>
    <w:lvl w:ilvl="7" w:tplc="5DDE9302">
      <w:start w:val="1"/>
      <w:numFmt w:val="bullet"/>
      <w:lvlText w:val="o"/>
      <w:lvlJc w:val="left"/>
      <w:pPr>
        <w:ind w:left="5760" w:hanging="360"/>
      </w:pPr>
      <w:rPr>
        <w:rFonts w:ascii="Courier New" w:hAnsi="Courier New" w:hint="default"/>
      </w:rPr>
    </w:lvl>
    <w:lvl w:ilvl="8" w:tplc="2E92DDEE">
      <w:start w:val="1"/>
      <w:numFmt w:val="bullet"/>
      <w:lvlText w:val=""/>
      <w:lvlJc w:val="left"/>
      <w:pPr>
        <w:ind w:left="6480" w:hanging="360"/>
      </w:pPr>
      <w:rPr>
        <w:rFonts w:ascii="Wingdings" w:hAnsi="Wingdings" w:hint="default"/>
      </w:rPr>
    </w:lvl>
  </w:abstractNum>
  <w:abstractNum w:abstractNumId="24" w15:restartNumberingAfterBreak="0">
    <w:nsid w:val="60E87DD6"/>
    <w:multiLevelType w:val="hybridMultilevel"/>
    <w:tmpl w:val="1B0E63B6"/>
    <w:lvl w:ilvl="0" w:tplc="FFFFFFFF">
      <w:start w:val="20"/>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4447A5"/>
    <w:multiLevelType w:val="hybridMultilevel"/>
    <w:tmpl w:val="6D3887B6"/>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26" w15:restartNumberingAfterBreak="0">
    <w:nsid w:val="693139A9"/>
    <w:multiLevelType w:val="hybridMultilevel"/>
    <w:tmpl w:val="8230C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FB3281"/>
    <w:multiLevelType w:val="hybridMultilevel"/>
    <w:tmpl w:val="62224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9" w15:restartNumberingAfterBreak="0">
    <w:nsid w:val="720619E6"/>
    <w:multiLevelType w:val="hybridMultilevel"/>
    <w:tmpl w:val="8C2034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4884921"/>
    <w:multiLevelType w:val="hybridMultilevel"/>
    <w:tmpl w:val="62246754"/>
    <w:lvl w:ilvl="0" w:tplc="34D66AA0">
      <w:start w:val="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F67273"/>
    <w:multiLevelType w:val="hybridMultilevel"/>
    <w:tmpl w:val="FBA44E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21"/>
  </w:num>
  <w:num w:numId="3">
    <w:abstractNumId w:val="6"/>
  </w:num>
  <w:num w:numId="4">
    <w:abstractNumId w:val="11"/>
  </w:num>
  <w:num w:numId="5">
    <w:abstractNumId w:val="14"/>
  </w:num>
  <w:num w:numId="6">
    <w:abstractNumId w:val="10"/>
  </w:num>
  <w:num w:numId="7">
    <w:abstractNumId w:val="12"/>
  </w:num>
  <w:num w:numId="8">
    <w:abstractNumId w:val="20"/>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9">
    <w:abstractNumId w:val="20"/>
  </w:num>
  <w:num w:numId="10">
    <w:abstractNumId w:val="0"/>
  </w:num>
  <w:num w:numId="11">
    <w:abstractNumId w:val="28"/>
  </w:num>
  <w:num w:numId="12">
    <w:abstractNumId w:val="7"/>
  </w:num>
  <w:num w:numId="13">
    <w:abstractNumId w:val="16"/>
  </w:num>
  <w:num w:numId="14">
    <w:abstractNumId w:val="17"/>
  </w:num>
  <w:num w:numId="15">
    <w:abstractNumId w:val="22"/>
  </w:num>
  <w:num w:numId="16">
    <w:abstractNumId w:val="4"/>
  </w:num>
  <w:num w:numId="17">
    <w:abstractNumId w:val="3"/>
  </w:num>
  <w:num w:numId="18">
    <w:abstractNumId w:val="29"/>
  </w:num>
  <w:num w:numId="19">
    <w:abstractNumId w:val="19"/>
  </w:num>
  <w:num w:numId="20">
    <w:abstractNumId w:val="5"/>
  </w:num>
  <w:num w:numId="21">
    <w:abstractNumId w:val="27"/>
  </w:num>
  <w:num w:numId="22">
    <w:abstractNumId w:val="8"/>
  </w:num>
  <w:num w:numId="23">
    <w:abstractNumId w:val="1"/>
  </w:num>
  <w:num w:numId="24">
    <w:abstractNumId w:val="13"/>
  </w:num>
  <w:num w:numId="25">
    <w:abstractNumId w:val="2"/>
  </w:num>
  <w:num w:numId="26">
    <w:abstractNumId w:val="25"/>
  </w:num>
  <w:num w:numId="27">
    <w:abstractNumId w:val="24"/>
  </w:num>
  <w:num w:numId="28">
    <w:abstractNumId w:val="30"/>
  </w:num>
  <w:num w:numId="29">
    <w:abstractNumId w:val="10"/>
  </w:num>
  <w:num w:numId="30">
    <w:abstractNumId w:val="31"/>
  </w:num>
  <w:num w:numId="31">
    <w:abstractNumId w:val="15"/>
  </w:num>
  <w:num w:numId="32">
    <w:abstractNumId w:val="10"/>
  </w:num>
  <w:num w:numId="33">
    <w:abstractNumId w:val="10"/>
  </w:num>
  <w:num w:numId="34">
    <w:abstractNumId w:val="10"/>
  </w:num>
  <w:num w:numId="35">
    <w:abstractNumId w:val="18"/>
  </w:num>
  <w:num w:numId="36">
    <w:abstractNumId w:val="9"/>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E7B"/>
    <w:rsid w:val="000014D7"/>
    <w:rsid w:val="000022DF"/>
    <w:rsid w:val="000036EA"/>
    <w:rsid w:val="00004834"/>
    <w:rsid w:val="000063FB"/>
    <w:rsid w:val="00007A76"/>
    <w:rsid w:val="00010316"/>
    <w:rsid w:val="00010729"/>
    <w:rsid w:val="00012A34"/>
    <w:rsid w:val="00016F92"/>
    <w:rsid w:val="00030616"/>
    <w:rsid w:val="00035536"/>
    <w:rsid w:val="000371FB"/>
    <w:rsid w:val="00037687"/>
    <w:rsid w:val="000465FE"/>
    <w:rsid w:val="00046A1A"/>
    <w:rsid w:val="000502BA"/>
    <w:rsid w:val="00050A1D"/>
    <w:rsid w:val="0005527F"/>
    <w:rsid w:val="00062BB7"/>
    <w:rsid w:val="00065A49"/>
    <w:rsid w:val="00066B27"/>
    <w:rsid w:val="000708F3"/>
    <w:rsid w:val="000743BF"/>
    <w:rsid w:val="000756A6"/>
    <w:rsid w:val="000814BA"/>
    <w:rsid w:val="00082E26"/>
    <w:rsid w:val="00085F25"/>
    <w:rsid w:val="000917AA"/>
    <w:rsid w:val="00097836"/>
    <w:rsid w:val="000A3C8D"/>
    <w:rsid w:val="000B0690"/>
    <w:rsid w:val="000B237F"/>
    <w:rsid w:val="000B4233"/>
    <w:rsid w:val="000C45A5"/>
    <w:rsid w:val="000C4A9A"/>
    <w:rsid w:val="000C7998"/>
    <w:rsid w:val="000D1A66"/>
    <w:rsid w:val="000D27C8"/>
    <w:rsid w:val="000D3FAE"/>
    <w:rsid w:val="000D6E80"/>
    <w:rsid w:val="000E3A70"/>
    <w:rsid w:val="000F0205"/>
    <w:rsid w:val="000F3AB1"/>
    <w:rsid w:val="000F57A2"/>
    <w:rsid w:val="000F73FB"/>
    <w:rsid w:val="000F7CF3"/>
    <w:rsid w:val="001013DC"/>
    <w:rsid w:val="00102414"/>
    <w:rsid w:val="00102BB3"/>
    <w:rsid w:val="00102D60"/>
    <w:rsid w:val="0010348D"/>
    <w:rsid w:val="001037FC"/>
    <w:rsid w:val="00103EDC"/>
    <w:rsid w:val="00104B1D"/>
    <w:rsid w:val="00112D9C"/>
    <w:rsid w:val="001141E6"/>
    <w:rsid w:val="001271D0"/>
    <w:rsid w:val="0013700D"/>
    <w:rsid w:val="00145965"/>
    <w:rsid w:val="00150764"/>
    <w:rsid w:val="00151C39"/>
    <w:rsid w:val="00157E8E"/>
    <w:rsid w:val="00157F0D"/>
    <w:rsid w:val="0017469C"/>
    <w:rsid w:val="00192A8D"/>
    <w:rsid w:val="001A11CB"/>
    <w:rsid w:val="001A15E9"/>
    <w:rsid w:val="001A230B"/>
    <w:rsid w:val="001B0803"/>
    <w:rsid w:val="001B0C1B"/>
    <w:rsid w:val="001B1FAD"/>
    <w:rsid w:val="001B5B9A"/>
    <w:rsid w:val="001B6980"/>
    <w:rsid w:val="001D2DC2"/>
    <w:rsid w:val="001D388D"/>
    <w:rsid w:val="001D67E7"/>
    <w:rsid w:val="001D74C3"/>
    <w:rsid w:val="001E265E"/>
    <w:rsid w:val="001F3CE7"/>
    <w:rsid w:val="001F5A88"/>
    <w:rsid w:val="001F5B95"/>
    <w:rsid w:val="001F7A53"/>
    <w:rsid w:val="0020035B"/>
    <w:rsid w:val="00204D1B"/>
    <w:rsid w:val="002052E6"/>
    <w:rsid w:val="002103D3"/>
    <w:rsid w:val="00211B48"/>
    <w:rsid w:val="0021404E"/>
    <w:rsid w:val="00214063"/>
    <w:rsid w:val="002157E4"/>
    <w:rsid w:val="00216627"/>
    <w:rsid w:val="0021740F"/>
    <w:rsid w:val="00224F5D"/>
    <w:rsid w:val="002349D1"/>
    <w:rsid w:val="00235431"/>
    <w:rsid w:val="002356D6"/>
    <w:rsid w:val="00235FFF"/>
    <w:rsid w:val="00244F01"/>
    <w:rsid w:val="0025256E"/>
    <w:rsid w:val="00260931"/>
    <w:rsid w:val="00263442"/>
    <w:rsid w:val="00265764"/>
    <w:rsid w:val="002658A5"/>
    <w:rsid w:val="0026635D"/>
    <w:rsid w:val="00270B0C"/>
    <w:rsid w:val="00273B0C"/>
    <w:rsid w:val="00276177"/>
    <w:rsid w:val="00276754"/>
    <w:rsid w:val="00281E4A"/>
    <w:rsid w:val="00287C23"/>
    <w:rsid w:val="002B0127"/>
    <w:rsid w:val="002B03D7"/>
    <w:rsid w:val="002B3D7C"/>
    <w:rsid w:val="002C369D"/>
    <w:rsid w:val="002C4441"/>
    <w:rsid w:val="002D28CA"/>
    <w:rsid w:val="002D5DD1"/>
    <w:rsid w:val="002E0211"/>
    <w:rsid w:val="002E4FA1"/>
    <w:rsid w:val="003014F6"/>
    <w:rsid w:val="00302D3E"/>
    <w:rsid w:val="0030415F"/>
    <w:rsid w:val="0030480D"/>
    <w:rsid w:val="0030570B"/>
    <w:rsid w:val="003058FE"/>
    <w:rsid w:val="003060CD"/>
    <w:rsid w:val="0030652D"/>
    <w:rsid w:val="003136D9"/>
    <w:rsid w:val="0031501B"/>
    <w:rsid w:val="00315E85"/>
    <w:rsid w:val="00316C9E"/>
    <w:rsid w:val="00326366"/>
    <w:rsid w:val="00327077"/>
    <w:rsid w:val="00337A95"/>
    <w:rsid w:val="00337FB0"/>
    <w:rsid w:val="0034657C"/>
    <w:rsid w:val="00350226"/>
    <w:rsid w:val="003515D6"/>
    <w:rsid w:val="00356325"/>
    <w:rsid w:val="003571EE"/>
    <w:rsid w:val="00365D43"/>
    <w:rsid w:val="00370113"/>
    <w:rsid w:val="003718D6"/>
    <w:rsid w:val="003732CE"/>
    <w:rsid w:val="003774AD"/>
    <w:rsid w:val="0038281A"/>
    <w:rsid w:val="00386E6A"/>
    <w:rsid w:val="003939E0"/>
    <w:rsid w:val="00396A15"/>
    <w:rsid w:val="00396B07"/>
    <w:rsid w:val="003A0BC5"/>
    <w:rsid w:val="003A285A"/>
    <w:rsid w:val="003A2B5B"/>
    <w:rsid w:val="003A35B6"/>
    <w:rsid w:val="003A5B39"/>
    <w:rsid w:val="003A7B56"/>
    <w:rsid w:val="003B0414"/>
    <w:rsid w:val="003B1D75"/>
    <w:rsid w:val="003B4D69"/>
    <w:rsid w:val="003C03E2"/>
    <w:rsid w:val="003C5476"/>
    <w:rsid w:val="003D2646"/>
    <w:rsid w:val="003D265D"/>
    <w:rsid w:val="003D31AF"/>
    <w:rsid w:val="003D726B"/>
    <w:rsid w:val="003D7313"/>
    <w:rsid w:val="003E3909"/>
    <w:rsid w:val="003E485D"/>
    <w:rsid w:val="003F07CE"/>
    <w:rsid w:val="003F08DF"/>
    <w:rsid w:val="00404CF5"/>
    <w:rsid w:val="004067D8"/>
    <w:rsid w:val="00412CF8"/>
    <w:rsid w:val="00413FA6"/>
    <w:rsid w:val="004140F1"/>
    <w:rsid w:val="00415DE2"/>
    <w:rsid w:val="004162F1"/>
    <w:rsid w:val="00416761"/>
    <w:rsid w:val="0042434D"/>
    <w:rsid w:val="00427228"/>
    <w:rsid w:val="00431F67"/>
    <w:rsid w:val="004329D4"/>
    <w:rsid w:val="00433B58"/>
    <w:rsid w:val="00434381"/>
    <w:rsid w:val="00441E2D"/>
    <w:rsid w:val="00456E41"/>
    <w:rsid w:val="0045754B"/>
    <w:rsid w:val="004577AE"/>
    <w:rsid w:val="0046213C"/>
    <w:rsid w:val="004628A8"/>
    <w:rsid w:val="00462964"/>
    <w:rsid w:val="004728C4"/>
    <w:rsid w:val="004767EE"/>
    <w:rsid w:val="00482581"/>
    <w:rsid w:val="00482B19"/>
    <w:rsid w:val="004901AD"/>
    <w:rsid w:val="00490660"/>
    <w:rsid w:val="004908E2"/>
    <w:rsid w:val="00492EE9"/>
    <w:rsid w:val="004A5DA7"/>
    <w:rsid w:val="004A62DA"/>
    <w:rsid w:val="004A647D"/>
    <w:rsid w:val="004B3005"/>
    <w:rsid w:val="004C199F"/>
    <w:rsid w:val="004C6745"/>
    <w:rsid w:val="004C7D75"/>
    <w:rsid w:val="004D5400"/>
    <w:rsid w:val="004D76DF"/>
    <w:rsid w:val="004E4746"/>
    <w:rsid w:val="004E49A9"/>
    <w:rsid w:val="004E70BD"/>
    <w:rsid w:val="004F3129"/>
    <w:rsid w:val="004F5122"/>
    <w:rsid w:val="004F72C7"/>
    <w:rsid w:val="00506146"/>
    <w:rsid w:val="00513B24"/>
    <w:rsid w:val="00517843"/>
    <w:rsid w:val="00521DCB"/>
    <w:rsid w:val="00527E7B"/>
    <w:rsid w:val="00530364"/>
    <w:rsid w:val="005347D2"/>
    <w:rsid w:val="00540BA1"/>
    <w:rsid w:val="0054455D"/>
    <w:rsid w:val="00556EE1"/>
    <w:rsid w:val="00561136"/>
    <w:rsid w:val="005614DE"/>
    <w:rsid w:val="00561938"/>
    <w:rsid w:val="00562969"/>
    <w:rsid w:val="00562C74"/>
    <w:rsid w:val="005647F4"/>
    <w:rsid w:val="00566D5C"/>
    <w:rsid w:val="005702ED"/>
    <w:rsid w:val="005704CE"/>
    <w:rsid w:val="00570B3E"/>
    <w:rsid w:val="005714B9"/>
    <w:rsid w:val="005724AA"/>
    <w:rsid w:val="005745AE"/>
    <w:rsid w:val="00575F87"/>
    <w:rsid w:val="00582A92"/>
    <w:rsid w:val="00583E9E"/>
    <w:rsid w:val="005851FE"/>
    <w:rsid w:val="00586DAE"/>
    <w:rsid w:val="00590E39"/>
    <w:rsid w:val="00594F16"/>
    <w:rsid w:val="005A60AE"/>
    <w:rsid w:val="005B05EF"/>
    <w:rsid w:val="005B28E2"/>
    <w:rsid w:val="005B7E77"/>
    <w:rsid w:val="005C2F8C"/>
    <w:rsid w:val="005C3610"/>
    <w:rsid w:val="005C5339"/>
    <w:rsid w:val="005D6104"/>
    <w:rsid w:val="005D7F96"/>
    <w:rsid w:val="005E36E0"/>
    <w:rsid w:val="005E535C"/>
    <w:rsid w:val="005F6BFB"/>
    <w:rsid w:val="005F78FD"/>
    <w:rsid w:val="00601718"/>
    <w:rsid w:val="00604C74"/>
    <w:rsid w:val="00615127"/>
    <w:rsid w:val="00621F3A"/>
    <w:rsid w:val="0064580C"/>
    <w:rsid w:val="00646C2A"/>
    <w:rsid w:val="0064742A"/>
    <w:rsid w:val="00656DCF"/>
    <w:rsid w:val="00656FA3"/>
    <w:rsid w:val="006659F7"/>
    <w:rsid w:val="006758F0"/>
    <w:rsid w:val="00675B0E"/>
    <w:rsid w:val="00675E49"/>
    <w:rsid w:val="006805D0"/>
    <w:rsid w:val="00685C2A"/>
    <w:rsid w:val="006868A0"/>
    <w:rsid w:val="00687647"/>
    <w:rsid w:val="0069192D"/>
    <w:rsid w:val="00692518"/>
    <w:rsid w:val="006A1122"/>
    <w:rsid w:val="006A1A0B"/>
    <w:rsid w:val="006A1D23"/>
    <w:rsid w:val="006B27ED"/>
    <w:rsid w:val="006B35F2"/>
    <w:rsid w:val="006B55ED"/>
    <w:rsid w:val="006C03B7"/>
    <w:rsid w:val="006D092A"/>
    <w:rsid w:val="006E2E9C"/>
    <w:rsid w:val="006E3715"/>
    <w:rsid w:val="006E458F"/>
    <w:rsid w:val="006E59E8"/>
    <w:rsid w:val="006F23FA"/>
    <w:rsid w:val="006F6D6F"/>
    <w:rsid w:val="007004B2"/>
    <w:rsid w:val="00702960"/>
    <w:rsid w:val="007108A7"/>
    <w:rsid w:val="00715703"/>
    <w:rsid w:val="00715D3C"/>
    <w:rsid w:val="00721C9C"/>
    <w:rsid w:val="00726CEF"/>
    <w:rsid w:val="0072744A"/>
    <w:rsid w:val="00730473"/>
    <w:rsid w:val="00730FE7"/>
    <w:rsid w:val="0073203A"/>
    <w:rsid w:val="00732666"/>
    <w:rsid w:val="00733302"/>
    <w:rsid w:val="007374E4"/>
    <w:rsid w:val="007404CA"/>
    <w:rsid w:val="00744359"/>
    <w:rsid w:val="0074467E"/>
    <w:rsid w:val="007468E3"/>
    <w:rsid w:val="00751131"/>
    <w:rsid w:val="007605F8"/>
    <w:rsid w:val="00765952"/>
    <w:rsid w:val="00766358"/>
    <w:rsid w:val="00772F8B"/>
    <w:rsid w:val="007757D8"/>
    <w:rsid w:val="007778A7"/>
    <w:rsid w:val="00780428"/>
    <w:rsid w:val="00780930"/>
    <w:rsid w:val="007823B3"/>
    <w:rsid w:val="007829E9"/>
    <w:rsid w:val="00782AA4"/>
    <w:rsid w:val="00783368"/>
    <w:rsid w:val="00784AA7"/>
    <w:rsid w:val="0078572E"/>
    <w:rsid w:val="00787B55"/>
    <w:rsid w:val="00787C08"/>
    <w:rsid w:val="00787E78"/>
    <w:rsid w:val="00792521"/>
    <w:rsid w:val="00792C2D"/>
    <w:rsid w:val="00794076"/>
    <w:rsid w:val="00794608"/>
    <w:rsid w:val="007962F8"/>
    <w:rsid w:val="007A0364"/>
    <w:rsid w:val="007A0993"/>
    <w:rsid w:val="007A5F0A"/>
    <w:rsid w:val="007B1C2B"/>
    <w:rsid w:val="007B4652"/>
    <w:rsid w:val="007B6A89"/>
    <w:rsid w:val="007C018D"/>
    <w:rsid w:val="007C0FF9"/>
    <w:rsid w:val="007C44A8"/>
    <w:rsid w:val="007C4BCA"/>
    <w:rsid w:val="007C61D7"/>
    <w:rsid w:val="007D153D"/>
    <w:rsid w:val="007D1B82"/>
    <w:rsid w:val="007D3E21"/>
    <w:rsid w:val="007D46BE"/>
    <w:rsid w:val="007E2462"/>
    <w:rsid w:val="007E6906"/>
    <w:rsid w:val="007E7639"/>
    <w:rsid w:val="007F4639"/>
    <w:rsid w:val="007F5F61"/>
    <w:rsid w:val="007F6900"/>
    <w:rsid w:val="008017FB"/>
    <w:rsid w:val="008057BE"/>
    <w:rsid w:val="0082474F"/>
    <w:rsid w:val="00836C12"/>
    <w:rsid w:val="00836C92"/>
    <w:rsid w:val="00841065"/>
    <w:rsid w:val="008460E8"/>
    <w:rsid w:val="00846343"/>
    <w:rsid w:val="00852235"/>
    <w:rsid w:val="008523D1"/>
    <w:rsid w:val="00861D76"/>
    <w:rsid w:val="00864260"/>
    <w:rsid w:val="00865E18"/>
    <w:rsid w:val="008740A2"/>
    <w:rsid w:val="008775F7"/>
    <w:rsid w:val="00877A56"/>
    <w:rsid w:val="00877B0A"/>
    <w:rsid w:val="00881F76"/>
    <w:rsid w:val="00882D1B"/>
    <w:rsid w:val="00884DD8"/>
    <w:rsid w:val="0089191B"/>
    <w:rsid w:val="00892518"/>
    <w:rsid w:val="00896F6F"/>
    <w:rsid w:val="008A670B"/>
    <w:rsid w:val="008B0DBA"/>
    <w:rsid w:val="008B47DE"/>
    <w:rsid w:val="008B5A85"/>
    <w:rsid w:val="008B7841"/>
    <w:rsid w:val="008C2100"/>
    <w:rsid w:val="008C2C4D"/>
    <w:rsid w:val="008C3E0D"/>
    <w:rsid w:val="008C484D"/>
    <w:rsid w:val="008C5DC6"/>
    <w:rsid w:val="008D3195"/>
    <w:rsid w:val="008D3CAB"/>
    <w:rsid w:val="008D410C"/>
    <w:rsid w:val="008D42B6"/>
    <w:rsid w:val="008F74D3"/>
    <w:rsid w:val="00903722"/>
    <w:rsid w:val="00914221"/>
    <w:rsid w:val="00917C88"/>
    <w:rsid w:val="00921404"/>
    <w:rsid w:val="00926189"/>
    <w:rsid w:val="00926454"/>
    <w:rsid w:val="00927F84"/>
    <w:rsid w:val="009301ED"/>
    <w:rsid w:val="00930631"/>
    <w:rsid w:val="00933B1C"/>
    <w:rsid w:val="00934238"/>
    <w:rsid w:val="00936109"/>
    <w:rsid w:val="00936BE5"/>
    <w:rsid w:val="009376C1"/>
    <w:rsid w:val="00940C56"/>
    <w:rsid w:val="00941BF7"/>
    <w:rsid w:val="009477E8"/>
    <w:rsid w:val="00950814"/>
    <w:rsid w:val="00961061"/>
    <w:rsid w:val="00963076"/>
    <w:rsid w:val="00971125"/>
    <w:rsid w:val="009723D0"/>
    <w:rsid w:val="00972B02"/>
    <w:rsid w:val="00976C8F"/>
    <w:rsid w:val="00987E8E"/>
    <w:rsid w:val="00991485"/>
    <w:rsid w:val="00991B0B"/>
    <w:rsid w:val="00993489"/>
    <w:rsid w:val="00995739"/>
    <w:rsid w:val="009969AA"/>
    <w:rsid w:val="00997CD0"/>
    <w:rsid w:val="009A2E62"/>
    <w:rsid w:val="009A7807"/>
    <w:rsid w:val="009A7F99"/>
    <w:rsid w:val="009C60FA"/>
    <w:rsid w:val="009D366B"/>
    <w:rsid w:val="009D61FB"/>
    <w:rsid w:val="009D692A"/>
    <w:rsid w:val="009D744C"/>
    <w:rsid w:val="009E3FCA"/>
    <w:rsid w:val="009F3F6D"/>
    <w:rsid w:val="00A04217"/>
    <w:rsid w:val="00A07570"/>
    <w:rsid w:val="00A115B2"/>
    <w:rsid w:val="00A14585"/>
    <w:rsid w:val="00A14F77"/>
    <w:rsid w:val="00A15B0E"/>
    <w:rsid w:val="00A16B38"/>
    <w:rsid w:val="00A25119"/>
    <w:rsid w:val="00A26C6E"/>
    <w:rsid w:val="00A273C1"/>
    <w:rsid w:val="00A27A5E"/>
    <w:rsid w:val="00A33665"/>
    <w:rsid w:val="00A37CB9"/>
    <w:rsid w:val="00A50510"/>
    <w:rsid w:val="00A600EE"/>
    <w:rsid w:val="00A64531"/>
    <w:rsid w:val="00A80963"/>
    <w:rsid w:val="00A80C2C"/>
    <w:rsid w:val="00A847BC"/>
    <w:rsid w:val="00A8520D"/>
    <w:rsid w:val="00AA0CC5"/>
    <w:rsid w:val="00AA4A62"/>
    <w:rsid w:val="00AB0116"/>
    <w:rsid w:val="00AB062B"/>
    <w:rsid w:val="00AB1C33"/>
    <w:rsid w:val="00AB3888"/>
    <w:rsid w:val="00AB6342"/>
    <w:rsid w:val="00AB65BF"/>
    <w:rsid w:val="00AB6DA9"/>
    <w:rsid w:val="00AB7390"/>
    <w:rsid w:val="00AB7599"/>
    <w:rsid w:val="00AC3126"/>
    <w:rsid w:val="00AC4D65"/>
    <w:rsid w:val="00AC4D6F"/>
    <w:rsid w:val="00AD1ABD"/>
    <w:rsid w:val="00AD2D61"/>
    <w:rsid w:val="00B0073E"/>
    <w:rsid w:val="00B01704"/>
    <w:rsid w:val="00B072E4"/>
    <w:rsid w:val="00B15317"/>
    <w:rsid w:val="00B15350"/>
    <w:rsid w:val="00B20521"/>
    <w:rsid w:val="00B30B64"/>
    <w:rsid w:val="00B310E1"/>
    <w:rsid w:val="00B32CB8"/>
    <w:rsid w:val="00B348FC"/>
    <w:rsid w:val="00B37D36"/>
    <w:rsid w:val="00B47516"/>
    <w:rsid w:val="00B47748"/>
    <w:rsid w:val="00B50E5C"/>
    <w:rsid w:val="00B52226"/>
    <w:rsid w:val="00B54750"/>
    <w:rsid w:val="00B6652C"/>
    <w:rsid w:val="00B66CA9"/>
    <w:rsid w:val="00B7428F"/>
    <w:rsid w:val="00B74605"/>
    <w:rsid w:val="00B75114"/>
    <w:rsid w:val="00B812FD"/>
    <w:rsid w:val="00B8258A"/>
    <w:rsid w:val="00B87B41"/>
    <w:rsid w:val="00B90E51"/>
    <w:rsid w:val="00B9753B"/>
    <w:rsid w:val="00BA1292"/>
    <w:rsid w:val="00BA2E14"/>
    <w:rsid w:val="00BB3B54"/>
    <w:rsid w:val="00BB57D8"/>
    <w:rsid w:val="00BC6405"/>
    <w:rsid w:val="00BD6394"/>
    <w:rsid w:val="00BD6BCE"/>
    <w:rsid w:val="00BE6683"/>
    <w:rsid w:val="00BF054E"/>
    <w:rsid w:val="00BF6CD7"/>
    <w:rsid w:val="00C008BB"/>
    <w:rsid w:val="00C032F2"/>
    <w:rsid w:val="00C06ED4"/>
    <w:rsid w:val="00C10113"/>
    <w:rsid w:val="00C151F1"/>
    <w:rsid w:val="00C16586"/>
    <w:rsid w:val="00C1716C"/>
    <w:rsid w:val="00C428C2"/>
    <w:rsid w:val="00C545BA"/>
    <w:rsid w:val="00C63E05"/>
    <w:rsid w:val="00C6542C"/>
    <w:rsid w:val="00C73950"/>
    <w:rsid w:val="00C80BD3"/>
    <w:rsid w:val="00C863D8"/>
    <w:rsid w:val="00C905D3"/>
    <w:rsid w:val="00C90747"/>
    <w:rsid w:val="00C915BD"/>
    <w:rsid w:val="00C97659"/>
    <w:rsid w:val="00CA0381"/>
    <w:rsid w:val="00CA2D07"/>
    <w:rsid w:val="00CB129B"/>
    <w:rsid w:val="00CB1D6C"/>
    <w:rsid w:val="00CB6ACB"/>
    <w:rsid w:val="00CC1541"/>
    <w:rsid w:val="00CC4B35"/>
    <w:rsid w:val="00CD74EC"/>
    <w:rsid w:val="00CE449D"/>
    <w:rsid w:val="00CE5B83"/>
    <w:rsid w:val="00CE5D5B"/>
    <w:rsid w:val="00CF6219"/>
    <w:rsid w:val="00D07F86"/>
    <w:rsid w:val="00D140B2"/>
    <w:rsid w:val="00D17403"/>
    <w:rsid w:val="00D20042"/>
    <w:rsid w:val="00D22F8B"/>
    <w:rsid w:val="00D24A37"/>
    <w:rsid w:val="00D25EFE"/>
    <w:rsid w:val="00D271D3"/>
    <w:rsid w:val="00D27B8B"/>
    <w:rsid w:val="00D27BDB"/>
    <w:rsid w:val="00D419C0"/>
    <w:rsid w:val="00D52040"/>
    <w:rsid w:val="00D52F9C"/>
    <w:rsid w:val="00D63C9F"/>
    <w:rsid w:val="00D66CE6"/>
    <w:rsid w:val="00D70D97"/>
    <w:rsid w:val="00D770E7"/>
    <w:rsid w:val="00D87798"/>
    <w:rsid w:val="00D904AA"/>
    <w:rsid w:val="00D92517"/>
    <w:rsid w:val="00D966EE"/>
    <w:rsid w:val="00DA4366"/>
    <w:rsid w:val="00DC4E6A"/>
    <w:rsid w:val="00DC7387"/>
    <w:rsid w:val="00DD5986"/>
    <w:rsid w:val="00DE4137"/>
    <w:rsid w:val="00DE7C36"/>
    <w:rsid w:val="00DF20F4"/>
    <w:rsid w:val="00DF37EF"/>
    <w:rsid w:val="00E007C3"/>
    <w:rsid w:val="00E0167F"/>
    <w:rsid w:val="00E05881"/>
    <w:rsid w:val="00E0605D"/>
    <w:rsid w:val="00E156AD"/>
    <w:rsid w:val="00E25BD4"/>
    <w:rsid w:val="00E25E18"/>
    <w:rsid w:val="00E269C3"/>
    <w:rsid w:val="00E2794C"/>
    <w:rsid w:val="00E30335"/>
    <w:rsid w:val="00E32A56"/>
    <w:rsid w:val="00E365CE"/>
    <w:rsid w:val="00E4139D"/>
    <w:rsid w:val="00E45D2B"/>
    <w:rsid w:val="00E47B3A"/>
    <w:rsid w:val="00E527A1"/>
    <w:rsid w:val="00E53A9C"/>
    <w:rsid w:val="00E54181"/>
    <w:rsid w:val="00E54D3A"/>
    <w:rsid w:val="00E66301"/>
    <w:rsid w:val="00E73E46"/>
    <w:rsid w:val="00E8276B"/>
    <w:rsid w:val="00E96345"/>
    <w:rsid w:val="00E967A4"/>
    <w:rsid w:val="00E96F5F"/>
    <w:rsid w:val="00EA0D9E"/>
    <w:rsid w:val="00EA1850"/>
    <w:rsid w:val="00EA3769"/>
    <w:rsid w:val="00EA436F"/>
    <w:rsid w:val="00EA725F"/>
    <w:rsid w:val="00EB235A"/>
    <w:rsid w:val="00EE1374"/>
    <w:rsid w:val="00EE3D3F"/>
    <w:rsid w:val="00EE71D8"/>
    <w:rsid w:val="00F12694"/>
    <w:rsid w:val="00F15CCE"/>
    <w:rsid w:val="00F23654"/>
    <w:rsid w:val="00F25D63"/>
    <w:rsid w:val="00F30B42"/>
    <w:rsid w:val="00F326E0"/>
    <w:rsid w:val="00F35889"/>
    <w:rsid w:val="00F415FE"/>
    <w:rsid w:val="00F446F5"/>
    <w:rsid w:val="00F5034B"/>
    <w:rsid w:val="00F50573"/>
    <w:rsid w:val="00F576AD"/>
    <w:rsid w:val="00F57F91"/>
    <w:rsid w:val="00F62E3F"/>
    <w:rsid w:val="00F71BA7"/>
    <w:rsid w:val="00F72BB7"/>
    <w:rsid w:val="00F75A84"/>
    <w:rsid w:val="00F87EA5"/>
    <w:rsid w:val="00F97AFB"/>
    <w:rsid w:val="00FA0DC7"/>
    <w:rsid w:val="00FA23CF"/>
    <w:rsid w:val="00FA318A"/>
    <w:rsid w:val="00FA605F"/>
    <w:rsid w:val="00FB47CA"/>
    <w:rsid w:val="00FC15F5"/>
    <w:rsid w:val="00FC1647"/>
    <w:rsid w:val="00FC4FC3"/>
    <w:rsid w:val="00FC676B"/>
    <w:rsid w:val="00FD1FB7"/>
    <w:rsid w:val="00FE3218"/>
    <w:rsid w:val="00FE34D3"/>
    <w:rsid w:val="00FE4E2B"/>
    <w:rsid w:val="00FF0473"/>
    <w:rsid w:val="00FF20CA"/>
    <w:rsid w:val="00FF6AB9"/>
    <w:rsid w:val="01131E91"/>
    <w:rsid w:val="011ECABD"/>
    <w:rsid w:val="02EBB9FF"/>
    <w:rsid w:val="02F9968D"/>
    <w:rsid w:val="0354F012"/>
    <w:rsid w:val="03E7FCAB"/>
    <w:rsid w:val="03EE252C"/>
    <w:rsid w:val="049686B7"/>
    <w:rsid w:val="04FFC427"/>
    <w:rsid w:val="0514C47B"/>
    <w:rsid w:val="075F5600"/>
    <w:rsid w:val="0854FAF2"/>
    <w:rsid w:val="08C29D7B"/>
    <w:rsid w:val="09FD68D7"/>
    <w:rsid w:val="0AD1D766"/>
    <w:rsid w:val="0B90434D"/>
    <w:rsid w:val="0DDECF0E"/>
    <w:rsid w:val="0E030F41"/>
    <w:rsid w:val="0E66A092"/>
    <w:rsid w:val="0F172F91"/>
    <w:rsid w:val="108C7975"/>
    <w:rsid w:val="10D6EBE1"/>
    <w:rsid w:val="10E5E679"/>
    <w:rsid w:val="12B3E498"/>
    <w:rsid w:val="12D8A098"/>
    <w:rsid w:val="133B4C7B"/>
    <w:rsid w:val="13EC6E07"/>
    <w:rsid w:val="15981096"/>
    <w:rsid w:val="160B4457"/>
    <w:rsid w:val="165C2D58"/>
    <w:rsid w:val="18C87E70"/>
    <w:rsid w:val="1919877C"/>
    <w:rsid w:val="1A21585A"/>
    <w:rsid w:val="1A420504"/>
    <w:rsid w:val="1AAA485A"/>
    <w:rsid w:val="1B0E300A"/>
    <w:rsid w:val="1B554B34"/>
    <w:rsid w:val="1B6C3CDB"/>
    <w:rsid w:val="1C3C34F9"/>
    <w:rsid w:val="1D0370DC"/>
    <w:rsid w:val="1DFD1ACA"/>
    <w:rsid w:val="1EE3DA43"/>
    <w:rsid w:val="1F1A0B6D"/>
    <w:rsid w:val="1F2A7C14"/>
    <w:rsid w:val="1FFED5A0"/>
    <w:rsid w:val="20068548"/>
    <w:rsid w:val="201AF6FD"/>
    <w:rsid w:val="20512625"/>
    <w:rsid w:val="224069B8"/>
    <w:rsid w:val="22ECA33B"/>
    <w:rsid w:val="24DC2BE8"/>
    <w:rsid w:val="253DF9CE"/>
    <w:rsid w:val="26500F22"/>
    <w:rsid w:val="27684110"/>
    <w:rsid w:val="27970808"/>
    <w:rsid w:val="2963348D"/>
    <w:rsid w:val="296400AE"/>
    <w:rsid w:val="2A171148"/>
    <w:rsid w:val="2A2ED328"/>
    <w:rsid w:val="2AAB1045"/>
    <w:rsid w:val="2B9B959C"/>
    <w:rsid w:val="2C17D478"/>
    <w:rsid w:val="2C23BD98"/>
    <w:rsid w:val="2CC938C8"/>
    <w:rsid w:val="2E47B4A6"/>
    <w:rsid w:val="2EDBE794"/>
    <w:rsid w:val="2FD09C94"/>
    <w:rsid w:val="30E60AA9"/>
    <w:rsid w:val="315F621E"/>
    <w:rsid w:val="316803A9"/>
    <w:rsid w:val="31C7034B"/>
    <w:rsid w:val="31FEB0DA"/>
    <w:rsid w:val="322E8CD1"/>
    <w:rsid w:val="3248482D"/>
    <w:rsid w:val="32A4CAAD"/>
    <w:rsid w:val="32D1AE70"/>
    <w:rsid w:val="33114762"/>
    <w:rsid w:val="33F6311F"/>
    <w:rsid w:val="343D72FE"/>
    <w:rsid w:val="346EF0D9"/>
    <w:rsid w:val="36709E5D"/>
    <w:rsid w:val="37B4A5CA"/>
    <w:rsid w:val="38B7CBD6"/>
    <w:rsid w:val="38DA7532"/>
    <w:rsid w:val="38E64FF9"/>
    <w:rsid w:val="39024493"/>
    <w:rsid w:val="3A487CA8"/>
    <w:rsid w:val="3A52F06C"/>
    <w:rsid w:val="3AA9CABD"/>
    <w:rsid w:val="3AF931D9"/>
    <w:rsid w:val="3BCBCFF1"/>
    <w:rsid w:val="3CB9AFED"/>
    <w:rsid w:val="3E335D52"/>
    <w:rsid w:val="3F3DC10D"/>
    <w:rsid w:val="3F7373A4"/>
    <w:rsid w:val="418AAFD8"/>
    <w:rsid w:val="4243EE35"/>
    <w:rsid w:val="42C52D68"/>
    <w:rsid w:val="437C67E3"/>
    <w:rsid w:val="44968A42"/>
    <w:rsid w:val="45E4DB38"/>
    <w:rsid w:val="479EBCD0"/>
    <w:rsid w:val="47A3D307"/>
    <w:rsid w:val="48385ECB"/>
    <w:rsid w:val="48A8984E"/>
    <w:rsid w:val="4A2DDAD2"/>
    <w:rsid w:val="4A97075C"/>
    <w:rsid w:val="4C2231A4"/>
    <w:rsid w:val="4D8AE51E"/>
    <w:rsid w:val="4E892ACD"/>
    <w:rsid w:val="4E8E64C4"/>
    <w:rsid w:val="4F848055"/>
    <w:rsid w:val="4FEB36B9"/>
    <w:rsid w:val="501E5E53"/>
    <w:rsid w:val="50E84398"/>
    <w:rsid w:val="51178159"/>
    <w:rsid w:val="516CF115"/>
    <w:rsid w:val="517054E3"/>
    <w:rsid w:val="525D62FB"/>
    <w:rsid w:val="52D57B74"/>
    <w:rsid w:val="53E9C2F1"/>
    <w:rsid w:val="54D379D8"/>
    <w:rsid w:val="54F5E32F"/>
    <w:rsid w:val="55317D04"/>
    <w:rsid w:val="5585EE57"/>
    <w:rsid w:val="55A7DA7E"/>
    <w:rsid w:val="55E40FE8"/>
    <w:rsid w:val="56AA7632"/>
    <w:rsid w:val="56AD38E6"/>
    <w:rsid w:val="57A39722"/>
    <w:rsid w:val="57B6A1EA"/>
    <w:rsid w:val="57DFCADE"/>
    <w:rsid w:val="586132FA"/>
    <w:rsid w:val="5864138A"/>
    <w:rsid w:val="58BF6B50"/>
    <w:rsid w:val="58CBB891"/>
    <w:rsid w:val="5953F714"/>
    <w:rsid w:val="5B61F450"/>
    <w:rsid w:val="5BBF2A4F"/>
    <w:rsid w:val="5BEE2A0A"/>
    <w:rsid w:val="5C0879A1"/>
    <w:rsid w:val="5C141E57"/>
    <w:rsid w:val="5CADAB7E"/>
    <w:rsid w:val="5CD12E90"/>
    <w:rsid w:val="5DBEDDD6"/>
    <w:rsid w:val="5E4BC4CD"/>
    <w:rsid w:val="60C5AAC9"/>
    <w:rsid w:val="61175793"/>
    <w:rsid w:val="611C5421"/>
    <w:rsid w:val="6135BEA3"/>
    <w:rsid w:val="61AF0C44"/>
    <w:rsid w:val="627879F4"/>
    <w:rsid w:val="62DEE698"/>
    <w:rsid w:val="6304C676"/>
    <w:rsid w:val="64B5D547"/>
    <w:rsid w:val="64CEC689"/>
    <w:rsid w:val="68680B0F"/>
    <w:rsid w:val="6A5A8808"/>
    <w:rsid w:val="6B368EF7"/>
    <w:rsid w:val="6B71811E"/>
    <w:rsid w:val="6B829081"/>
    <w:rsid w:val="6B94E277"/>
    <w:rsid w:val="6E2B1045"/>
    <w:rsid w:val="6F39B97B"/>
    <w:rsid w:val="6F9414C3"/>
    <w:rsid w:val="6FE35FA9"/>
    <w:rsid w:val="6FEB6DF2"/>
    <w:rsid w:val="70382C8C"/>
    <w:rsid w:val="709E6A39"/>
    <w:rsid w:val="70AB788E"/>
    <w:rsid w:val="71927D99"/>
    <w:rsid w:val="7367BFE7"/>
    <w:rsid w:val="73B353AE"/>
    <w:rsid w:val="74BB5086"/>
    <w:rsid w:val="751EDE16"/>
    <w:rsid w:val="75B347D9"/>
    <w:rsid w:val="772900E8"/>
    <w:rsid w:val="7741734F"/>
    <w:rsid w:val="7794AFD6"/>
    <w:rsid w:val="786F3441"/>
    <w:rsid w:val="7912BBD6"/>
    <w:rsid w:val="798FEA1E"/>
    <w:rsid w:val="7AD5CFAE"/>
    <w:rsid w:val="7BC19B8F"/>
    <w:rsid w:val="7FFC2D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3892B"/>
  <w15:docId w15:val="{4E54AB12-2831-4629-B550-D5D215EB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7A5E"/>
  </w:style>
  <w:style w:type="paragraph" w:styleId="Heading1">
    <w:name w:val="heading 1"/>
    <w:basedOn w:val="Normal"/>
    <w:next w:val="Normal"/>
    <w:link w:val="Heading1Char"/>
    <w:uiPriority w:val="9"/>
    <w:qFormat/>
    <w:rsid w:val="003B4D69"/>
    <w:pPr>
      <w:keepNext/>
      <w:keepLines/>
      <w:pageBreakBefore/>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6"/>
      </w:numPr>
      <w:spacing w:before="120"/>
    </w:pPr>
  </w:style>
  <w:style w:type="character" w:customStyle="1" w:styleId="Heading1Char">
    <w:name w:val="Heading 1 Char"/>
    <w:basedOn w:val="DefaultParagraphFont"/>
    <w:link w:val="Heading1"/>
    <w:uiPriority w:val="9"/>
    <w:rsid w:val="003B4D69"/>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rsid w:val="00037687"/>
    <w:rPr>
      <w:color w:val="22508C" w:themeColor="text1" w:themeTint="D9"/>
    </w:rPr>
  </w:style>
  <w:style w:type="paragraph" w:styleId="Footer">
    <w:name w:val="footer"/>
    <w:basedOn w:val="Normal"/>
    <w:link w:val="FooterChar"/>
    <w:uiPriority w:val="99"/>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uiPriority w:val="99"/>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B072E4"/>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715D3C"/>
    <w:pPr>
      <w:spacing w:before="60" w:after="60" w:line="240" w:lineRule="auto"/>
      <w:jc w:val="center"/>
    </w:pPr>
    <w:tblPr>
      <w:tblStyleRowBandSize w:val="1"/>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9"/>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paragraph" w:customStyle="1" w:styleId="Text">
    <w:name w:val="Text"/>
    <w:basedOn w:val="Normal"/>
    <w:uiPriority w:val="99"/>
    <w:rsid w:val="00CD74EC"/>
    <w:pPr>
      <w:suppressAutoHyphens/>
      <w:autoSpaceDE w:val="0"/>
      <w:autoSpaceDN w:val="0"/>
      <w:adjustRightInd w:val="0"/>
      <w:spacing w:before="200" w:after="113" w:line="340" w:lineRule="atLeast"/>
    </w:pPr>
    <w:rPr>
      <w:rFonts w:ascii="Calibri" w:eastAsia="Times New Roman" w:hAnsi="Calibri" w:cs="Calibri"/>
      <w:color w:val="000000"/>
      <w:szCs w:val="24"/>
      <w:lang w:val="en-US" w:eastAsia="en-AU"/>
    </w:rPr>
  </w:style>
  <w:style w:type="paragraph" w:styleId="NormalWeb">
    <w:name w:val="Normal (Web)"/>
    <w:basedOn w:val="Normal"/>
    <w:uiPriority w:val="99"/>
    <w:semiHidden/>
    <w:unhideWhenUsed/>
    <w:rsid w:val="00E527A1"/>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30652D"/>
    <w:pPr>
      <w:spacing w:before="0" w:line="240" w:lineRule="auto"/>
    </w:pPr>
  </w:style>
  <w:style w:type="paragraph" w:styleId="CommentSubject">
    <w:name w:val="annotation subject"/>
    <w:basedOn w:val="CommentText"/>
    <w:next w:val="CommentText"/>
    <w:link w:val="CommentSubjectChar"/>
    <w:uiPriority w:val="99"/>
    <w:semiHidden/>
    <w:unhideWhenUsed/>
    <w:rsid w:val="00D52F9C"/>
    <w:rPr>
      <w:b/>
      <w:bCs/>
    </w:rPr>
  </w:style>
  <w:style w:type="character" w:customStyle="1" w:styleId="CommentSubjectChar">
    <w:name w:val="Comment Subject Char"/>
    <w:basedOn w:val="CommentTextChar"/>
    <w:link w:val="CommentSubject"/>
    <w:uiPriority w:val="99"/>
    <w:semiHidden/>
    <w:rsid w:val="00D52F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887798">
      <w:bodyDiv w:val="1"/>
      <w:marLeft w:val="0"/>
      <w:marRight w:val="0"/>
      <w:marTop w:val="0"/>
      <w:marBottom w:val="0"/>
      <w:divBdr>
        <w:top w:val="none" w:sz="0" w:space="0" w:color="auto"/>
        <w:left w:val="none" w:sz="0" w:space="0" w:color="auto"/>
        <w:bottom w:val="none" w:sz="0" w:space="0" w:color="auto"/>
        <w:right w:val="none" w:sz="0" w:space="0" w:color="auto"/>
      </w:divBdr>
    </w:div>
    <w:div w:id="204304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arpansa.gov.au/regulation-and-licensing/regulation/independence/commitment-to-good-regulatory-practice/evidence-metrics" TargetMode="External"/><Relationship Id="rId26" Type="http://schemas.openxmlformats.org/officeDocument/2006/relationships/hyperlink" Target="https://www.arpansa.gov.au/regulation-and-licensing/licensing/information-for-licence-holders/regulatory-guides" TargetMode="External"/><Relationship Id="rId39" Type="http://schemas.openxmlformats.org/officeDocument/2006/relationships/hyperlink" Target="https://www.arpansa.gov.au/regulation-and-licensing/licensing/information-for-licence-holders/inspections/inspection-outcomes" TargetMode="External"/><Relationship Id="rId21" Type="http://schemas.openxmlformats.org/officeDocument/2006/relationships/hyperlink" Target="https://www.oecd-nea.org/nsd/pubs/2016/7247-scrb2016.pdf" TargetMode="External"/><Relationship Id="rId34" Type="http://schemas.openxmlformats.org/officeDocument/2006/relationships/hyperlink" Target="https://www.arpansa.gov.au/regulation-and-licensing/licensing/information-for-licence-holders/regulatory-guides" TargetMode="External"/><Relationship Id="rId42" Type="http://schemas.openxmlformats.org/officeDocument/2006/relationships/hyperlink" Target="https://www.arpansa.gov.au/regulation-and-licensing/licensing/information-for-licence-holders/regulatory-guides" TargetMode="External"/><Relationship Id="rId47" Type="http://schemas.openxmlformats.org/officeDocument/2006/relationships/hyperlink" Target="https://www.arpansa.gov.au/news/ceo-arpansa-restricts-production-ansto-nuclear-medicine-facility-after-accident" TargetMode="External"/><Relationship Id="rId50" Type="http://schemas.openxmlformats.org/officeDocument/2006/relationships/footer" Target="footer4.xml"/><Relationship Id="rId55" Type="http://schemas.openxmlformats.org/officeDocument/2006/relationships/hyperlink" Target="https://icac.sa.gov.au/evaluation/safework-sa"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rpansa.gov.au/regulation-and-licensing/safety-security-transport/australian-radiation-incidents-register" TargetMode="External"/><Relationship Id="rId25" Type="http://schemas.openxmlformats.org/officeDocument/2006/relationships/hyperlink" Target="https://www.arpansa.gov.au/regulation-and-licensing/licensing/information-for-licence-holders/inspections/performance-objectives-and-criteria" TargetMode="External"/><Relationship Id="rId33" Type="http://schemas.openxmlformats.org/officeDocument/2006/relationships/hyperlink" Target="https://www.arpansa.gov.au/regulation-and-licensing/regulatory-publications/radiation-protection-series/fundamentals/rpsf-1" TargetMode="External"/><Relationship Id="rId38" Type="http://schemas.openxmlformats.org/officeDocument/2006/relationships/hyperlink" Target="https://www.arpansa.gov.au/regulation-and-licensing/licensing/information-for-licence-holders/inspections/inspection-outcomes" TargetMode="External"/><Relationship Id="rId46" Type="http://schemas.openxmlformats.org/officeDocument/2006/relationships/hyperlink" Target="https://www.arpansa.gov.au/news/arpansa-authorises-ansto-commence-routine-production-molybdenum-99-anm-facility" TargetMode="External"/><Relationship Id="Ra586d929466a4d8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arpansa.gov.au/about-us/corporate-publications/annual-reports" TargetMode="External"/><Relationship Id="rId29" Type="http://schemas.openxmlformats.org/officeDocument/2006/relationships/hyperlink" Target="https://www.arpansa.gov.au/regulation-and-licensing/regulation/about-regulatory-services/who-we-regulate/major-facilities" TargetMode="External"/><Relationship Id="rId41" Type="http://schemas.openxmlformats.org/officeDocument/2006/relationships/hyperlink" Target="https://www.arpansa.gov.au/regulation-and-licensing/safety-security-transport/holistic-safety/learn-about-holistic-safety" TargetMode="External"/><Relationship Id="rId54" Type="http://schemas.openxmlformats.org/officeDocument/2006/relationships/hyperlink" Target="https://financialservices.royalcommission.gov.au/Pages/reports.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rpansa.gov.au/regulation-and-licensing/regulation/about-regulatory-services/safety-culture-assessments" TargetMode="External"/><Relationship Id="rId32" Type="http://schemas.openxmlformats.org/officeDocument/2006/relationships/hyperlink" Target="https://www.arpansa.gov.au/regulation-and-licensing/licensing/information-for-licence-holders/regulatory-forms" TargetMode="External"/><Relationship Id="rId37" Type="http://schemas.openxmlformats.org/officeDocument/2006/relationships/hyperlink" Target="https://www.arpansa.gov.au/regulation-and-licensing/licensing/information-for-licence-holders/licence-holder-forum" TargetMode="External"/><Relationship Id="rId40" Type="http://schemas.openxmlformats.org/officeDocument/2006/relationships/hyperlink" Target="https://www.arpansa.gov.au/regulation-and-licensing/regulation/international-best-practice" TargetMode="External"/><Relationship Id="rId45" Type="http://schemas.openxmlformats.org/officeDocument/2006/relationships/hyperlink" Target="https://www.arpansa.gov.au/news/arpansa-authorises-limited-production-molybdenum-99-anm-facility" TargetMode="External"/><Relationship Id="rId53" Type="http://schemas.openxmlformats.org/officeDocument/2006/relationships/hyperlink" Target="https://www.arpansa.gov.au/regulation-and-licensing/regulation/regulatory-integrity/policy-arpansas-regulatory-activities" TargetMode="Externa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rpansa.gov.au/regulation-and-licensing/regulation/independence/independent-review-of-regulatory-activities/integrated-regulatory-review-service" TargetMode="External"/><Relationship Id="rId28" Type="http://schemas.openxmlformats.org/officeDocument/2006/relationships/hyperlink" Target="https://www.arpansa.gov.au/regulation-and-licensing/licensing/information-for-licence-holders/inspections/inspection-reports" TargetMode="External"/><Relationship Id="rId36" Type="http://schemas.openxmlformats.org/officeDocument/2006/relationships/hyperlink" Target="https://www.arpansa.gov.au/regulation-and-licensing/licensing/information-licence-holders/csiro-arpansa-liaison-forum" TargetMode="External"/><Relationship Id="rId49" Type="http://schemas.openxmlformats.org/officeDocument/2006/relationships/hyperlink" Target="https://www.arpansa.gov.au/regulation-and-licensing/regulation/about-regulatory-services/safety-culture-assessments" TargetMode="Externa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rpansa.gov.au/about-us/corporate-publications/corporate-plan" TargetMode="External"/><Relationship Id="rId31" Type="http://schemas.openxmlformats.org/officeDocument/2006/relationships/hyperlink" Target="https://www.arpansa.gov.au/regulation-and-licensing/licensing/information-for-licence-holders/regulatory-guides" TargetMode="External"/><Relationship Id="rId44" Type="http://schemas.openxmlformats.org/officeDocument/2006/relationships/hyperlink" Target="https://www.arpansa.gov.au/regulation-and-licensing/licensing/information-for-licence-holders/inspections/inspection-reports" TargetMode="External"/><Relationship Id="rId52" Type="http://schemas.openxmlformats.org/officeDocument/2006/relationships/hyperlink" Target="https://www.arpansa.gov.au/news/arpansa-receives-report-independent-review-team-ansto-approach-safet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arpansa.gov.au/nsc" TargetMode="External"/><Relationship Id="rId27" Type="http://schemas.openxmlformats.org/officeDocument/2006/relationships/hyperlink" Target="https://www.arpansa.gov.au/regulation-and-licensing/licensing/information-for-licence-holders/regulatory-guides" TargetMode="External"/><Relationship Id="rId30" Type="http://schemas.openxmlformats.org/officeDocument/2006/relationships/hyperlink" Target="https://www.arpansa.gov.au/regulation-and-licensing/licensing/information-for-licence-holders/inspections/inspection-outcomes" TargetMode="External"/><Relationship Id="rId35" Type="http://schemas.openxmlformats.org/officeDocument/2006/relationships/hyperlink" Target="https://www.arpansa.gov.au/sites/default/files/regulatory_guide_-_decommissioning_of_controlled_facilities.pdf" TargetMode="External"/><Relationship Id="rId43" Type="http://schemas.openxmlformats.org/officeDocument/2006/relationships/hyperlink" Target="https://financialservices.royalcommission.gov.au/Pages/reports.aspx" TargetMode="External"/><Relationship Id="rId48" Type="http://schemas.openxmlformats.org/officeDocument/2006/relationships/hyperlink" Target="https://www.arpansa.gov.au/regulation-and-licensing/regulation/independence/independent-review-of-regulatory-activities/integrated-regulatory-review-service" TargetMode="External"/><Relationship Id="rId56" Type="http://schemas.openxmlformats.org/officeDocument/2006/relationships/footer" Target="footer5.xml"/><Relationship Id="rId8" Type="http://schemas.openxmlformats.org/officeDocument/2006/relationships/settings" Target="settings.xml"/><Relationship Id="rId51" Type="http://schemas.openxmlformats.org/officeDocument/2006/relationships/hyperlink" Target="https://www.arpansa.gov.au/about-us/corporate-publications/regulator-performance-framework"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docs.jobs.gov.au/documents/regulator-performance-framework" TargetMode="External"/><Relationship Id="rId2" Type="http://schemas.openxmlformats.org/officeDocument/2006/relationships/hyperlink" Target="https://www.arpansa.gov.au/regulation-and-licensing/regulation/about-regulatory-services/why-we-regulate/arpans-legislation" TargetMode="External"/><Relationship Id="rId1" Type="http://schemas.openxmlformats.org/officeDocument/2006/relationships/hyperlink" Target="https://www.arpansa.gov.au/regulation-and-licensing/regulation/about-regulatory-services/why-we-regulate/arpans-legislation" TargetMode="External"/></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11" ma:contentTypeDescription="Create a new document." ma:contentTypeScope="" ma:versionID="3b57a7d55338f9a7a9f7a8b0078c6b0e">
  <xsd:schema xmlns:xsd="http://www.w3.org/2001/XMLSchema" xmlns:xs="http://www.w3.org/2001/XMLSchema" xmlns:p="http://schemas.microsoft.com/office/2006/metadata/properties" xmlns:ns3="16b66797-d361-45c1-aa90-bc5e3fc2723c" xmlns:ns4="96871ce3-3694-452a-a3bd-fd8f437a6f33" targetNamespace="http://schemas.microsoft.com/office/2006/metadata/properties" ma:root="true" ma:fieldsID="3fd12f84c4e7d66043c05a2707452342" ns3:_="" ns4:_="">
    <xsd:import namespace="16b66797-d361-45c1-aa90-bc5e3fc2723c"/>
    <xsd:import namespace="96871ce3-3694-452a-a3bd-fd8f437a6f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871ce3-3694-452a-a3bd-fd8f437a6f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00F06BC5A336F043A2C4FDBDF5779908" ma:contentTypeVersion="0" ma:contentTypeDescription="Create a new document." ma:contentTypeScope="" ma:versionID="becbbdffc766fcedc0d5c5bee51a8d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A6A41601-5223-4E97-B5C7-636E44233A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BF24E2-60BD-497B-B5C8-37AE22460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96871ce3-3694-452a-a3bd-fd8f437a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B8BC5C-59E5-4925-B578-8C0FD29C1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EDF5F52-4E0D-4368-BFEC-0E4D7082C3BB}">
  <ds:schemaRefs>
    <ds:schemaRef ds:uri="http://schemas.microsoft.com/sharepoint/v3/contenttype/forms"/>
  </ds:schemaRefs>
</ds:datastoreItem>
</file>

<file path=customXml/itemProps5.xml><?xml version="1.0" encoding="utf-8"?>
<ds:datastoreItem xmlns:ds="http://schemas.openxmlformats.org/officeDocument/2006/customXml" ds:itemID="{FE13E4FB-A732-40EF-9C88-EED0A40E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12265</Words>
  <Characters>69914</Characters>
  <Application>Microsoft Office Word</Application>
  <DocSecurity>0</DocSecurity>
  <Lines>582</Lines>
  <Paragraphs>164</Paragraphs>
  <ScaleCrop>false</ScaleCrop>
  <HeadingPairs>
    <vt:vector size="2" baseType="variant">
      <vt:variant>
        <vt:lpstr>Title</vt:lpstr>
      </vt:variant>
      <vt:variant>
        <vt:i4>1</vt:i4>
      </vt:variant>
    </vt:vector>
  </HeadingPairs>
  <TitlesOfParts>
    <vt:vector size="1" baseType="lpstr">
      <vt:lpstr>Regulatory Performance Framework Self-Assesment</vt:lpstr>
    </vt:vector>
  </TitlesOfParts>
  <Company>ARPANSA</Company>
  <LinksUpToDate>false</LinksUpToDate>
  <CharactersWithSpaces>82015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Performance Framework Self-Assesment</dc:title>
  <dc:creator>Christopher Nickel</dc:creator>
  <cp:keywords>RPF, ARPANSA</cp:keywords>
  <cp:lastModifiedBy>Thomas Sammut</cp:lastModifiedBy>
  <cp:revision>2</cp:revision>
  <dcterms:created xsi:type="dcterms:W3CDTF">2019-12-22T23:43:00Z</dcterms:created>
  <dcterms:modified xsi:type="dcterms:W3CDTF">2019-12-22T23:43:00Z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