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C1203" w14:textId="414904E3" w:rsidR="00E64FB6" w:rsidRDefault="00E8572F" w:rsidP="003B4D69">
      <w:pPr>
        <w:jc w:val="center"/>
        <w:rPr>
          <w:b/>
        </w:rPr>
      </w:pPr>
      <w:r>
        <w:rPr>
          <w:b/>
          <w:noProof/>
          <w:lang w:eastAsia="en-AU"/>
        </w:rPr>
        <w:drawing>
          <wp:anchor distT="0" distB="0" distL="114300" distR="114300" simplePos="0" relativeHeight="251658240" behindDoc="1" locked="0" layoutInCell="1" allowOverlap="1" wp14:anchorId="27F2289D" wp14:editId="404F8F58">
            <wp:simplePos x="0" y="0"/>
            <wp:positionH relativeFrom="column">
              <wp:posOffset>-648832</wp:posOffset>
            </wp:positionH>
            <wp:positionV relativeFrom="paragraph">
              <wp:posOffset>-783756</wp:posOffset>
            </wp:positionV>
            <wp:extent cx="7560945" cy="1069149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945"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5B6AC" w14:textId="7FF05064" w:rsidR="00CE449D" w:rsidRDefault="00CE449D" w:rsidP="00CE449D">
      <w:bookmarkStart w:id="0" w:name="_Toc471308202"/>
    </w:p>
    <w:p w14:paraId="0256C550" w14:textId="77777777" w:rsidR="003B4D69" w:rsidRDefault="003B4D69" w:rsidP="003B4D69">
      <w:pPr>
        <w:pStyle w:val="Subtitle"/>
        <w:sectPr w:rsidR="003B4D69" w:rsidSect="00561938">
          <w:headerReference w:type="even" r:id="rId12"/>
          <w:headerReference w:type="default" r:id="rId13"/>
          <w:footerReference w:type="even" r:id="rId14"/>
          <w:footerReference w:type="default" r:id="rId15"/>
          <w:headerReference w:type="first" r:id="rId16"/>
          <w:footerReference w:type="first" r:id="rId17"/>
          <w:pgSz w:w="11906" w:h="16838"/>
          <w:pgMar w:top="1021" w:right="1021" w:bottom="1021" w:left="1021" w:header="709" w:footer="709" w:gutter="0"/>
          <w:cols w:space="708"/>
          <w:titlePg/>
          <w:docGrid w:linePitch="360"/>
        </w:sectPr>
      </w:pPr>
    </w:p>
    <w:p w14:paraId="55DC479B" w14:textId="77777777" w:rsidR="00561938" w:rsidRPr="004219C4" w:rsidRDefault="00561938" w:rsidP="00E007C3">
      <w:pPr>
        <w:spacing w:before="0"/>
        <w:rPr>
          <w:b/>
          <w:color w:val="4E1A74" w:themeColor="text2"/>
          <w:sz w:val="32"/>
        </w:rPr>
      </w:pPr>
      <w:bookmarkStart w:id="1" w:name="_Toc536807656"/>
      <w:bookmarkStart w:id="2" w:name="_Toc12883985"/>
      <w:r w:rsidRPr="004219C4">
        <w:rPr>
          <w:b/>
          <w:color w:val="4E1A74" w:themeColor="text2"/>
          <w:sz w:val="32"/>
        </w:rPr>
        <w:t>C</w:t>
      </w:r>
      <w:r>
        <w:rPr>
          <w:b/>
          <w:color w:val="4E1A74" w:themeColor="text2"/>
          <w:sz w:val="32"/>
        </w:rPr>
        <w:t>ontents</w:t>
      </w:r>
    </w:p>
    <w:p w14:paraId="6A94219C" w14:textId="01F0DE55" w:rsidR="00D403C5" w:rsidRDefault="00926189">
      <w:pPr>
        <w:pStyle w:val="TOC1"/>
        <w:rPr>
          <w:rFonts w:eastAsiaTheme="minorEastAsia"/>
          <w:b w:val="0"/>
          <w:noProof/>
          <w:color w:val="auto"/>
          <w:lang w:eastAsia="en-AU"/>
        </w:rPr>
      </w:pPr>
      <w:r>
        <w:rPr>
          <w:bCs/>
          <w:color w:val="2B579A"/>
          <w:shd w:val="clear" w:color="auto" w:fill="E6E6E6"/>
        </w:rPr>
        <w:fldChar w:fldCharType="begin"/>
      </w:r>
      <w:r>
        <w:rPr>
          <w:bCs/>
        </w:rPr>
        <w:instrText xml:space="preserve"> TOC \o "1-2" \h \z \u </w:instrText>
      </w:r>
      <w:r>
        <w:rPr>
          <w:bCs/>
          <w:color w:val="2B579A"/>
          <w:shd w:val="clear" w:color="auto" w:fill="E6E6E6"/>
        </w:rPr>
        <w:fldChar w:fldCharType="separate"/>
      </w:r>
      <w:hyperlink w:anchor="_Toc58918567" w:history="1">
        <w:r w:rsidR="00D403C5" w:rsidRPr="000C5253">
          <w:rPr>
            <w:rStyle w:val="Hyperlink"/>
            <w:noProof/>
          </w:rPr>
          <w:t>Executive summary</w:t>
        </w:r>
        <w:r w:rsidR="00D403C5">
          <w:rPr>
            <w:noProof/>
            <w:webHidden/>
          </w:rPr>
          <w:tab/>
        </w:r>
        <w:r w:rsidR="00D403C5">
          <w:rPr>
            <w:noProof/>
            <w:webHidden/>
          </w:rPr>
          <w:fldChar w:fldCharType="begin"/>
        </w:r>
        <w:r w:rsidR="00D403C5">
          <w:rPr>
            <w:noProof/>
            <w:webHidden/>
          </w:rPr>
          <w:instrText xml:space="preserve"> PAGEREF _Toc58918567 \h </w:instrText>
        </w:r>
        <w:r w:rsidR="00D403C5">
          <w:rPr>
            <w:noProof/>
            <w:webHidden/>
          </w:rPr>
        </w:r>
        <w:r w:rsidR="00D403C5">
          <w:rPr>
            <w:noProof/>
            <w:webHidden/>
          </w:rPr>
          <w:fldChar w:fldCharType="separate"/>
        </w:r>
        <w:r w:rsidR="00E77C31">
          <w:rPr>
            <w:noProof/>
            <w:webHidden/>
          </w:rPr>
          <w:t>1</w:t>
        </w:r>
        <w:r w:rsidR="00D403C5">
          <w:rPr>
            <w:noProof/>
            <w:webHidden/>
          </w:rPr>
          <w:fldChar w:fldCharType="end"/>
        </w:r>
      </w:hyperlink>
    </w:p>
    <w:p w14:paraId="0269748A" w14:textId="3C71F2EC" w:rsidR="00D403C5" w:rsidRDefault="00E8572F">
      <w:pPr>
        <w:pStyle w:val="TOC1"/>
        <w:rPr>
          <w:rFonts w:eastAsiaTheme="minorEastAsia"/>
          <w:b w:val="0"/>
          <w:noProof/>
          <w:color w:val="auto"/>
          <w:lang w:eastAsia="en-AU"/>
        </w:rPr>
      </w:pPr>
      <w:hyperlink w:anchor="_Toc58918569" w:history="1">
        <w:r w:rsidR="00D403C5" w:rsidRPr="000C5253">
          <w:rPr>
            <w:rStyle w:val="Hyperlink"/>
            <w:noProof/>
          </w:rPr>
          <w:t>Introduction</w:t>
        </w:r>
        <w:r w:rsidR="00D403C5">
          <w:rPr>
            <w:noProof/>
            <w:webHidden/>
          </w:rPr>
          <w:tab/>
        </w:r>
        <w:r w:rsidR="00D403C5">
          <w:rPr>
            <w:noProof/>
            <w:webHidden/>
          </w:rPr>
          <w:fldChar w:fldCharType="begin"/>
        </w:r>
        <w:r w:rsidR="00D403C5">
          <w:rPr>
            <w:noProof/>
            <w:webHidden/>
          </w:rPr>
          <w:instrText xml:space="preserve"> PAGEREF _Toc58918569 \h </w:instrText>
        </w:r>
        <w:r w:rsidR="00D403C5">
          <w:rPr>
            <w:noProof/>
            <w:webHidden/>
          </w:rPr>
        </w:r>
        <w:r w:rsidR="00D403C5">
          <w:rPr>
            <w:noProof/>
            <w:webHidden/>
          </w:rPr>
          <w:fldChar w:fldCharType="separate"/>
        </w:r>
        <w:r w:rsidR="00E77C31">
          <w:rPr>
            <w:noProof/>
            <w:webHidden/>
          </w:rPr>
          <w:t>2</w:t>
        </w:r>
        <w:r w:rsidR="00D403C5">
          <w:rPr>
            <w:noProof/>
            <w:webHidden/>
          </w:rPr>
          <w:fldChar w:fldCharType="end"/>
        </w:r>
      </w:hyperlink>
    </w:p>
    <w:p w14:paraId="22A88469" w14:textId="1D0A2375" w:rsidR="00D403C5" w:rsidRDefault="00E8572F">
      <w:pPr>
        <w:pStyle w:val="TOC2"/>
        <w:rPr>
          <w:rFonts w:eastAsiaTheme="minorEastAsia"/>
          <w:color w:val="auto"/>
          <w:lang w:eastAsia="en-AU"/>
        </w:rPr>
      </w:pPr>
      <w:hyperlink w:anchor="_Toc58918570" w:history="1">
        <w:r w:rsidR="00D403C5" w:rsidRPr="000C5253">
          <w:rPr>
            <w:rStyle w:val="Hyperlink"/>
          </w:rPr>
          <w:t>About the agency</w:t>
        </w:r>
        <w:r w:rsidR="00D403C5">
          <w:rPr>
            <w:webHidden/>
          </w:rPr>
          <w:tab/>
        </w:r>
        <w:r w:rsidR="00D403C5">
          <w:rPr>
            <w:webHidden/>
          </w:rPr>
          <w:fldChar w:fldCharType="begin"/>
        </w:r>
        <w:r w:rsidR="00D403C5">
          <w:rPr>
            <w:webHidden/>
          </w:rPr>
          <w:instrText xml:space="preserve"> PAGEREF _Toc58918570 \h </w:instrText>
        </w:r>
        <w:r w:rsidR="00D403C5">
          <w:rPr>
            <w:webHidden/>
          </w:rPr>
        </w:r>
        <w:r w:rsidR="00D403C5">
          <w:rPr>
            <w:webHidden/>
          </w:rPr>
          <w:fldChar w:fldCharType="separate"/>
        </w:r>
        <w:r w:rsidR="00E77C31">
          <w:rPr>
            <w:webHidden/>
          </w:rPr>
          <w:t>2</w:t>
        </w:r>
        <w:r w:rsidR="00D403C5">
          <w:rPr>
            <w:webHidden/>
          </w:rPr>
          <w:fldChar w:fldCharType="end"/>
        </w:r>
      </w:hyperlink>
    </w:p>
    <w:p w14:paraId="35EC856B" w14:textId="4DFE3DB0" w:rsidR="00D403C5" w:rsidRDefault="00E8572F">
      <w:pPr>
        <w:pStyle w:val="TOC2"/>
        <w:rPr>
          <w:rFonts w:eastAsiaTheme="minorEastAsia"/>
          <w:color w:val="auto"/>
          <w:lang w:eastAsia="en-AU"/>
        </w:rPr>
      </w:pPr>
      <w:hyperlink w:anchor="_Toc58918571" w:history="1">
        <w:r w:rsidR="00D403C5" w:rsidRPr="000C5253">
          <w:rPr>
            <w:rStyle w:val="Hyperlink"/>
          </w:rPr>
          <w:t>Performance Framework</w:t>
        </w:r>
        <w:r w:rsidR="00D403C5">
          <w:rPr>
            <w:webHidden/>
          </w:rPr>
          <w:tab/>
        </w:r>
        <w:r w:rsidR="00D403C5">
          <w:rPr>
            <w:webHidden/>
          </w:rPr>
          <w:fldChar w:fldCharType="begin"/>
        </w:r>
        <w:r w:rsidR="00D403C5">
          <w:rPr>
            <w:webHidden/>
          </w:rPr>
          <w:instrText xml:space="preserve"> PAGEREF _Toc58918571 \h </w:instrText>
        </w:r>
        <w:r w:rsidR="00D403C5">
          <w:rPr>
            <w:webHidden/>
          </w:rPr>
        </w:r>
        <w:r w:rsidR="00D403C5">
          <w:rPr>
            <w:webHidden/>
          </w:rPr>
          <w:fldChar w:fldCharType="separate"/>
        </w:r>
        <w:r w:rsidR="00E77C31">
          <w:rPr>
            <w:webHidden/>
          </w:rPr>
          <w:t>2</w:t>
        </w:r>
        <w:r w:rsidR="00D403C5">
          <w:rPr>
            <w:webHidden/>
          </w:rPr>
          <w:fldChar w:fldCharType="end"/>
        </w:r>
      </w:hyperlink>
    </w:p>
    <w:p w14:paraId="4DC7191C" w14:textId="0E9226BE" w:rsidR="00D403C5" w:rsidRDefault="00E8572F">
      <w:pPr>
        <w:pStyle w:val="TOC2"/>
        <w:rPr>
          <w:rFonts w:eastAsiaTheme="minorEastAsia"/>
          <w:color w:val="auto"/>
          <w:lang w:eastAsia="en-AU"/>
        </w:rPr>
      </w:pPr>
      <w:hyperlink w:anchor="_Toc58918572" w:history="1">
        <w:r w:rsidR="00D403C5" w:rsidRPr="000C5253">
          <w:rPr>
            <w:rStyle w:val="Hyperlink"/>
            <w:shd w:val="clear" w:color="auto" w:fill="FFFFFF"/>
          </w:rPr>
          <w:t>Assessment team and methodology</w:t>
        </w:r>
        <w:r w:rsidR="00D403C5">
          <w:rPr>
            <w:webHidden/>
          </w:rPr>
          <w:tab/>
        </w:r>
        <w:r w:rsidR="00D403C5">
          <w:rPr>
            <w:webHidden/>
          </w:rPr>
          <w:fldChar w:fldCharType="begin"/>
        </w:r>
        <w:r w:rsidR="00D403C5">
          <w:rPr>
            <w:webHidden/>
          </w:rPr>
          <w:instrText xml:space="preserve"> PAGEREF _Toc58918572 \h </w:instrText>
        </w:r>
        <w:r w:rsidR="00D403C5">
          <w:rPr>
            <w:webHidden/>
          </w:rPr>
        </w:r>
        <w:r w:rsidR="00D403C5">
          <w:rPr>
            <w:webHidden/>
          </w:rPr>
          <w:fldChar w:fldCharType="separate"/>
        </w:r>
        <w:r w:rsidR="00E77C31">
          <w:rPr>
            <w:webHidden/>
          </w:rPr>
          <w:t>3</w:t>
        </w:r>
        <w:r w:rsidR="00D403C5">
          <w:rPr>
            <w:webHidden/>
          </w:rPr>
          <w:fldChar w:fldCharType="end"/>
        </w:r>
      </w:hyperlink>
    </w:p>
    <w:p w14:paraId="6A1B2CB3" w14:textId="7F08D174" w:rsidR="00D403C5" w:rsidRDefault="00E8572F">
      <w:pPr>
        <w:pStyle w:val="TOC2"/>
        <w:rPr>
          <w:rFonts w:eastAsiaTheme="minorEastAsia"/>
          <w:color w:val="auto"/>
          <w:lang w:eastAsia="en-AU"/>
        </w:rPr>
      </w:pPr>
      <w:hyperlink w:anchor="_Toc58918573" w:history="1">
        <w:r w:rsidR="00D403C5" w:rsidRPr="000C5253">
          <w:rPr>
            <w:rStyle w:val="Hyperlink"/>
          </w:rPr>
          <w:t>External validation</w:t>
        </w:r>
        <w:r w:rsidR="00D403C5">
          <w:rPr>
            <w:webHidden/>
          </w:rPr>
          <w:tab/>
        </w:r>
        <w:r w:rsidR="00D403C5">
          <w:rPr>
            <w:webHidden/>
          </w:rPr>
          <w:fldChar w:fldCharType="begin"/>
        </w:r>
        <w:r w:rsidR="00D403C5">
          <w:rPr>
            <w:webHidden/>
          </w:rPr>
          <w:instrText xml:space="preserve"> PAGEREF _Toc58918573 \h </w:instrText>
        </w:r>
        <w:r w:rsidR="00D403C5">
          <w:rPr>
            <w:webHidden/>
          </w:rPr>
        </w:r>
        <w:r w:rsidR="00D403C5">
          <w:rPr>
            <w:webHidden/>
          </w:rPr>
          <w:fldChar w:fldCharType="separate"/>
        </w:r>
        <w:r w:rsidR="00E77C31">
          <w:rPr>
            <w:webHidden/>
          </w:rPr>
          <w:t>4</w:t>
        </w:r>
        <w:r w:rsidR="00D403C5">
          <w:rPr>
            <w:webHidden/>
          </w:rPr>
          <w:fldChar w:fldCharType="end"/>
        </w:r>
      </w:hyperlink>
    </w:p>
    <w:p w14:paraId="2F8EAD97" w14:textId="3ADB3A2E" w:rsidR="00D403C5" w:rsidRDefault="00E8572F">
      <w:pPr>
        <w:pStyle w:val="TOC2"/>
        <w:rPr>
          <w:rFonts w:eastAsiaTheme="minorEastAsia"/>
          <w:color w:val="auto"/>
          <w:lang w:eastAsia="en-AU"/>
        </w:rPr>
      </w:pPr>
      <w:hyperlink w:anchor="_Toc58918574" w:history="1">
        <w:r w:rsidR="00D403C5" w:rsidRPr="000C5253">
          <w:rPr>
            <w:rStyle w:val="Hyperlink"/>
          </w:rPr>
          <w:t>Certification by the Accountable Authority</w:t>
        </w:r>
        <w:r w:rsidR="00D403C5">
          <w:rPr>
            <w:webHidden/>
          </w:rPr>
          <w:tab/>
        </w:r>
        <w:r w:rsidR="00D403C5">
          <w:rPr>
            <w:webHidden/>
          </w:rPr>
          <w:fldChar w:fldCharType="begin"/>
        </w:r>
        <w:r w:rsidR="00D403C5">
          <w:rPr>
            <w:webHidden/>
          </w:rPr>
          <w:instrText xml:space="preserve"> PAGEREF _Toc58918574 \h </w:instrText>
        </w:r>
        <w:r w:rsidR="00D403C5">
          <w:rPr>
            <w:webHidden/>
          </w:rPr>
        </w:r>
        <w:r w:rsidR="00D403C5">
          <w:rPr>
            <w:webHidden/>
          </w:rPr>
          <w:fldChar w:fldCharType="separate"/>
        </w:r>
        <w:r w:rsidR="00E77C31">
          <w:rPr>
            <w:webHidden/>
          </w:rPr>
          <w:t>4</w:t>
        </w:r>
        <w:r w:rsidR="00D403C5">
          <w:rPr>
            <w:webHidden/>
          </w:rPr>
          <w:fldChar w:fldCharType="end"/>
        </w:r>
      </w:hyperlink>
    </w:p>
    <w:p w14:paraId="0FA6362D" w14:textId="2516FE42" w:rsidR="00D403C5" w:rsidRDefault="00E8572F">
      <w:pPr>
        <w:pStyle w:val="TOC2"/>
        <w:rPr>
          <w:rFonts w:eastAsiaTheme="minorEastAsia"/>
          <w:color w:val="auto"/>
          <w:lang w:eastAsia="en-AU"/>
        </w:rPr>
      </w:pPr>
      <w:hyperlink w:anchor="_Toc58918575" w:history="1">
        <w:r w:rsidR="00D403C5" w:rsidRPr="000C5253">
          <w:rPr>
            <w:rStyle w:val="Hyperlink"/>
          </w:rPr>
          <w:t>Significant events during the reporting period</w:t>
        </w:r>
        <w:r w:rsidR="00D403C5">
          <w:rPr>
            <w:webHidden/>
          </w:rPr>
          <w:tab/>
        </w:r>
        <w:r w:rsidR="00D403C5">
          <w:rPr>
            <w:webHidden/>
          </w:rPr>
          <w:fldChar w:fldCharType="begin"/>
        </w:r>
        <w:r w:rsidR="00D403C5">
          <w:rPr>
            <w:webHidden/>
          </w:rPr>
          <w:instrText xml:space="preserve"> PAGEREF _Toc58918575 \h </w:instrText>
        </w:r>
        <w:r w:rsidR="00D403C5">
          <w:rPr>
            <w:webHidden/>
          </w:rPr>
        </w:r>
        <w:r w:rsidR="00D403C5">
          <w:rPr>
            <w:webHidden/>
          </w:rPr>
          <w:fldChar w:fldCharType="separate"/>
        </w:r>
        <w:r w:rsidR="00E77C31">
          <w:rPr>
            <w:webHidden/>
          </w:rPr>
          <w:t>4</w:t>
        </w:r>
        <w:r w:rsidR="00D403C5">
          <w:rPr>
            <w:webHidden/>
          </w:rPr>
          <w:fldChar w:fldCharType="end"/>
        </w:r>
      </w:hyperlink>
    </w:p>
    <w:p w14:paraId="7679184A" w14:textId="24E9146F" w:rsidR="00D403C5" w:rsidRDefault="00E8572F">
      <w:pPr>
        <w:pStyle w:val="TOC1"/>
        <w:rPr>
          <w:rFonts w:eastAsiaTheme="minorEastAsia"/>
          <w:b w:val="0"/>
          <w:noProof/>
          <w:color w:val="auto"/>
          <w:lang w:eastAsia="en-AU"/>
        </w:rPr>
      </w:pPr>
      <w:hyperlink w:anchor="_Toc58918576" w:history="1">
        <w:r w:rsidR="00D403C5" w:rsidRPr="000C5253">
          <w:rPr>
            <w:rStyle w:val="Hyperlink"/>
            <w:noProof/>
            <w:lang w:eastAsia="en-AU"/>
          </w:rPr>
          <w:t xml:space="preserve">Overall </w:t>
        </w:r>
        <w:r w:rsidR="00D403C5" w:rsidRPr="000C5253">
          <w:rPr>
            <w:rStyle w:val="Hyperlink"/>
            <w:noProof/>
          </w:rPr>
          <w:t>assessment</w:t>
        </w:r>
        <w:r w:rsidR="00D403C5">
          <w:rPr>
            <w:noProof/>
            <w:webHidden/>
          </w:rPr>
          <w:tab/>
        </w:r>
        <w:r w:rsidR="00D403C5">
          <w:rPr>
            <w:noProof/>
            <w:webHidden/>
          </w:rPr>
          <w:fldChar w:fldCharType="begin"/>
        </w:r>
        <w:r w:rsidR="00D403C5">
          <w:rPr>
            <w:noProof/>
            <w:webHidden/>
          </w:rPr>
          <w:instrText xml:space="preserve"> PAGEREF _Toc58918576 \h </w:instrText>
        </w:r>
        <w:r w:rsidR="00D403C5">
          <w:rPr>
            <w:noProof/>
            <w:webHidden/>
          </w:rPr>
        </w:r>
        <w:r w:rsidR="00D403C5">
          <w:rPr>
            <w:noProof/>
            <w:webHidden/>
          </w:rPr>
          <w:fldChar w:fldCharType="separate"/>
        </w:r>
        <w:r w:rsidR="00E77C31">
          <w:rPr>
            <w:noProof/>
            <w:webHidden/>
          </w:rPr>
          <w:t>6</w:t>
        </w:r>
        <w:r w:rsidR="00D403C5">
          <w:rPr>
            <w:noProof/>
            <w:webHidden/>
          </w:rPr>
          <w:fldChar w:fldCharType="end"/>
        </w:r>
      </w:hyperlink>
    </w:p>
    <w:p w14:paraId="1EA5B4B6" w14:textId="778B2576" w:rsidR="00D403C5" w:rsidRDefault="00E8572F">
      <w:pPr>
        <w:pStyle w:val="TOC2"/>
        <w:rPr>
          <w:rFonts w:eastAsiaTheme="minorEastAsia"/>
          <w:color w:val="auto"/>
          <w:lang w:eastAsia="en-AU"/>
        </w:rPr>
      </w:pPr>
      <w:hyperlink w:anchor="_Toc58918577" w:history="1">
        <w:r w:rsidR="00D403C5" w:rsidRPr="000C5253">
          <w:rPr>
            <w:rStyle w:val="Hyperlink"/>
          </w:rPr>
          <w:t>Summary of self-assessment results</w:t>
        </w:r>
        <w:r w:rsidR="00D403C5">
          <w:rPr>
            <w:webHidden/>
          </w:rPr>
          <w:tab/>
        </w:r>
        <w:r w:rsidR="00D403C5">
          <w:rPr>
            <w:webHidden/>
          </w:rPr>
          <w:fldChar w:fldCharType="begin"/>
        </w:r>
        <w:r w:rsidR="00D403C5">
          <w:rPr>
            <w:webHidden/>
          </w:rPr>
          <w:instrText xml:space="preserve"> PAGEREF _Toc58918577 \h </w:instrText>
        </w:r>
        <w:r w:rsidR="00D403C5">
          <w:rPr>
            <w:webHidden/>
          </w:rPr>
        </w:r>
        <w:r w:rsidR="00D403C5">
          <w:rPr>
            <w:webHidden/>
          </w:rPr>
          <w:fldChar w:fldCharType="separate"/>
        </w:r>
        <w:r w:rsidR="00E77C31">
          <w:rPr>
            <w:webHidden/>
          </w:rPr>
          <w:t>6</w:t>
        </w:r>
        <w:r w:rsidR="00D403C5">
          <w:rPr>
            <w:webHidden/>
          </w:rPr>
          <w:fldChar w:fldCharType="end"/>
        </w:r>
      </w:hyperlink>
    </w:p>
    <w:p w14:paraId="56127E43" w14:textId="42FBCC12" w:rsidR="00D403C5" w:rsidRDefault="00E8572F">
      <w:pPr>
        <w:pStyle w:val="TOC1"/>
        <w:rPr>
          <w:rFonts w:eastAsiaTheme="minorEastAsia"/>
          <w:b w:val="0"/>
          <w:noProof/>
          <w:color w:val="auto"/>
          <w:lang w:eastAsia="en-AU"/>
        </w:rPr>
      </w:pPr>
      <w:hyperlink w:anchor="_Toc58918578" w:history="1">
        <w:r w:rsidR="00D403C5" w:rsidRPr="000C5253">
          <w:rPr>
            <w:rStyle w:val="Hyperlink"/>
            <w:noProof/>
          </w:rPr>
          <w:t>2019–20 Performance reporting</w:t>
        </w:r>
        <w:r w:rsidR="00D403C5">
          <w:rPr>
            <w:noProof/>
            <w:webHidden/>
          </w:rPr>
          <w:tab/>
        </w:r>
        <w:r w:rsidR="00D403C5">
          <w:rPr>
            <w:noProof/>
            <w:webHidden/>
          </w:rPr>
          <w:fldChar w:fldCharType="begin"/>
        </w:r>
        <w:r w:rsidR="00D403C5">
          <w:rPr>
            <w:noProof/>
            <w:webHidden/>
          </w:rPr>
          <w:instrText xml:space="preserve"> PAGEREF _Toc58918578 \h </w:instrText>
        </w:r>
        <w:r w:rsidR="00D403C5">
          <w:rPr>
            <w:noProof/>
            <w:webHidden/>
          </w:rPr>
        </w:r>
        <w:r w:rsidR="00D403C5">
          <w:rPr>
            <w:noProof/>
            <w:webHidden/>
          </w:rPr>
          <w:fldChar w:fldCharType="separate"/>
        </w:r>
        <w:r w:rsidR="00E77C31">
          <w:rPr>
            <w:noProof/>
            <w:webHidden/>
          </w:rPr>
          <w:t>9</w:t>
        </w:r>
        <w:r w:rsidR="00D403C5">
          <w:rPr>
            <w:noProof/>
            <w:webHidden/>
          </w:rPr>
          <w:fldChar w:fldCharType="end"/>
        </w:r>
      </w:hyperlink>
    </w:p>
    <w:p w14:paraId="1E82A982" w14:textId="25CD4463" w:rsidR="00D403C5" w:rsidRDefault="00E8572F">
      <w:pPr>
        <w:pStyle w:val="TOC2"/>
        <w:rPr>
          <w:rFonts w:eastAsiaTheme="minorEastAsia"/>
          <w:color w:val="auto"/>
          <w:lang w:eastAsia="en-AU"/>
        </w:rPr>
      </w:pPr>
      <w:hyperlink w:anchor="_Toc58918579" w:history="1">
        <w:r w:rsidR="00D403C5" w:rsidRPr="000C5253">
          <w:rPr>
            <w:rStyle w:val="Hyperlink"/>
          </w:rPr>
          <w:t>KPI 1 - Regulators do not unnecessarily impede the efficient operation of regulated entities</w:t>
        </w:r>
        <w:r w:rsidR="00D403C5">
          <w:rPr>
            <w:webHidden/>
          </w:rPr>
          <w:tab/>
        </w:r>
        <w:r w:rsidR="00D403C5">
          <w:rPr>
            <w:webHidden/>
          </w:rPr>
          <w:fldChar w:fldCharType="begin"/>
        </w:r>
        <w:r w:rsidR="00D403C5">
          <w:rPr>
            <w:webHidden/>
          </w:rPr>
          <w:instrText xml:space="preserve"> PAGEREF _Toc58918579 \h </w:instrText>
        </w:r>
        <w:r w:rsidR="00D403C5">
          <w:rPr>
            <w:webHidden/>
          </w:rPr>
        </w:r>
        <w:r w:rsidR="00D403C5">
          <w:rPr>
            <w:webHidden/>
          </w:rPr>
          <w:fldChar w:fldCharType="separate"/>
        </w:r>
        <w:r w:rsidR="00E77C31">
          <w:rPr>
            <w:webHidden/>
          </w:rPr>
          <w:t>9</w:t>
        </w:r>
        <w:r w:rsidR="00D403C5">
          <w:rPr>
            <w:webHidden/>
          </w:rPr>
          <w:fldChar w:fldCharType="end"/>
        </w:r>
      </w:hyperlink>
    </w:p>
    <w:p w14:paraId="15AD998D" w14:textId="6A7B3C2B" w:rsidR="00D403C5" w:rsidRDefault="00E8572F">
      <w:pPr>
        <w:pStyle w:val="TOC2"/>
        <w:rPr>
          <w:rFonts w:eastAsiaTheme="minorEastAsia"/>
          <w:color w:val="auto"/>
          <w:lang w:eastAsia="en-AU"/>
        </w:rPr>
      </w:pPr>
      <w:hyperlink w:anchor="_Toc58918580" w:history="1">
        <w:r w:rsidR="00D403C5" w:rsidRPr="000C5253">
          <w:rPr>
            <w:rStyle w:val="Hyperlink"/>
          </w:rPr>
          <w:t>KPI 2 - Communication with regulated entities is clear, targeted and effective</w:t>
        </w:r>
        <w:r w:rsidR="00D403C5">
          <w:rPr>
            <w:webHidden/>
          </w:rPr>
          <w:tab/>
        </w:r>
        <w:r w:rsidR="00D403C5">
          <w:rPr>
            <w:webHidden/>
          </w:rPr>
          <w:fldChar w:fldCharType="begin"/>
        </w:r>
        <w:r w:rsidR="00D403C5">
          <w:rPr>
            <w:webHidden/>
          </w:rPr>
          <w:instrText xml:space="preserve"> PAGEREF _Toc58918580 \h </w:instrText>
        </w:r>
        <w:r w:rsidR="00D403C5">
          <w:rPr>
            <w:webHidden/>
          </w:rPr>
        </w:r>
        <w:r w:rsidR="00D403C5">
          <w:rPr>
            <w:webHidden/>
          </w:rPr>
          <w:fldChar w:fldCharType="separate"/>
        </w:r>
        <w:r w:rsidR="00E77C31">
          <w:rPr>
            <w:webHidden/>
          </w:rPr>
          <w:t>12</w:t>
        </w:r>
        <w:r w:rsidR="00D403C5">
          <w:rPr>
            <w:webHidden/>
          </w:rPr>
          <w:fldChar w:fldCharType="end"/>
        </w:r>
      </w:hyperlink>
    </w:p>
    <w:p w14:paraId="3FE867FA" w14:textId="384F804E" w:rsidR="00D403C5" w:rsidRDefault="00E8572F">
      <w:pPr>
        <w:pStyle w:val="TOC2"/>
        <w:rPr>
          <w:rFonts w:eastAsiaTheme="minorEastAsia"/>
          <w:color w:val="auto"/>
          <w:lang w:eastAsia="en-AU"/>
        </w:rPr>
      </w:pPr>
      <w:hyperlink w:anchor="_Toc58918581" w:history="1">
        <w:r w:rsidR="00D403C5" w:rsidRPr="000C5253">
          <w:rPr>
            <w:rStyle w:val="Hyperlink"/>
          </w:rPr>
          <w:t>KPI 3 - Actions undertaken by regulators are proportionate to the regulatory risk</w:t>
        </w:r>
        <w:r w:rsidR="00D403C5">
          <w:rPr>
            <w:webHidden/>
          </w:rPr>
          <w:tab/>
        </w:r>
        <w:r w:rsidR="00D403C5">
          <w:rPr>
            <w:webHidden/>
          </w:rPr>
          <w:fldChar w:fldCharType="begin"/>
        </w:r>
        <w:r w:rsidR="00D403C5">
          <w:rPr>
            <w:webHidden/>
          </w:rPr>
          <w:instrText xml:space="preserve"> PAGEREF _Toc58918581 \h </w:instrText>
        </w:r>
        <w:r w:rsidR="00D403C5">
          <w:rPr>
            <w:webHidden/>
          </w:rPr>
        </w:r>
        <w:r w:rsidR="00D403C5">
          <w:rPr>
            <w:webHidden/>
          </w:rPr>
          <w:fldChar w:fldCharType="separate"/>
        </w:r>
        <w:r w:rsidR="00E77C31">
          <w:rPr>
            <w:webHidden/>
          </w:rPr>
          <w:t>15</w:t>
        </w:r>
        <w:r w:rsidR="00D403C5">
          <w:rPr>
            <w:webHidden/>
          </w:rPr>
          <w:fldChar w:fldCharType="end"/>
        </w:r>
      </w:hyperlink>
    </w:p>
    <w:p w14:paraId="51E9ACAC" w14:textId="44C996FD" w:rsidR="00D403C5" w:rsidRDefault="00E8572F">
      <w:pPr>
        <w:pStyle w:val="TOC2"/>
        <w:rPr>
          <w:rFonts w:eastAsiaTheme="minorEastAsia"/>
          <w:color w:val="auto"/>
          <w:lang w:eastAsia="en-AU"/>
        </w:rPr>
      </w:pPr>
      <w:hyperlink w:anchor="_Toc58918582" w:history="1">
        <w:r w:rsidR="00D403C5" w:rsidRPr="000C5253">
          <w:rPr>
            <w:rStyle w:val="Hyperlink"/>
          </w:rPr>
          <w:t>KPI 4 - Compliance and monitoring approaches are streamlined and co-ordinated</w:t>
        </w:r>
        <w:r w:rsidR="00D403C5">
          <w:rPr>
            <w:webHidden/>
          </w:rPr>
          <w:tab/>
        </w:r>
        <w:r w:rsidR="00D403C5">
          <w:rPr>
            <w:webHidden/>
          </w:rPr>
          <w:fldChar w:fldCharType="begin"/>
        </w:r>
        <w:r w:rsidR="00D403C5">
          <w:rPr>
            <w:webHidden/>
          </w:rPr>
          <w:instrText xml:space="preserve"> PAGEREF _Toc58918582 \h </w:instrText>
        </w:r>
        <w:r w:rsidR="00D403C5">
          <w:rPr>
            <w:webHidden/>
          </w:rPr>
        </w:r>
        <w:r w:rsidR="00D403C5">
          <w:rPr>
            <w:webHidden/>
          </w:rPr>
          <w:fldChar w:fldCharType="separate"/>
        </w:r>
        <w:r w:rsidR="00E77C31">
          <w:rPr>
            <w:webHidden/>
          </w:rPr>
          <w:t>18</w:t>
        </w:r>
        <w:r w:rsidR="00D403C5">
          <w:rPr>
            <w:webHidden/>
          </w:rPr>
          <w:fldChar w:fldCharType="end"/>
        </w:r>
      </w:hyperlink>
    </w:p>
    <w:p w14:paraId="0C922DEF" w14:textId="66F95C5E" w:rsidR="00D403C5" w:rsidRDefault="00E8572F">
      <w:pPr>
        <w:pStyle w:val="TOC2"/>
        <w:rPr>
          <w:rFonts w:eastAsiaTheme="minorEastAsia"/>
          <w:color w:val="auto"/>
          <w:lang w:eastAsia="en-AU"/>
        </w:rPr>
      </w:pPr>
      <w:hyperlink w:anchor="_Toc58918583" w:history="1">
        <w:r w:rsidR="00D403C5" w:rsidRPr="000C5253">
          <w:rPr>
            <w:rStyle w:val="Hyperlink"/>
          </w:rPr>
          <w:t>KPI 5 - Regulators are open and transparent in their dealings with regulated entities</w:t>
        </w:r>
        <w:r w:rsidR="00D403C5">
          <w:rPr>
            <w:webHidden/>
          </w:rPr>
          <w:tab/>
        </w:r>
        <w:r w:rsidR="00D403C5">
          <w:rPr>
            <w:webHidden/>
          </w:rPr>
          <w:fldChar w:fldCharType="begin"/>
        </w:r>
        <w:r w:rsidR="00D403C5">
          <w:rPr>
            <w:webHidden/>
          </w:rPr>
          <w:instrText xml:space="preserve"> PAGEREF _Toc58918583 \h </w:instrText>
        </w:r>
        <w:r w:rsidR="00D403C5">
          <w:rPr>
            <w:webHidden/>
          </w:rPr>
        </w:r>
        <w:r w:rsidR="00D403C5">
          <w:rPr>
            <w:webHidden/>
          </w:rPr>
          <w:fldChar w:fldCharType="separate"/>
        </w:r>
        <w:r w:rsidR="00E77C31">
          <w:rPr>
            <w:webHidden/>
          </w:rPr>
          <w:t>21</w:t>
        </w:r>
        <w:r w:rsidR="00D403C5">
          <w:rPr>
            <w:webHidden/>
          </w:rPr>
          <w:fldChar w:fldCharType="end"/>
        </w:r>
      </w:hyperlink>
    </w:p>
    <w:p w14:paraId="5EF8EF6E" w14:textId="55A6313A" w:rsidR="00D403C5" w:rsidRDefault="00E8572F">
      <w:pPr>
        <w:pStyle w:val="TOC2"/>
        <w:rPr>
          <w:rFonts w:eastAsiaTheme="minorEastAsia"/>
          <w:color w:val="auto"/>
          <w:lang w:eastAsia="en-AU"/>
        </w:rPr>
      </w:pPr>
      <w:hyperlink w:anchor="_Toc58918584" w:history="1">
        <w:r w:rsidR="00D403C5" w:rsidRPr="000C5253">
          <w:rPr>
            <w:rStyle w:val="Hyperlink"/>
          </w:rPr>
          <w:t>KPI 6 - Regulators actively contribute to the continuous improvement of regulatory frameworks</w:t>
        </w:r>
        <w:r w:rsidR="00D403C5">
          <w:rPr>
            <w:webHidden/>
          </w:rPr>
          <w:tab/>
        </w:r>
        <w:r w:rsidR="00D403C5">
          <w:rPr>
            <w:webHidden/>
          </w:rPr>
          <w:fldChar w:fldCharType="begin"/>
        </w:r>
        <w:r w:rsidR="00D403C5">
          <w:rPr>
            <w:webHidden/>
          </w:rPr>
          <w:instrText xml:space="preserve"> PAGEREF _Toc58918584 \h </w:instrText>
        </w:r>
        <w:r w:rsidR="00D403C5">
          <w:rPr>
            <w:webHidden/>
          </w:rPr>
        </w:r>
        <w:r w:rsidR="00D403C5">
          <w:rPr>
            <w:webHidden/>
          </w:rPr>
          <w:fldChar w:fldCharType="separate"/>
        </w:r>
        <w:r w:rsidR="00E77C31">
          <w:rPr>
            <w:webHidden/>
          </w:rPr>
          <w:t>23</w:t>
        </w:r>
        <w:r w:rsidR="00D403C5">
          <w:rPr>
            <w:webHidden/>
          </w:rPr>
          <w:fldChar w:fldCharType="end"/>
        </w:r>
      </w:hyperlink>
    </w:p>
    <w:p w14:paraId="0F06455A" w14:textId="311EDB4A" w:rsidR="00D403C5" w:rsidRDefault="00E8572F">
      <w:pPr>
        <w:pStyle w:val="TOC1"/>
        <w:rPr>
          <w:rFonts w:eastAsiaTheme="minorEastAsia"/>
          <w:b w:val="0"/>
          <w:noProof/>
          <w:color w:val="auto"/>
          <w:lang w:eastAsia="en-AU"/>
        </w:rPr>
      </w:pPr>
      <w:hyperlink w:anchor="_Toc58918585" w:history="1">
        <w:r w:rsidR="00D403C5" w:rsidRPr="000C5253">
          <w:rPr>
            <w:rStyle w:val="Hyperlink"/>
            <w:noProof/>
          </w:rPr>
          <w:t>Concluding remarks</w:t>
        </w:r>
        <w:r w:rsidR="00D403C5">
          <w:rPr>
            <w:noProof/>
            <w:webHidden/>
          </w:rPr>
          <w:tab/>
        </w:r>
        <w:r w:rsidR="00D403C5">
          <w:rPr>
            <w:noProof/>
            <w:webHidden/>
          </w:rPr>
          <w:fldChar w:fldCharType="begin"/>
        </w:r>
        <w:r w:rsidR="00D403C5">
          <w:rPr>
            <w:noProof/>
            <w:webHidden/>
          </w:rPr>
          <w:instrText xml:space="preserve"> PAGEREF _Toc58918585 \h </w:instrText>
        </w:r>
        <w:r w:rsidR="00D403C5">
          <w:rPr>
            <w:noProof/>
            <w:webHidden/>
          </w:rPr>
        </w:r>
        <w:r w:rsidR="00D403C5">
          <w:rPr>
            <w:noProof/>
            <w:webHidden/>
          </w:rPr>
          <w:fldChar w:fldCharType="separate"/>
        </w:r>
        <w:r w:rsidR="00E77C31">
          <w:rPr>
            <w:noProof/>
            <w:webHidden/>
          </w:rPr>
          <w:t>27</w:t>
        </w:r>
        <w:r w:rsidR="00D403C5">
          <w:rPr>
            <w:noProof/>
            <w:webHidden/>
          </w:rPr>
          <w:fldChar w:fldCharType="end"/>
        </w:r>
      </w:hyperlink>
    </w:p>
    <w:p w14:paraId="7E9F40DE" w14:textId="3EE1D66A" w:rsidR="00D403C5" w:rsidRDefault="00E8572F">
      <w:pPr>
        <w:pStyle w:val="TOC1"/>
        <w:rPr>
          <w:rFonts w:eastAsiaTheme="minorEastAsia"/>
          <w:b w:val="0"/>
          <w:noProof/>
          <w:color w:val="auto"/>
          <w:lang w:eastAsia="en-AU"/>
        </w:rPr>
      </w:pPr>
      <w:hyperlink w:anchor="_Toc58918586" w:history="1">
        <w:r w:rsidR="00D403C5" w:rsidRPr="000C5253">
          <w:rPr>
            <w:rStyle w:val="Hyperlink"/>
            <w:noProof/>
            <w:shd w:val="clear" w:color="auto" w:fill="FFFFFF"/>
          </w:rPr>
          <w:t>Glossary</w:t>
        </w:r>
        <w:r w:rsidR="00D403C5">
          <w:rPr>
            <w:noProof/>
            <w:webHidden/>
          </w:rPr>
          <w:tab/>
        </w:r>
        <w:r w:rsidR="00D403C5">
          <w:rPr>
            <w:noProof/>
            <w:webHidden/>
          </w:rPr>
          <w:fldChar w:fldCharType="begin"/>
        </w:r>
        <w:r w:rsidR="00D403C5">
          <w:rPr>
            <w:noProof/>
            <w:webHidden/>
          </w:rPr>
          <w:instrText xml:space="preserve"> PAGEREF _Toc58918586 \h </w:instrText>
        </w:r>
        <w:r w:rsidR="00D403C5">
          <w:rPr>
            <w:noProof/>
            <w:webHidden/>
          </w:rPr>
        </w:r>
        <w:r w:rsidR="00D403C5">
          <w:rPr>
            <w:noProof/>
            <w:webHidden/>
          </w:rPr>
          <w:fldChar w:fldCharType="separate"/>
        </w:r>
        <w:r w:rsidR="00E77C31">
          <w:rPr>
            <w:noProof/>
            <w:webHidden/>
          </w:rPr>
          <w:t>28</w:t>
        </w:r>
        <w:r w:rsidR="00D403C5">
          <w:rPr>
            <w:noProof/>
            <w:webHidden/>
          </w:rPr>
          <w:fldChar w:fldCharType="end"/>
        </w:r>
      </w:hyperlink>
    </w:p>
    <w:p w14:paraId="64EE0412" w14:textId="1AA5ED7A" w:rsidR="004908E2" w:rsidRDefault="00926189" w:rsidP="00B072E4">
      <w:pPr>
        <w:pStyle w:val="TOC1"/>
        <w:rPr>
          <w:shd w:val="clear" w:color="auto" w:fill="E6E6E6"/>
        </w:rPr>
      </w:pPr>
      <w:r>
        <w:rPr>
          <w:shd w:val="clear" w:color="auto" w:fill="E6E6E6"/>
        </w:rPr>
        <w:fldChar w:fldCharType="end"/>
      </w:r>
    </w:p>
    <w:p w14:paraId="1A1F1B0E" w14:textId="77777777" w:rsidR="004162F1" w:rsidRDefault="004162F1" w:rsidP="002E4FA1"/>
    <w:p w14:paraId="365DACDF" w14:textId="77777777" w:rsidR="004162F1" w:rsidRPr="004162F1" w:rsidRDefault="004162F1" w:rsidP="004162F1"/>
    <w:p w14:paraId="42BDB71C" w14:textId="77777777" w:rsidR="004162F1" w:rsidRPr="004162F1" w:rsidRDefault="004162F1" w:rsidP="004162F1"/>
    <w:p w14:paraId="03268DAF" w14:textId="77777777" w:rsidR="004162F1" w:rsidRPr="004162F1" w:rsidRDefault="004162F1" w:rsidP="004162F1"/>
    <w:p w14:paraId="79162440" w14:textId="77777777" w:rsidR="004162F1" w:rsidRPr="004162F1" w:rsidRDefault="004162F1" w:rsidP="004162F1"/>
    <w:p w14:paraId="10692FC9" w14:textId="77777777" w:rsidR="002E4FA1" w:rsidRPr="004162F1" w:rsidRDefault="002E4FA1" w:rsidP="004162F1"/>
    <w:p w14:paraId="2E5AF528" w14:textId="77777777" w:rsidR="003B4D69" w:rsidRDefault="005C5339" w:rsidP="004162F1">
      <w:pPr>
        <w:pStyle w:val="Heading1"/>
        <w:spacing w:before="0"/>
      </w:pPr>
      <w:bookmarkStart w:id="3" w:name="_Toc12883986"/>
      <w:bookmarkStart w:id="4" w:name="_Toc23846595"/>
      <w:bookmarkStart w:id="5" w:name="_Toc58918567"/>
      <w:bookmarkEnd w:id="1"/>
      <w:bookmarkEnd w:id="2"/>
      <w:r w:rsidRPr="00C545BA">
        <w:t>Executive s</w:t>
      </w:r>
      <w:r w:rsidR="003B4D69" w:rsidRPr="00C545BA">
        <w:t>ummary</w:t>
      </w:r>
      <w:bookmarkEnd w:id="3"/>
      <w:bookmarkEnd w:id="4"/>
      <w:bookmarkEnd w:id="5"/>
      <w:r w:rsidR="003B4D69">
        <w:t xml:space="preserve"> </w:t>
      </w:r>
    </w:p>
    <w:p w14:paraId="727BCFC7" w14:textId="77777777" w:rsidR="007C44A8" w:rsidRPr="009A1033" w:rsidRDefault="007C44A8" w:rsidP="73E2875D">
      <w:pPr>
        <w:rPr>
          <w:color w:val="auto"/>
        </w:rPr>
      </w:pPr>
      <w:r w:rsidRPr="73E2875D">
        <w:rPr>
          <w:color w:val="auto"/>
        </w:rPr>
        <w:t>The Australian Radiation Protection and Nuclear Safety Agency (ARPANSA) is</w:t>
      </w:r>
      <w:r w:rsidRPr="73E2875D">
        <w:rPr>
          <w:color w:val="auto"/>
          <w:lang w:val="en"/>
        </w:rPr>
        <w:t xml:space="preserve"> the Australian Government’s primary authority on radiation protection and nuclear safety. ARPANSA protects the Australian people and the environment from the harmful effects of radiation through understanding risks, best practice regulation, research, policy, services, partnerships and engaging with the community. This includes the regulation of </w:t>
      </w:r>
      <w:r w:rsidRPr="73E2875D">
        <w:rPr>
          <w:color w:val="auto"/>
        </w:rPr>
        <w:t>the safety and security of radiation sources</w:t>
      </w:r>
      <w:r w:rsidRPr="73E2875D">
        <w:rPr>
          <w:rStyle w:val="FootnoteReference"/>
          <w:color w:val="auto"/>
        </w:rPr>
        <w:footnoteReference w:id="2"/>
      </w:r>
      <w:r w:rsidRPr="73E2875D">
        <w:rPr>
          <w:color w:val="auto"/>
        </w:rPr>
        <w:t xml:space="preserve"> and facilities</w:t>
      </w:r>
      <w:r w:rsidRPr="73E2875D">
        <w:rPr>
          <w:rStyle w:val="FootnoteReference"/>
          <w:color w:val="auto"/>
        </w:rPr>
        <w:footnoteReference w:id="3"/>
      </w:r>
      <w:r w:rsidRPr="73E2875D">
        <w:rPr>
          <w:color w:val="auto"/>
        </w:rPr>
        <w:t xml:space="preserve"> owned or operated by Commonwealth entities.</w:t>
      </w:r>
    </w:p>
    <w:p w14:paraId="12DEF3BE" w14:textId="482037D7" w:rsidR="00456E41" w:rsidRPr="009A1033" w:rsidRDefault="00456E41" w:rsidP="73E2875D">
      <w:pPr>
        <w:rPr>
          <w:color w:val="auto"/>
        </w:rPr>
      </w:pPr>
      <w:r w:rsidRPr="73E2875D">
        <w:rPr>
          <w:color w:val="auto"/>
        </w:rPr>
        <w:t xml:space="preserve">This review was undertaken </w:t>
      </w:r>
      <w:r w:rsidR="00337A95" w:rsidRPr="73E2875D">
        <w:rPr>
          <w:color w:val="auto"/>
        </w:rPr>
        <w:t xml:space="preserve">by a team from the </w:t>
      </w:r>
      <w:r w:rsidR="006758F0" w:rsidRPr="73E2875D">
        <w:rPr>
          <w:color w:val="auto"/>
        </w:rPr>
        <w:t>Regulatory Services Branch</w:t>
      </w:r>
      <w:r w:rsidR="20D8EF32" w:rsidRPr="73E2875D">
        <w:rPr>
          <w:color w:val="auto"/>
        </w:rPr>
        <w:t xml:space="preserve"> of ARPANSA.</w:t>
      </w:r>
      <w:r w:rsidR="00337A95" w:rsidRPr="73E2875D">
        <w:rPr>
          <w:color w:val="auto"/>
        </w:rPr>
        <w:t xml:space="preserve"> The team conducted the assessment </w:t>
      </w:r>
      <w:r w:rsidRPr="73E2875D">
        <w:rPr>
          <w:color w:val="auto"/>
        </w:rPr>
        <w:t xml:space="preserve">from </w:t>
      </w:r>
      <w:r w:rsidR="780C6CF3" w:rsidRPr="73E2875D">
        <w:rPr>
          <w:color w:val="auto"/>
        </w:rPr>
        <w:t>3</w:t>
      </w:r>
      <w:r w:rsidR="000A3C8D" w:rsidRPr="73E2875D">
        <w:rPr>
          <w:color w:val="auto"/>
        </w:rPr>
        <w:t>–</w:t>
      </w:r>
      <w:r w:rsidR="00DDD1E2" w:rsidRPr="73E2875D">
        <w:rPr>
          <w:color w:val="auto"/>
        </w:rPr>
        <w:t>10</w:t>
      </w:r>
      <w:r w:rsidRPr="73E2875D">
        <w:rPr>
          <w:color w:val="auto"/>
        </w:rPr>
        <w:t xml:space="preserve"> </w:t>
      </w:r>
      <w:r w:rsidR="47F0AB41" w:rsidRPr="73E2875D">
        <w:rPr>
          <w:color w:val="auto"/>
        </w:rPr>
        <w:t>August</w:t>
      </w:r>
      <w:r w:rsidRPr="73E2875D">
        <w:rPr>
          <w:color w:val="auto"/>
        </w:rPr>
        <w:t xml:space="preserve"> 20</w:t>
      </w:r>
      <w:r w:rsidR="6861E530" w:rsidRPr="73E2875D">
        <w:rPr>
          <w:color w:val="auto"/>
        </w:rPr>
        <w:t>20</w:t>
      </w:r>
      <w:r w:rsidR="0000355A">
        <w:rPr>
          <w:color w:val="auto"/>
        </w:rPr>
        <w:t xml:space="preserve"> and prepared t</w:t>
      </w:r>
      <w:r w:rsidR="00337A95" w:rsidRPr="73E2875D">
        <w:rPr>
          <w:color w:val="auto"/>
        </w:rPr>
        <w:t>h</w:t>
      </w:r>
      <w:r w:rsidR="0000355A">
        <w:rPr>
          <w:color w:val="auto"/>
        </w:rPr>
        <w:t>is</w:t>
      </w:r>
      <w:r w:rsidR="00337A95" w:rsidRPr="73E2875D">
        <w:rPr>
          <w:color w:val="auto"/>
        </w:rPr>
        <w:t xml:space="preserve"> report </w:t>
      </w:r>
      <w:r w:rsidR="0000355A">
        <w:rPr>
          <w:color w:val="auto"/>
        </w:rPr>
        <w:t xml:space="preserve">that was </w:t>
      </w:r>
      <w:r w:rsidR="00337A95" w:rsidRPr="73E2875D">
        <w:rPr>
          <w:color w:val="auto"/>
        </w:rPr>
        <w:t xml:space="preserve">subsequently validated by the Nuclear Safety Committee </w:t>
      </w:r>
      <w:r w:rsidR="00DC5158">
        <w:rPr>
          <w:color w:val="auto"/>
        </w:rPr>
        <w:t xml:space="preserve">(NSC) </w:t>
      </w:r>
      <w:r w:rsidR="00337A95" w:rsidRPr="73E2875D">
        <w:rPr>
          <w:color w:val="auto"/>
        </w:rPr>
        <w:t xml:space="preserve">and approved by the </w:t>
      </w:r>
      <w:r w:rsidR="00E30335" w:rsidRPr="73E2875D">
        <w:rPr>
          <w:color w:val="auto"/>
        </w:rPr>
        <w:t xml:space="preserve">CEO of ARPANSA as the </w:t>
      </w:r>
      <w:r w:rsidR="00337A95" w:rsidRPr="73E2875D">
        <w:rPr>
          <w:color w:val="auto"/>
        </w:rPr>
        <w:t>accountable authority</w:t>
      </w:r>
      <w:r w:rsidR="00E30335" w:rsidRPr="73E2875D">
        <w:rPr>
          <w:color w:val="auto"/>
        </w:rPr>
        <w:t>.</w:t>
      </w:r>
    </w:p>
    <w:p w14:paraId="0E39699D" w14:textId="2871B05E" w:rsidR="000465FE" w:rsidRPr="009A1033" w:rsidRDefault="000465FE" w:rsidP="73E2875D">
      <w:pPr>
        <w:rPr>
          <w:color w:val="auto"/>
        </w:rPr>
      </w:pPr>
      <w:r w:rsidRPr="5783D3BF">
        <w:rPr>
          <w:color w:val="auto"/>
        </w:rPr>
        <w:t xml:space="preserve">The </w:t>
      </w:r>
      <w:r w:rsidRPr="5783D3BF">
        <w:rPr>
          <w:rFonts w:eastAsia="Calibri" w:cs="Calibri"/>
          <w:color w:val="auto"/>
        </w:rPr>
        <w:t>Regulatory Performance Framework (RPF) objectives relate to the efficiency of the regulator.</w:t>
      </w:r>
      <w:r w:rsidRPr="5783D3BF">
        <w:rPr>
          <w:color w:val="auto"/>
        </w:rPr>
        <w:t xml:space="preserve"> ARPANSA also utilises alternative review mechanisms which look at the </w:t>
      </w:r>
      <w:r w:rsidR="00A07D73" w:rsidRPr="5783D3BF">
        <w:rPr>
          <w:color w:val="auto"/>
        </w:rPr>
        <w:t xml:space="preserve">efficiency and </w:t>
      </w:r>
      <w:r w:rsidRPr="5783D3BF">
        <w:rPr>
          <w:color w:val="auto"/>
        </w:rPr>
        <w:t xml:space="preserve">effectiveness of the regulatory functions, such as the </w:t>
      </w:r>
      <w:r w:rsidR="7CA4C8A8" w:rsidRPr="5783D3BF">
        <w:rPr>
          <w:color w:val="auto"/>
        </w:rPr>
        <w:t>International Atomic Energy Agency Integrated Regulatory Review Service</w:t>
      </w:r>
      <w:r w:rsidR="3FAE9030" w:rsidRPr="5783D3BF">
        <w:rPr>
          <w:color w:val="auto"/>
        </w:rPr>
        <w:t xml:space="preserve"> (IRRS) </w:t>
      </w:r>
      <w:r w:rsidR="0F46E847" w:rsidRPr="5783D3BF">
        <w:rPr>
          <w:color w:val="auto"/>
        </w:rPr>
        <w:t>which</w:t>
      </w:r>
      <w:r w:rsidRPr="5783D3BF">
        <w:rPr>
          <w:color w:val="auto"/>
        </w:rPr>
        <w:t xml:space="preserve"> is an international review focusing on effectiveness of regulatory functions and alignment with international standards.</w:t>
      </w:r>
      <w:r w:rsidR="59AE5AA6" w:rsidRPr="5783D3BF">
        <w:rPr>
          <w:color w:val="auto"/>
        </w:rPr>
        <w:t xml:space="preserve"> This was last undertaken in Australia in 2018.</w:t>
      </w:r>
    </w:p>
    <w:p w14:paraId="4B95583E" w14:textId="77777777" w:rsidR="00456E41" w:rsidRDefault="007D1B82" w:rsidP="005F78FD">
      <w:pPr>
        <w:pStyle w:val="Heading2"/>
      </w:pPr>
      <w:bookmarkStart w:id="6" w:name="_Toc25225254"/>
      <w:bookmarkStart w:id="7" w:name="_Toc58918568"/>
      <w:r>
        <w:t>Result</w:t>
      </w:r>
      <w:bookmarkEnd w:id="6"/>
      <w:bookmarkEnd w:id="7"/>
    </w:p>
    <w:p w14:paraId="3B6722CF" w14:textId="08136325" w:rsidR="002658A5" w:rsidRPr="002D271C" w:rsidRDefault="002658A5" w:rsidP="007C44A8">
      <w:pPr>
        <w:rPr>
          <w:rFonts w:ascii="Calibri" w:eastAsia="Calibri" w:hAnsi="Calibri" w:cs="Calibri"/>
          <w:color w:val="auto"/>
        </w:rPr>
      </w:pPr>
      <w:r w:rsidRPr="5783D3BF">
        <w:rPr>
          <w:rFonts w:ascii="Calibri" w:eastAsia="Calibri" w:hAnsi="Calibri" w:cs="Calibri"/>
          <w:color w:val="auto"/>
        </w:rPr>
        <w:t xml:space="preserve">ARPANSA </w:t>
      </w:r>
      <w:r w:rsidR="00F33B1C" w:rsidRPr="5783D3BF">
        <w:rPr>
          <w:rFonts w:ascii="Calibri" w:eastAsia="Calibri" w:hAnsi="Calibri" w:cs="Calibri"/>
          <w:color w:val="auto"/>
        </w:rPr>
        <w:t>continues to perform</w:t>
      </w:r>
      <w:r w:rsidRPr="5783D3BF">
        <w:rPr>
          <w:rFonts w:ascii="Calibri" w:eastAsia="Calibri" w:hAnsi="Calibri" w:cs="Calibri"/>
          <w:color w:val="auto"/>
        </w:rPr>
        <w:t xml:space="preserve"> well against the </w:t>
      </w:r>
      <w:r w:rsidR="00F33B1C" w:rsidRPr="5783D3BF">
        <w:rPr>
          <w:rFonts w:ascii="Calibri" w:eastAsia="Calibri" w:hAnsi="Calibri" w:cs="Calibri"/>
          <w:color w:val="auto"/>
        </w:rPr>
        <w:t xml:space="preserve">RPF </w:t>
      </w:r>
      <w:r w:rsidRPr="5783D3BF">
        <w:rPr>
          <w:rFonts w:ascii="Calibri" w:eastAsia="Calibri" w:hAnsi="Calibri" w:cs="Calibri"/>
          <w:color w:val="auto"/>
        </w:rPr>
        <w:t>metrics and indicators,</w:t>
      </w:r>
      <w:r w:rsidR="005B7577">
        <w:rPr>
          <w:rFonts w:ascii="Calibri" w:eastAsia="Calibri" w:hAnsi="Calibri" w:cs="Calibri"/>
          <w:color w:val="auto"/>
        </w:rPr>
        <w:t xml:space="preserve"> </w:t>
      </w:r>
      <w:r w:rsidRPr="5783D3BF">
        <w:rPr>
          <w:rFonts w:ascii="Calibri" w:eastAsia="Calibri" w:hAnsi="Calibri" w:cs="Calibri"/>
          <w:color w:val="auto"/>
        </w:rPr>
        <w:t xml:space="preserve">and demonstrates a commitment to the </w:t>
      </w:r>
      <w:r w:rsidR="007D1B82" w:rsidRPr="5783D3BF">
        <w:rPr>
          <w:rFonts w:ascii="Calibri" w:eastAsia="Calibri" w:hAnsi="Calibri" w:cs="Calibri"/>
          <w:color w:val="auto"/>
        </w:rPr>
        <w:t>RPF</w:t>
      </w:r>
      <w:r w:rsidRPr="5783D3BF">
        <w:rPr>
          <w:rFonts w:ascii="Calibri" w:eastAsia="Calibri" w:hAnsi="Calibri" w:cs="Calibri"/>
          <w:color w:val="auto"/>
        </w:rPr>
        <w:t xml:space="preserve"> objectives.</w:t>
      </w:r>
      <w:r w:rsidR="002E385A" w:rsidRPr="5783D3BF">
        <w:rPr>
          <w:rFonts w:ascii="Calibri" w:eastAsia="Calibri" w:hAnsi="Calibri" w:cs="Calibri"/>
          <w:color w:val="auto"/>
        </w:rPr>
        <w:t xml:space="preserve"> </w:t>
      </w:r>
      <w:r w:rsidR="003A17AF">
        <w:rPr>
          <w:rFonts w:ascii="Calibri" w:eastAsia="Calibri" w:hAnsi="Calibri" w:cs="Calibri"/>
          <w:color w:val="auto"/>
        </w:rPr>
        <w:t>Despite impact from the COVID-19 pandemic restrictions, t</w:t>
      </w:r>
      <w:r w:rsidR="002E385A" w:rsidRPr="5783D3BF">
        <w:rPr>
          <w:rFonts w:ascii="Calibri" w:eastAsia="Calibri" w:hAnsi="Calibri" w:cs="Calibri"/>
          <w:color w:val="auto"/>
        </w:rPr>
        <w:t xml:space="preserve">he results </w:t>
      </w:r>
      <w:r w:rsidR="005309AC" w:rsidRPr="5783D3BF">
        <w:rPr>
          <w:rFonts w:ascii="Calibri" w:eastAsia="Calibri" w:hAnsi="Calibri" w:cs="Calibri"/>
          <w:color w:val="auto"/>
        </w:rPr>
        <w:t xml:space="preserve">of this year’s self-assessment </w:t>
      </w:r>
      <w:r w:rsidR="002E385A" w:rsidRPr="5783D3BF">
        <w:rPr>
          <w:rFonts w:ascii="Calibri" w:eastAsia="Calibri" w:hAnsi="Calibri" w:cs="Calibri"/>
          <w:color w:val="auto"/>
        </w:rPr>
        <w:t xml:space="preserve">are similar to previous years indicating that the </w:t>
      </w:r>
      <w:r w:rsidR="003A17AF">
        <w:rPr>
          <w:rFonts w:ascii="Calibri" w:eastAsia="Calibri" w:hAnsi="Calibri" w:cs="Calibri"/>
          <w:color w:val="auto"/>
        </w:rPr>
        <w:t xml:space="preserve">RPF </w:t>
      </w:r>
      <w:r w:rsidR="002E385A" w:rsidRPr="5783D3BF">
        <w:rPr>
          <w:rFonts w:ascii="Calibri" w:eastAsia="Calibri" w:hAnsi="Calibri" w:cs="Calibri"/>
          <w:color w:val="auto"/>
        </w:rPr>
        <w:t>objectives are essentially “</w:t>
      </w:r>
      <w:r w:rsidR="003A17AF">
        <w:rPr>
          <w:rFonts w:ascii="Calibri" w:eastAsia="Calibri" w:hAnsi="Calibri" w:cs="Calibri"/>
          <w:color w:val="auto"/>
        </w:rPr>
        <w:t>integrated into the regulatory systems and culture of</w:t>
      </w:r>
      <w:r w:rsidR="002E385A" w:rsidRPr="5783D3BF">
        <w:rPr>
          <w:rFonts w:ascii="Calibri" w:eastAsia="Calibri" w:hAnsi="Calibri" w:cs="Calibri"/>
          <w:color w:val="auto"/>
        </w:rPr>
        <w:t xml:space="preserve"> ARPANSA.</w:t>
      </w:r>
    </w:p>
    <w:p w14:paraId="7EAF2255" w14:textId="2F595996" w:rsidR="00926B5C" w:rsidRPr="002D271C" w:rsidRDefault="00926B5C" w:rsidP="007D1B82">
      <w:pPr>
        <w:rPr>
          <w:rFonts w:ascii="Calibri" w:eastAsia="Calibri" w:hAnsi="Calibri" w:cs="Calibri"/>
          <w:color w:val="auto"/>
        </w:rPr>
      </w:pPr>
      <w:r w:rsidRPr="002D271C">
        <w:rPr>
          <w:rFonts w:ascii="Calibri" w:eastAsia="Calibri" w:hAnsi="Calibri" w:cs="Calibri"/>
          <w:color w:val="auto"/>
        </w:rPr>
        <w:t xml:space="preserve">Core strengths for ARPANSA are </w:t>
      </w:r>
      <w:r w:rsidR="002876F4" w:rsidRPr="002D271C">
        <w:rPr>
          <w:rFonts w:ascii="Calibri" w:eastAsia="Calibri" w:hAnsi="Calibri" w:cs="Calibri"/>
          <w:color w:val="auto"/>
        </w:rPr>
        <w:t>its</w:t>
      </w:r>
      <w:r w:rsidRPr="002D271C">
        <w:rPr>
          <w:rFonts w:ascii="Calibri" w:eastAsia="Calibri" w:hAnsi="Calibri" w:cs="Calibri"/>
          <w:color w:val="auto"/>
        </w:rPr>
        <w:t xml:space="preserve"> openness and transparency </w:t>
      </w:r>
      <w:r w:rsidR="00836610" w:rsidRPr="002D271C">
        <w:rPr>
          <w:rFonts w:ascii="Calibri" w:eastAsia="Calibri" w:hAnsi="Calibri" w:cs="Calibri"/>
          <w:color w:val="auto"/>
        </w:rPr>
        <w:t>with licen</w:t>
      </w:r>
      <w:r w:rsidR="008D47B0">
        <w:rPr>
          <w:rFonts w:ascii="Calibri" w:eastAsia="Calibri" w:hAnsi="Calibri" w:cs="Calibri"/>
          <w:color w:val="auto"/>
        </w:rPr>
        <w:t>s</w:t>
      </w:r>
      <w:r w:rsidR="00836610" w:rsidRPr="002D271C">
        <w:rPr>
          <w:rFonts w:ascii="Calibri" w:eastAsia="Calibri" w:hAnsi="Calibri" w:cs="Calibri"/>
          <w:color w:val="auto"/>
        </w:rPr>
        <w:t xml:space="preserve">ed entities and wider stakeholder groups through the </w:t>
      </w:r>
      <w:r w:rsidR="00DC5158">
        <w:rPr>
          <w:rFonts w:ascii="Calibri" w:eastAsia="Calibri" w:hAnsi="Calibri" w:cs="Calibri"/>
          <w:color w:val="auto"/>
        </w:rPr>
        <w:t xml:space="preserve">extensive </w:t>
      </w:r>
      <w:r w:rsidR="006D380C" w:rsidRPr="002D271C">
        <w:rPr>
          <w:rFonts w:ascii="Calibri" w:eastAsia="Calibri" w:hAnsi="Calibri" w:cs="Calibri"/>
          <w:color w:val="auto"/>
        </w:rPr>
        <w:t xml:space="preserve">website publications </w:t>
      </w:r>
      <w:r w:rsidR="00CE1208" w:rsidRPr="002D271C">
        <w:rPr>
          <w:rFonts w:ascii="Calibri" w:eastAsia="Calibri" w:hAnsi="Calibri" w:cs="Calibri"/>
          <w:color w:val="auto"/>
        </w:rPr>
        <w:t xml:space="preserve">on how it conducts its business, details of </w:t>
      </w:r>
      <w:r w:rsidR="00EF4E21" w:rsidRPr="002D271C">
        <w:rPr>
          <w:rFonts w:ascii="Calibri" w:eastAsia="Calibri" w:hAnsi="Calibri" w:cs="Calibri"/>
          <w:color w:val="auto"/>
        </w:rPr>
        <w:t xml:space="preserve">major licence decisions and the availability of inspection reports and outcomes. </w:t>
      </w:r>
      <w:r w:rsidR="002C6300" w:rsidRPr="002D271C">
        <w:rPr>
          <w:rFonts w:ascii="Calibri" w:eastAsia="Calibri" w:hAnsi="Calibri" w:cs="Calibri"/>
          <w:color w:val="auto"/>
        </w:rPr>
        <w:t xml:space="preserve">ARPANSA </w:t>
      </w:r>
      <w:r w:rsidR="00552AFE">
        <w:rPr>
          <w:rFonts w:ascii="Calibri" w:eastAsia="Calibri" w:hAnsi="Calibri" w:cs="Calibri"/>
          <w:color w:val="auto"/>
        </w:rPr>
        <w:t>continues to</w:t>
      </w:r>
      <w:r w:rsidR="002C6300" w:rsidRPr="002D271C">
        <w:rPr>
          <w:rFonts w:ascii="Calibri" w:eastAsia="Calibri" w:hAnsi="Calibri" w:cs="Calibri"/>
          <w:color w:val="auto"/>
        </w:rPr>
        <w:t xml:space="preserve"> consult widely with its licence entities</w:t>
      </w:r>
      <w:r w:rsidR="008953E9" w:rsidRPr="002D271C">
        <w:rPr>
          <w:rFonts w:ascii="Calibri" w:eastAsia="Calibri" w:hAnsi="Calibri" w:cs="Calibri"/>
          <w:color w:val="auto"/>
        </w:rPr>
        <w:t>, sets clear expectations</w:t>
      </w:r>
      <w:r w:rsidR="001519FD" w:rsidRPr="002D271C">
        <w:rPr>
          <w:rFonts w:ascii="Calibri" w:eastAsia="Calibri" w:hAnsi="Calibri" w:cs="Calibri"/>
          <w:color w:val="auto"/>
        </w:rPr>
        <w:t xml:space="preserve">, seeks </w:t>
      </w:r>
      <w:r w:rsidR="00765E36" w:rsidRPr="002D271C">
        <w:rPr>
          <w:rFonts w:ascii="Calibri" w:eastAsia="Calibri" w:hAnsi="Calibri" w:cs="Calibri"/>
          <w:color w:val="auto"/>
        </w:rPr>
        <w:t>regular feedback and reviews its performance with the objective of continuously improving its service to licence holders and the Australian community.</w:t>
      </w:r>
      <w:r w:rsidR="006D380C" w:rsidRPr="002D271C">
        <w:rPr>
          <w:rFonts w:ascii="Calibri" w:eastAsia="Calibri" w:hAnsi="Calibri" w:cs="Calibri"/>
          <w:color w:val="auto"/>
        </w:rPr>
        <w:t xml:space="preserve"> </w:t>
      </w:r>
    </w:p>
    <w:p w14:paraId="1BA9BEDF" w14:textId="2309FCF8" w:rsidR="00E52D94" w:rsidRDefault="049686B7" w:rsidP="00C7772F">
      <w:pPr>
        <w:sectPr w:rsidR="00E52D94" w:rsidSect="008F0722">
          <w:footerReference w:type="default" r:id="rId18"/>
          <w:footerReference w:type="first" r:id="rId19"/>
          <w:pgSz w:w="11906" w:h="16838" w:code="9"/>
          <w:pgMar w:top="1134" w:right="1134" w:bottom="1134" w:left="1134" w:header="567" w:footer="567" w:gutter="0"/>
          <w:pgNumType w:start="0"/>
          <w:cols w:space="708"/>
          <w:titlePg/>
          <w:docGrid w:linePitch="360"/>
        </w:sectPr>
      </w:pPr>
      <w:r w:rsidRPr="002D271C">
        <w:rPr>
          <w:color w:val="auto"/>
        </w:rPr>
        <w:t xml:space="preserve">The report </w:t>
      </w:r>
      <w:r w:rsidR="00DC5158">
        <w:rPr>
          <w:color w:val="auto"/>
        </w:rPr>
        <w:t xml:space="preserve">identifies </w:t>
      </w:r>
      <w:r w:rsidRPr="002D271C">
        <w:rPr>
          <w:color w:val="auto"/>
        </w:rPr>
        <w:t>opportunities for improvement</w:t>
      </w:r>
      <w:r w:rsidR="00817744" w:rsidRPr="002D271C">
        <w:rPr>
          <w:color w:val="auto"/>
        </w:rPr>
        <w:t xml:space="preserve"> including in areas where there is already strong performance. </w:t>
      </w:r>
      <w:r w:rsidR="00A07D73">
        <w:rPr>
          <w:color w:val="auto"/>
        </w:rPr>
        <w:t>B</w:t>
      </w:r>
      <w:r w:rsidR="004B4674" w:rsidRPr="002D271C">
        <w:rPr>
          <w:color w:val="auto"/>
        </w:rPr>
        <w:t xml:space="preserve">usiness intelligence needs to be improved </w:t>
      </w:r>
      <w:r w:rsidR="00875CC9" w:rsidRPr="002D271C">
        <w:rPr>
          <w:color w:val="auto"/>
        </w:rPr>
        <w:t xml:space="preserve">through better data </w:t>
      </w:r>
      <w:r w:rsidR="00627CB0" w:rsidRPr="002D271C">
        <w:rPr>
          <w:color w:val="auto"/>
        </w:rPr>
        <w:t>management</w:t>
      </w:r>
      <w:r w:rsidR="00875CC9" w:rsidRPr="002D271C">
        <w:rPr>
          <w:color w:val="auto"/>
        </w:rPr>
        <w:t xml:space="preserve">. </w:t>
      </w:r>
      <w:r w:rsidR="00605CE2" w:rsidRPr="002D271C">
        <w:rPr>
          <w:color w:val="auto"/>
        </w:rPr>
        <w:t xml:space="preserve">The approach to </w:t>
      </w:r>
      <w:r w:rsidR="001E3ED9" w:rsidRPr="002D271C">
        <w:rPr>
          <w:color w:val="auto"/>
        </w:rPr>
        <w:t>and promotion of holistic safety needs to be strengthened</w:t>
      </w:r>
      <w:r w:rsidR="00EF11A8" w:rsidRPr="002D271C">
        <w:rPr>
          <w:color w:val="auto"/>
        </w:rPr>
        <w:t xml:space="preserve">. There are also further opportunities to seek feedback from licence holders and </w:t>
      </w:r>
      <w:r w:rsidR="001F6A30" w:rsidRPr="002D271C">
        <w:rPr>
          <w:color w:val="auto"/>
        </w:rPr>
        <w:t xml:space="preserve">to improve the guidance available to them to manage safety. </w:t>
      </w:r>
      <w:bookmarkStart w:id="9" w:name="_Toc12883989"/>
      <w:r w:rsidR="0099717D" w:rsidRPr="002D271C">
        <w:rPr>
          <w:color w:val="auto"/>
        </w:rPr>
        <w:t xml:space="preserve">Work on these issues </w:t>
      </w:r>
      <w:r w:rsidR="00E944E1">
        <w:rPr>
          <w:color w:val="auto"/>
        </w:rPr>
        <w:t>has</w:t>
      </w:r>
      <w:r w:rsidR="0099717D" w:rsidRPr="002D271C">
        <w:rPr>
          <w:color w:val="auto"/>
        </w:rPr>
        <w:t xml:space="preserve"> started </w:t>
      </w:r>
      <w:r w:rsidR="002D271C" w:rsidRPr="002D271C">
        <w:rPr>
          <w:color w:val="auto"/>
        </w:rPr>
        <w:t>as long term projects.</w:t>
      </w:r>
      <w:bookmarkStart w:id="10" w:name="_Toc23846596"/>
    </w:p>
    <w:p w14:paraId="65A362ED" w14:textId="7E2990ED" w:rsidR="003B4D69" w:rsidRPr="00C545BA" w:rsidRDefault="003B4D69" w:rsidP="00097836">
      <w:pPr>
        <w:pStyle w:val="Heading1"/>
        <w:spacing w:before="0"/>
      </w:pPr>
      <w:bookmarkStart w:id="11" w:name="_Toc58918569"/>
      <w:r w:rsidRPr="00C545BA">
        <w:t>Introductio</w:t>
      </w:r>
      <w:bookmarkEnd w:id="0"/>
      <w:r w:rsidRPr="00C545BA">
        <w:t>n</w:t>
      </w:r>
      <w:bookmarkEnd w:id="9"/>
      <w:bookmarkEnd w:id="10"/>
      <w:bookmarkEnd w:id="11"/>
    </w:p>
    <w:p w14:paraId="48171B3A" w14:textId="77777777" w:rsidR="003B4D69" w:rsidRDefault="501E5E53" w:rsidP="003B4D69">
      <w:pPr>
        <w:pStyle w:val="Heading2"/>
      </w:pPr>
      <w:bookmarkStart w:id="12" w:name="_Toc12883990"/>
      <w:bookmarkStart w:id="13" w:name="_Toc23846597"/>
      <w:bookmarkStart w:id="14" w:name="_Toc58918570"/>
      <w:r w:rsidRPr="00C545BA">
        <w:t xml:space="preserve">About </w:t>
      </w:r>
      <w:bookmarkEnd w:id="12"/>
      <w:r w:rsidR="001F7A53" w:rsidRPr="00C545BA">
        <w:t xml:space="preserve">the </w:t>
      </w:r>
      <w:bookmarkEnd w:id="13"/>
      <w:r w:rsidR="005B05EF">
        <w:t>a</w:t>
      </w:r>
      <w:r w:rsidR="005B05EF" w:rsidRPr="00C545BA">
        <w:t>gency</w:t>
      </w:r>
      <w:bookmarkEnd w:id="14"/>
    </w:p>
    <w:p w14:paraId="397C66F3" w14:textId="1F361EC6" w:rsidR="501E5E53" w:rsidRPr="009A1033" w:rsidRDefault="049686B7" w:rsidP="73E2875D">
      <w:pPr>
        <w:rPr>
          <w:color w:val="auto"/>
        </w:rPr>
      </w:pPr>
      <w:r w:rsidRPr="73E2875D">
        <w:rPr>
          <w:rFonts w:ascii="Calibri" w:eastAsia="Calibri" w:hAnsi="Calibri" w:cs="Calibri"/>
          <w:color w:val="auto"/>
        </w:rPr>
        <w:t>The Australian Radiation Protection and Nuclear Safety Agency (ARPANSA) is the Australian Government’s primary authority on radiation protection and nuclear safety. ARPANSA is a portfolio agency of the Department o</w:t>
      </w:r>
      <w:r w:rsidR="00654367">
        <w:rPr>
          <w:rFonts w:ascii="Calibri" w:eastAsia="Calibri" w:hAnsi="Calibri" w:cs="Calibri"/>
          <w:color w:val="auto"/>
        </w:rPr>
        <w:t>f Health</w:t>
      </w:r>
      <w:r w:rsidRPr="73E2875D">
        <w:rPr>
          <w:rFonts w:ascii="Calibri" w:eastAsia="Calibri" w:hAnsi="Calibri" w:cs="Calibri"/>
          <w:color w:val="auto"/>
        </w:rPr>
        <w:t xml:space="preserve"> and is prescribed as a non-corporate Commonwealth entity under the </w:t>
      </w:r>
      <w:r w:rsidRPr="73E2875D">
        <w:rPr>
          <w:rFonts w:ascii="Calibri" w:eastAsia="Calibri" w:hAnsi="Calibri" w:cs="Calibri"/>
          <w:i/>
          <w:iCs/>
          <w:color w:val="auto"/>
        </w:rPr>
        <w:t>Public Governance, Performance and Accountability Act 2013</w:t>
      </w:r>
      <w:r w:rsidRPr="73E2875D">
        <w:rPr>
          <w:rFonts w:ascii="Calibri" w:eastAsia="Calibri" w:hAnsi="Calibri" w:cs="Calibri"/>
          <w:color w:val="auto"/>
        </w:rPr>
        <w:t>.</w:t>
      </w:r>
    </w:p>
    <w:p w14:paraId="74863AD0" w14:textId="5BB8B342" w:rsidR="001271D0" w:rsidRPr="009A1033" w:rsidRDefault="001271D0" w:rsidP="287609D4">
      <w:pPr>
        <w:rPr>
          <w:rFonts w:ascii="Calibri" w:eastAsia="Calibri" w:hAnsi="Calibri" w:cs="Calibri"/>
          <w:color w:val="auto"/>
        </w:rPr>
      </w:pPr>
      <w:r w:rsidRPr="287609D4">
        <w:rPr>
          <w:rFonts w:ascii="Calibri" w:eastAsia="Calibri" w:hAnsi="Calibri" w:cs="Calibri"/>
          <w:color w:val="auto"/>
        </w:rPr>
        <w:t>ARPANSA regulates nuclear installations and prescribed radiation facilities across 33 facility licences, while 58 source licences cover approximately 75 000 radiation sources. The complexity of these licensed activities range</w:t>
      </w:r>
      <w:r w:rsidR="00654367">
        <w:rPr>
          <w:rFonts w:ascii="Calibri" w:eastAsia="Calibri" w:hAnsi="Calibri" w:cs="Calibri"/>
          <w:color w:val="auto"/>
        </w:rPr>
        <w:t>s</w:t>
      </w:r>
      <w:r w:rsidRPr="287609D4">
        <w:rPr>
          <w:rFonts w:ascii="Calibri" w:eastAsia="Calibri" w:hAnsi="Calibri" w:cs="Calibri"/>
          <w:color w:val="auto"/>
        </w:rPr>
        <w:t xml:space="preserve"> from the Open-Pool Australian Lightwater (OPAL) reactor and medical radioisotope production, to the use of low risk equipment such as X-ray baggage scanners and handheld laser pointers. </w:t>
      </w:r>
    </w:p>
    <w:p w14:paraId="5C8B22CA" w14:textId="25C6E790" w:rsidR="001271D0" w:rsidRPr="009A1033" w:rsidRDefault="049686B7" w:rsidP="287609D4">
      <w:pPr>
        <w:rPr>
          <w:color w:val="auto"/>
        </w:rPr>
      </w:pPr>
      <w:r w:rsidRPr="287609D4">
        <w:rPr>
          <w:rFonts w:ascii="Calibri" w:eastAsia="Calibri" w:hAnsi="Calibri" w:cs="Calibri"/>
          <w:color w:val="auto"/>
        </w:rPr>
        <w:t>The powers and functions of the agency are outlined in the</w:t>
      </w:r>
      <w:r w:rsidRPr="287609D4">
        <w:rPr>
          <w:rFonts w:ascii="Calibri" w:eastAsia="Calibri" w:hAnsi="Calibri" w:cs="Calibri"/>
          <w:i/>
          <w:iCs/>
          <w:color w:val="auto"/>
        </w:rPr>
        <w:t xml:space="preserve"> Australian Radiation Protection and Nuclear Safety Act 1998</w:t>
      </w:r>
      <w:r w:rsidRPr="287609D4">
        <w:rPr>
          <w:rFonts w:ascii="Calibri" w:eastAsia="Calibri" w:hAnsi="Calibri" w:cs="Calibri"/>
          <w:color w:val="auto"/>
        </w:rPr>
        <w:t xml:space="preserve"> (the Act). The Act establishes the CEO of ARPANSA as the safety regulator of Commonwealth entities engaged in nuclear or radiation activities. </w:t>
      </w:r>
      <w:r w:rsidR="00654367">
        <w:rPr>
          <w:rFonts w:ascii="Calibri" w:eastAsia="Calibri" w:hAnsi="Calibri" w:cs="Calibri"/>
          <w:color w:val="auto"/>
        </w:rPr>
        <w:t>The objective of the Act is to “</w:t>
      </w:r>
      <w:r w:rsidRPr="287609D4">
        <w:rPr>
          <w:rFonts w:ascii="Calibri" w:eastAsia="Calibri" w:hAnsi="Calibri" w:cs="Calibri"/>
          <w:color w:val="auto"/>
        </w:rPr>
        <w:t>…protect the health and safety of people, and to protect the environment, from t</w:t>
      </w:r>
      <w:r w:rsidR="00654367">
        <w:rPr>
          <w:rFonts w:ascii="Calibri" w:eastAsia="Calibri" w:hAnsi="Calibri" w:cs="Calibri"/>
          <w:color w:val="auto"/>
        </w:rPr>
        <w:t>he harmful effects of radiation”</w:t>
      </w:r>
      <w:r w:rsidRPr="287609D4">
        <w:rPr>
          <w:rFonts w:ascii="Calibri" w:eastAsia="Calibri" w:hAnsi="Calibri" w:cs="Calibri"/>
          <w:color w:val="auto"/>
        </w:rPr>
        <w:t xml:space="preserve"> (section 3 of the Act). ARPANSA aims to achieve this through understanding risks, best practice regulation, research, policy, services, partnerships and engaging with the community. The CEO retains responsibility for all regulatory </w:t>
      </w:r>
      <w:r w:rsidR="008736F5" w:rsidRPr="287609D4">
        <w:rPr>
          <w:rFonts w:ascii="Calibri" w:eastAsia="Calibri" w:hAnsi="Calibri" w:cs="Calibri"/>
          <w:color w:val="auto"/>
        </w:rPr>
        <w:t>decisions but</w:t>
      </w:r>
      <w:r w:rsidRPr="287609D4">
        <w:rPr>
          <w:rFonts w:ascii="Calibri" w:eastAsia="Calibri" w:hAnsi="Calibri" w:cs="Calibri"/>
          <w:color w:val="auto"/>
        </w:rPr>
        <w:t xml:space="preserve"> draws on </w:t>
      </w:r>
      <w:r w:rsidR="00654367">
        <w:rPr>
          <w:rFonts w:ascii="Calibri" w:eastAsia="Calibri" w:hAnsi="Calibri" w:cs="Calibri"/>
          <w:color w:val="auto"/>
        </w:rPr>
        <w:t xml:space="preserve">regulatory </w:t>
      </w:r>
      <w:r w:rsidRPr="287609D4">
        <w:rPr>
          <w:rFonts w:ascii="Calibri" w:eastAsia="Calibri" w:hAnsi="Calibri" w:cs="Calibri"/>
          <w:color w:val="auto"/>
        </w:rPr>
        <w:t xml:space="preserve">expertise from </w:t>
      </w:r>
      <w:r w:rsidR="00654367">
        <w:rPr>
          <w:rFonts w:ascii="Calibri" w:eastAsia="Calibri" w:hAnsi="Calibri" w:cs="Calibri"/>
          <w:color w:val="auto"/>
        </w:rPr>
        <w:t xml:space="preserve">ARPANSA’s </w:t>
      </w:r>
      <w:r w:rsidRPr="287609D4">
        <w:rPr>
          <w:rFonts w:ascii="Calibri" w:eastAsia="Calibri" w:hAnsi="Calibri" w:cs="Calibri"/>
          <w:color w:val="auto"/>
        </w:rPr>
        <w:t xml:space="preserve">Regulatory Services Branch (RSB) and </w:t>
      </w:r>
      <w:r w:rsidR="00654367">
        <w:rPr>
          <w:rFonts w:ascii="Calibri" w:eastAsia="Calibri" w:hAnsi="Calibri" w:cs="Calibri"/>
          <w:color w:val="auto"/>
        </w:rPr>
        <w:t xml:space="preserve">as required from </w:t>
      </w:r>
      <w:r w:rsidRPr="287609D4">
        <w:rPr>
          <w:rFonts w:ascii="Calibri" w:eastAsia="Calibri" w:hAnsi="Calibri" w:cs="Calibri"/>
          <w:color w:val="auto"/>
        </w:rPr>
        <w:t xml:space="preserve">other </w:t>
      </w:r>
      <w:r w:rsidR="00654367">
        <w:rPr>
          <w:rFonts w:ascii="Calibri" w:eastAsia="Calibri" w:hAnsi="Calibri" w:cs="Calibri"/>
          <w:color w:val="auto"/>
        </w:rPr>
        <w:t xml:space="preserve">areas of </w:t>
      </w:r>
      <w:r w:rsidRPr="287609D4">
        <w:rPr>
          <w:rFonts w:ascii="Calibri" w:eastAsia="Calibri" w:hAnsi="Calibri" w:cs="Calibri"/>
          <w:color w:val="auto"/>
        </w:rPr>
        <w:t>ARPANSA.</w:t>
      </w:r>
    </w:p>
    <w:p w14:paraId="60C28881" w14:textId="2E871681" w:rsidR="00AB65BF" w:rsidRPr="009A1033" w:rsidRDefault="00082662" w:rsidP="287609D4">
      <w:pPr>
        <w:rPr>
          <w:rFonts w:ascii="Calibri" w:eastAsia="Calibri" w:hAnsi="Calibri" w:cs="Calibri"/>
          <w:color w:val="auto"/>
        </w:rPr>
      </w:pPr>
      <w:r>
        <w:rPr>
          <w:rFonts w:ascii="Calibri" w:eastAsia="Calibri" w:hAnsi="Calibri" w:cs="Calibri"/>
          <w:color w:val="auto"/>
        </w:rPr>
        <w:t xml:space="preserve">Under the </w:t>
      </w:r>
      <w:hyperlink r:id="rId20" w:history="1">
        <w:r w:rsidRPr="001511BD">
          <w:rPr>
            <w:rStyle w:val="Hyperlink"/>
            <w:rFonts w:ascii="Calibri" w:eastAsia="Calibri" w:hAnsi="Calibri" w:cs="Calibri"/>
          </w:rPr>
          <w:t>Regulatory Activities Policy</w:t>
        </w:r>
      </w:hyperlink>
      <w:r>
        <w:rPr>
          <w:rFonts w:ascii="Calibri" w:eastAsia="Calibri" w:hAnsi="Calibri" w:cs="Calibri"/>
          <w:color w:val="auto"/>
        </w:rPr>
        <w:t xml:space="preserve">, </w:t>
      </w:r>
      <w:r w:rsidR="049686B7" w:rsidRPr="287609D4">
        <w:rPr>
          <w:rFonts w:ascii="Calibri" w:eastAsia="Calibri" w:hAnsi="Calibri" w:cs="Calibri"/>
          <w:color w:val="auto"/>
        </w:rPr>
        <w:t>RSB undertakes regulatory activities such as inspections and assessments. This includes the assessment of licence applications, licence amendments, or changes significant to safety, and compliance monitoring with the Act, Australian Radiation Protection and Nuclear Safety Regulations 2018 (the Regulations) and licence conditions.</w:t>
      </w:r>
      <w:r w:rsidR="00EB626D">
        <w:rPr>
          <w:rFonts w:ascii="Calibri" w:eastAsia="Calibri" w:hAnsi="Calibri" w:cs="Calibri"/>
          <w:color w:val="auto"/>
        </w:rPr>
        <w:t xml:space="preserve"> When making regulatory decisions, sections 32(3) and 33(3) of the Act requires ARPANSA to consider international best practice in relation to radiation protection and nuclear safety.</w:t>
      </w:r>
    </w:p>
    <w:p w14:paraId="21FBB700" w14:textId="77777777" w:rsidR="00AB65BF" w:rsidRPr="009A1033" w:rsidRDefault="00AB65BF" w:rsidP="287609D4">
      <w:pPr>
        <w:rPr>
          <w:rFonts w:ascii="Calibri" w:eastAsia="Calibri" w:hAnsi="Calibri" w:cs="Calibri"/>
          <w:color w:val="auto"/>
        </w:rPr>
      </w:pPr>
      <w:r w:rsidRPr="287609D4">
        <w:rPr>
          <w:rFonts w:ascii="Calibri" w:eastAsia="Calibri" w:hAnsi="Calibri" w:cs="Calibri"/>
          <w:color w:val="auto"/>
        </w:rPr>
        <w:t xml:space="preserve">The RSB also carries out a range of other activities such as preparing regulatory policy, regulatory publications and promotion of the adoption of international best practice across Australia. </w:t>
      </w:r>
    </w:p>
    <w:p w14:paraId="50A83153" w14:textId="3E28F13C" w:rsidR="003B4D69" w:rsidRPr="00C545BA" w:rsidRDefault="00E51FFC" w:rsidP="003B4D69">
      <w:pPr>
        <w:pStyle w:val="Heading2"/>
      </w:pPr>
      <w:bookmarkStart w:id="15" w:name="_Toc12883992"/>
      <w:bookmarkStart w:id="16" w:name="_Toc23846599"/>
      <w:bookmarkStart w:id="17" w:name="_Toc58918571"/>
      <w:r>
        <w:t>P</w:t>
      </w:r>
      <w:r w:rsidR="003B4D69" w:rsidRPr="00C545BA">
        <w:t xml:space="preserve">erformance </w:t>
      </w:r>
      <w:r>
        <w:t>F</w:t>
      </w:r>
      <w:r w:rsidR="003B4D69" w:rsidRPr="00C545BA">
        <w:t>ramework</w:t>
      </w:r>
      <w:bookmarkEnd w:id="15"/>
      <w:bookmarkEnd w:id="16"/>
      <w:bookmarkEnd w:id="17"/>
    </w:p>
    <w:p w14:paraId="5F790B14" w14:textId="6C8B0040" w:rsidR="003B4D69" w:rsidRPr="00DD193F" w:rsidRDefault="003B4D69" w:rsidP="003B4D69">
      <w:pPr>
        <w:rPr>
          <w:color w:val="auto"/>
          <w:shd w:val="clear" w:color="auto" w:fill="FFFFFF"/>
        </w:rPr>
      </w:pPr>
      <w:r w:rsidRPr="00DD193F">
        <w:rPr>
          <w:color w:val="auto"/>
          <w:shd w:val="clear" w:color="auto" w:fill="FFFFFF"/>
        </w:rPr>
        <w:t xml:space="preserve">The Australian Government is committed to reducing the cost of unnecessary or inefficient regulation </w:t>
      </w:r>
      <w:r w:rsidR="00E51FFC">
        <w:rPr>
          <w:color w:val="auto"/>
          <w:shd w:val="clear" w:color="auto" w:fill="FFFFFF"/>
        </w:rPr>
        <w:t>and associated costs</w:t>
      </w:r>
      <w:r w:rsidR="00273A76">
        <w:rPr>
          <w:color w:val="auto"/>
          <w:shd w:val="clear" w:color="auto" w:fill="FFFFFF"/>
        </w:rPr>
        <w:t xml:space="preserve">, </w:t>
      </w:r>
      <w:r w:rsidRPr="00DD193F">
        <w:rPr>
          <w:color w:val="auto"/>
          <w:shd w:val="clear" w:color="auto" w:fill="FFFFFF"/>
        </w:rPr>
        <w:t xml:space="preserve">imposed on business, community organisations and individuals. The </w:t>
      </w:r>
      <w:hyperlink r:id="rId21" w:history="1">
        <w:r w:rsidRPr="00DB58A7">
          <w:rPr>
            <w:rStyle w:val="Hyperlink"/>
            <w:shd w:val="clear" w:color="auto" w:fill="FFFFFF"/>
          </w:rPr>
          <w:t>Regulator Performance Framework</w:t>
        </w:r>
      </w:hyperlink>
      <w:r w:rsidRPr="00DD193F">
        <w:rPr>
          <w:color w:val="auto"/>
          <w:shd w:val="clear" w:color="auto" w:fill="FFFFFF"/>
        </w:rPr>
        <w:t xml:space="preserve"> (RPF)</w:t>
      </w:r>
      <w:r w:rsidRPr="00DD193F">
        <w:rPr>
          <w:rStyle w:val="FootnoteReference"/>
          <w:color w:val="auto"/>
          <w:shd w:val="clear" w:color="auto" w:fill="FFFFFF"/>
        </w:rPr>
        <w:footnoteReference w:id="4"/>
      </w:r>
      <w:r w:rsidRPr="00DD193F">
        <w:rPr>
          <w:color w:val="auto"/>
          <w:shd w:val="clear" w:color="auto" w:fill="FFFFFF"/>
        </w:rPr>
        <w:t xml:space="preserve"> establishes a common set of performance measures </w:t>
      </w:r>
      <w:r w:rsidR="00273A76">
        <w:rPr>
          <w:color w:val="auto"/>
          <w:shd w:val="clear" w:color="auto" w:fill="FFFFFF"/>
        </w:rPr>
        <w:t>(s</w:t>
      </w:r>
      <w:r w:rsidR="00A4359A">
        <w:rPr>
          <w:color w:val="auto"/>
          <w:shd w:val="clear" w:color="auto" w:fill="FFFFFF"/>
        </w:rPr>
        <w:t xml:space="preserve">ee </w:t>
      </w:r>
      <w:r w:rsidR="00897EA0">
        <w:rPr>
          <w:color w:val="auto"/>
          <w:shd w:val="clear" w:color="auto" w:fill="FFFFFF"/>
        </w:rPr>
        <w:t xml:space="preserve">Performance Section below) </w:t>
      </w:r>
      <w:r w:rsidRPr="00DD193F">
        <w:rPr>
          <w:color w:val="auto"/>
          <w:shd w:val="clear" w:color="auto" w:fill="FFFFFF"/>
        </w:rPr>
        <w:t xml:space="preserve">for the comprehensive assessment of regulator performance and their engagement with stakeholders. The framework aims to encourage regulators to undertake their functions with the minimum impact necessary to achieve regulatory objectives. </w:t>
      </w:r>
    </w:p>
    <w:p w14:paraId="41AAD482" w14:textId="0DF6DC3D" w:rsidR="00C915BD" w:rsidRPr="00DD193F" w:rsidRDefault="003B4D69" w:rsidP="00C915BD">
      <w:pPr>
        <w:rPr>
          <w:color w:val="auto"/>
          <w:shd w:val="clear" w:color="auto" w:fill="FFFFFF"/>
        </w:rPr>
      </w:pPr>
      <w:r w:rsidRPr="00DD193F">
        <w:rPr>
          <w:color w:val="auto"/>
          <w:shd w:val="clear" w:color="auto" w:fill="FFFFFF"/>
        </w:rPr>
        <w:t xml:space="preserve">Under the RPF, regulators are required to undertake an annual self-assessment of regulatory performance against the six KPIs. </w:t>
      </w:r>
      <w:r w:rsidR="004D6F52">
        <w:rPr>
          <w:color w:val="auto"/>
          <w:shd w:val="clear" w:color="auto" w:fill="FFFFFF"/>
        </w:rPr>
        <w:t xml:space="preserve">ARPANSA </w:t>
      </w:r>
      <w:r w:rsidRPr="00DD193F">
        <w:rPr>
          <w:color w:val="auto"/>
          <w:shd w:val="clear" w:color="auto" w:fill="FFFFFF"/>
        </w:rPr>
        <w:t>use</w:t>
      </w:r>
      <w:r w:rsidR="004D6F52">
        <w:rPr>
          <w:color w:val="auto"/>
          <w:shd w:val="clear" w:color="auto" w:fill="FFFFFF"/>
        </w:rPr>
        <w:t>s</w:t>
      </w:r>
      <w:r w:rsidRPr="00DD193F">
        <w:rPr>
          <w:color w:val="auto"/>
          <w:shd w:val="clear" w:color="auto" w:fill="FFFFFF"/>
        </w:rPr>
        <w:t xml:space="preserve"> </w:t>
      </w:r>
      <w:r w:rsidR="004F6BDC">
        <w:rPr>
          <w:color w:val="auto"/>
          <w:shd w:val="clear" w:color="auto" w:fill="FFFFFF"/>
        </w:rPr>
        <w:t xml:space="preserve">12 metrics </w:t>
      </w:r>
      <w:r w:rsidRPr="00DD193F">
        <w:rPr>
          <w:color w:val="auto"/>
          <w:shd w:val="clear" w:color="auto" w:fill="FFFFFF"/>
        </w:rPr>
        <w:t>to assess performance that have been agreed through a ministerially approved stakeholder consultation mechanism.</w:t>
      </w:r>
      <w:r w:rsidR="00C915BD" w:rsidRPr="00DD193F">
        <w:rPr>
          <w:color w:val="auto"/>
          <w:shd w:val="clear" w:color="auto" w:fill="FFFFFF"/>
        </w:rPr>
        <w:t xml:space="preserve"> </w:t>
      </w:r>
      <w:r w:rsidR="00995739" w:rsidRPr="00DD193F">
        <w:rPr>
          <w:color w:val="auto"/>
          <w:shd w:val="clear" w:color="auto" w:fill="FFFFFF"/>
        </w:rPr>
        <w:t>ARPANSA has published its</w:t>
      </w:r>
      <w:r w:rsidR="00C915BD" w:rsidRPr="00DD193F">
        <w:rPr>
          <w:color w:val="auto"/>
          <w:shd w:val="clear" w:color="auto" w:fill="FFFFFF"/>
        </w:rPr>
        <w:t xml:space="preserve"> </w:t>
      </w:r>
      <w:hyperlink r:id="rId22" w:history="1">
        <w:r w:rsidR="1B0E300A" w:rsidRPr="00546645">
          <w:rPr>
            <w:rStyle w:val="Hyperlink"/>
            <w:color w:val="4E1A74" w:themeColor="text2"/>
            <w:shd w:val="clear" w:color="auto" w:fill="FFFFFF"/>
          </w:rPr>
          <w:t>approved metrics</w:t>
        </w:r>
      </w:hyperlink>
      <w:r w:rsidR="00995739" w:rsidRPr="00DD193F">
        <w:rPr>
          <w:color w:val="auto"/>
          <w:shd w:val="clear" w:color="auto" w:fill="FFFFFF"/>
        </w:rPr>
        <w:t xml:space="preserve"> online.</w:t>
      </w:r>
      <w:r w:rsidR="00C915BD" w:rsidRPr="00DD193F">
        <w:rPr>
          <w:color w:val="auto"/>
          <w:shd w:val="clear" w:color="auto" w:fill="FFFFFF"/>
        </w:rPr>
        <w:t xml:space="preserve"> </w:t>
      </w:r>
    </w:p>
    <w:p w14:paraId="51A75BB0" w14:textId="77777777" w:rsidR="00865E18" w:rsidRPr="00DD193F" w:rsidRDefault="049686B7" w:rsidP="00865E18">
      <w:pPr>
        <w:rPr>
          <w:color w:val="auto"/>
        </w:rPr>
      </w:pPr>
      <w:r w:rsidRPr="00DD193F">
        <w:rPr>
          <w:color w:val="auto"/>
        </w:rPr>
        <w:t>The RPF assessment process is not intended to cover the full range of regulatory and policy objectives. ARPANSA also measures its performance against its safety objective ‘to protect the health and safety of people, and to protect the environment, from the harmful effects of radiation’</w:t>
      </w:r>
      <w:r w:rsidR="004D6F52">
        <w:rPr>
          <w:color w:val="auto"/>
        </w:rPr>
        <w:t xml:space="preserve">. </w:t>
      </w:r>
      <w:r w:rsidRPr="00DD193F">
        <w:rPr>
          <w:color w:val="auto"/>
        </w:rPr>
        <w:t xml:space="preserve">ARPANSA’s published </w:t>
      </w:r>
      <w:hyperlink r:id="rId23">
        <w:r w:rsidRPr="00546645">
          <w:rPr>
            <w:rStyle w:val="Hyperlink"/>
            <w:color w:val="4E1A74" w:themeColor="text2"/>
          </w:rPr>
          <w:t>Corporate Plans</w:t>
        </w:r>
      </w:hyperlink>
      <w:r w:rsidRPr="00DD193F">
        <w:rPr>
          <w:color w:val="auto"/>
        </w:rPr>
        <w:t xml:space="preserve"> and </w:t>
      </w:r>
      <w:hyperlink r:id="rId24">
        <w:r w:rsidR="004D6F52" w:rsidRPr="00546645">
          <w:rPr>
            <w:rStyle w:val="Hyperlink"/>
            <w:color w:val="4E1A74" w:themeColor="text2"/>
          </w:rPr>
          <w:t>A</w:t>
        </w:r>
        <w:r w:rsidRPr="00546645">
          <w:rPr>
            <w:rStyle w:val="Hyperlink"/>
            <w:color w:val="4E1A74" w:themeColor="text2"/>
          </w:rPr>
          <w:t xml:space="preserve">nnual </w:t>
        </w:r>
        <w:r w:rsidR="004D6F52" w:rsidRPr="00546645">
          <w:rPr>
            <w:rStyle w:val="Hyperlink"/>
            <w:color w:val="4E1A74" w:themeColor="text2"/>
          </w:rPr>
          <w:t>R</w:t>
        </w:r>
        <w:r w:rsidRPr="00546645">
          <w:rPr>
            <w:rStyle w:val="Hyperlink"/>
            <w:color w:val="4E1A74" w:themeColor="text2"/>
          </w:rPr>
          <w:t>eport</w:t>
        </w:r>
      </w:hyperlink>
      <w:r w:rsidRPr="00DD193F">
        <w:rPr>
          <w:color w:val="auto"/>
        </w:rPr>
        <w:t xml:space="preserve"> </w:t>
      </w:r>
      <w:r w:rsidR="004D6F52">
        <w:rPr>
          <w:color w:val="auto"/>
        </w:rPr>
        <w:t xml:space="preserve">provide further information on its strategies and overall performance. </w:t>
      </w:r>
    </w:p>
    <w:p w14:paraId="1C754E53" w14:textId="77777777" w:rsidR="008F74D3" w:rsidRDefault="008F74D3" w:rsidP="008F74D3">
      <w:pPr>
        <w:pStyle w:val="Heading2"/>
        <w:rPr>
          <w:shd w:val="clear" w:color="auto" w:fill="FFFFFF"/>
        </w:rPr>
      </w:pPr>
      <w:bookmarkStart w:id="18" w:name="_Toc23846600"/>
      <w:bookmarkStart w:id="19" w:name="_Toc58918572"/>
      <w:bookmarkStart w:id="20" w:name="_Toc199580"/>
      <w:bookmarkStart w:id="21" w:name="_Toc12883995"/>
      <w:bookmarkStart w:id="22" w:name="_Toc12883993"/>
      <w:r>
        <w:rPr>
          <w:shd w:val="clear" w:color="auto" w:fill="FFFFFF"/>
        </w:rPr>
        <w:t>Assessment team and methodology</w:t>
      </w:r>
      <w:bookmarkEnd w:id="18"/>
      <w:bookmarkEnd w:id="19"/>
    </w:p>
    <w:p w14:paraId="5B4A8265" w14:textId="526BC642" w:rsidR="006758F0" w:rsidRPr="009A6EC4" w:rsidRDefault="008F74D3" w:rsidP="008F74D3">
      <w:pPr>
        <w:rPr>
          <w:color w:val="auto"/>
        </w:rPr>
      </w:pPr>
      <w:r w:rsidRPr="009A6EC4">
        <w:rPr>
          <w:color w:val="auto"/>
        </w:rPr>
        <w:t>Each year, ARPANSA selects an assessment team with a broad range of experience</w:t>
      </w:r>
      <w:r w:rsidR="009F5239" w:rsidRPr="009A6EC4">
        <w:rPr>
          <w:color w:val="auto"/>
        </w:rPr>
        <w:t xml:space="preserve"> that</w:t>
      </w:r>
      <w:r w:rsidR="006B7663">
        <w:rPr>
          <w:color w:val="auto"/>
        </w:rPr>
        <w:t xml:space="preserve"> </w:t>
      </w:r>
      <w:r w:rsidR="00273A76">
        <w:rPr>
          <w:color w:val="auto"/>
        </w:rPr>
        <w:t>in previous years</w:t>
      </w:r>
      <w:r w:rsidR="009F5239" w:rsidRPr="009A6EC4">
        <w:rPr>
          <w:color w:val="auto"/>
        </w:rPr>
        <w:t xml:space="preserve"> included </w:t>
      </w:r>
      <w:r w:rsidR="00273A76">
        <w:rPr>
          <w:color w:val="auto"/>
        </w:rPr>
        <w:t>non-agency</w:t>
      </w:r>
      <w:r w:rsidR="009F5239" w:rsidRPr="009A6EC4">
        <w:rPr>
          <w:color w:val="auto"/>
        </w:rPr>
        <w:t xml:space="preserve"> members</w:t>
      </w:r>
      <w:r w:rsidR="00226BB0" w:rsidRPr="009A6EC4">
        <w:rPr>
          <w:color w:val="auto"/>
        </w:rPr>
        <w:t xml:space="preserve">. </w:t>
      </w:r>
      <w:r w:rsidR="00BC1B43" w:rsidRPr="009A6EC4">
        <w:rPr>
          <w:color w:val="auto"/>
        </w:rPr>
        <w:t>This year</w:t>
      </w:r>
      <w:r w:rsidR="005B27BA" w:rsidRPr="009A6EC4">
        <w:rPr>
          <w:color w:val="auto"/>
        </w:rPr>
        <w:t xml:space="preserve">, due to restrictions imposed during </w:t>
      </w:r>
      <w:r w:rsidR="008736F5" w:rsidRPr="009A6EC4">
        <w:rPr>
          <w:color w:val="auto"/>
        </w:rPr>
        <w:t xml:space="preserve">the </w:t>
      </w:r>
      <w:r w:rsidR="008736F5">
        <w:rPr>
          <w:color w:val="auto"/>
        </w:rPr>
        <w:t>COVID</w:t>
      </w:r>
      <w:r w:rsidR="006B7663">
        <w:rPr>
          <w:color w:val="auto"/>
        </w:rPr>
        <w:t xml:space="preserve">-19 </w:t>
      </w:r>
      <w:r w:rsidR="005B27BA" w:rsidRPr="009A6EC4">
        <w:rPr>
          <w:color w:val="auto"/>
        </w:rPr>
        <w:t>pandemic, all team members were from ARPANSA’s Regulatory Services Branch. T</w:t>
      </w:r>
      <w:r w:rsidR="00BC1B43" w:rsidRPr="009A6EC4">
        <w:rPr>
          <w:color w:val="auto"/>
        </w:rPr>
        <w:t>wo staff new to ARPANSA joined the team</w:t>
      </w:r>
      <w:r w:rsidR="009F5239" w:rsidRPr="009A6EC4">
        <w:rPr>
          <w:color w:val="auto"/>
        </w:rPr>
        <w:t xml:space="preserve"> </w:t>
      </w:r>
      <w:r w:rsidR="00273A76">
        <w:rPr>
          <w:color w:val="auto"/>
        </w:rPr>
        <w:t xml:space="preserve">and provided input that was not biased by </w:t>
      </w:r>
      <w:r w:rsidR="00D20847">
        <w:rPr>
          <w:color w:val="auto"/>
        </w:rPr>
        <w:t>any</w:t>
      </w:r>
      <w:r w:rsidR="00F6191A">
        <w:rPr>
          <w:color w:val="auto"/>
        </w:rPr>
        <w:t xml:space="preserve"> </w:t>
      </w:r>
      <w:r w:rsidR="00273A76">
        <w:rPr>
          <w:color w:val="auto"/>
        </w:rPr>
        <w:t>former association with ARPANSA’s regulatory activities.</w:t>
      </w:r>
      <w:r w:rsidR="006758F0" w:rsidRPr="009A6EC4">
        <w:rPr>
          <w:color w:val="auto"/>
        </w:rPr>
        <w:t xml:space="preserve"> </w:t>
      </w:r>
    </w:p>
    <w:p w14:paraId="54793807" w14:textId="77777777" w:rsidR="008F74D3" w:rsidRPr="009A6EC4" w:rsidRDefault="006758F0" w:rsidP="008F74D3">
      <w:pPr>
        <w:rPr>
          <w:color w:val="auto"/>
        </w:rPr>
      </w:pPr>
      <w:r w:rsidRPr="009A6EC4">
        <w:rPr>
          <w:color w:val="auto"/>
        </w:rPr>
        <w:t>T</w:t>
      </w:r>
      <w:r w:rsidR="008F74D3" w:rsidRPr="009A6EC4">
        <w:rPr>
          <w:color w:val="auto"/>
        </w:rPr>
        <w:t xml:space="preserve">he RPF assessment was carried out by the following team members: </w:t>
      </w:r>
    </w:p>
    <w:p w14:paraId="49674E7E" w14:textId="77777777" w:rsidR="009F5239" w:rsidRPr="009A6EC4" w:rsidRDefault="009F5239" w:rsidP="008F74D3">
      <w:pPr>
        <w:pStyle w:val="ListParagraph"/>
        <w:numPr>
          <w:ilvl w:val="0"/>
          <w:numId w:val="19"/>
        </w:numPr>
        <w:rPr>
          <w:color w:val="auto"/>
        </w:rPr>
      </w:pPr>
      <w:r w:rsidRPr="009A6EC4">
        <w:rPr>
          <w:color w:val="auto"/>
        </w:rPr>
        <w:t>John Ward, Director Safety Systems, Regulatory Services Branch (Team Lead)</w:t>
      </w:r>
    </w:p>
    <w:p w14:paraId="1B3B0B79" w14:textId="77777777" w:rsidR="008F74D3" w:rsidRPr="009A6EC4" w:rsidRDefault="009F5239" w:rsidP="008F74D3">
      <w:pPr>
        <w:pStyle w:val="ListParagraph"/>
        <w:numPr>
          <w:ilvl w:val="0"/>
          <w:numId w:val="19"/>
        </w:numPr>
        <w:rPr>
          <w:color w:val="auto"/>
        </w:rPr>
      </w:pPr>
      <w:r w:rsidRPr="009A6EC4">
        <w:rPr>
          <w:color w:val="auto"/>
        </w:rPr>
        <w:t>Joy Ho</w:t>
      </w:r>
      <w:r w:rsidR="008F74D3" w:rsidRPr="009A6EC4">
        <w:rPr>
          <w:color w:val="auto"/>
        </w:rPr>
        <w:t>, Senior Regulatory Office</w:t>
      </w:r>
      <w:r w:rsidR="007E7639" w:rsidRPr="009A6EC4">
        <w:rPr>
          <w:color w:val="auto"/>
        </w:rPr>
        <w:t>r</w:t>
      </w:r>
      <w:r w:rsidR="008F74D3" w:rsidRPr="009A6EC4">
        <w:rPr>
          <w:color w:val="auto"/>
        </w:rPr>
        <w:t>, Reg</w:t>
      </w:r>
      <w:r w:rsidRPr="009A6EC4">
        <w:rPr>
          <w:color w:val="auto"/>
        </w:rPr>
        <w:t>ulatory Services Branch</w:t>
      </w:r>
      <w:r w:rsidR="009A6EC4" w:rsidRPr="009A6EC4">
        <w:rPr>
          <w:color w:val="auto"/>
        </w:rPr>
        <w:t>, Safety Systems</w:t>
      </w:r>
    </w:p>
    <w:p w14:paraId="4333D050" w14:textId="77777777" w:rsidR="008F74D3" w:rsidRPr="009A6EC4" w:rsidRDefault="009F5239" w:rsidP="008F74D3">
      <w:pPr>
        <w:pStyle w:val="ListParagraph"/>
        <w:numPr>
          <w:ilvl w:val="0"/>
          <w:numId w:val="19"/>
        </w:numPr>
        <w:rPr>
          <w:color w:val="auto"/>
        </w:rPr>
      </w:pPr>
      <w:r w:rsidRPr="009A6EC4">
        <w:rPr>
          <w:color w:val="auto"/>
        </w:rPr>
        <w:t>Serene Mukattash</w:t>
      </w:r>
      <w:r w:rsidR="008F74D3" w:rsidRPr="009A6EC4">
        <w:rPr>
          <w:color w:val="auto"/>
        </w:rPr>
        <w:t xml:space="preserve">, </w:t>
      </w:r>
      <w:r w:rsidRPr="009A6EC4">
        <w:rPr>
          <w:color w:val="auto"/>
        </w:rPr>
        <w:t>Regulatory Officer, Regulatory Services Branch</w:t>
      </w:r>
      <w:r w:rsidR="009A6EC4" w:rsidRPr="009A6EC4">
        <w:rPr>
          <w:color w:val="auto"/>
        </w:rPr>
        <w:t>, Facility Safety</w:t>
      </w:r>
    </w:p>
    <w:p w14:paraId="35CB5F1C" w14:textId="4B7ECBB7" w:rsidR="009A6EC4" w:rsidRPr="009A6EC4" w:rsidRDefault="009A6EC4" w:rsidP="008F74D3">
      <w:pPr>
        <w:pStyle w:val="ListParagraph"/>
        <w:numPr>
          <w:ilvl w:val="0"/>
          <w:numId w:val="19"/>
        </w:numPr>
        <w:rPr>
          <w:color w:val="auto"/>
        </w:rPr>
      </w:pPr>
      <w:r w:rsidRPr="009A6EC4">
        <w:rPr>
          <w:color w:val="auto"/>
        </w:rPr>
        <w:t>Rodger Tranter, Senior Regulatory Officer, Source Safety and Security</w:t>
      </w:r>
      <w:r w:rsidR="00546645">
        <w:rPr>
          <w:color w:val="auto"/>
        </w:rPr>
        <w:t>.</w:t>
      </w:r>
    </w:p>
    <w:p w14:paraId="560C8B0A" w14:textId="0EAEB6D4" w:rsidR="008F74D3" w:rsidRPr="009A6EC4" w:rsidRDefault="008F74D3" w:rsidP="009A6EC4">
      <w:pPr>
        <w:keepNext/>
        <w:keepLines/>
        <w:rPr>
          <w:color w:val="auto"/>
          <w:shd w:val="clear" w:color="auto" w:fill="FFFFFF"/>
        </w:rPr>
      </w:pPr>
      <w:r w:rsidRPr="009A6EC4">
        <w:rPr>
          <w:color w:val="auto"/>
        </w:rPr>
        <w:t xml:space="preserve">The assessment focussed on a review of performance against the </w:t>
      </w:r>
      <w:r w:rsidR="00A37CB9" w:rsidRPr="009A6EC4">
        <w:rPr>
          <w:color w:val="auto"/>
        </w:rPr>
        <w:t xml:space="preserve">six </w:t>
      </w:r>
      <w:r w:rsidRPr="009A6EC4">
        <w:rPr>
          <w:color w:val="auto"/>
        </w:rPr>
        <w:t xml:space="preserve">KPIs using the 12 approved measures, and </w:t>
      </w:r>
      <w:r w:rsidR="008D3CAB" w:rsidRPr="009A6EC4">
        <w:rPr>
          <w:color w:val="auto"/>
        </w:rPr>
        <w:t xml:space="preserve">the verification of the associated </w:t>
      </w:r>
      <w:r w:rsidRPr="009A6EC4">
        <w:rPr>
          <w:color w:val="auto"/>
        </w:rPr>
        <w:t xml:space="preserve">data. </w:t>
      </w:r>
      <w:r w:rsidR="009A6EC4" w:rsidRPr="009A6EC4">
        <w:rPr>
          <w:color w:val="auto"/>
        </w:rPr>
        <w:t>To ensure a balanced and objective assessment, t</w:t>
      </w:r>
      <w:r w:rsidRPr="009A6EC4">
        <w:rPr>
          <w:color w:val="auto"/>
        </w:rPr>
        <w:t xml:space="preserve">he team considered </w:t>
      </w:r>
      <w:r w:rsidR="008D3CAB" w:rsidRPr="009A6EC4">
        <w:rPr>
          <w:color w:val="auto"/>
        </w:rPr>
        <w:t xml:space="preserve">additional information against the </w:t>
      </w:r>
      <w:r w:rsidRPr="009A6EC4">
        <w:rPr>
          <w:color w:val="auto"/>
        </w:rPr>
        <w:t>RPF metrics outlined in the RPF framework</w:t>
      </w:r>
      <w:r w:rsidR="009A6EC4" w:rsidRPr="009A6EC4">
        <w:rPr>
          <w:color w:val="auto"/>
        </w:rPr>
        <w:t xml:space="preserve">. The assessment </w:t>
      </w:r>
      <w:r w:rsidR="003D323D" w:rsidRPr="009A6EC4">
        <w:rPr>
          <w:color w:val="auto"/>
        </w:rPr>
        <w:t>includes</w:t>
      </w:r>
      <w:r w:rsidR="003D323D" w:rsidRPr="009A6EC4">
        <w:rPr>
          <w:color w:val="auto"/>
          <w:shd w:val="clear" w:color="auto" w:fill="FFFFFF"/>
        </w:rPr>
        <w:t xml:space="preserve"> reviewing</w:t>
      </w:r>
      <w:r w:rsidRPr="009A6EC4">
        <w:rPr>
          <w:color w:val="auto"/>
          <w:shd w:val="clear" w:color="auto" w:fill="FFFFFF"/>
        </w:rPr>
        <w:t xml:space="preserve"> records</w:t>
      </w:r>
      <w:r w:rsidR="009E4F6C">
        <w:rPr>
          <w:color w:val="auto"/>
          <w:shd w:val="clear" w:color="auto" w:fill="FFFFFF"/>
        </w:rPr>
        <w:t>, documents</w:t>
      </w:r>
      <w:r w:rsidRPr="009A6EC4">
        <w:rPr>
          <w:color w:val="auto"/>
          <w:shd w:val="clear" w:color="auto" w:fill="FFFFFF"/>
        </w:rPr>
        <w:t xml:space="preserve"> and dat</w:t>
      </w:r>
      <w:r w:rsidR="008D3CAB" w:rsidRPr="009A6EC4">
        <w:rPr>
          <w:color w:val="auto"/>
          <w:shd w:val="clear" w:color="auto" w:fill="FFFFFF"/>
        </w:rPr>
        <w:t>a within the management systems</w:t>
      </w:r>
      <w:r w:rsidRPr="009A6EC4">
        <w:rPr>
          <w:color w:val="auto"/>
          <w:shd w:val="clear" w:color="auto" w:fill="FFFFFF"/>
        </w:rPr>
        <w:t>.</w:t>
      </w:r>
      <w:r w:rsidR="009E4F6C">
        <w:rPr>
          <w:color w:val="auto"/>
          <w:shd w:val="clear" w:color="auto" w:fill="FFFFFF"/>
        </w:rPr>
        <w:t xml:space="preserve"> Interviews were conducted with both staff members, senior </w:t>
      </w:r>
      <w:r w:rsidR="00273A76">
        <w:rPr>
          <w:color w:val="auto"/>
          <w:shd w:val="clear" w:color="auto" w:fill="FFFFFF"/>
        </w:rPr>
        <w:t>management</w:t>
      </w:r>
      <w:r w:rsidR="009E4F6C">
        <w:rPr>
          <w:color w:val="auto"/>
          <w:shd w:val="clear" w:color="auto" w:fill="FFFFFF"/>
        </w:rPr>
        <w:t xml:space="preserve"> and licence holder</w:t>
      </w:r>
      <w:r w:rsidR="00273A76">
        <w:rPr>
          <w:color w:val="auto"/>
          <w:shd w:val="clear" w:color="auto" w:fill="FFFFFF"/>
        </w:rPr>
        <w:t xml:space="preserve"> representative</w:t>
      </w:r>
      <w:r w:rsidR="009E4F6C">
        <w:rPr>
          <w:color w:val="auto"/>
          <w:shd w:val="clear" w:color="auto" w:fill="FFFFFF"/>
        </w:rPr>
        <w:t xml:space="preserve">s </w:t>
      </w:r>
      <w:r w:rsidR="00D20847">
        <w:rPr>
          <w:color w:val="auto"/>
          <w:shd w:val="clear" w:color="auto" w:fill="FFFFFF"/>
        </w:rPr>
        <w:t>to</w:t>
      </w:r>
      <w:r w:rsidR="009E4F6C">
        <w:rPr>
          <w:color w:val="auto"/>
          <w:shd w:val="clear" w:color="auto" w:fill="FFFFFF"/>
        </w:rPr>
        <w:t xml:space="preserve"> inform this report.</w:t>
      </w:r>
    </w:p>
    <w:p w14:paraId="3A3EDE9E" w14:textId="49898967" w:rsidR="008F74D3" w:rsidRPr="009A1033" w:rsidRDefault="008F74D3" w:rsidP="008F74D3">
      <w:pPr>
        <w:rPr>
          <w:color w:val="C00000"/>
          <w:shd w:val="clear" w:color="auto" w:fill="FFFFFF"/>
        </w:rPr>
      </w:pPr>
      <w:r w:rsidRPr="009A6EC4">
        <w:rPr>
          <w:color w:val="auto"/>
          <w:shd w:val="clear" w:color="auto" w:fill="FFFFFF"/>
        </w:rPr>
        <w:t xml:space="preserve">The team set out to identify Areas for Improvement (AFIs) to assist ARPANSA </w:t>
      </w:r>
      <w:r w:rsidR="00D20847">
        <w:rPr>
          <w:color w:val="auto"/>
          <w:shd w:val="clear" w:color="auto" w:fill="FFFFFF"/>
        </w:rPr>
        <w:t xml:space="preserve">in </w:t>
      </w:r>
      <w:r w:rsidRPr="009A6EC4">
        <w:rPr>
          <w:color w:val="auto"/>
          <w:shd w:val="clear" w:color="auto" w:fill="FFFFFF"/>
        </w:rPr>
        <w:t>improv</w:t>
      </w:r>
      <w:r w:rsidR="00D20847">
        <w:rPr>
          <w:color w:val="auto"/>
          <w:shd w:val="clear" w:color="auto" w:fill="FFFFFF"/>
        </w:rPr>
        <w:t>ing</w:t>
      </w:r>
      <w:r w:rsidRPr="009A6EC4">
        <w:rPr>
          <w:color w:val="auto"/>
          <w:shd w:val="clear" w:color="auto" w:fill="FFFFFF"/>
        </w:rPr>
        <w:t xml:space="preserve"> its regulatory outcomes</w:t>
      </w:r>
      <w:r w:rsidR="008D3CAB" w:rsidRPr="009A6EC4">
        <w:rPr>
          <w:color w:val="auto"/>
          <w:shd w:val="clear" w:color="auto" w:fill="FFFFFF"/>
        </w:rPr>
        <w:t xml:space="preserve"> and </w:t>
      </w:r>
      <w:r w:rsidR="00D20847">
        <w:rPr>
          <w:color w:val="auto"/>
          <w:shd w:val="clear" w:color="auto" w:fill="FFFFFF"/>
        </w:rPr>
        <w:t xml:space="preserve">to </w:t>
      </w:r>
      <w:r w:rsidR="008D3CAB" w:rsidRPr="009A6EC4">
        <w:rPr>
          <w:color w:val="auto"/>
          <w:shd w:val="clear" w:color="auto" w:fill="FFFFFF"/>
        </w:rPr>
        <w:t>align with the RPF framework</w:t>
      </w:r>
      <w:r w:rsidRPr="009A6EC4">
        <w:rPr>
          <w:color w:val="auto"/>
          <w:shd w:val="clear" w:color="auto" w:fill="FFFFFF"/>
        </w:rPr>
        <w:t>. Strengths were also identified to understand and learn from what ARPANSA does well.</w:t>
      </w:r>
    </w:p>
    <w:p w14:paraId="18EF2107" w14:textId="77777777" w:rsidR="007374E4" w:rsidRPr="00C545BA" w:rsidRDefault="008F74D3" w:rsidP="008F74D3">
      <w:pPr>
        <w:pStyle w:val="Heading3"/>
      </w:pPr>
      <w:r w:rsidRPr="00C545BA">
        <w:t>Rating scale</w:t>
      </w:r>
      <w:bookmarkEnd w:id="20"/>
      <w:bookmarkEnd w:id="21"/>
    </w:p>
    <w:p w14:paraId="28D2C3EA" w14:textId="1F665D50" w:rsidR="007374E4" w:rsidRPr="009A6EC4" w:rsidRDefault="007374E4" w:rsidP="007374E4">
      <w:pPr>
        <w:rPr>
          <w:color w:val="auto"/>
        </w:rPr>
      </w:pPr>
      <w:r w:rsidRPr="009A6EC4">
        <w:rPr>
          <w:color w:val="auto"/>
        </w:rPr>
        <w:t xml:space="preserve">ARPANSA has </w:t>
      </w:r>
      <w:r w:rsidR="009A6EC4" w:rsidRPr="009A6EC4">
        <w:rPr>
          <w:color w:val="auto"/>
        </w:rPr>
        <w:t>used</w:t>
      </w:r>
      <w:r w:rsidR="00273A76">
        <w:rPr>
          <w:color w:val="auto"/>
        </w:rPr>
        <w:t xml:space="preserve"> a three-</w:t>
      </w:r>
      <w:r w:rsidRPr="009A6EC4">
        <w:rPr>
          <w:color w:val="auto"/>
        </w:rPr>
        <w:t>point scale, in accordance with guidance from the Department of Health</w:t>
      </w:r>
      <w:r w:rsidR="003732CE" w:rsidRPr="009A6EC4">
        <w:rPr>
          <w:color w:val="auto"/>
        </w:rPr>
        <w:t xml:space="preserve">. A uniform rating scale enhances comparability </w:t>
      </w:r>
      <w:r w:rsidRPr="009A6EC4">
        <w:rPr>
          <w:color w:val="auto"/>
        </w:rPr>
        <w:t>across regulatory bodies undertaking this assessment.</w:t>
      </w:r>
      <w:r w:rsidR="003A35B6" w:rsidRPr="009A6EC4">
        <w:rPr>
          <w:color w:val="auto"/>
        </w:rPr>
        <w:br/>
      </w:r>
    </w:p>
    <w:tbl>
      <w:tblPr>
        <w:tblStyle w:val="GenericARPANSA"/>
        <w:tblW w:w="0" w:type="auto"/>
        <w:tblLook w:val="0680" w:firstRow="0" w:lastRow="0" w:firstColumn="1" w:lastColumn="0" w:noHBand="1" w:noVBand="1"/>
      </w:tblPr>
      <w:tblGrid>
        <w:gridCol w:w="1961"/>
        <w:gridCol w:w="7667"/>
      </w:tblGrid>
      <w:tr w:rsidR="003A35B6" w:rsidRPr="009A6EC4" w14:paraId="7C82A759" w14:textId="77777777" w:rsidTr="008736F5">
        <w:tc>
          <w:tcPr>
            <w:tcW w:w="1980" w:type="dxa"/>
            <w:shd w:val="clear" w:color="auto" w:fill="CDF1CD" w:themeFill="accent2" w:themeFillTint="33"/>
          </w:tcPr>
          <w:p w14:paraId="38B2AE97" w14:textId="77777777" w:rsidR="003A35B6" w:rsidRPr="008875E4" w:rsidRDefault="003A35B6" w:rsidP="003A35B6">
            <w:pPr>
              <w:jc w:val="left"/>
              <w:rPr>
                <w:b/>
              </w:rPr>
            </w:pPr>
            <w:r w:rsidRPr="008875E4">
              <w:rPr>
                <w:b/>
              </w:rPr>
              <w:t>Met</w:t>
            </w:r>
          </w:p>
        </w:tc>
        <w:tc>
          <w:tcPr>
            <w:tcW w:w="7874" w:type="dxa"/>
          </w:tcPr>
          <w:p w14:paraId="39E0B4BE" w14:textId="77777777" w:rsidR="003A35B6" w:rsidRPr="008875E4" w:rsidRDefault="003A35B6" w:rsidP="003A35B6">
            <w:pPr>
              <w:jc w:val="left"/>
            </w:pPr>
            <w:r w:rsidRPr="008875E4">
              <w:t>Strong performance against all of the measures under the KPI</w:t>
            </w:r>
          </w:p>
        </w:tc>
      </w:tr>
      <w:tr w:rsidR="003A35B6" w:rsidRPr="009A6EC4" w14:paraId="4D0C7BD0" w14:textId="77777777" w:rsidTr="008736F5">
        <w:tc>
          <w:tcPr>
            <w:tcW w:w="1980" w:type="dxa"/>
            <w:shd w:val="clear" w:color="auto" w:fill="D9D9D9" w:themeFill="background1" w:themeFillShade="D9"/>
          </w:tcPr>
          <w:p w14:paraId="3B5B08BA" w14:textId="77777777" w:rsidR="003A35B6" w:rsidRPr="008875E4" w:rsidRDefault="003A35B6" w:rsidP="003A35B6">
            <w:pPr>
              <w:jc w:val="left"/>
              <w:rPr>
                <w:b/>
              </w:rPr>
            </w:pPr>
            <w:r w:rsidRPr="008875E4">
              <w:rPr>
                <w:b/>
              </w:rPr>
              <w:t>Substantially met</w:t>
            </w:r>
          </w:p>
        </w:tc>
        <w:tc>
          <w:tcPr>
            <w:tcW w:w="7874" w:type="dxa"/>
          </w:tcPr>
          <w:p w14:paraId="2E6AAA1A" w14:textId="77777777" w:rsidR="003A35B6" w:rsidRPr="008875E4" w:rsidRDefault="003A35B6" w:rsidP="003A35B6">
            <w:pPr>
              <w:jc w:val="left"/>
            </w:pPr>
            <w:r w:rsidRPr="008875E4">
              <w:t>Strong performance against most of the measures under the KPI</w:t>
            </w:r>
          </w:p>
        </w:tc>
      </w:tr>
      <w:tr w:rsidR="003A35B6" w:rsidRPr="009A6EC4" w14:paraId="26D4EB3A" w14:textId="77777777" w:rsidTr="008736F5">
        <w:tc>
          <w:tcPr>
            <w:tcW w:w="1980" w:type="dxa"/>
            <w:shd w:val="clear" w:color="auto" w:fill="FDE9D9" w:themeFill="accent6" w:themeFillTint="33"/>
          </w:tcPr>
          <w:p w14:paraId="72F6C8A1" w14:textId="77777777" w:rsidR="003A35B6" w:rsidRPr="008875E4" w:rsidRDefault="003A35B6" w:rsidP="003A35B6">
            <w:pPr>
              <w:jc w:val="left"/>
              <w:rPr>
                <w:b/>
              </w:rPr>
            </w:pPr>
            <w:r w:rsidRPr="008875E4">
              <w:rPr>
                <w:b/>
              </w:rPr>
              <w:t>Not met</w:t>
            </w:r>
          </w:p>
        </w:tc>
        <w:tc>
          <w:tcPr>
            <w:tcW w:w="7874" w:type="dxa"/>
          </w:tcPr>
          <w:p w14:paraId="007BC22D" w14:textId="77777777" w:rsidR="003A35B6" w:rsidRPr="008875E4" w:rsidRDefault="003A35B6" w:rsidP="003A35B6">
            <w:pPr>
              <w:jc w:val="left"/>
            </w:pPr>
            <w:r w:rsidRPr="008875E4">
              <w:t>Poor performance against all of the measures under the KPI</w:t>
            </w:r>
          </w:p>
        </w:tc>
      </w:tr>
    </w:tbl>
    <w:p w14:paraId="5150D05C" w14:textId="77777777" w:rsidR="003B4D69" w:rsidRPr="00C545BA" w:rsidRDefault="005C5339" w:rsidP="00A07570">
      <w:pPr>
        <w:pStyle w:val="Heading2"/>
        <w:spacing w:before="480"/>
      </w:pPr>
      <w:bookmarkStart w:id="23" w:name="_Toc23846601"/>
      <w:bookmarkStart w:id="24" w:name="_Toc58918573"/>
      <w:r w:rsidRPr="00C545BA">
        <w:t>External v</w:t>
      </w:r>
      <w:r w:rsidR="003B4D69" w:rsidRPr="00C545BA">
        <w:t>alidation</w:t>
      </w:r>
      <w:bookmarkEnd w:id="22"/>
      <w:bookmarkEnd w:id="23"/>
      <w:bookmarkEnd w:id="24"/>
    </w:p>
    <w:p w14:paraId="245638EC" w14:textId="2EA31D3A" w:rsidR="003B4D69" w:rsidRPr="009A6EC4" w:rsidRDefault="1B0E300A" w:rsidP="1B0E300A">
      <w:pPr>
        <w:rPr>
          <w:rFonts w:ascii="Calibri" w:eastAsia="Calibri" w:hAnsi="Calibri" w:cs="Calibri"/>
          <w:color w:val="auto"/>
          <w:u w:val="single"/>
          <w:vertAlign w:val="superscript"/>
        </w:rPr>
      </w:pPr>
      <w:r w:rsidRPr="009A6EC4">
        <w:rPr>
          <w:color w:val="auto"/>
        </w:rPr>
        <w:t>The results of this self-assessment are required to be validated by the</w:t>
      </w:r>
      <w:r w:rsidRPr="009A6EC4">
        <w:rPr>
          <w:rFonts w:ascii="Calibri" w:eastAsia="Calibri" w:hAnsi="Calibri" w:cs="Calibri"/>
          <w:color w:val="auto"/>
        </w:rPr>
        <w:t xml:space="preserve"> Nuclear Safety Committee</w:t>
      </w:r>
      <w:r w:rsidRPr="009A6EC4">
        <w:rPr>
          <w:color w:val="auto"/>
        </w:rPr>
        <w:t xml:space="preserve"> as the approved </w:t>
      </w:r>
      <w:r w:rsidR="00273A76">
        <w:rPr>
          <w:color w:val="auto"/>
        </w:rPr>
        <w:t>validating body</w:t>
      </w:r>
      <w:r w:rsidRPr="009A6EC4">
        <w:rPr>
          <w:color w:val="auto"/>
        </w:rPr>
        <w:t>.</w:t>
      </w:r>
    </w:p>
    <w:p w14:paraId="1AD2694A" w14:textId="77777777" w:rsidR="003B4D69" w:rsidRPr="009A6EC4" w:rsidRDefault="1B0E300A" w:rsidP="003B4D69">
      <w:pPr>
        <w:rPr>
          <w:color w:val="auto"/>
        </w:rPr>
      </w:pPr>
      <w:r w:rsidRPr="009A6EC4">
        <w:rPr>
          <w:color w:val="auto"/>
        </w:rPr>
        <w:t xml:space="preserve">The Nuclear Safety Committee is established under the Act. Its functions include ‘to review and assess the effectiveness of standards, codes, practices and procedures in relation to the safety of controlled facilities’. More information on the Nuclear Safety Committee is available at </w:t>
      </w:r>
      <w:hyperlink r:id="rId25">
        <w:r w:rsidRPr="008875E4">
          <w:rPr>
            <w:rStyle w:val="Hyperlink"/>
            <w:color w:val="4E1A74" w:themeColor="text2"/>
          </w:rPr>
          <w:t>arpansa.gov.au/nsc</w:t>
        </w:r>
      </w:hyperlink>
      <w:r w:rsidR="004F72C7" w:rsidRPr="009A6EC4">
        <w:rPr>
          <w:color w:val="auto"/>
        </w:rPr>
        <w:t>.</w:t>
      </w:r>
    </w:p>
    <w:p w14:paraId="151DEE2A" w14:textId="77777777" w:rsidR="003B4D69" w:rsidRPr="00C545BA" w:rsidRDefault="003B4D69" w:rsidP="003B4D69">
      <w:pPr>
        <w:pStyle w:val="Heading2"/>
      </w:pPr>
      <w:bookmarkStart w:id="25" w:name="_Toc12883994"/>
      <w:bookmarkStart w:id="26" w:name="_Toc23846602"/>
      <w:bookmarkStart w:id="27" w:name="_Toc58918574"/>
      <w:r w:rsidRPr="00C545BA">
        <w:t>Certification by the Accountable Authority</w:t>
      </w:r>
      <w:bookmarkEnd w:id="25"/>
      <w:bookmarkEnd w:id="26"/>
      <w:bookmarkEnd w:id="27"/>
    </w:p>
    <w:p w14:paraId="3846702A" w14:textId="77777777" w:rsidR="003B4D69" w:rsidRDefault="049686B7" w:rsidP="003B4D69">
      <w:pPr>
        <w:rPr>
          <w:color w:val="auto"/>
        </w:rPr>
      </w:pPr>
      <w:r w:rsidRPr="009A6EC4">
        <w:rPr>
          <w:color w:val="auto"/>
        </w:rPr>
        <w:t xml:space="preserve">The self-assessment is required to be certified by the Chief Executive Officer of ARPANSA as the Accountable Authority under the </w:t>
      </w:r>
      <w:r w:rsidRPr="009A6EC4">
        <w:rPr>
          <w:i/>
          <w:iCs/>
          <w:color w:val="auto"/>
        </w:rPr>
        <w:t xml:space="preserve">Public Governance, Performance and Accountability Act 2013 </w:t>
      </w:r>
      <w:r w:rsidRPr="009A6EC4">
        <w:rPr>
          <w:color w:val="auto"/>
        </w:rPr>
        <w:t>and the Act.</w:t>
      </w:r>
      <w:r w:rsidR="006758F0" w:rsidRPr="009A6EC4">
        <w:rPr>
          <w:color w:val="auto"/>
        </w:rPr>
        <w:t xml:space="preserve"> The CEO is also a member of the Nuclear Safety Committee. In accordance with established practice, the CEO recused himself from the </w:t>
      </w:r>
      <w:r w:rsidR="000371FB" w:rsidRPr="009A6EC4">
        <w:rPr>
          <w:color w:val="auto"/>
        </w:rPr>
        <w:t>Nuclear Safety Committee</w:t>
      </w:r>
      <w:r w:rsidR="006758F0" w:rsidRPr="009A6EC4">
        <w:rPr>
          <w:color w:val="auto"/>
        </w:rPr>
        <w:t xml:space="preserve">’s </w:t>
      </w:r>
      <w:r w:rsidR="000371FB" w:rsidRPr="009A6EC4">
        <w:rPr>
          <w:color w:val="auto"/>
        </w:rPr>
        <w:t>deliberations on this matter.</w:t>
      </w:r>
    </w:p>
    <w:p w14:paraId="0149C9DD" w14:textId="77777777" w:rsidR="006C616F" w:rsidRDefault="006C616F" w:rsidP="006C616F">
      <w:pPr>
        <w:pStyle w:val="Heading2"/>
      </w:pPr>
      <w:bookmarkStart w:id="28" w:name="_Toc12883991"/>
      <w:bookmarkStart w:id="29" w:name="_Toc23846598"/>
      <w:bookmarkStart w:id="30" w:name="_Ref51511054"/>
      <w:bookmarkStart w:id="31" w:name="_Toc58918575"/>
      <w:r>
        <w:t>Significant events during the reporting period</w:t>
      </w:r>
      <w:bookmarkEnd w:id="28"/>
      <w:bookmarkEnd w:id="29"/>
      <w:bookmarkEnd w:id="30"/>
      <w:bookmarkEnd w:id="31"/>
    </w:p>
    <w:p w14:paraId="06D1C528" w14:textId="77777777" w:rsidR="006C616F" w:rsidRPr="005321E8" w:rsidRDefault="006C616F" w:rsidP="006C616F">
      <w:pPr>
        <w:rPr>
          <w:rFonts w:eastAsiaTheme="majorEastAsia" w:cstheme="majorBidi"/>
          <w:b/>
          <w:bCs/>
          <w:i/>
          <w:color w:val="4E1A74"/>
          <w:shd w:val="clear" w:color="auto" w:fill="FFFFFF"/>
        </w:rPr>
      </w:pPr>
      <w:r w:rsidRPr="005321E8">
        <w:rPr>
          <w:rFonts w:eastAsiaTheme="majorEastAsia" w:cstheme="majorBidi"/>
          <w:b/>
          <w:bCs/>
          <w:i/>
          <w:color w:val="4E1A74"/>
          <w:shd w:val="clear" w:color="auto" w:fill="FFFFFF"/>
        </w:rPr>
        <w:t>Regulatory Action Arising from an Accident at ANSTO’s Nuclear Medicine Facility (ANM).</w:t>
      </w:r>
    </w:p>
    <w:p w14:paraId="388546E8" w14:textId="602C6938" w:rsidR="006C616F" w:rsidRPr="009A1033" w:rsidRDefault="006C616F" w:rsidP="006C616F">
      <w:pPr>
        <w:spacing w:before="0"/>
        <w:rPr>
          <w:color w:val="auto"/>
        </w:rPr>
      </w:pPr>
      <w:r w:rsidRPr="72E9C81F">
        <w:rPr>
          <w:color w:val="auto"/>
        </w:rPr>
        <w:t>ARPANSA monitors the safety performance of its licence holders and</w:t>
      </w:r>
      <w:r w:rsidR="00286AD0">
        <w:rPr>
          <w:color w:val="auto"/>
        </w:rPr>
        <w:t>,</w:t>
      </w:r>
      <w:r w:rsidRPr="72E9C81F">
        <w:rPr>
          <w:color w:val="auto"/>
        </w:rPr>
        <w:t xml:space="preserve"> </w:t>
      </w:r>
      <w:r w:rsidR="00552AFE">
        <w:rPr>
          <w:color w:val="auto"/>
        </w:rPr>
        <w:t xml:space="preserve">in accord with </w:t>
      </w:r>
      <w:r w:rsidR="00286AD0">
        <w:rPr>
          <w:color w:val="auto"/>
        </w:rPr>
        <w:t>Section 58 of the Regulations</w:t>
      </w:r>
      <w:r w:rsidR="00552AFE">
        <w:rPr>
          <w:color w:val="auto"/>
        </w:rPr>
        <w:t xml:space="preserve"> </w:t>
      </w:r>
      <w:r w:rsidRPr="72E9C81F">
        <w:rPr>
          <w:color w:val="auto"/>
        </w:rPr>
        <w:t xml:space="preserve">requires notification within 24 hours if certain events with safety implications occur. </w:t>
      </w:r>
    </w:p>
    <w:p w14:paraId="6BFDFA2C" w14:textId="6ACF3CBC" w:rsidR="006C616F" w:rsidRDefault="006C616F" w:rsidP="006C616F">
      <w:pPr>
        <w:rPr>
          <w:color w:val="auto"/>
        </w:rPr>
      </w:pPr>
      <w:r w:rsidRPr="72E9C81F">
        <w:rPr>
          <w:color w:val="auto"/>
        </w:rPr>
        <w:t xml:space="preserve">During the </w:t>
      </w:r>
      <w:r w:rsidR="00286AD0">
        <w:rPr>
          <w:color w:val="auto"/>
        </w:rPr>
        <w:t xml:space="preserve">2019-20 </w:t>
      </w:r>
      <w:r w:rsidRPr="72E9C81F">
        <w:rPr>
          <w:color w:val="auto"/>
        </w:rPr>
        <w:t xml:space="preserve">financial year there were no accidents reported to ARPANSA, under section 58 of the Regulations. However, ARPANSA did investigate and take a series of regulatory interventions over an accident that occurred on 21 June 2019 that was reported in the previous RPF report. </w:t>
      </w:r>
      <w:r>
        <w:rPr>
          <w:color w:val="auto"/>
        </w:rPr>
        <w:t>In this accident, the</w:t>
      </w:r>
      <w:r w:rsidRPr="72E9C81F">
        <w:rPr>
          <w:color w:val="auto"/>
        </w:rPr>
        <w:t xml:space="preserve"> hands of three workers were exposed to radiation at the ANSTO Nuclear Medicine Facility (ANM) </w:t>
      </w:r>
      <w:r w:rsidR="00273A76">
        <w:rPr>
          <w:color w:val="auto"/>
        </w:rPr>
        <w:t>at Lucas Heights, NSW</w:t>
      </w:r>
      <w:r>
        <w:rPr>
          <w:color w:val="auto"/>
        </w:rPr>
        <w:t>. ANSTO voluntarily suspended its ANM operation. O</w:t>
      </w:r>
      <w:r w:rsidRPr="72E9C81F">
        <w:rPr>
          <w:color w:val="auto"/>
        </w:rPr>
        <w:t>n 25 June 2019, ARPANSA instructed ANSTO not to resume production at ANM without ARPANSA’s approval</w:t>
      </w:r>
      <w:r>
        <w:rPr>
          <w:color w:val="auto"/>
        </w:rPr>
        <w:t xml:space="preserve"> and </w:t>
      </w:r>
      <w:r w:rsidRPr="72E9C81F">
        <w:rPr>
          <w:color w:val="auto"/>
        </w:rPr>
        <w:t xml:space="preserve">required </w:t>
      </w:r>
      <w:r>
        <w:rPr>
          <w:color w:val="auto"/>
        </w:rPr>
        <w:t xml:space="preserve">it </w:t>
      </w:r>
      <w:r w:rsidRPr="72E9C81F">
        <w:rPr>
          <w:color w:val="auto"/>
        </w:rPr>
        <w:t xml:space="preserve">to provide information on the causes of that accident, actions taken to prevent its recurrence, and </w:t>
      </w:r>
      <w:r w:rsidR="00286AD0">
        <w:rPr>
          <w:color w:val="auto"/>
        </w:rPr>
        <w:t xml:space="preserve">to </w:t>
      </w:r>
      <w:r w:rsidRPr="72E9C81F">
        <w:rPr>
          <w:color w:val="auto"/>
        </w:rPr>
        <w:t xml:space="preserve">update </w:t>
      </w:r>
      <w:r w:rsidR="00286AD0">
        <w:rPr>
          <w:color w:val="auto"/>
        </w:rPr>
        <w:t xml:space="preserve">the ANM Facility </w:t>
      </w:r>
      <w:r w:rsidRPr="72E9C81F">
        <w:rPr>
          <w:color w:val="auto"/>
        </w:rPr>
        <w:t xml:space="preserve">risk assessment. </w:t>
      </w:r>
    </w:p>
    <w:p w14:paraId="097361E0" w14:textId="3BE30DB0" w:rsidR="006C616F" w:rsidRPr="009A1033" w:rsidRDefault="006C616F" w:rsidP="006C616F">
      <w:pPr>
        <w:rPr>
          <w:color w:val="auto"/>
        </w:rPr>
      </w:pPr>
      <w:r w:rsidRPr="72E9C81F">
        <w:rPr>
          <w:color w:val="auto"/>
        </w:rPr>
        <w:t xml:space="preserve">ANSTO was authorised </w:t>
      </w:r>
      <w:r w:rsidR="00552AFE">
        <w:rPr>
          <w:color w:val="auto"/>
        </w:rPr>
        <w:t xml:space="preserve">by ARPANSA </w:t>
      </w:r>
      <w:r w:rsidRPr="72E9C81F">
        <w:rPr>
          <w:color w:val="auto"/>
        </w:rPr>
        <w:t xml:space="preserve">to </w:t>
      </w:r>
      <w:r>
        <w:rPr>
          <w:color w:val="auto"/>
        </w:rPr>
        <w:t>resume</w:t>
      </w:r>
      <w:r w:rsidRPr="72E9C81F">
        <w:rPr>
          <w:color w:val="auto"/>
        </w:rPr>
        <w:t xml:space="preserve"> </w:t>
      </w:r>
      <w:r>
        <w:rPr>
          <w:color w:val="auto"/>
        </w:rPr>
        <w:t>p</w:t>
      </w:r>
      <w:r w:rsidRPr="72E9C81F">
        <w:rPr>
          <w:color w:val="auto"/>
        </w:rPr>
        <w:t>roduction from 6 July</w:t>
      </w:r>
      <w:r w:rsidR="00273A76">
        <w:rPr>
          <w:color w:val="auto"/>
        </w:rPr>
        <w:t xml:space="preserve"> 2019</w:t>
      </w:r>
      <w:r w:rsidRPr="72E9C81F">
        <w:rPr>
          <w:color w:val="auto"/>
        </w:rPr>
        <w:t>,</w:t>
      </w:r>
      <w:r>
        <w:rPr>
          <w:color w:val="auto"/>
        </w:rPr>
        <w:t xml:space="preserve"> </w:t>
      </w:r>
      <w:r w:rsidRPr="72E9C81F">
        <w:rPr>
          <w:color w:val="auto"/>
        </w:rPr>
        <w:t>at a level that would satisfy the domestic demand for nuclear medicine</w:t>
      </w:r>
      <w:r>
        <w:rPr>
          <w:color w:val="auto"/>
        </w:rPr>
        <w:t xml:space="preserve"> only</w:t>
      </w:r>
      <w:r w:rsidRPr="72E9C81F">
        <w:rPr>
          <w:color w:val="auto"/>
        </w:rPr>
        <w:t xml:space="preserve">. </w:t>
      </w:r>
      <w:r w:rsidR="00AC732B" w:rsidRPr="72E9C81F">
        <w:rPr>
          <w:color w:val="auto"/>
        </w:rPr>
        <w:t>Th</w:t>
      </w:r>
      <w:r w:rsidR="00AC732B">
        <w:rPr>
          <w:color w:val="auto"/>
        </w:rPr>
        <w:t>is</w:t>
      </w:r>
      <w:r w:rsidRPr="72E9C81F">
        <w:rPr>
          <w:color w:val="auto"/>
        </w:rPr>
        <w:t xml:space="preserve"> decision took account </w:t>
      </w:r>
      <w:r w:rsidR="00F6191A">
        <w:rPr>
          <w:color w:val="auto"/>
        </w:rPr>
        <w:t xml:space="preserve">of </w:t>
      </w:r>
      <w:r w:rsidRPr="72E9C81F">
        <w:rPr>
          <w:color w:val="auto"/>
        </w:rPr>
        <w:t xml:space="preserve">previous safety events during nuclear medicine production at ANSTO as well as ARPANSA’s review </w:t>
      </w:r>
      <w:r w:rsidR="00DD0DDE">
        <w:rPr>
          <w:color w:val="auto"/>
        </w:rPr>
        <w:t xml:space="preserve">as to the </w:t>
      </w:r>
      <w:r w:rsidRPr="72E9C81F">
        <w:rPr>
          <w:color w:val="auto"/>
        </w:rPr>
        <w:t>circumstances of th</w:t>
      </w:r>
      <w:r w:rsidR="00DD0DDE">
        <w:rPr>
          <w:color w:val="auto"/>
        </w:rPr>
        <w:t>e</w:t>
      </w:r>
      <w:r w:rsidRPr="72E9C81F">
        <w:rPr>
          <w:color w:val="auto"/>
        </w:rPr>
        <w:t xml:space="preserve"> accident, including the sequence of events and effectiveness of controls. </w:t>
      </w:r>
      <w:r>
        <w:rPr>
          <w:color w:val="auto"/>
        </w:rPr>
        <w:t>The production restriction freed capacity at ANSTO to e</w:t>
      </w:r>
      <w:r w:rsidR="00DD734E">
        <w:rPr>
          <w:color w:val="auto"/>
        </w:rPr>
        <w:t>nable it to e</w:t>
      </w:r>
      <w:r>
        <w:rPr>
          <w:color w:val="auto"/>
        </w:rPr>
        <w:t>nhance its operational safety.</w:t>
      </w:r>
    </w:p>
    <w:p w14:paraId="2A7E7377" w14:textId="77777777" w:rsidR="006C616F" w:rsidRDefault="006C616F" w:rsidP="006C616F">
      <w:pPr>
        <w:rPr>
          <w:color w:val="auto"/>
        </w:rPr>
      </w:pPr>
      <w:r w:rsidRPr="72E9C81F">
        <w:rPr>
          <w:color w:val="auto"/>
        </w:rPr>
        <w:t>ARPANSA continued its investigation into the causes and contributing factors of the accident</w:t>
      </w:r>
      <w:r>
        <w:rPr>
          <w:color w:val="auto"/>
        </w:rPr>
        <w:t xml:space="preserve">. </w:t>
      </w:r>
      <w:r w:rsidRPr="72E9C81F">
        <w:rPr>
          <w:color w:val="auto"/>
        </w:rPr>
        <w:t xml:space="preserve">ANSTO </w:t>
      </w:r>
      <w:r>
        <w:rPr>
          <w:color w:val="auto"/>
        </w:rPr>
        <w:t>was found to have breached the Act by failing to take all reasonably practical steps to prevent accidents and failing to ensure that doses to workers were below statutory limits. Following assessment of ANSTO’s safety enhancements, on 27 March 2020, ARPANSA authorised the resumption of a staged return to normal production at ANM.</w:t>
      </w:r>
    </w:p>
    <w:p w14:paraId="66826F2D" w14:textId="467601B8" w:rsidR="001E739C" w:rsidRDefault="006C616F" w:rsidP="001E739C">
      <w:pPr>
        <w:rPr>
          <w:color w:val="auto"/>
        </w:rPr>
      </w:pPr>
      <w:r w:rsidRPr="4980850C">
        <w:rPr>
          <w:color w:val="auto"/>
        </w:rPr>
        <w:t xml:space="preserve">On </w:t>
      </w:r>
      <w:r>
        <w:rPr>
          <w:color w:val="auto"/>
        </w:rPr>
        <w:t>6 September</w:t>
      </w:r>
      <w:r w:rsidR="00273A76">
        <w:rPr>
          <w:color w:val="auto"/>
        </w:rPr>
        <w:t xml:space="preserve"> 2019</w:t>
      </w:r>
      <w:r w:rsidRPr="4980850C">
        <w:rPr>
          <w:color w:val="auto"/>
        </w:rPr>
        <w:t xml:space="preserve">, a mechanical failure of a gate valve occurred at the ANM facility that halted production and caused further disruption to the supply of Mo-99 based radiopharmaceuticals within Australia. </w:t>
      </w:r>
      <w:r w:rsidR="001E739C" w:rsidRPr="4980850C">
        <w:rPr>
          <w:color w:val="auto"/>
        </w:rPr>
        <w:t xml:space="preserve">ARPANSA expedited the approval process of a s63 change </w:t>
      </w:r>
      <w:r w:rsidR="00DD734E">
        <w:rPr>
          <w:color w:val="auto"/>
        </w:rPr>
        <w:t xml:space="preserve">relating to the recovery process. This approval supported </w:t>
      </w:r>
      <w:r w:rsidR="001E739C" w:rsidRPr="4980850C">
        <w:rPr>
          <w:color w:val="auto"/>
        </w:rPr>
        <w:t xml:space="preserve">an early resumption of ANM operation </w:t>
      </w:r>
      <w:r w:rsidR="00DD734E">
        <w:rPr>
          <w:color w:val="auto"/>
        </w:rPr>
        <w:t>and</w:t>
      </w:r>
      <w:r w:rsidR="001E739C" w:rsidRPr="4980850C">
        <w:rPr>
          <w:color w:val="auto"/>
        </w:rPr>
        <w:t xml:space="preserve"> minimise</w:t>
      </w:r>
      <w:r w:rsidR="00DD734E">
        <w:rPr>
          <w:color w:val="auto"/>
        </w:rPr>
        <w:t>d</w:t>
      </w:r>
      <w:r w:rsidR="001E739C" w:rsidRPr="4980850C">
        <w:rPr>
          <w:color w:val="auto"/>
        </w:rPr>
        <w:t xml:space="preserve"> </w:t>
      </w:r>
      <w:r w:rsidR="001E739C">
        <w:rPr>
          <w:color w:val="auto"/>
        </w:rPr>
        <w:t>further</w:t>
      </w:r>
      <w:r w:rsidR="001E739C" w:rsidRPr="4980850C">
        <w:rPr>
          <w:color w:val="auto"/>
        </w:rPr>
        <w:t xml:space="preserve"> disruption of supply.</w:t>
      </w:r>
    </w:p>
    <w:p w14:paraId="07DD0809" w14:textId="32FE72AF" w:rsidR="006C616F" w:rsidRPr="001E739C" w:rsidRDefault="006C616F" w:rsidP="001E739C">
      <w:pPr>
        <w:rPr>
          <w:rFonts w:eastAsiaTheme="majorEastAsia" w:cstheme="majorBidi"/>
          <w:b/>
          <w:bCs/>
          <w:i/>
          <w:color w:val="4E1A74"/>
          <w:shd w:val="clear" w:color="auto" w:fill="FFFFFF"/>
        </w:rPr>
      </w:pPr>
      <w:r w:rsidRPr="001E739C">
        <w:rPr>
          <w:rFonts w:eastAsiaTheme="majorEastAsia" w:cstheme="majorBidi"/>
          <w:b/>
          <w:bCs/>
          <w:i/>
          <w:color w:val="4E1A74"/>
          <w:shd w:val="clear" w:color="auto" w:fill="FFFFFF"/>
        </w:rPr>
        <w:t>Amendment of Regulations</w:t>
      </w:r>
    </w:p>
    <w:p w14:paraId="4589EDED" w14:textId="77777777" w:rsidR="006C616F" w:rsidRDefault="006C616F" w:rsidP="006C616F">
      <w:pPr>
        <w:spacing w:before="0"/>
        <w:rPr>
          <w:color w:val="auto"/>
        </w:rPr>
      </w:pPr>
      <w:r w:rsidRPr="5C415CC5">
        <w:rPr>
          <w:color w:val="auto"/>
        </w:rPr>
        <w:t xml:space="preserve">The ARPANS regulations provide a framework for ensuring that licenced entities that use or produce radiation do their work safely. The regulations are updated annually and in November 2019 amendments were introduced that provided further safeguards and clarification of requirements for new licence applications. The changes also incorporated separate dose limits for occupational exposure to ionising radiation for people aged 16 and 17 years of age and referenced new Codes that apply to licence holders including the Code for Disposal Facilities for Solid Radioactive Material (2018) and Code for Disposal of Radioactive Waste by the User (2018). </w:t>
      </w:r>
    </w:p>
    <w:p w14:paraId="577980D3" w14:textId="77777777" w:rsidR="006C616F" w:rsidRPr="00353A3C" w:rsidRDefault="006C616F" w:rsidP="006C616F">
      <w:pPr>
        <w:pStyle w:val="Heading3"/>
        <w:rPr>
          <w:color w:val="C00000"/>
          <w:sz w:val="22"/>
        </w:rPr>
      </w:pPr>
      <w:r w:rsidRPr="00353A3C">
        <w:rPr>
          <w:sz w:val="22"/>
        </w:rPr>
        <w:t>COVID-19 Impact</w:t>
      </w:r>
    </w:p>
    <w:p w14:paraId="6B5015C9" w14:textId="7903F44D" w:rsidR="006C616F" w:rsidRPr="00153E10" w:rsidRDefault="006C616F" w:rsidP="006C616F">
      <w:pPr>
        <w:spacing w:before="0"/>
        <w:rPr>
          <w:color w:val="auto"/>
        </w:rPr>
      </w:pPr>
      <w:r w:rsidRPr="00153E10">
        <w:rPr>
          <w:color w:val="auto"/>
        </w:rPr>
        <w:t xml:space="preserve">ARPANSA took </w:t>
      </w:r>
      <w:r w:rsidR="00935591">
        <w:rPr>
          <w:color w:val="auto"/>
        </w:rPr>
        <w:t>timely</w:t>
      </w:r>
      <w:r w:rsidRPr="00153E10">
        <w:rPr>
          <w:color w:val="auto"/>
        </w:rPr>
        <w:t xml:space="preserve"> action to safeguard its workforce, maintain its critical operations and reduce the health risk to its stakeholder</w:t>
      </w:r>
      <w:r>
        <w:rPr>
          <w:color w:val="auto"/>
        </w:rPr>
        <w:t>s</w:t>
      </w:r>
      <w:r w:rsidRPr="00153E10">
        <w:rPr>
          <w:color w:val="auto"/>
        </w:rPr>
        <w:t xml:space="preserve">. </w:t>
      </w:r>
    </w:p>
    <w:p w14:paraId="7A60B8E0" w14:textId="5957D488" w:rsidR="006C616F" w:rsidRPr="00153E10" w:rsidRDefault="006C616F" w:rsidP="006C616F">
      <w:pPr>
        <w:rPr>
          <w:color w:val="auto"/>
        </w:rPr>
      </w:pPr>
      <w:r w:rsidRPr="00153E10">
        <w:rPr>
          <w:color w:val="auto"/>
        </w:rPr>
        <w:t>In March</w:t>
      </w:r>
      <w:r w:rsidR="00AC732B">
        <w:rPr>
          <w:color w:val="auto"/>
        </w:rPr>
        <w:t xml:space="preserve"> 2020</w:t>
      </w:r>
      <w:r w:rsidRPr="00153E10">
        <w:rPr>
          <w:color w:val="auto"/>
        </w:rPr>
        <w:t>, shortly before reducing its office presence, ARPANSA launched its A</w:t>
      </w:r>
      <w:r>
        <w:rPr>
          <w:color w:val="auto"/>
        </w:rPr>
        <w:t xml:space="preserve">RPANSA </w:t>
      </w:r>
      <w:r w:rsidR="001E739C">
        <w:rPr>
          <w:color w:val="auto"/>
        </w:rPr>
        <w:t>T</w:t>
      </w:r>
      <w:r w:rsidRPr="00153E10">
        <w:rPr>
          <w:color w:val="auto"/>
        </w:rPr>
        <w:t xml:space="preserve">eams system </w:t>
      </w:r>
      <w:r>
        <w:rPr>
          <w:color w:val="auto"/>
        </w:rPr>
        <w:t>(A-</w:t>
      </w:r>
      <w:r w:rsidR="001E739C">
        <w:rPr>
          <w:color w:val="auto"/>
        </w:rPr>
        <w:t>T</w:t>
      </w:r>
      <w:r>
        <w:rPr>
          <w:color w:val="auto"/>
        </w:rPr>
        <w:t xml:space="preserve">eams) </w:t>
      </w:r>
      <w:r w:rsidRPr="00153E10">
        <w:rPr>
          <w:color w:val="auto"/>
        </w:rPr>
        <w:t>that was built on a Microsoft Teams platform.</w:t>
      </w:r>
      <w:r w:rsidR="009067D5">
        <w:rPr>
          <w:color w:val="auto"/>
        </w:rPr>
        <w:t xml:space="preserve"> </w:t>
      </w:r>
      <w:r w:rsidRPr="00153E10">
        <w:rPr>
          <w:color w:val="auto"/>
        </w:rPr>
        <w:t xml:space="preserve">This system has been used to maintain high levels of </w:t>
      </w:r>
      <w:r>
        <w:rPr>
          <w:color w:val="auto"/>
        </w:rPr>
        <w:t xml:space="preserve">connectivity, </w:t>
      </w:r>
      <w:r w:rsidRPr="00153E10">
        <w:rPr>
          <w:color w:val="auto"/>
        </w:rPr>
        <w:t>communication and a collaborative workspace without the need for staff to physically meet.</w:t>
      </w:r>
    </w:p>
    <w:p w14:paraId="6BA16920" w14:textId="5C3938A2" w:rsidR="006C616F" w:rsidRDefault="006C616F" w:rsidP="006C616F">
      <w:pPr>
        <w:rPr>
          <w:color w:val="auto"/>
        </w:rPr>
      </w:pPr>
      <w:r w:rsidRPr="00153E10">
        <w:rPr>
          <w:color w:val="auto"/>
        </w:rPr>
        <w:t xml:space="preserve">ARPANSA made enquiries to all licence holders in order to understand how each was </w:t>
      </w:r>
      <w:r w:rsidR="001E739C">
        <w:rPr>
          <w:color w:val="auto"/>
        </w:rPr>
        <w:t xml:space="preserve">addressing and </w:t>
      </w:r>
      <w:r w:rsidRPr="00153E10">
        <w:rPr>
          <w:color w:val="auto"/>
        </w:rPr>
        <w:t>maintain</w:t>
      </w:r>
      <w:r>
        <w:rPr>
          <w:color w:val="auto"/>
        </w:rPr>
        <w:t>ing</w:t>
      </w:r>
      <w:r w:rsidRPr="00153E10">
        <w:rPr>
          <w:color w:val="auto"/>
        </w:rPr>
        <w:t xml:space="preserve"> nuclear safety and radiation protection under COVID-19 restrictions. Many licence holders suspended their operations and </w:t>
      </w:r>
      <w:r w:rsidR="003E02D1">
        <w:rPr>
          <w:color w:val="auto"/>
        </w:rPr>
        <w:t>discussed with ARPANSA</w:t>
      </w:r>
      <w:r w:rsidR="00DD0DDE">
        <w:rPr>
          <w:color w:val="auto"/>
        </w:rPr>
        <w:t xml:space="preserve"> whether to request a change</w:t>
      </w:r>
      <w:r w:rsidRPr="00153E10">
        <w:rPr>
          <w:color w:val="auto"/>
        </w:rPr>
        <w:t xml:space="preserve"> facility</w:t>
      </w:r>
      <w:r w:rsidR="00FC2A1E">
        <w:rPr>
          <w:color w:val="auto"/>
        </w:rPr>
        <w:t xml:space="preserve"> </w:t>
      </w:r>
      <w:r w:rsidRPr="00153E10">
        <w:rPr>
          <w:color w:val="auto"/>
        </w:rPr>
        <w:t>authorisations to possess or control rather than operation</w:t>
      </w:r>
      <w:r>
        <w:rPr>
          <w:color w:val="auto"/>
        </w:rPr>
        <w:t xml:space="preserve"> licences</w:t>
      </w:r>
      <w:r w:rsidR="001E739C">
        <w:rPr>
          <w:color w:val="auto"/>
        </w:rPr>
        <w:t>. Ultimately</w:t>
      </w:r>
      <w:r w:rsidR="00DD0DDE">
        <w:rPr>
          <w:color w:val="auto"/>
        </w:rPr>
        <w:t>,</w:t>
      </w:r>
      <w:r w:rsidR="001E739C">
        <w:rPr>
          <w:color w:val="auto"/>
        </w:rPr>
        <w:t xml:space="preserve"> licence h</w:t>
      </w:r>
      <w:r w:rsidRPr="00153E10">
        <w:rPr>
          <w:color w:val="auto"/>
        </w:rPr>
        <w:t xml:space="preserve">olders decided </w:t>
      </w:r>
      <w:r w:rsidR="00DD0DDE">
        <w:rPr>
          <w:color w:val="auto"/>
        </w:rPr>
        <w:t xml:space="preserve">that the shutdown period did not warrant a change to </w:t>
      </w:r>
      <w:r>
        <w:rPr>
          <w:color w:val="auto"/>
        </w:rPr>
        <w:t>authorisations</w:t>
      </w:r>
      <w:r w:rsidR="00DD0DDE">
        <w:rPr>
          <w:color w:val="auto"/>
        </w:rPr>
        <w:t xml:space="preserve"> and remained under oper</w:t>
      </w:r>
      <w:r w:rsidR="00B43B85">
        <w:rPr>
          <w:color w:val="auto"/>
        </w:rPr>
        <w:t>ating licence arrangements</w:t>
      </w:r>
      <w:r w:rsidR="001E739C">
        <w:rPr>
          <w:color w:val="auto"/>
        </w:rPr>
        <w:t>, including maintaining the safety systems as if the facility was operating</w:t>
      </w:r>
      <w:r>
        <w:rPr>
          <w:color w:val="auto"/>
        </w:rPr>
        <w:t>.</w:t>
      </w:r>
    </w:p>
    <w:p w14:paraId="2A4AE54A" w14:textId="4A7546A5" w:rsidR="006C616F" w:rsidRPr="00153E10" w:rsidRDefault="006C616F" w:rsidP="006C616F">
      <w:pPr>
        <w:rPr>
          <w:color w:val="auto"/>
        </w:rPr>
      </w:pPr>
      <w:r>
        <w:rPr>
          <w:color w:val="auto"/>
        </w:rPr>
        <w:t>ARPANSA has maintained its international engagement through distance methods such as video conference and webinars. No overseas travel has been undertaken since March</w:t>
      </w:r>
      <w:r w:rsidR="00AC732B">
        <w:rPr>
          <w:color w:val="auto"/>
        </w:rPr>
        <w:t xml:space="preserve"> 2020</w:t>
      </w:r>
      <w:r>
        <w:rPr>
          <w:color w:val="auto"/>
        </w:rPr>
        <w:t>.</w:t>
      </w:r>
      <w:r w:rsidRPr="000060FE">
        <w:rPr>
          <w:color w:val="auto"/>
        </w:rPr>
        <w:t xml:space="preserve"> </w:t>
      </w:r>
      <w:r w:rsidR="00F6191A">
        <w:rPr>
          <w:color w:val="auto"/>
        </w:rPr>
        <w:t>The</w:t>
      </w:r>
      <w:r>
        <w:rPr>
          <w:color w:val="auto"/>
        </w:rPr>
        <w:t xml:space="preserve"> number of requests for expert support that involved travel have </w:t>
      </w:r>
      <w:r w:rsidRPr="1C9DB813">
        <w:rPr>
          <w:color w:val="auto"/>
        </w:rPr>
        <w:t xml:space="preserve">been </w:t>
      </w:r>
      <w:r>
        <w:rPr>
          <w:color w:val="auto"/>
        </w:rPr>
        <w:t xml:space="preserve">declined and an international workshop that ARPANSA had planned to host in December 2020 has </w:t>
      </w:r>
      <w:r w:rsidRPr="1C9DB813">
        <w:rPr>
          <w:color w:val="auto"/>
        </w:rPr>
        <w:t>been</w:t>
      </w:r>
      <w:r>
        <w:rPr>
          <w:color w:val="auto"/>
        </w:rPr>
        <w:t xml:space="preserve"> postponed</w:t>
      </w:r>
      <w:r w:rsidRPr="1C9DB813">
        <w:rPr>
          <w:color w:val="auto"/>
        </w:rPr>
        <w:t xml:space="preserve">. </w:t>
      </w:r>
    </w:p>
    <w:p w14:paraId="164B1AAE" w14:textId="2E1847DE" w:rsidR="006C616F" w:rsidRDefault="006C616F" w:rsidP="006C616F">
      <w:pPr>
        <w:rPr>
          <w:color w:val="auto"/>
        </w:rPr>
      </w:pPr>
      <w:r w:rsidRPr="00153E10">
        <w:rPr>
          <w:color w:val="auto"/>
        </w:rPr>
        <w:t>In consideration of a risk informed approach</w:t>
      </w:r>
      <w:r w:rsidRPr="1C9DB813">
        <w:rPr>
          <w:color w:val="auto"/>
        </w:rPr>
        <w:t>,</w:t>
      </w:r>
      <w:r w:rsidRPr="00153E10">
        <w:rPr>
          <w:color w:val="auto"/>
        </w:rPr>
        <w:t xml:space="preserve"> ARPANSA’s source inspection program was </w:t>
      </w:r>
      <w:r w:rsidR="004071E0" w:rsidRPr="00153E10">
        <w:rPr>
          <w:color w:val="auto"/>
        </w:rPr>
        <w:t>suspended</w:t>
      </w:r>
      <w:r w:rsidRPr="1C9DB813">
        <w:rPr>
          <w:color w:val="auto"/>
        </w:rPr>
        <w:t>; however, the</w:t>
      </w:r>
      <w:r w:rsidRPr="00153E10">
        <w:rPr>
          <w:color w:val="auto"/>
        </w:rPr>
        <w:t xml:space="preserve"> facility inspection program was maintained predominately through remote inspection practices</w:t>
      </w:r>
      <w:r>
        <w:rPr>
          <w:color w:val="auto"/>
        </w:rPr>
        <w:t xml:space="preserve">. Recognising that ARPANSAs safety mission cannot be </w:t>
      </w:r>
      <w:r w:rsidR="001E739C">
        <w:rPr>
          <w:color w:val="auto"/>
        </w:rPr>
        <w:t xml:space="preserve">fully </w:t>
      </w:r>
      <w:r>
        <w:rPr>
          <w:color w:val="auto"/>
        </w:rPr>
        <w:t xml:space="preserve">sustained without an active </w:t>
      </w:r>
      <w:r w:rsidR="001E739C">
        <w:rPr>
          <w:color w:val="auto"/>
        </w:rPr>
        <w:t xml:space="preserve">on-site </w:t>
      </w:r>
      <w:r>
        <w:rPr>
          <w:color w:val="auto"/>
        </w:rPr>
        <w:t xml:space="preserve">inspection program, ARPANSA </w:t>
      </w:r>
      <w:r w:rsidR="001E739C">
        <w:rPr>
          <w:color w:val="auto"/>
        </w:rPr>
        <w:t>decided to</w:t>
      </w:r>
      <w:r>
        <w:rPr>
          <w:color w:val="auto"/>
        </w:rPr>
        <w:t xml:space="preserve"> resume a limited source inspection program in the first quarter of 2020/21.</w:t>
      </w:r>
    </w:p>
    <w:p w14:paraId="5A4B5409" w14:textId="77777777" w:rsidR="006C616F" w:rsidRPr="009A6EC4" w:rsidRDefault="006C616F" w:rsidP="003B4D69">
      <w:pPr>
        <w:rPr>
          <w:color w:val="auto"/>
        </w:rPr>
      </w:pPr>
    </w:p>
    <w:p w14:paraId="16E3BA69" w14:textId="77777777" w:rsidR="003B4D69" w:rsidRPr="00C545BA" w:rsidRDefault="003B4D69" w:rsidP="00561938">
      <w:pPr>
        <w:pStyle w:val="Heading1"/>
        <w:rPr>
          <w:lang w:eastAsia="en-AU"/>
        </w:rPr>
      </w:pPr>
      <w:bookmarkStart w:id="32" w:name="_Toc536811016"/>
      <w:bookmarkStart w:id="33" w:name="_Toc199581"/>
      <w:bookmarkStart w:id="34" w:name="_Toc12883996"/>
      <w:bookmarkStart w:id="35" w:name="_Toc23846603"/>
      <w:bookmarkStart w:id="36" w:name="_Toc58918576"/>
      <w:r w:rsidRPr="00C545BA">
        <w:rPr>
          <w:lang w:eastAsia="en-AU"/>
        </w:rPr>
        <w:t xml:space="preserve">Overall </w:t>
      </w:r>
      <w:r w:rsidR="005C5339" w:rsidRPr="00C545BA">
        <w:t>a</w:t>
      </w:r>
      <w:r w:rsidRPr="00C545BA">
        <w:t>ssessment</w:t>
      </w:r>
      <w:bookmarkEnd w:id="32"/>
      <w:bookmarkEnd w:id="33"/>
      <w:bookmarkEnd w:id="34"/>
      <w:bookmarkEnd w:id="35"/>
      <w:bookmarkEnd w:id="36"/>
    </w:p>
    <w:p w14:paraId="3972F927" w14:textId="1023F2B9" w:rsidR="000F57A2" w:rsidRPr="00744533" w:rsidRDefault="000322FD" w:rsidP="003B4D69">
      <w:pPr>
        <w:spacing w:after="240"/>
        <w:rPr>
          <w:color w:val="auto"/>
        </w:rPr>
      </w:pPr>
      <w:r w:rsidRPr="00744533">
        <w:rPr>
          <w:color w:val="auto"/>
        </w:rPr>
        <w:t>ARPANSA continues to perform well against</w:t>
      </w:r>
      <w:r w:rsidR="00B43B85">
        <w:rPr>
          <w:color w:val="auto"/>
        </w:rPr>
        <w:t xml:space="preserve"> the</w:t>
      </w:r>
      <w:r w:rsidRPr="00744533">
        <w:rPr>
          <w:color w:val="auto"/>
        </w:rPr>
        <w:t xml:space="preserve"> RPF objectives. </w:t>
      </w:r>
      <w:r w:rsidR="003B4D69" w:rsidRPr="00744533">
        <w:rPr>
          <w:color w:val="auto"/>
        </w:rPr>
        <w:t xml:space="preserve">Using the </w:t>
      </w:r>
      <w:r w:rsidR="001E739C">
        <w:rPr>
          <w:color w:val="auto"/>
        </w:rPr>
        <w:t>established</w:t>
      </w:r>
      <w:r w:rsidR="003B4D69" w:rsidRPr="00744533">
        <w:rPr>
          <w:color w:val="auto"/>
        </w:rPr>
        <w:t xml:space="preserve"> performance ratings</w:t>
      </w:r>
      <w:r w:rsidR="005E535C" w:rsidRPr="00744533">
        <w:rPr>
          <w:color w:val="auto"/>
        </w:rPr>
        <w:t xml:space="preserve">, </w:t>
      </w:r>
      <w:r w:rsidR="003B4D69" w:rsidRPr="00744533">
        <w:rPr>
          <w:color w:val="auto"/>
        </w:rPr>
        <w:t xml:space="preserve">targets have been met for </w:t>
      </w:r>
      <w:r w:rsidR="005E535C" w:rsidRPr="00744533">
        <w:rPr>
          <w:color w:val="auto"/>
        </w:rPr>
        <w:t>all six KPIs</w:t>
      </w:r>
      <w:r w:rsidR="008D3CAB" w:rsidRPr="00744533">
        <w:rPr>
          <w:color w:val="auto"/>
        </w:rPr>
        <w:t>,</w:t>
      </w:r>
      <w:r w:rsidR="005E535C" w:rsidRPr="00744533">
        <w:rPr>
          <w:color w:val="auto"/>
        </w:rPr>
        <w:t xml:space="preserve"> and</w:t>
      </w:r>
      <w:r w:rsidR="008D3CAB" w:rsidRPr="00744533">
        <w:rPr>
          <w:color w:val="auto"/>
        </w:rPr>
        <w:t xml:space="preserve"> strong performance observed against</w:t>
      </w:r>
      <w:r w:rsidR="005E535C" w:rsidRPr="00744533">
        <w:rPr>
          <w:color w:val="auto"/>
        </w:rPr>
        <w:t xml:space="preserve"> </w:t>
      </w:r>
      <w:r w:rsidR="001E739C">
        <w:rPr>
          <w:color w:val="auto"/>
        </w:rPr>
        <w:t xml:space="preserve">nearly </w:t>
      </w:r>
      <w:r w:rsidR="008D3CAB" w:rsidRPr="00744533">
        <w:rPr>
          <w:color w:val="auto"/>
        </w:rPr>
        <w:t>all</w:t>
      </w:r>
      <w:r w:rsidR="003B4D69" w:rsidRPr="00744533">
        <w:rPr>
          <w:color w:val="auto"/>
        </w:rPr>
        <w:t xml:space="preserve"> </w:t>
      </w:r>
      <w:r w:rsidR="008D3CAB" w:rsidRPr="00744533">
        <w:rPr>
          <w:color w:val="auto"/>
        </w:rPr>
        <w:t xml:space="preserve">the </w:t>
      </w:r>
      <w:r w:rsidR="003B4D69" w:rsidRPr="00744533">
        <w:rPr>
          <w:color w:val="auto"/>
        </w:rPr>
        <w:t>measures under the KPIs.</w:t>
      </w:r>
    </w:p>
    <w:p w14:paraId="0ACD310D" w14:textId="77777777" w:rsidR="003B4D69" w:rsidRPr="00116E6E" w:rsidRDefault="003B4D69" w:rsidP="003B4D69">
      <w:pPr>
        <w:pStyle w:val="Heading2"/>
      </w:pPr>
      <w:bookmarkStart w:id="37" w:name="_Toc12883997"/>
      <w:bookmarkStart w:id="38" w:name="_Toc23846604"/>
      <w:bookmarkStart w:id="39" w:name="_Toc58918577"/>
      <w:r w:rsidRPr="00C545BA">
        <w:t>Summary of self-assessment results</w:t>
      </w:r>
      <w:bookmarkEnd w:id="37"/>
      <w:bookmarkEnd w:id="38"/>
      <w:bookmarkEnd w:id="39"/>
    </w:p>
    <w:tbl>
      <w:tblPr>
        <w:tblStyle w:val="GenericARPANSA4"/>
        <w:tblW w:w="5000" w:type="pct"/>
        <w:tblLayout w:type="fixed"/>
        <w:tblLook w:val="06A0" w:firstRow="1" w:lastRow="0" w:firstColumn="1" w:lastColumn="0" w:noHBand="1" w:noVBand="1"/>
      </w:tblPr>
      <w:tblGrid>
        <w:gridCol w:w="3210"/>
        <w:gridCol w:w="1888"/>
        <w:gridCol w:w="4530"/>
      </w:tblGrid>
      <w:tr w:rsidR="00D84711" w:rsidRPr="00893A05" w14:paraId="05F690A7" w14:textId="77777777" w:rsidTr="00B43B8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10" w:type="dxa"/>
          </w:tcPr>
          <w:p w14:paraId="7CDF7811" w14:textId="77777777" w:rsidR="003B4D69" w:rsidRPr="00D25EFE" w:rsidRDefault="003B4D69" w:rsidP="00E96345">
            <w:pPr>
              <w:jc w:val="left"/>
              <w:rPr>
                <w:b w:val="0"/>
              </w:rPr>
            </w:pPr>
            <w:r w:rsidRPr="00D25EFE">
              <w:t>Regulator Performance Framework KPIs</w:t>
            </w:r>
          </w:p>
        </w:tc>
        <w:tc>
          <w:tcPr>
            <w:tcW w:w="1888" w:type="dxa"/>
          </w:tcPr>
          <w:p w14:paraId="240E14CC" w14:textId="25A8E472" w:rsidR="003B4D69" w:rsidRPr="005614DE" w:rsidRDefault="501E5E53" w:rsidP="00A37CB9">
            <w:pPr>
              <w:jc w:val="left"/>
              <w:cnfStyle w:val="100000000000" w:firstRow="1" w:lastRow="0" w:firstColumn="0" w:lastColumn="0" w:oddVBand="0" w:evenVBand="0" w:oddHBand="0" w:evenHBand="0" w:firstRowFirstColumn="0" w:firstRowLastColumn="0" w:lastRowFirstColumn="0" w:lastRowLastColumn="0"/>
            </w:pPr>
            <w:r w:rsidRPr="00D25EFE">
              <w:t xml:space="preserve">Ratings for </w:t>
            </w:r>
            <w:r w:rsidR="005614DE">
              <w:br/>
            </w:r>
            <w:r w:rsidR="00D02FB8">
              <w:t>2019</w:t>
            </w:r>
            <w:r w:rsidR="00A37CB9">
              <w:t>–</w:t>
            </w:r>
            <w:r w:rsidR="00D02FB8">
              <w:t>20</w:t>
            </w:r>
          </w:p>
        </w:tc>
        <w:tc>
          <w:tcPr>
            <w:tcW w:w="4530" w:type="dxa"/>
          </w:tcPr>
          <w:p w14:paraId="4B4089E2" w14:textId="77777777" w:rsidR="501E5E53" w:rsidRPr="00D25EFE" w:rsidRDefault="005E535C" w:rsidP="00E96345">
            <w:pPr>
              <w:jc w:val="left"/>
              <w:cnfStyle w:val="100000000000" w:firstRow="1" w:lastRow="0" w:firstColumn="0" w:lastColumn="0" w:oddVBand="0" w:evenVBand="0" w:oddHBand="0" w:evenHBand="0" w:firstRowFirstColumn="0" w:firstRowLastColumn="0" w:lastRowFirstColumn="0" w:lastRowLastColumn="0"/>
              <w:rPr>
                <w:b w:val="0"/>
              </w:rPr>
            </w:pPr>
            <w:r w:rsidRPr="00D25EFE">
              <w:t>Summary</w:t>
            </w:r>
          </w:p>
        </w:tc>
      </w:tr>
      <w:tr w:rsidR="00D84711" w:rsidRPr="00893A05" w14:paraId="642B5883" w14:textId="77777777" w:rsidTr="00B43B85">
        <w:trPr>
          <w:cantSplit/>
        </w:trPr>
        <w:tc>
          <w:tcPr>
            <w:cnfStyle w:val="001000000000" w:firstRow="0" w:lastRow="0" w:firstColumn="1" w:lastColumn="0" w:oddVBand="0" w:evenVBand="0" w:oddHBand="0" w:evenHBand="0" w:firstRowFirstColumn="0" w:firstRowLastColumn="0" w:lastRowFirstColumn="0" w:lastRowLastColumn="0"/>
            <w:tcW w:w="3210" w:type="dxa"/>
            <w:vAlign w:val="top"/>
          </w:tcPr>
          <w:p w14:paraId="5F17F935" w14:textId="47529F04" w:rsidR="003B4D69" w:rsidRPr="008875E4" w:rsidRDefault="009C2AD5" w:rsidP="00F71BA7">
            <w:pPr>
              <w:spacing w:before="60"/>
              <w:jc w:val="left"/>
            </w:pPr>
            <w:bookmarkStart w:id="40" w:name="_Ref15649055"/>
            <w:r w:rsidRPr="008875E4">
              <w:t xml:space="preserve">KPI 1 - </w:t>
            </w:r>
            <w:r w:rsidR="003B4D69" w:rsidRPr="008875E4">
              <w:t>Regulators do not unnecessarily impede the efficient operation of regulated entities.</w:t>
            </w:r>
            <w:bookmarkEnd w:id="40"/>
          </w:p>
        </w:tc>
        <w:tc>
          <w:tcPr>
            <w:tcW w:w="1888" w:type="dxa"/>
            <w:shd w:val="clear" w:color="auto" w:fill="DDC2F1" w:themeFill="text2" w:themeFillTint="33"/>
            <w:vAlign w:val="top"/>
          </w:tcPr>
          <w:p w14:paraId="35C05C58" w14:textId="2CA6446A" w:rsidR="003B4D69" w:rsidRPr="008875E4" w:rsidRDefault="007A5F5E"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8875E4">
              <w:rPr>
                <w:b/>
              </w:rPr>
              <w:t>Substantially met</w:t>
            </w:r>
          </w:p>
        </w:tc>
        <w:tc>
          <w:tcPr>
            <w:tcW w:w="4530" w:type="dxa"/>
            <w:vAlign w:val="top"/>
          </w:tcPr>
          <w:p w14:paraId="2FA359A3" w14:textId="593037A8" w:rsidR="000322FD" w:rsidRPr="008875E4" w:rsidRDefault="00EE4741" w:rsidP="00F71BA7">
            <w:pPr>
              <w:spacing w:before="60"/>
              <w:jc w:val="left"/>
              <w:cnfStyle w:val="000000000000" w:firstRow="0" w:lastRow="0" w:firstColumn="0" w:lastColumn="0" w:oddVBand="0" w:evenVBand="0" w:oddHBand="0" w:evenHBand="0" w:firstRowFirstColumn="0" w:firstRowLastColumn="0" w:lastRowFirstColumn="0" w:lastRowLastColumn="0"/>
            </w:pPr>
            <w:r w:rsidRPr="008875E4">
              <w:t xml:space="preserve">ARPANSA </w:t>
            </w:r>
            <w:r w:rsidR="009D585A" w:rsidRPr="008875E4">
              <w:t>is</w:t>
            </w:r>
            <w:r w:rsidRPr="008875E4">
              <w:t xml:space="preserve"> committed t</w:t>
            </w:r>
            <w:r w:rsidR="009D585A" w:rsidRPr="008875E4">
              <w:t xml:space="preserve">o the avoidance of any </w:t>
            </w:r>
            <w:r w:rsidRPr="008875E4">
              <w:t>unnecessary impact</w:t>
            </w:r>
            <w:r w:rsidR="001E739C" w:rsidRPr="008875E4">
              <w:t xml:space="preserve"> on</w:t>
            </w:r>
            <w:r w:rsidRPr="008875E4">
              <w:t xml:space="preserve"> licence holder operations. It has maintained high levels of predictability </w:t>
            </w:r>
            <w:r w:rsidR="008A30A8" w:rsidRPr="008875E4">
              <w:t>regarding</w:t>
            </w:r>
            <w:r w:rsidRPr="008875E4">
              <w:t xml:space="preserve"> its inspection schedule</w:t>
            </w:r>
            <w:r w:rsidR="00744533" w:rsidRPr="008875E4">
              <w:t xml:space="preserve"> (96%)</w:t>
            </w:r>
            <w:r w:rsidRPr="008875E4">
              <w:t xml:space="preserve"> and </w:t>
            </w:r>
            <w:r w:rsidR="00744533" w:rsidRPr="008875E4">
              <w:t>met agreed timelines on applications (94%). ARPANSA’s regulatory staff have good mission awareness and understand the need to</w:t>
            </w:r>
            <w:r w:rsidR="00202A89" w:rsidRPr="008875E4">
              <w:t xml:space="preserve"> be</w:t>
            </w:r>
            <w:r w:rsidR="00744533" w:rsidRPr="008875E4">
              <w:t xml:space="preserve"> responsive to licence holder priorities and to avoid being </w:t>
            </w:r>
            <w:r w:rsidR="001E739C" w:rsidRPr="008875E4">
              <w:t xml:space="preserve">unnecessarily </w:t>
            </w:r>
            <w:r w:rsidR="00744533" w:rsidRPr="008875E4">
              <w:t>prescriptive.</w:t>
            </w:r>
          </w:p>
          <w:p w14:paraId="28B28880" w14:textId="4564192B" w:rsidR="501E5E53" w:rsidRPr="008875E4" w:rsidRDefault="00A20857" w:rsidP="00EF0461">
            <w:pPr>
              <w:spacing w:before="120"/>
              <w:jc w:val="left"/>
              <w:cnfStyle w:val="000000000000" w:firstRow="0" w:lastRow="0" w:firstColumn="0" w:lastColumn="0" w:oddVBand="0" w:evenVBand="0" w:oddHBand="0" w:evenHBand="0" w:firstRowFirstColumn="0" w:firstRowLastColumn="0" w:lastRowFirstColumn="0" w:lastRowLastColumn="0"/>
            </w:pPr>
            <w:r w:rsidRPr="008875E4">
              <w:t>W</w:t>
            </w:r>
            <w:r w:rsidR="00744533" w:rsidRPr="008875E4">
              <w:t xml:space="preserve">hilst ARPANSA meets its agreed timelines for </w:t>
            </w:r>
            <w:r w:rsidR="008A30A8" w:rsidRPr="008875E4">
              <w:t>most</w:t>
            </w:r>
            <w:r w:rsidR="00B73D41" w:rsidRPr="008875E4">
              <w:t xml:space="preserve"> </w:t>
            </w:r>
            <w:r w:rsidRPr="008875E4">
              <w:t xml:space="preserve">applications, there is lower satisfaction in regard to how long the process </w:t>
            </w:r>
            <w:r w:rsidR="00EF0461" w:rsidRPr="008875E4">
              <w:t xml:space="preserve">actually </w:t>
            </w:r>
            <w:r w:rsidRPr="008875E4">
              <w:t>takes</w:t>
            </w:r>
            <w:r w:rsidR="00EF0461" w:rsidRPr="008875E4">
              <w:t xml:space="preserve"> as reported in the </w:t>
            </w:r>
            <w:r w:rsidR="00375BF9" w:rsidRPr="008875E4">
              <w:t>Post-Assessment Surveys</w:t>
            </w:r>
            <w:r w:rsidRPr="008875E4">
              <w:t xml:space="preserve">. This is an area for improvement. </w:t>
            </w:r>
          </w:p>
        </w:tc>
      </w:tr>
      <w:tr w:rsidR="00D84711" w:rsidRPr="00893A05" w14:paraId="71742730" w14:textId="77777777" w:rsidTr="00B43B85">
        <w:trPr>
          <w:cantSplit/>
        </w:trPr>
        <w:tc>
          <w:tcPr>
            <w:cnfStyle w:val="001000000000" w:firstRow="0" w:lastRow="0" w:firstColumn="1" w:lastColumn="0" w:oddVBand="0" w:evenVBand="0" w:oddHBand="0" w:evenHBand="0" w:firstRowFirstColumn="0" w:firstRowLastColumn="0" w:lastRowFirstColumn="0" w:lastRowLastColumn="0"/>
            <w:tcW w:w="3210" w:type="dxa"/>
            <w:vAlign w:val="top"/>
          </w:tcPr>
          <w:p w14:paraId="6DEF7467" w14:textId="77777777" w:rsidR="003B4D69" w:rsidRPr="008875E4" w:rsidRDefault="009C2AD5" w:rsidP="00F71BA7">
            <w:pPr>
              <w:spacing w:before="60"/>
              <w:jc w:val="left"/>
            </w:pPr>
            <w:r w:rsidRPr="008875E4">
              <w:t>KPI 2 -</w:t>
            </w:r>
            <w:r w:rsidR="003B4D69" w:rsidRPr="008875E4">
              <w:t>Communication with regulated entities is clear, targeted and effective</w:t>
            </w:r>
            <w:r w:rsidR="007E2462" w:rsidRPr="008875E4">
              <w:rPr>
                <w:rFonts w:cstheme="minorHAnsi"/>
                <w:szCs w:val="18"/>
              </w:rPr>
              <w:t>.</w:t>
            </w:r>
          </w:p>
        </w:tc>
        <w:tc>
          <w:tcPr>
            <w:tcW w:w="1888" w:type="dxa"/>
            <w:shd w:val="clear" w:color="auto" w:fill="C9F0C9" w:themeFill="accent3" w:themeFillTint="33"/>
            <w:vAlign w:val="top"/>
          </w:tcPr>
          <w:p w14:paraId="165172F4" w14:textId="77777777" w:rsidR="003B4D69" w:rsidRPr="008875E4" w:rsidRDefault="00A20857"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8875E4">
              <w:rPr>
                <w:b/>
              </w:rPr>
              <w:t>Met</w:t>
            </w:r>
          </w:p>
        </w:tc>
        <w:tc>
          <w:tcPr>
            <w:tcW w:w="4530" w:type="dxa"/>
            <w:vAlign w:val="top"/>
          </w:tcPr>
          <w:p w14:paraId="4DB3C4E5" w14:textId="0EFC7EB5" w:rsidR="00A20857" w:rsidRPr="008875E4" w:rsidRDefault="00A20857" w:rsidP="00F71BA7">
            <w:pPr>
              <w:spacing w:before="60"/>
              <w:jc w:val="left"/>
              <w:cnfStyle w:val="000000000000" w:firstRow="0" w:lastRow="0" w:firstColumn="0" w:lastColumn="0" w:oddVBand="0" w:evenVBand="0" w:oddHBand="0" w:evenHBand="0" w:firstRowFirstColumn="0" w:firstRowLastColumn="0" w:lastRowFirstColumn="0" w:lastRowLastColumn="0"/>
            </w:pPr>
            <w:r w:rsidRPr="008875E4">
              <w:t xml:space="preserve">ARPANSA has undertaken 32 information sharing meetings </w:t>
            </w:r>
            <w:r w:rsidR="00EF0461" w:rsidRPr="008875E4">
              <w:t xml:space="preserve">with regulated entities </w:t>
            </w:r>
            <w:r w:rsidRPr="008875E4">
              <w:t>during the year.</w:t>
            </w:r>
            <w:r w:rsidR="009067D5">
              <w:t xml:space="preserve"> </w:t>
            </w:r>
            <w:r w:rsidRPr="008875E4">
              <w:t xml:space="preserve">This meets </w:t>
            </w:r>
            <w:r w:rsidR="00EF0461" w:rsidRPr="008875E4">
              <w:t>the</w:t>
            </w:r>
            <w:r w:rsidRPr="008875E4">
              <w:t xml:space="preserve"> target but has been negatively imp</w:t>
            </w:r>
            <w:r w:rsidR="00B545D4" w:rsidRPr="008875E4">
              <w:t>acted by COVID-19 restrictions.</w:t>
            </w:r>
          </w:p>
          <w:p w14:paraId="04955F42" w14:textId="6C10E28D" w:rsidR="501E5E53" w:rsidRPr="008875E4" w:rsidRDefault="00A20857" w:rsidP="00B545D4">
            <w:pPr>
              <w:spacing w:before="120"/>
              <w:jc w:val="left"/>
              <w:cnfStyle w:val="000000000000" w:firstRow="0" w:lastRow="0" w:firstColumn="0" w:lastColumn="0" w:oddVBand="0" w:evenVBand="0" w:oddHBand="0" w:evenHBand="0" w:firstRowFirstColumn="0" w:firstRowLastColumn="0" w:lastRowFirstColumn="0" w:lastRowLastColumn="0"/>
            </w:pPr>
            <w:r w:rsidRPr="008875E4">
              <w:t>ARPANSA received positive feedback for a range of communication methods</w:t>
            </w:r>
            <w:r w:rsidR="05F84976" w:rsidRPr="008875E4">
              <w:t xml:space="preserve"> </w:t>
            </w:r>
            <w:r w:rsidR="00EF0461" w:rsidRPr="008875E4">
              <w:t xml:space="preserve">and initiatives </w:t>
            </w:r>
            <w:r w:rsidR="05F84976" w:rsidRPr="008875E4">
              <w:t xml:space="preserve">from </w:t>
            </w:r>
            <w:r w:rsidR="008D454A" w:rsidRPr="008875E4">
              <w:t xml:space="preserve">its </w:t>
            </w:r>
            <w:r w:rsidR="00701020" w:rsidRPr="008875E4">
              <w:t>stakeholder</w:t>
            </w:r>
            <w:r w:rsidR="05F84976" w:rsidRPr="008875E4">
              <w:t xml:space="preserve"> surveys</w:t>
            </w:r>
            <w:r w:rsidR="008870FC" w:rsidRPr="008875E4">
              <w:t xml:space="preserve">. </w:t>
            </w:r>
            <w:r w:rsidR="008D454A" w:rsidRPr="008875E4">
              <w:t xml:space="preserve">Licence </w:t>
            </w:r>
            <w:r w:rsidR="008870FC" w:rsidRPr="008875E4">
              <w:t xml:space="preserve">holders reported that inspectors are professional, knowledgeable and accessible. Ideas to strengthen this measure further include the development of remote conference methods and webinars as a substitute for physical forums, </w:t>
            </w:r>
            <w:r w:rsidR="00D017B3" w:rsidRPr="008875E4">
              <w:t xml:space="preserve">staggering the rotation to </w:t>
            </w:r>
            <w:r w:rsidR="008870FC" w:rsidRPr="008875E4">
              <w:t>lead</w:t>
            </w:r>
            <w:r w:rsidR="00D017B3" w:rsidRPr="008875E4">
              <w:t xml:space="preserve">/support </w:t>
            </w:r>
            <w:r w:rsidR="008870FC" w:rsidRPr="008875E4">
              <w:t xml:space="preserve">inspector </w:t>
            </w:r>
            <w:r w:rsidR="00D017B3" w:rsidRPr="008875E4">
              <w:t>appointments (rather than simultaneous changes)</w:t>
            </w:r>
            <w:r w:rsidR="008870FC" w:rsidRPr="008875E4">
              <w:t xml:space="preserve"> and improved recording and encouragement of feedback. </w:t>
            </w:r>
          </w:p>
        </w:tc>
      </w:tr>
      <w:tr w:rsidR="00D84711" w:rsidRPr="00893A05" w14:paraId="7FB377D4" w14:textId="77777777" w:rsidTr="00B43B85">
        <w:tc>
          <w:tcPr>
            <w:cnfStyle w:val="001000000000" w:firstRow="0" w:lastRow="0" w:firstColumn="1" w:lastColumn="0" w:oddVBand="0" w:evenVBand="0" w:oddHBand="0" w:evenHBand="0" w:firstRowFirstColumn="0" w:firstRowLastColumn="0" w:lastRowFirstColumn="0" w:lastRowLastColumn="0"/>
            <w:tcW w:w="3210" w:type="dxa"/>
            <w:vAlign w:val="top"/>
          </w:tcPr>
          <w:p w14:paraId="10104FD5" w14:textId="77777777" w:rsidR="003B4D69" w:rsidRPr="008875E4" w:rsidRDefault="009C2AD5" w:rsidP="00F71BA7">
            <w:pPr>
              <w:spacing w:before="60"/>
              <w:jc w:val="left"/>
            </w:pPr>
            <w:r w:rsidRPr="008875E4">
              <w:t xml:space="preserve">KPI 3 - </w:t>
            </w:r>
            <w:r w:rsidR="003B4D69" w:rsidRPr="008875E4">
              <w:t>Actions undertaken by regulators are proportionate to the regulatory risk being managed.</w:t>
            </w:r>
          </w:p>
        </w:tc>
        <w:tc>
          <w:tcPr>
            <w:tcW w:w="1888" w:type="dxa"/>
            <w:shd w:val="clear" w:color="auto" w:fill="C9F0C9" w:themeFill="accent3" w:themeFillTint="33"/>
            <w:vAlign w:val="top"/>
          </w:tcPr>
          <w:p w14:paraId="5CD3475D" w14:textId="77777777" w:rsidR="003B4D69" w:rsidRPr="008875E4" w:rsidRDefault="008870FC"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8875E4">
              <w:rPr>
                <w:b/>
              </w:rPr>
              <w:t>Met</w:t>
            </w:r>
          </w:p>
        </w:tc>
        <w:tc>
          <w:tcPr>
            <w:tcW w:w="4530" w:type="dxa"/>
            <w:vAlign w:val="top"/>
          </w:tcPr>
          <w:p w14:paraId="3065A256" w14:textId="3824A632" w:rsidR="00DA1047" w:rsidRPr="008875E4" w:rsidRDefault="008870FC" w:rsidP="00DA1047">
            <w:pPr>
              <w:spacing w:before="60"/>
              <w:jc w:val="left"/>
              <w:cnfStyle w:val="000000000000" w:firstRow="0" w:lastRow="0" w:firstColumn="0" w:lastColumn="0" w:oddVBand="0" w:evenVBand="0" w:oddHBand="0" w:evenHBand="0" w:firstRowFirstColumn="0" w:firstRowLastColumn="0" w:lastRowFirstColumn="0" w:lastRowLastColumn="0"/>
            </w:pPr>
            <w:r w:rsidRPr="008875E4">
              <w:t xml:space="preserve">ARPANSA’s inspection schedule was subject to review and update, albeit there was minor delay arising from consideration of COVID-19 restrictions. ARPANSA </w:t>
            </w:r>
            <w:r w:rsidR="00DA1047" w:rsidRPr="008875E4">
              <w:t>spent 73% of its time on medium o</w:t>
            </w:r>
            <w:r w:rsidR="009770B7" w:rsidRPr="008875E4">
              <w:t>r</w:t>
            </w:r>
            <w:r w:rsidR="00DA1047" w:rsidRPr="008875E4">
              <w:t xml:space="preserve"> higher risk licences. Two potential non-compliances and 137 less safety significant areas for improvement were identified during inspections. </w:t>
            </w:r>
          </w:p>
          <w:p w14:paraId="46119821" w14:textId="12D64A95" w:rsidR="00CB69FE" w:rsidRPr="008875E4" w:rsidRDefault="00DA1047" w:rsidP="00CB69FE">
            <w:pPr>
              <w:spacing w:before="60"/>
              <w:jc w:val="left"/>
              <w:cnfStyle w:val="000000000000" w:firstRow="0" w:lastRow="0" w:firstColumn="0" w:lastColumn="0" w:oddVBand="0" w:evenVBand="0" w:oddHBand="0" w:evenHBand="0" w:firstRowFirstColumn="0" w:firstRowLastColumn="0" w:lastRowFirstColumn="0" w:lastRowLastColumn="0"/>
            </w:pPr>
            <w:r w:rsidRPr="008875E4">
              <w:t xml:space="preserve">ARPANSA’s most significant regulatory action </w:t>
            </w:r>
            <w:r w:rsidR="00CB69FE" w:rsidRPr="008875E4">
              <w:t xml:space="preserve">of the year illustrates a proportionate response to a significant safety issue. After </w:t>
            </w:r>
            <w:r w:rsidRPr="008875E4">
              <w:t>an accident</w:t>
            </w:r>
            <w:r w:rsidR="00D017B3" w:rsidRPr="008875E4">
              <w:t xml:space="preserve"> at ANSTO</w:t>
            </w:r>
            <w:r w:rsidRPr="008875E4">
              <w:t xml:space="preserve"> in June 2019</w:t>
            </w:r>
            <w:r w:rsidR="00D017B3" w:rsidRPr="008875E4">
              <w:t xml:space="preserve">, </w:t>
            </w:r>
            <w:r w:rsidRPr="008875E4">
              <w:t>ARPANSA suspe</w:t>
            </w:r>
            <w:r w:rsidR="00CB69FE" w:rsidRPr="008875E4">
              <w:t>nded</w:t>
            </w:r>
            <w:r w:rsidRPr="008875E4">
              <w:t xml:space="preserve"> operations for a short period of time whilst causation and urgent mitigations were agreed.</w:t>
            </w:r>
            <w:r w:rsidR="009067D5">
              <w:t xml:space="preserve"> </w:t>
            </w:r>
            <w:r w:rsidRPr="008875E4">
              <w:t>From the beginning of July through to March 2020 ARPANSA permitted a limited resumption of operations whilst further improvements were implemented and undertook a series of inspections. A staged return to full operation was authorised in March</w:t>
            </w:r>
            <w:r w:rsidR="00CB69FE" w:rsidRPr="008875E4">
              <w:t xml:space="preserve"> only when ARPANSA was satisfied that the mitigations were adequately implemented</w:t>
            </w:r>
            <w:r w:rsidR="4AAF8F0C" w:rsidRPr="008875E4">
              <w:t>.</w:t>
            </w:r>
          </w:p>
          <w:p w14:paraId="2C06107E" w14:textId="1E96B15A" w:rsidR="501E5E53" w:rsidRPr="008875E4" w:rsidRDefault="00CB69FE" w:rsidP="00CB69FE">
            <w:pPr>
              <w:spacing w:before="60"/>
              <w:jc w:val="left"/>
              <w:cnfStyle w:val="000000000000" w:firstRow="0" w:lastRow="0" w:firstColumn="0" w:lastColumn="0" w:oddVBand="0" w:evenVBand="0" w:oddHBand="0" w:evenHBand="0" w:firstRowFirstColumn="0" w:firstRowLastColumn="0" w:lastRowFirstColumn="0" w:lastRowLastColumn="0"/>
            </w:pPr>
            <w:r w:rsidRPr="008875E4">
              <w:t>Areas for improvement for ARPANSA concerned</w:t>
            </w:r>
            <w:r w:rsidR="00D017B3" w:rsidRPr="008875E4">
              <w:t xml:space="preserve"> improving the consistency of </w:t>
            </w:r>
            <w:r w:rsidRPr="008875E4">
              <w:t>regulatory approaches</w:t>
            </w:r>
            <w:r w:rsidR="00D017B3" w:rsidRPr="008875E4">
              <w:t xml:space="preserve"> by inspectors</w:t>
            </w:r>
            <w:r w:rsidRPr="008875E4">
              <w:t>, improvements to the delivery and promotion of ARPANSA’s holistic safety approach and for various aspects of record keeping.</w:t>
            </w:r>
          </w:p>
        </w:tc>
      </w:tr>
      <w:tr w:rsidR="00D84711" w:rsidRPr="00893A05" w14:paraId="0FF52276" w14:textId="77777777" w:rsidTr="00B43B85">
        <w:trPr>
          <w:cantSplit/>
        </w:trPr>
        <w:tc>
          <w:tcPr>
            <w:cnfStyle w:val="001000000000" w:firstRow="0" w:lastRow="0" w:firstColumn="1" w:lastColumn="0" w:oddVBand="0" w:evenVBand="0" w:oddHBand="0" w:evenHBand="0" w:firstRowFirstColumn="0" w:firstRowLastColumn="0" w:lastRowFirstColumn="0" w:lastRowLastColumn="0"/>
            <w:tcW w:w="3210" w:type="dxa"/>
            <w:vAlign w:val="top"/>
          </w:tcPr>
          <w:p w14:paraId="2308F9DA" w14:textId="77777777" w:rsidR="003B4D69" w:rsidRPr="00D25EFE" w:rsidRDefault="009C2AD5" w:rsidP="00F71BA7">
            <w:pPr>
              <w:spacing w:before="60"/>
              <w:jc w:val="left"/>
            </w:pPr>
            <w:r>
              <w:t xml:space="preserve">KPI 4 - </w:t>
            </w:r>
            <w:r w:rsidR="003B4D69" w:rsidRPr="00D25EFE">
              <w:t>Compliance and monitoring approaches are streamlined and coordinated.</w:t>
            </w:r>
          </w:p>
        </w:tc>
        <w:tc>
          <w:tcPr>
            <w:tcW w:w="1888" w:type="dxa"/>
            <w:shd w:val="clear" w:color="auto" w:fill="C9F0C9" w:themeFill="accent3" w:themeFillTint="33"/>
            <w:vAlign w:val="top"/>
          </w:tcPr>
          <w:p w14:paraId="2A65E129" w14:textId="77777777" w:rsidR="003B4D69" w:rsidRPr="00C032F2" w:rsidRDefault="00CB69FE"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Pr>
                <w:b/>
              </w:rPr>
              <w:t>Met</w:t>
            </w:r>
          </w:p>
        </w:tc>
        <w:tc>
          <w:tcPr>
            <w:tcW w:w="4530" w:type="dxa"/>
            <w:vAlign w:val="top"/>
          </w:tcPr>
          <w:p w14:paraId="217BA7E1" w14:textId="77777777" w:rsidR="001C163B" w:rsidRPr="001C163B" w:rsidRDefault="00CB69FE" w:rsidP="001C163B">
            <w:pPr>
              <w:spacing w:before="60"/>
              <w:jc w:val="left"/>
              <w:cnfStyle w:val="000000000000" w:firstRow="0" w:lastRow="0" w:firstColumn="0" w:lastColumn="0" w:oddVBand="0" w:evenVBand="0" w:oddHBand="0" w:evenHBand="0" w:firstRowFirstColumn="0" w:firstRowLastColumn="0" w:lastRowFirstColumn="0" w:lastRowLastColumn="0"/>
              <w:rPr>
                <w:color w:val="auto"/>
              </w:rPr>
            </w:pPr>
            <w:r w:rsidRPr="001C163B">
              <w:rPr>
                <w:color w:val="auto"/>
              </w:rPr>
              <w:t xml:space="preserve">ARPANSA has </w:t>
            </w:r>
            <w:r w:rsidR="00903722" w:rsidRPr="001C163B">
              <w:rPr>
                <w:color w:val="auto"/>
              </w:rPr>
              <w:t>collaborated with ot</w:t>
            </w:r>
            <w:r w:rsidR="004140F1" w:rsidRPr="001C163B">
              <w:rPr>
                <w:color w:val="auto"/>
              </w:rPr>
              <w:t>her regulatory bodies</w:t>
            </w:r>
            <w:r w:rsidR="009D7D82">
              <w:rPr>
                <w:color w:val="auto"/>
              </w:rPr>
              <w:t xml:space="preserve"> for example </w:t>
            </w:r>
            <w:r w:rsidR="001C163B" w:rsidRPr="001C163B">
              <w:rPr>
                <w:color w:val="auto"/>
              </w:rPr>
              <w:t>Comcare</w:t>
            </w:r>
            <w:r w:rsidR="009D7D82">
              <w:rPr>
                <w:color w:val="auto"/>
              </w:rPr>
              <w:t>,</w:t>
            </w:r>
            <w:r w:rsidR="001C163B" w:rsidRPr="001C163B">
              <w:rPr>
                <w:color w:val="auto"/>
              </w:rPr>
              <w:t xml:space="preserve"> where each agency has shared approaches and co-ordinated important safety messaging to a shared licence holder. </w:t>
            </w:r>
          </w:p>
          <w:p w14:paraId="1FE42F3E" w14:textId="7C82F2D8" w:rsidR="00903722" w:rsidRPr="00D25EFE" w:rsidRDefault="001C163B" w:rsidP="00415907">
            <w:pPr>
              <w:spacing w:before="60"/>
              <w:jc w:val="left"/>
              <w:cnfStyle w:val="000000000000" w:firstRow="0" w:lastRow="0" w:firstColumn="0" w:lastColumn="0" w:oddVBand="0" w:evenVBand="0" w:oddHBand="0" w:evenHBand="0" w:firstRowFirstColumn="0" w:firstRowLastColumn="0" w:lastRowFirstColumn="0" w:lastRowLastColumn="0"/>
            </w:pPr>
            <w:r w:rsidRPr="001C163B">
              <w:rPr>
                <w:color w:val="auto"/>
              </w:rPr>
              <w:t>ARPANSA’s compliance monitoring goes beyond compliance by emphasi</w:t>
            </w:r>
            <w:r w:rsidR="001B1968">
              <w:rPr>
                <w:color w:val="auto"/>
              </w:rPr>
              <w:t>s</w:t>
            </w:r>
            <w:r w:rsidRPr="001C163B">
              <w:rPr>
                <w:color w:val="auto"/>
              </w:rPr>
              <w:t xml:space="preserve">ing, </w:t>
            </w:r>
            <w:r w:rsidR="001B1968">
              <w:rPr>
                <w:color w:val="auto"/>
              </w:rPr>
              <w:t>where appropriate, the importance</w:t>
            </w:r>
            <w:r w:rsidRPr="001C163B">
              <w:rPr>
                <w:color w:val="auto"/>
              </w:rPr>
              <w:t xml:space="preserve"> of meeting best practice as a safeguard for compliance. </w:t>
            </w:r>
            <w:r w:rsidR="0012671B">
              <w:rPr>
                <w:color w:val="auto"/>
              </w:rPr>
              <w:t>Review and revision of ARPANSA’s Compliance and Enforcement Manual has commenced and is on track for finalisation before the end of 2020.</w:t>
            </w:r>
          </w:p>
        </w:tc>
      </w:tr>
      <w:tr w:rsidR="00D84711" w:rsidRPr="00893A05" w14:paraId="3374953C" w14:textId="77777777" w:rsidTr="00B43B85">
        <w:trPr>
          <w:cantSplit/>
        </w:trPr>
        <w:tc>
          <w:tcPr>
            <w:cnfStyle w:val="001000000000" w:firstRow="0" w:lastRow="0" w:firstColumn="1" w:lastColumn="0" w:oddVBand="0" w:evenVBand="0" w:oddHBand="0" w:evenHBand="0" w:firstRowFirstColumn="0" w:firstRowLastColumn="0" w:lastRowFirstColumn="0" w:lastRowLastColumn="0"/>
            <w:tcW w:w="3210" w:type="dxa"/>
            <w:vAlign w:val="top"/>
          </w:tcPr>
          <w:p w14:paraId="4A37C08A" w14:textId="6E6AF763" w:rsidR="003B4D69" w:rsidRPr="00D25EFE" w:rsidRDefault="009C2AD5" w:rsidP="00F71BA7">
            <w:pPr>
              <w:spacing w:before="60"/>
              <w:jc w:val="left"/>
            </w:pPr>
            <w:bookmarkStart w:id="41" w:name="_Ref15552503"/>
            <w:r>
              <w:t xml:space="preserve">KPI 5 - </w:t>
            </w:r>
            <w:r w:rsidR="003B4D69" w:rsidRPr="00D25EFE">
              <w:t>Regulators are open and transparent in their dealings with regulated entities.</w:t>
            </w:r>
            <w:bookmarkEnd w:id="41"/>
          </w:p>
        </w:tc>
        <w:tc>
          <w:tcPr>
            <w:tcW w:w="1888" w:type="dxa"/>
            <w:shd w:val="clear" w:color="auto" w:fill="C9F0C9" w:themeFill="accent3" w:themeFillTint="33"/>
            <w:vAlign w:val="top"/>
          </w:tcPr>
          <w:p w14:paraId="57E24666" w14:textId="77777777" w:rsidR="003B4D69" w:rsidRPr="00C032F2" w:rsidRDefault="001C163B"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Pr>
                <w:b/>
              </w:rPr>
              <w:t>Met</w:t>
            </w:r>
          </w:p>
        </w:tc>
        <w:tc>
          <w:tcPr>
            <w:tcW w:w="4530" w:type="dxa"/>
            <w:vAlign w:val="top"/>
          </w:tcPr>
          <w:p w14:paraId="1EB38FD9" w14:textId="52EE694A" w:rsidR="00641124" w:rsidRPr="009322D5" w:rsidRDefault="001C163B" w:rsidP="00641124">
            <w:pPr>
              <w:spacing w:before="60"/>
              <w:jc w:val="left"/>
              <w:cnfStyle w:val="000000000000" w:firstRow="0" w:lastRow="0" w:firstColumn="0" w:lastColumn="0" w:oddVBand="0" w:evenVBand="0" w:oddHBand="0" w:evenHBand="0" w:firstRowFirstColumn="0" w:firstRowLastColumn="0" w:lastRowFirstColumn="0" w:lastRowLastColumn="0"/>
              <w:rPr>
                <w:color w:val="auto"/>
              </w:rPr>
            </w:pPr>
            <w:r w:rsidRPr="009322D5">
              <w:rPr>
                <w:color w:val="auto"/>
              </w:rPr>
              <w:t>ARPANSA</w:t>
            </w:r>
            <w:r w:rsidR="00641124" w:rsidRPr="009322D5">
              <w:rPr>
                <w:color w:val="auto"/>
              </w:rPr>
              <w:t>’s leadership and staff are</w:t>
            </w:r>
            <w:r w:rsidRPr="009322D5">
              <w:rPr>
                <w:color w:val="auto"/>
              </w:rPr>
              <w:t xml:space="preserve"> committed to openness and transparency</w:t>
            </w:r>
            <w:r w:rsidR="00641124" w:rsidRPr="009322D5">
              <w:rPr>
                <w:color w:val="auto"/>
              </w:rPr>
              <w:t xml:space="preserve">. Its main operating manuals and other information on how it conducts its regulatory business </w:t>
            </w:r>
            <w:r w:rsidR="0012671B">
              <w:rPr>
                <w:color w:val="auto"/>
              </w:rPr>
              <w:t>are</w:t>
            </w:r>
            <w:r w:rsidR="00641124" w:rsidRPr="009322D5">
              <w:rPr>
                <w:color w:val="auto"/>
              </w:rPr>
              <w:t xml:space="preserve"> published on the ARPANSA website. </w:t>
            </w:r>
            <w:r w:rsidR="0012671B">
              <w:rPr>
                <w:color w:val="auto"/>
              </w:rPr>
              <w:t>ARPANSA</w:t>
            </w:r>
            <w:r w:rsidR="00641124" w:rsidRPr="009322D5">
              <w:rPr>
                <w:color w:val="auto"/>
              </w:rPr>
              <w:t xml:space="preserve"> publishes inspection reports, and for large or significant applications, its regulatory assessment reports and the basis for decisions. </w:t>
            </w:r>
            <w:r w:rsidR="0012671B">
              <w:rPr>
                <w:color w:val="auto"/>
              </w:rPr>
              <w:t>The basis</w:t>
            </w:r>
            <w:r w:rsidR="00641124" w:rsidRPr="009322D5">
              <w:rPr>
                <w:color w:val="auto"/>
              </w:rPr>
              <w:t xml:space="preserve"> for all decisions that affect a licence holder </w:t>
            </w:r>
            <w:r w:rsidR="0077380B">
              <w:rPr>
                <w:color w:val="auto"/>
              </w:rPr>
              <w:t>are</w:t>
            </w:r>
            <w:r w:rsidR="00641124" w:rsidRPr="009322D5">
              <w:rPr>
                <w:color w:val="auto"/>
              </w:rPr>
              <w:t xml:space="preserve"> stated to the licence holder.</w:t>
            </w:r>
          </w:p>
          <w:p w14:paraId="69A234AC" w14:textId="77777777" w:rsidR="00641124" w:rsidRPr="009322D5" w:rsidRDefault="00641124" w:rsidP="00641124">
            <w:pPr>
              <w:spacing w:before="60"/>
              <w:jc w:val="left"/>
              <w:cnfStyle w:val="000000000000" w:firstRow="0" w:lastRow="0" w:firstColumn="0" w:lastColumn="0" w:oddVBand="0" w:evenVBand="0" w:oddHBand="0" w:evenHBand="0" w:firstRowFirstColumn="0" w:firstRowLastColumn="0" w:lastRowFirstColumn="0" w:lastRowLastColumn="0"/>
              <w:rPr>
                <w:color w:val="auto"/>
              </w:rPr>
            </w:pPr>
          </w:p>
          <w:p w14:paraId="0ECB9735" w14:textId="789D66F6" w:rsidR="501E5E53" w:rsidRPr="00D25EFE" w:rsidRDefault="00641124" w:rsidP="0012671B">
            <w:pPr>
              <w:spacing w:before="60"/>
              <w:jc w:val="left"/>
              <w:cnfStyle w:val="000000000000" w:firstRow="0" w:lastRow="0" w:firstColumn="0" w:lastColumn="0" w:oddVBand="0" w:evenVBand="0" w:oddHBand="0" w:evenHBand="0" w:firstRowFirstColumn="0" w:firstRowLastColumn="0" w:lastRowFirstColumn="0" w:lastRowLastColumn="0"/>
            </w:pPr>
            <w:r w:rsidRPr="009322D5">
              <w:rPr>
                <w:color w:val="auto"/>
              </w:rPr>
              <w:t xml:space="preserve">ARPANSA consults </w:t>
            </w:r>
            <w:r w:rsidR="009322D5" w:rsidRPr="009322D5">
              <w:rPr>
                <w:color w:val="auto"/>
              </w:rPr>
              <w:t xml:space="preserve">during the development of </w:t>
            </w:r>
            <w:r w:rsidRPr="009322D5">
              <w:rPr>
                <w:color w:val="auto"/>
              </w:rPr>
              <w:t>national codes</w:t>
            </w:r>
            <w:r w:rsidR="009322D5" w:rsidRPr="009322D5">
              <w:rPr>
                <w:color w:val="auto"/>
              </w:rPr>
              <w:t>,</w:t>
            </w:r>
            <w:r w:rsidRPr="009322D5">
              <w:rPr>
                <w:color w:val="auto"/>
              </w:rPr>
              <w:t xml:space="preserve"> standards</w:t>
            </w:r>
            <w:r w:rsidR="009322D5" w:rsidRPr="009322D5">
              <w:rPr>
                <w:color w:val="auto"/>
              </w:rPr>
              <w:t xml:space="preserve"> and guides.</w:t>
            </w:r>
          </w:p>
        </w:tc>
      </w:tr>
      <w:tr w:rsidR="00D84711" w:rsidRPr="00893A05" w14:paraId="04C28B47" w14:textId="77777777" w:rsidTr="00B43B85">
        <w:trPr>
          <w:cantSplit/>
          <w:trHeight w:val="70"/>
        </w:trPr>
        <w:tc>
          <w:tcPr>
            <w:cnfStyle w:val="001000000000" w:firstRow="0" w:lastRow="0" w:firstColumn="1" w:lastColumn="0" w:oddVBand="0" w:evenVBand="0" w:oddHBand="0" w:evenHBand="0" w:firstRowFirstColumn="0" w:firstRowLastColumn="0" w:lastRowFirstColumn="0" w:lastRowLastColumn="0"/>
            <w:tcW w:w="3210" w:type="dxa"/>
            <w:vAlign w:val="top"/>
          </w:tcPr>
          <w:p w14:paraId="1A8DF57E" w14:textId="77777777" w:rsidR="003B4D69" w:rsidRPr="00475B24" w:rsidRDefault="009C2AD5" w:rsidP="00F71BA7">
            <w:pPr>
              <w:spacing w:before="60"/>
              <w:jc w:val="left"/>
              <w:rPr>
                <w:color w:val="auto"/>
              </w:rPr>
            </w:pPr>
            <w:r>
              <w:rPr>
                <w:color w:val="auto"/>
              </w:rPr>
              <w:t xml:space="preserve">KPI 6 - </w:t>
            </w:r>
            <w:r w:rsidR="003B4D69" w:rsidRPr="00475B24">
              <w:rPr>
                <w:color w:val="auto"/>
              </w:rPr>
              <w:t>Regulators actively contribute to the continuous improvement of regulatory frameworks.</w:t>
            </w:r>
          </w:p>
        </w:tc>
        <w:tc>
          <w:tcPr>
            <w:tcW w:w="1888" w:type="dxa"/>
            <w:shd w:val="clear" w:color="auto" w:fill="E3CCF4" w:themeFill="accent1"/>
            <w:vAlign w:val="top"/>
          </w:tcPr>
          <w:p w14:paraId="530F9C51" w14:textId="77777777" w:rsidR="003B4D69" w:rsidRPr="00475B24" w:rsidRDefault="00D84711" w:rsidP="00D84711">
            <w:pPr>
              <w:spacing w:before="60"/>
              <w:jc w:val="left"/>
              <w:cnfStyle w:val="000000000000" w:firstRow="0" w:lastRow="0" w:firstColumn="0" w:lastColumn="0" w:oddVBand="0" w:evenVBand="0" w:oddHBand="0" w:evenHBand="0" w:firstRowFirstColumn="0" w:firstRowLastColumn="0" w:lastRowFirstColumn="0" w:lastRowLastColumn="0"/>
              <w:rPr>
                <w:b/>
                <w:color w:val="auto"/>
              </w:rPr>
            </w:pPr>
            <w:r w:rsidRPr="00475B24">
              <w:rPr>
                <w:b/>
                <w:color w:val="auto"/>
              </w:rPr>
              <w:t>Substantially Met</w:t>
            </w:r>
          </w:p>
        </w:tc>
        <w:tc>
          <w:tcPr>
            <w:tcW w:w="4530" w:type="dxa"/>
            <w:vAlign w:val="top"/>
          </w:tcPr>
          <w:p w14:paraId="18ECBC73" w14:textId="34B75697" w:rsidR="00D84711" w:rsidRPr="00475B24" w:rsidRDefault="00893996" w:rsidP="00D84711">
            <w:pPr>
              <w:spacing w:before="60"/>
              <w:jc w:val="lef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ARPANSA </w:t>
            </w:r>
            <w:r w:rsidR="000C695A">
              <w:rPr>
                <w:color w:val="auto"/>
              </w:rPr>
              <w:t>seeks</w:t>
            </w:r>
            <w:r>
              <w:rPr>
                <w:color w:val="auto"/>
              </w:rPr>
              <w:t xml:space="preserve"> f</w:t>
            </w:r>
            <w:r w:rsidR="009322D5" w:rsidRPr="00475B24">
              <w:rPr>
                <w:color w:val="auto"/>
              </w:rPr>
              <w:t xml:space="preserve">eedback from licence holders </w:t>
            </w:r>
            <w:r>
              <w:rPr>
                <w:color w:val="auto"/>
              </w:rPr>
              <w:t xml:space="preserve">on its regulatory service. The feedback received </w:t>
            </w:r>
            <w:r w:rsidR="009322D5" w:rsidRPr="00475B24">
              <w:rPr>
                <w:color w:val="auto"/>
              </w:rPr>
              <w:t xml:space="preserve">is </w:t>
            </w:r>
            <w:r w:rsidR="00C21A5D" w:rsidRPr="00475B24">
              <w:rPr>
                <w:color w:val="auto"/>
              </w:rPr>
              <w:t>over</w:t>
            </w:r>
            <w:r w:rsidR="00C21A5D">
              <w:rPr>
                <w:color w:val="auto"/>
              </w:rPr>
              <w:t>all</w:t>
            </w:r>
            <w:r w:rsidR="00C21A5D" w:rsidRPr="00475B24">
              <w:rPr>
                <w:color w:val="auto"/>
              </w:rPr>
              <w:t xml:space="preserve"> </w:t>
            </w:r>
            <w:r w:rsidR="009322D5" w:rsidRPr="00475B24">
              <w:rPr>
                <w:color w:val="auto"/>
              </w:rPr>
              <w:t>positive</w:t>
            </w:r>
            <w:r w:rsidR="00C21A5D">
              <w:rPr>
                <w:color w:val="auto"/>
              </w:rPr>
              <w:t xml:space="preserve"> according to ARPANSA continuous improvement surveys</w:t>
            </w:r>
            <w:r w:rsidR="00415907">
              <w:rPr>
                <w:color w:val="auto"/>
              </w:rPr>
              <w:t xml:space="preserve">. </w:t>
            </w:r>
            <w:r w:rsidR="0012671B">
              <w:rPr>
                <w:color w:val="auto"/>
              </w:rPr>
              <w:t xml:space="preserve">Increasing </w:t>
            </w:r>
            <w:r w:rsidR="00D84711" w:rsidRPr="00475B24">
              <w:rPr>
                <w:color w:val="auto"/>
              </w:rPr>
              <w:t xml:space="preserve">the number </w:t>
            </w:r>
            <w:r w:rsidR="008D454A">
              <w:rPr>
                <w:color w:val="auto"/>
              </w:rPr>
              <w:t xml:space="preserve">of </w:t>
            </w:r>
            <w:r w:rsidR="0012671B">
              <w:rPr>
                <w:color w:val="auto"/>
              </w:rPr>
              <w:t>responses</w:t>
            </w:r>
            <w:r w:rsidR="00D84711" w:rsidRPr="00475B24">
              <w:rPr>
                <w:color w:val="auto"/>
              </w:rPr>
              <w:t xml:space="preserve"> to </w:t>
            </w:r>
            <w:r w:rsidR="00475B24" w:rsidRPr="00475B24">
              <w:rPr>
                <w:color w:val="auto"/>
              </w:rPr>
              <w:t>inspection</w:t>
            </w:r>
            <w:r w:rsidR="0012671B">
              <w:rPr>
                <w:color w:val="auto"/>
              </w:rPr>
              <w:t xml:space="preserve"> </w:t>
            </w:r>
            <w:r>
              <w:rPr>
                <w:color w:val="auto"/>
              </w:rPr>
              <w:t xml:space="preserve">and assessment </w:t>
            </w:r>
            <w:r w:rsidR="0012671B">
              <w:rPr>
                <w:color w:val="auto"/>
              </w:rPr>
              <w:t>surveys</w:t>
            </w:r>
            <w:r>
              <w:rPr>
                <w:color w:val="auto"/>
              </w:rPr>
              <w:t xml:space="preserve"> and improving the use from feedback provided in-person at meetings</w:t>
            </w:r>
            <w:r w:rsidR="00475B24" w:rsidRPr="00475B24">
              <w:rPr>
                <w:color w:val="auto"/>
              </w:rPr>
              <w:t xml:space="preserve"> </w:t>
            </w:r>
            <w:r>
              <w:rPr>
                <w:color w:val="auto"/>
              </w:rPr>
              <w:t xml:space="preserve">or by telephone is </w:t>
            </w:r>
            <w:r w:rsidR="00D84711" w:rsidRPr="00475B24">
              <w:rPr>
                <w:color w:val="auto"/>
              </w:rPr>
              <w:t xml:space="preserve">an area for improvement. </w:t>
            </w:r>
            <w:r>
              <w:rPr>
                <w:color w:val="auto"/>
              </w:rPr>
              <w:t xml:space="preserve">For this </w:t>
            </w:r>
            <w:r w:rsidR="003B22B2">
              <w:rPr>
                <w:color w:val="auto"/>
              </w:rPr>
              <w:t>r</w:t>
            </w:r>
            <w:r>
              <w:rPr>
                <w:color w:val="auto"/>
              </w:rPr>
              <w:t>eason the KPI is consider</w:t>
            </w:r>
            <w:r w:rsidR="0082209E">
              <w:rPr>
                <w:color w:val="auto"/>
              </w:rPr>
              <w:t>ed to be only substantially met.</w:t>
            </w:r>
          </w:p>
          <w:p w14:paraId="4D064644" w14:textId="5D73A05E" w:rsidR="501E5E53" w:rsidRPr="00475B24" w:rsidRDefault="00D84711" w:rsidP="00893996">
            <w:pPr>
              <w:spacing w:before="60"/>
              <w:jc w:val="left"/>
              <w:cnfStyle w:val="000000000000" w:firstRow="0" w:lastRow="0" w:firstColumn="0" w:lastColumn="0" w:oddVBand="0" w:evenVBand="0" w:oddHBand="0" w:evenHBand="0" w:firstRowFirstColumn="0" w:firstRowLastColumn="0" w:lastRowFirstColumn="0" w:lastRowLastColumn="0"/>
              <w:rPr>
                <w:color w:val="auto"/>
              </w:rPr>
            </w:pPr>
            <w:r w:rsidRPr="00475B24">
              <w:rPr>
                <w:color w:val="auto"/>
              </w:rPr>
              <w:t xml:space="preserve">ARPANSA is subject to internal </w:t>
            </w:r>
            <w:r w:rsidR="0012671B">
              <w:rPr>
                <w:color w:val="auto"/>
              </w:rPr>
              <w:t>and</w:t>
            </w:r>
            <w:r w:rsidRPr="00475B24">
              <w:rPr>
                <w:color w:val="auto"/>
              </w:rPr>
              <w:t xml:space="preserve"> external reviews</w:t>
            </w:r>
            <w:r w:rsidR="00475B24" w:rsidRPr="00475B24">
              <w:rPr>
                <w:color w:val="auto"/>
              </w:rPr>
              <w:t xml:space="preserve"> and is open and transparent in this regard</w:t>
            </w:r>
            <w:r w:rsidRPr="00475B24">
              <w:rPr>
                <w:color w:val="auto"/>
              </w:rPr>
              <w:t>.</w:t>
            </w:r>
            <w:r w:rsidR="009067D5">
              <w:rPr>
                <w:color w:val="auto"/>
              </w:rPr>
              <w:t xml:space="preserve"> </w:t>
            </w:r>
            <w:r w:rsidRPr="00475B24">
              <w:rPr>
                <w:color w:val="auto"/>
              </w:rPr>
              <w:t>This year</w:t>
            </w:r>
            <w:r w:rsidR="00B43B85">
              <w:rPr>
                <w:color w:val="auto"/>
              </w:rPr>
              <w:t>, a</w:t>
            </w:r>
            <w:r w:rsidRPr="00475B24">
              <w:rPr>
                <w:color w:val="auto"/>
              </w:rPr>
              <w:t xml:space="preserve"> safety culture self-assessment was undertaken</w:t>
            </w:r>
            <w:r w:rsidR="00B43B85">
              <w:rPr>
                <w:color w:val="auto"/>
              </w:rPr>
              <w:t xml:space="preserve"> across the whole of ARPANSA. </w:t>
            </w:r>
            <w:r w:rsidR="0001437F">
              <w:rPr>
                <w:color w:val="auto"/>
              </w:rPr>
              <w:t>T</w:t>
            </w:r>
            <w:r w:rsidR="00475B24" w:rsidRPr="00475B24">
              <w:rPr>
                <w:color w:val="auto"/>
              </w:rPr>
              <w:t xml:space="preserve">he </w:t>
            </w:r>
            <w:hyperlink r:id="rId26" w:history="1">
              <w:r w:rsidR="0001437F" w:rsidRPr="0001437F">
                <w:rPr>
                  <w:rStyle w:val="Hyperlink"/>
                </w:rPr>
                <w:t xml:space="preserve">assessment </w:t>
              </w:r>
              <w:r w:rsidR="00475B24" w:rsidRPr="0001437F">
                <w:rPr>
                  <w:rStyle w:val="Hyperlink"/>
                </w:rPr>
                <w:t>report</w:t>
              </w:r>
            </w:hyperlink>
            <w:r w:rsidR="00475B24" w:rsidRPr="00475B24">
              <w:rPr>
                <w:color w:val="auto"/>
              </w:rPr>
              <w:t xml:space="preserve"> is published on </w:t>
            </w:r>
            <w:r w:rsidR="0012671B">
              <w:rPr>
                <w:color w:val="auto"/>
              </w:rPr>
              <w:t>the</w:t>
            </w:r>
            <w:r w:rsidR="00475B24" w:rsidRPr="00475B24">
              <w:rPr>
                <w:color w:val="auto"/>
              </w:rPr>
              <w:t xml:space="preserve"> website. A general review of regulatory guidance was initiated</w:t>
            </w:r>
            <w:r w:rsidRPr="00475B24">
              <w:rPr>
                <w:color w:val="auto"/>
              </w:rPr>
              <w:t>.</w:t>
            </w:r>
            <w:r w:rsidR="00475B24" w:rsidRPr="00475B24">
              <w:rPr>
                <w:color w:val="auto"/>
              </w:rPr>
              <w:t xml:space="preserve"> Improvements identified are recorded</w:t>
            </w:r>
            <w:r w:rsidRPr="00475B24">
              <w:rPr>
                <w:color w:val="auto"/>
              </w:rPr>
              <w:t xml:space="preserve"> in a register and tracked. </w:t>
            </w:r>
            <w:r w:rsidR="00F6191A">
              <w:rPr>
                <w:color w:val="auto"/>
              </w:rPr>
              <w:t>Some</w:t>
            </w:r>
            <w:r w:rsidRPr="00475B24">
              <w:rPr>
                <w:color w:val="auto"/>
              </w:rPr>
              <w:t xml:space="preserve"> </w:t>
            </w:r>
            <w:r w:rsidR="00475B24" w:rsidRPr="00475B24">
              <w:rPr>
                <w:color w:val="auto"/>
              </w:rPr>
              <w:t>actions arising from an IAEA IRRS mission to Australia in November 2018 have been closed during th</w:t>
            </w:r>
            <w:r w:rsidR="00F6191A">
              <w:rPr>
                <w:color w:val="auto"/>
              </w:rPr>
              <w:t>is</w:t>
            </w:r>
            <w:r w:rsidR="00475B24" w:rsidRPr="00475B24">
              <w:rPr>
                <w:color w:val="auto"/>
              </w:rPr>
              <w:t xml:space="preserve"> year and others are being progressed. </w:t>
            </w:r>
            <w:r w:rsidR="00893996">
              <w:rPr>
                <w:color w:val="auto"/>
              </w:rPr>
              <w:t>The IRRS</w:t>
            </w:r>
            <w:r w:rsidR="00475B24" w:rsidRPr="00475B24">
              <w:rPr>
                <w:color w:val="auto"/>
              </w:rPr>
              <w:t xml:space="preserve"> covered all Australian Radiation Regulators and ARPANSA works actively with each of these to promote the use of international best practice across Australia.</w:t>
            </w:r>
          </w:p>
        </w:tc>
      </w:tr>
    </w:tbl>
    <w:p w14:paraId="3665DDD6" w14:textId="398ED6E6" w:rsidR="000F57A2" w:rsidRPr="001C163B" w:rsidRDefault="000F57A2" w:rsidP="00D25EFE">
      <w:pPr>
        <w:spacing w:before="120"/>
        <w:rPr>
          <w:rFonts w:cs="Times New Roman"/>
          <w:bCs/>
          <w:color w:val="auto"/>
          <w:lang w:eastAsia="en-AU"/>
        </w:rPr>
      </w:pPr>
      <w:r w:rsidRPr="001C163B">
        <w:rPr>
          <w:rFonts w:cs="Times New Roman"/>
          <w:bCs/>
          <w:color w:val="auto"/>
          <w:lang w:eastAsia="en-AU"/>
        </w:rPr>
        <w:t xml:space="preserve">Overall ARPANSA has performed well against the metrics and indicators, and </w:t>
      </w:r>
      <w:r w:rsidR="00893996">
        <w:rPr>
          <w:rFonts w:cs="Times New Roman"/>
          <w:bCs/>
          <w:color w:val="auto"/>
          <w:lang w:eastAsia="en-AU"/>
        </w:rPr>
        <w:t xml:space="preserve">has </w:t>
      </w:r>
      <w:r w:rsidRPr="001C163B">
        <w:rPr>
          <w:rFonts w:cs="Times New Roman"/>
          <w:bCs/>
          <w:color w:val="auto"/>
          <w:lang w:eastAsia="en-AU"/>
        </w:rPr>
        <w:t>demonstrate</w:t>
      </w:r>
      <w:r w:rsidR="00893996">
        <w:rPr>
          <w:rFonts w:cs="Times New Roman"/>
          <w:bCs/>
          <w:color w:val="auto"/>
          <w:lang w:eastAsia="en-AU"/>
        </w:rPr>
        <w:t>d</w:t>
      </w:r>
      <w:r w:rsidRPr="001C163B">
        <w:rPr>
          <w:rFonts w:cs="Times New Roman"/>
          <w:bCs/>
          <w:color w:val="auto"/>
          <w:lang w:eastAsia="en-AU"/>
        </w:rPr>
        <w:t xml:space="preserve"> a </w:t>
      </w:r>
      <w:r w:rsidR="00893996">
        <w:rPr>
          <w:rFonts w:cs="Times New Roman"/>
          <w:bCs/>
          <w:color w:val="auto"/>
          <w:lang w:eastAsia="en-AU"/>
        </w:rPr>
        <w:t xml:space="preserve">clear </w:t>
      </w:r>
      <w:r w:rsidRPr="001C163B">
        <w:rPr>
          <w:rFonts w:cs="Times New Roman"/>
          <w:bCs/>
          <w:color w:val="auto"/>
          <w:lang w:eastAsia="en-AU"/>
        </w:rPr>
        <w:t>commitment to the Regulator Performance Framework objectives.</w:t>
      </w:r>
    </w:p>
    <w:p w14:paraId="7CFC39AC" w14:textId="77777777" w:rsidR="00B50E5C" w:rsidRDefault="003B4D69">
      <w:r>
        <w:br w:type="page"/>
      </w:r>
    </w:p>
    <w:p w14:paraId="733D8101" w14:textId="77777777" w:rsidR="003B4D69" w:rsidRDefault="005C5339" w:rsidP="00561938">
      <w:pPr>
        <w:pStyle w:val="Heading1"/>
      </w:pPr>
      <w:bookmarkStart w:id="42" w:name="_Toc12883999"/>
      <w:bookmarkStart w:id="43" w:name="_Toc23846606"/>
      <w:bookmarkStart w:id="44" w:name="_Toc58918578"/>
      <w:r>
        <w:t>201</w:t>
      </w:r>
      <w:r w:rsidR="00CF0BB9">
        <w:t>9</w:t>
      </w:r>
      <w:r w:rsidR="009723D0">
        <w:t>–</w:t>
      </w:r>
      <w:r w:rsidR="00CF0BB9">
        <w:t>20</w:t>
      </w:r>
      <w:r>
        <w:t xml:space="preserve"> Performance r</w:t>
      </w:r>
      <w:r w:rsidR="6F9414C3">
        <w:t>eporting</w:t>
      </w:r>
      <w:bookmarkEnd w:id="42"/>
      <w:bookmarkEnd w:id="43"/>
      <w:bookmarkEnd w:id="44"/>
    </w:p>
    <w:p w14:paraId="198AF794" w14:textId="77777777" w:rsidR="00561938" w:rsidRDefault="501E5E53" w:rsidP="00561938">
      <w:pPr>
        <w:pStyle w:val="Heading2"/>
      </w:pPr>
      <w:bookmarkStart w:id="45" w:name="_Toc12884000"/>
      <w:bookmarkStart w:id="46" w:name="_Toc23846607"/>
      <w:bookmarkStart w:id="47" w:name="_Toc58918579"/>
      <w:r>
        <w:t>KPI 1 - Regulators do not unnecessarily impede the efficient operation of regulated entities</w:t>
      </w:r>
      <w:bookmarkEnd w:id="45"/>
      <w:bookmarkEnd w:id="46"/>
      <w:bookmarkEnd w:id="47"/>
    </w:p>
    <w:p w14:paraId="0348B81E" w14:textId="77777777" w:rsidR="00744E43" w:rsidRDefault="00744E43" w:rsidP="00744E43">
      <w:pPr>
        <w:pStyle w:val="Heading3"/>
        <w:rPr>
          <w:rFonts w:eastAsia="Calibri"/>
        </w:rPr>
      </w:pPr>
      <w:r>
        <w:rPr>
          <w:rFonts w:eastAsia="Calibri"/>
        </w:rPr>
        <w:t>ARPANSA’s Objectives</w:t>
      </w:r>
      <w:r w:rsidR="00146317">
        <w:rPr>
          <w:rFonts w:eastAsia="Calibri"/>
        </w:rPr>
        <w:t>/Claims</w:t>
      </w:r>
      <w:r>
        <w:rPr>
          <w:rFonts w:eastAsia="Calibri"/>
        </w:rPr>
        <w:t xml:space="preserve"> for KPI 1</w:t>
      </w:r>
    </w:p>
    <w:p w14:paraId="17CC1817" w14:textId="05E3A438" w:rsidR="003E485D" w:rsidRPr="008875E4" w:rsidRDefault="004A4EC4" w:rsidP="049686B7">
      <w:pPr>
        <w:rPr>
          <w:rFonts w:ascii="Calibri" w:eastAsia="Calibri" w:hAnsi="Calibri" w:cs="Calibri"/>
        </w:rPr>
      </w:pPr>
      <w:r w:rsidRPr="008875E4">
        <w:rPr>
          <w:rFonts w:ascii="Calibri" w:eastAsia="Calibri" w:hAnsi="Calibri" w:cs="Calibri"/>
        </w:rPr>
        <w:t xml:space="preserve">ARPANSA’s impact on </w:t>
      </w:r>
      <w:r w:rsidR="00D95A5F" w:rsidRPr="008875E4">
        <w:rPr>
          <w:rFonts w:ascii="Calibri" w:eastAsia="Calibri" w:hAnsi="Calibri" w:cs="Calibri"/>
        </w:rPr>
        <w:t xml:space="preserve">the operations of </w:t>
      </w:r>
      <w:r w:rsidRPr="008875E4">
        <w:rPr>
          <w:rFonts w:ascii="Calibri" w:eastAsia="Calibri" w:hAnsi="Calibri" w:cs="Calibri"/>
        </w:rPr>
        <w:t>licen</w:t>
      </w:r>
      <w:r w:rsidR="00FD77D8" w:rsidRPr="008875E4">
        <w:rPr>
          <w:rFonts w:ascii="Calibri" w:eastAsia="Calibri" w:hAnsi="Calibri" w:cs="Calibri"/>
        </w:rPr>
        <w:t>s</w:t>
      </w:r>
      <w:r w:rsidRPr="008875E4">
        <w:rPr>
          <w:rFonts w:ascii="Calibri" w:eastAsia="Calibri" w:hAnsi="Calibri" w:cs="Calibri"/>
        </w:rPr>
        <w:t>e</w:t>
      </w:r>
      <w:r w:rsidR="00FD77D8" w:rsidRPr="008875E4">
        <w:rPr>
          <w:rFonts w:ascii="Calibri" w:eastAsia="Calibri" w:hAnsi="Calibri" w:cs="Calibri"/>
        </w:rPr>
        <w:t>d</w:t>
      </w:r>
      <w:r w:rsidRPr="008875E4">
        <w:rPr>
          <w:rFonts w:ascii="Calibri" w:eastAsia="Calibri" w:hAnsi="Calibri" w:cs="Calibri"/>
        </w:rPr>
        <w:t xml:space="preserve"> entities is driven by the </w:t>
      </w:r>
      <w:r w:rsidR="00D95A5F" w:rsidRPr="008875E4">
        <w:rPr>
          <w:rFonts w:ascii="Calibri" w:eastAsia="Calibri" w:hAnsi="Calibri" w:cs="Calibri"/>
        </w:rPr>
        <w:t xml:space="preserve">safety objective and is based on </w:t>
      </w:r>
      <w:r w:rsidRPr="008875E4">
        <w:rPr>
          <w:rFonts w:ascii="Calibri" w:eastAsia="Calibri" w:hAnsi="Calibri" w:cs="Calibri"/>
        </w:rPr>
        <w:t>Act and Regulations that set out its regulatory functions</w:t>
      </w:r>
      <w:r w:rsidR="00D95A5F" w:rsidRPr="008875E4">
        <w:rPr>
          <w:rFonts w:ascii="Calibri" w:eastAsia="Calibri" w:hAnsi="Calibri" w:cs="Calibri"/>
        </w:rPr>
        <w:t xml:space="preserve"> and powers</w:t>
      </w:r>
      <w:r w:rsidRPr="008875E4">
        <w:rPr>
          <w:rFonts w:ascii="Calibri" w:eastAsia="Calibri" w:hAnsi="Calibri" w:cs="Calibri"/>
        </w:rPr>
        <w:t xml:space="preserve">. </w:t>
      </w:r>
      <w:r w:rsidR="049686B7" w:rsidRPr="008875E4">
        <w:rPr>
          <w:rFonts w:ascii="Calibri" w:eastAsia="Calibri" w:hAnsi="Calibri" w:cs="Calibri"/>
        </w:rPr>
        <w:t xml:space="preserve">ARPANSA </w:t>
      </w:r>
      <w:r w:rsidRPr="008875E4">
        <w:rPr>
          <w:rFonts w:ascii="Calibri" w:eastAsia="Calibri" w:hAnsi="Calibri" w:cs="Calibri"/>
        </w:rPr>
        <w:t xml:space="preserve">strives to undertake these functions in a way that </w:t>
      </w:r>
      <w:r w:rsidR="00D95A5F" w:rsidRPr="008875E4">
        <w:rPr>
          <w:rFonts w:ascii="Calibri" w:eastAsia="Calibri" w:hAnsi="Calibri" w:cs="Calibri"/>
        </w:rPr>
        <w:t>is proportionate and does not unduly</w:t>
      </w:r>
      <w:r w:rsidRPr="008875E4">
        <w:rPr>
          <w:rFonts w:ascii="Calibri" w:eastAsia="Calibri" w:hAnsi="Calibri" w:cs="Calibri"/>
        </w:rPr>
        <w:t xml:space="preserve"> impact</w:t>
      </w:r>
      <w:r w:rsidR="00D95A5F" w:rsidRPr="008875E4">
        <w:rPr>
          <w:rFonts w:ascii="Calibri" w:eastAsia="Calibri" w:hAnsi="Calibri" w:cs="Calibri"/>
        </w:rPr>
        <w:t xml:space="preserve"> on the operations</w:t>
      </w:r>
      <w:r w:rsidRPr="008875E4">
        <w:rPr>
          <w:rFonts w:ascii="Calibri" w:eastAsia="Calibri" w:hAnsi="Calibri" w:cs="Calibri"/>
        </w:rPr>
        <w:t>, whil</w:t>
      </w:r>
      <w:r w:rsidR="003D2E8C" w:rsidRPr="008875E4">
        <w:rPr>
          <w:rFonts w:ascii="Calibri" w:eastAsia="Calibri" w:hAnsi="Calibri" w:cs="Calibri"/>
        </w:rPr>
        <w:t xml:space="preserve">e </w:t>
      </w:r>
      <w:r w:rsidRPr="008875E4">
        <w:rPr>
          <w:rFonts w:ascii="Calibri" w:eastAsia="Calibri" w:hAnsi="Calibri" w:cs="Calibri"/>
        </w:rPr>
        <w:t xml:space="preserve">still meeting </w:t>
      </w:r>
      <w:r w:rsidR="003D2E8C" w:rsidRPr="008875E4">
        <w:rPr>
          <w:rFonts w:ascii="Calibri" w:eastAsia="Calibri" w:hAnsi="Calibri" w:cs="Calibri"/>
        </w:rPr>
        <w:t>the</w:t>
      </w:r>
      <w:r w:rsidRPr="008875E4">
        <w:rPr>
          <w:rFonts w:ascii="Calibri" w:eastAsia="Calibri" w:hAnsi="Calibri" w:cs="Calibri"/>
        </w:rPr>
        <w:t xml:space="preserve"> </w:t>
      </w:r>
      <w:r w:rsidR="00AC5DED" w:rsidRPr="008875E4">
        <w:rPr>
          <w:rFonts w:ascii="Calibri" w:eastAsia="Calibri" w:hAnsi="Calibri" w:cs="Calibri"/>
        </w:rPr>
        <w:t xml:space="preserve">safety </w:t>
      </w:r>
      <w:r w:rsidRPr="008875E4">
        <w:rPr>
          <w:rFonts w:ascii="Calibri" w:eastAsia="Calibri" w:hAnsi="Calibri" w:cs="Calibri"/>
        </w:rPr>
        <w:t xml:space="preserve">objective of protecting people and the environment from the harmful effects of radiation. </w:t>
      </w:r>
      <w:r w:rsidR="007E7639" w:rsidRPr="008875E4">
        <w:rPr>
          <w:rFonts w:cs="Arial"/>
        </w:rPr>
        <w:t>A r</w:t>
      </w:r>
      <w:r w:rsidR="049686B7" w:rsidRPr="008875E4">
        <w:rPr>
          <w:rFonts w:ascii="Calibri" w:eastAsia="Calibri" w:hAnsi="Calibri" w:cs="Calibri"/>
        </w:rPr>
        <w:t>isk informed inspection program, and</w:t>
      </w:r>
      <w:r w:rsidR="049686B7" w:rsidRPr="008875E4">
        <w:rPr>
          <w:rFonts w:cs="Arial"/>
        </w:rPr>
        <w:t xml:space="preserve"> </w:t>
      </w:r>
      <w:r w:rsidR="049686B7" w:rsidRPr="008875E4">
        <w:rPr>
          <w:rFonts w:ascii="Calibri" w:eastAsia="Calibri" w:hAnsi="Calibri" w:cs="Calibri"/>
        </w:rPr>
        <w:t>applications assessed in an agreed timeframe,</w:t>
      </w:r>
      <w:r w:rsidR="00FC21EE" w:rsidRPr="008875E4">
        <w:rPr>
          <w:rFonts w:ascii="Calibri" w:eastAsia="Calibri" w:hAnsi="Calibri" w:cs="Calibri"/>
        </w:rPr>
        <w:t xml:space="preserve"> provide predictability and</w:t>
      </w:r>
      <w:r w:rsidR="049686B7" w:rsidRPr="008875E4">
        <w:rPr>
          <w:rFonts w:ascii="Calibri" w:eastAsia="Calibri" w:hAnsi="Calibri" w:cs="Calibri"/>
        </w:rPr>
        <w:t xml:space="preserve"> </w:t>
      </w:r>
      <w:r w:rsidR="049686B7" w:rsidRPr="008875E4">
        <w:rPr>
          <w:rFonts w:cs="Arial"/>
        </w:rPr>
        <w:t>allows licence holders to efficiently plan their operation and resources</w:t>
      </w:r>
      <w:r w:rsidR="00A403A1" w:rsidRPr="008875E4">
        <w:rPr>
          <w:rFonts w:cs="Arial"/>
        </w:rPr>
        <w:t xml:space="preserve"> whilst meeting its regulatory responsibilities</w:t>
      </w:r>
      <w:r w:rsidR="049686B7" w:rsidRPr="008875E4">
        <w:rPr>
          <w:rFonts w:ascii="Calibri" w:eastAsia="Calibri" w:hAnsi="Calibri" w:cs="Calibri"/>
        </w:rPr>
        <w:t xml:space="preserve">. </w:t>
      </w:r>
    </w:p>
    <w:p w14:paraId="0BC4DEE3" w14:textId="77777777" w:rsidR="00AB062B" w:rsidRPr="008875E4" w:rsidRDefault="00B66CA9" w:rsidP="501E5E53">
      <w:pPr>
        <w:rPr>
          <w:rFonts w:cs="Arial"/>
          <w:szCs w:val="24"/>
        </w:rPr>
      </w:pPr>
      <w:r w:rsidRPr="008875E4">
        <w:rPr>
          <w:rFonts w:cs="Arial"/>
          <w:szCs w:val="24"/>
        </w:rPr>
        <w:t xml:space="preserve">ARPANSA’s </w:t>
      </w:r>
      <w:r w:rsidR="007E7639" w:rsidRPr="008875E4">
        <w:rPr>
          <w:rFonts w:cs="Arial"/>
          <w:szCs w:val="24"/>
        </w:rPr>
        <w:t>r</w:t>
      </w:r>
      <w:r w:rsidR="00065A49" w:rsidRPr="008875E4">
        <w:rPr>
          <w:rFonts w:ascii="Calibri" w:eastAsia="Calibri" w:hAnsi="Calibri" w:cs="Calibri"/>
        </w:rPr>
        <w:t>isk informed inspection program</w:t>
      </w:r>
      <w:r w:rsidR="00065A49" w:rsidRPr="008875E4">
        <w:rPr>
          <w:rFonts w:cs="Arial"/>
          <w:szCs w:val="24"/>
        </w:rPr>
        <w:t xml:space="preserve"> </w:t>
      </w:r>
      <w:r w:rsidR="00AB062B" w:rsidRPr="008875E4">
        <w:rPr>
          <w:rFonts w:cs="Arial"/>
          <w:szCs w:val="24"/>
        </w:rPr>
        <w:t>includes:</w:t>
      </w:r>
    </w:p>
    <w:p w14:paraId="5F1268B9" w14:textId="4AF62A33" w:rsidR="00844159" w:rsidRPr="008875E4" w:rsidRDefault="009723D0" w:rsidP="00844159">
      <w:pPr>
        <w:pStyle w:val="ListParagraph"/>
        <w:numPr>
          <w:ilvl w:val="0"/>
          <w:numId w:val="31"/>
        </w:numPr>
        <w:autoSpaceDE w:val="0"/>
        <w:autoSpaceDN w:val="0"/>
        <w:adjustRightInd w:val="0"/>
        <w:spacing w:after="120"/>
        <w:rPr>
          <w:rFonts w:cs="Times New Roman"/>
          <w:lang w:eastAsia="en-AU"/>
        </w:rPr>
      </w:pPr>
      <w:r w:rsidRPr="008875E4">
        <w:rPr>
          <w:rFonts w:ascii="Calibri" w:eastAsia="Calibri" w:hAnsi="Calibri" w:cs="Calibri"/>
        </w:rPr>
        <w:t>a</w:t>
      </w:r>
      <w:r w:rsidR="003E485D" w:rsidRPr="008875E4">
        <w:rPr>
          <w:rFonts w:ascii="Calibri" w:eastAsia="Calibri" w:hAnsi="Calibri" w:cs="Calibri"/>
        </w:rPr>
        <w:t xml:space="preserve">n open and transparent </w:t>
      </w:r>
      <w:r w:rsidR="00AB062B" w:rsidRPr="008875E4">
        <w:rPr>
          <w:rFonts w:cs="Times New Roman"/>
          <w:lang w:eastAsia="en-AU"/>
        </w:rPr>
        <w:t>baseline schedule</w:t>
      </w:r>
      <w:r w:rsidR="00C008BB" w:rsidRPr="008875E4">
        <w:rPr>
          <w:rFonts w:cs="Times New Roman"/>
          <w:lang w:eastAsia="en-AU"/>
        </w:rPr>
        <w:t xml:space="preserve"> that</w:t>
      </w:r>
      <w:r w:rsidR="00AB062B" w:rsidRPr="008875E4">
        <w:rPr>
          <w:rFonts w:cs="Times New Roman"/>
          <w:lang w:eastAsia="en-AU"/>
        </w:rPr>
        <w:t xml:space="preserve"> </w:t>
      </w:r>
      <w:r w:rsidR="00B66CA9" w:rsidRPr="008875E4">
        <w:rPr>
          <w:rFonts w:cs="Times New Roman"/>
          <w:lang w:eastAsia="en-AU"/>
        </w:rPr>
        <w:t xml:space="preserve">is maintained, </w:t>
      </w:r>
      <w:r w:rsidR="00AB062B" w:rsidRPr="008875E4">
        <w:rPr>
          <w:rFonts w:cs="Times New Roman"/>
          <w:lang w:eastAsia="en-AU"/>
        </w:rPr>
        <w:t xml:space="preserve">covering the next </w:t>
      </w:r>
      <w:r w:rsidRPr="008875E4">
        <w:rPr>
          <w:rFonts w:cs="Times New Roman"/>
          <w:lang w:eastAsia="en-AU"/>
        </w:rPr>
        <w:t>three</w:t>
      </w:r>
      <w:r w:rsidR="00AB062B" w:rsidRPr="008875E4">
        <w:rPr>
          <w:rFonts w:cs="Times New Roman"/>
          <w:lang w:eastAsia="en-AU"/>
        </w:rPr>
        <w:t xml:space="preserve"> </w:t>
      </w:r>
      <w:r w:rsidR="64CEC689" w:rsidRPr="008875E4">
        <w:rPr>
          <w:rFonts w:cs="Times New Roman"/>
          <w:lang w:eastAsia="en-AU"/>
        </w:rPr>
        <w:t xml:space="preserve">or more </w:t>
      </w:r>
      <w:r w:rsidR="00AB062B" w:rsidRPr="008875E4">
        <w:rPr>
          <w:rFonts w:cs="Times New Roman"/>
          <w:lang w:eastAsia="en-AU"/>
        </w:rPr>
        <w:t>years</w:t>
      </w:r>
      <w:r w:rsidR="00844159" w:rsidRPr="008875E4">
        <w:rPr>
          <w:rFonts w:cs="Times New Roman"/>
          <w:lang w:eastAsia="en-AU"/>
        </w:rPr>
        <w:t>. The schedule includes mechanisms to elevate or reduce the frequency of inspections based on risk, the adequacy of safety controls and the safety performance of the operator.</w:t>
      </w:r>
    </w:p>
    <w:p w14:paraId="3A397481" w14:textId="63410ACD" w:rsidR="00844159" w:rsidRPr="008875E4" w:rsidRDefault="00FC21EE" w:rsidP="00844159">
      <w:pPr>
        <w:pStyle w:val="ListParagraph"/>
        <w:numPr>
          <w:ilvl w:val="0"/>
          <w:numId w:val="31"/>
        </w:numPr>
        <w:autoSpaceDE w:val="0"/>
        <w:autoSpaceDN w:val="0"/>
        <w:adjustRightInd w:val="0"/>
        <w:spacing w:after="120"/>
        <w:rPr>
          <w:rFonts w:cs="Times New Roman"/>
          <w:bCs/>
          <w:szCs w:val="24"/>
          <w:lang w:eastAsia="en-AU"/>
        </w:rPr>
      </w:pPr>
      <w:r w:rsidRPr="008875E4">
        <w:rPr>
          <w:rFonts w:cs="Times New Roman"/>
          <w:bCs/>
          <w:szCs w:val="24"/>
          <w:lang w:eastAsia="en-AU"/>
        </w:rPr>
        <w:t xml:space="preserve">a defined </w:t>
      </w:r>
      <w:r w:rsidR="00AB062B" w:rsidRPr="008875E4">
        <w:rPr>
          <w:rFonts w:cs="Times New Roman"/>
          <w:bCs/>
          <w:szCs w:val="24"/>
          <w:lang w:eastAsia="en-AU"/>
        </w:rPr>
        <w:t xml:space="preserve">scope of each inspection </w:t>
      </w:r>
      <w:r w:rsidRPr="008875E4">
        <w:rPr>
          <w:rFonts w:cs="Times New Roman"/>
          <w:bCs/>
          <w:szCs w:val="24"/>
          <w:lang w:eastAsia="en-AU"/>
        </w:rPr>
        <w:t xml:space="preserve">based on published </w:t>
      </w:r>
      <w:hyperlink r:id="rId27" w:history="1">
        <w:r w:rsidR="008775F7" w:rsidRPr="008875E4">
          <w:rPr>
            <w:rStyle w:val="Hyperlink"/>
            <w:rFonts w:cs="Times New Roman"/>
            <w:bCs/>
            <w:color w:val="4E1A74" w:themeColor="text2"/>
            <w:szCs w:val="24"/>
            <w:lang w:eastAsia="en-AU"/>
          </w:rPr>
          <w:t>p</w:t>
        </w:r>
        <w:r w:rsidR="00AB062B" w:rsidRPr="008875E4">
          <w:rPr>
            <w:rStyle w:val="Hyperlink"/>
            <w:rFonts w:cs="Times New Roman"/>
            <w:bCs/>
            <w:color w:val="4E1A74" w:themeColor="text2"/>
            <w:szCs w:val="24"/>
            <w:lang w:eastAsia="en-AU"/>
          </w:rPr>
          <w:t xml:space="preserve">erformance </w:t>
        </w:r>
        <w:r w:rsidR="008775F7" w:rsidRPr="008875E4">
          <w:rPr>
            <w:rStyle w:val="Hyperlink"/>
            <w:rFonts w:cs="Times New Roman"/>
            <w:bCs/>
            <w:color w:val="4E1A74" w:themeColor="text2"/>
            <w:szCs w:val="24"/>
            <w:lang w:eastAsia="en-AU"/>
          </w:rPr>
          <w:t>o</w:t>
        </w:r>
        <w:r w:rsidR="00AB062B" w:rsidRPr="008875E4">
          <w:rPr>
            <w:rStyle w:val="Hyperlink"/>
            <w:rFonts w:cs="Times New Roman"/>
            <w:bCs/>
            <w:color w:val="4E1A74" w:themeColor="text2"/>
            <w:szCs w:val="24"/>
            <w:lang w:eastAsia="en-AU"/>
          </w:rPr>
          <w:t xml:space="preserve">bjectives and </w:t>
        </w:r>
        <w:r w:rsidR="008775F7" w:rsidRPr="008875E4">
          <w:rPr>
            <w:rStyle w:val="Hyperlink"/>
            <w:rFonts w:cs="Times New Roman"/>
            <w:bCs/>
            <w:color w:val="4E1A74" w:themeColor="text2"/>
            <w:szCs w:val="24"/>
            <w:lang w:eastAsia="en-AU"/>
          </w:rPr>
          <w:t>c</w:t>
        </w:r>
        <w:r w:rsidR="00AB062B" w:rsidRPr="008875E4">
          <w:rPr>
            <w:rStyle w:val="Hyperlink"/>
            <w:rFonts w:cs="Times New Roman"/>
            <w:bCs/>
            <w:color w:val="4E1A74" w:themeColor="text2"/>
            <w:szCs w:val="24"/>
            <w:lang w:eastAsia="en-AU"/>
          </w:rPr>
          <w:t>riteria</w:t>
        </w:r>
      </w:hyperlink>
      <w:r w:rsidRPr="008875E4">
        <w:rPr>
          <w:rFonts w:cs="Times New Roman"/>
          <w:bCs/>
          <w:szCs w:val="24"/>
          <w:lang w:eastAsia="en-AU"/>
        </w:rPr>
        <w:t xml:space="preserve"> (PO</w:t>
      </w:r>
      <w:r w:rsidR="00E90438" w:rsidRPr="008875E4">
        <w:rPr>
          <w:rFonts w:cs="Times New Roman"/>
          <w:bCs/>
          <w:szCs w:val="24"/>
          <w:lang w:eastAsia="en-AU"/>
        </w:rPr>
        <w:t>&amp;</w:t>
      </w:r>
      <w:r w:rsidRPr="008875E4">
        <w:rPr>
          <w:rFonts w:cs="Times New Roman"/>
          <w:bCs/>
          <w:szCs w:val="24"/>
          <w:lang w:eastAsia="en-AU"/>
        </w:rPr>
        <w:t>C). The PO</w:t>
      </w:r>
      <w:r w:rsidR="00E90438" w:rsidRPr="008875E4">
        <w:rPr>
          <w:rFonts w:cs="Times New Roman"/>
          <w:bCs/>
          <w:szCs w:val="24"/>
          <w:lang w:eastAsia="en-AU"/>
        </w:rPr>
        <w:t>&amp;</w:t>
      </w:r>
      <w:r w:rsidRPr="008875E4">
        <w:rPr>
          <w:rFonts w:cs="Times New Roman"/>
          <w:bCs/>
          <w:szCs w:val="24"/>
          <w:lang w:eastAsia="en-AU"/>
        </w:rPr>
        <w:t>Cs</w:t>
      </w:r>
      <w:r w:rsidR="003E485D" w:rsidRPr="008875E4">
        <w:rPr>
          <w:rFonts w:cs="Times New Roman"/>
          <w:bCs/>
          <w:szCs w:val="24"/>
          <w:lang w:eastAsia="en-AU"/>
        </w:rPr>
        <w:t xml:space="preserve"> were developed based </w:t>
      </w:r>
      <w:r w:rsidR="00FD77D8" w:rsidRPr="008875E4">
        <w:rPr>
          <w:rFonts w:cs="Times New Roman"/>
          <w:bCs/>
          <w:szCs w:val="24"/>
          <w:lang w:eastAsia="en-AU"/>
        </w:rPr>
        <w:t xml:space="preserve">on </w:t>
      </w:r>
      <w:r w:rsidRPr="008875E4">
        <w:rPr>
          <w:rFonts w:cs="Times New Roman"/>
          <w:bCs/>
          <w:szCs w:val="24"/>
          <w:lang w:eastAsia="en-AU"/>
        </w:rPr>
        <w:t xml:space="preserve">the requirements of the Act and Regulations and </w:t>
      </w:r>
      <w:r w:rsidR="003E485D" w:rsidRPr="008875E4">
        <w:rPr>
          <w:rFonts w:cs="Times New Roman"/>
          <w:bCs/>
          <w:szCs w:val="24"/>
          <w:lang w:eastAsia="en-AU"/>
        </w:rPr>
        <w:t xml:space="preserve">on international best practice </w:t>
      </w:r>
      <w:r w:rsidR="003D2E8C" w:rsidRPr="008875E4">
        <w:rPr>
          <w:rFonts w:cs="Times New Roman"/>
          <w:bCs/>
          <w:szCs w:val="24"/>
          <w:lang w:eastAsia="en-AU"/>
        </w:rPr>
        <w:t xml:space="preserve">that is </w:t>
      </w:r>
      <w:r w:rsidRPr="008875E4">
        <w:rPr>
          <w:rFonts w:cs="Times New Roman"/>
          <w:bCs/>
          <w:szCs w:val="24"/>
          <w:lang w:eastAsia="en-AU"/>
        </w:rPr>
        <w:t xml:space="preserve">most commonly expressed </w:t>
      </w:r>
      <w:r w:rsidR="003D2E8C" w:rsidRPr="008875E4">
        <w:rPr>
          <w:rFonts w:cs="Times New Roman"/>
          <w:bCs/>
          <w:szCs w:val="24"/>
          <w:lang w:eastAsia="en-AU"/>
        </w:rPr>
        <w:t>in</w:t>
      </w:r>
      <w:r w:rsidRPr="008875E4">
        <w:rPr>
          <w:rFonts w:cs="Times New Roman"/>
          <w:bCs/>
          <w:szCs w:val="24"/>
          <w:lang w:eastAsia="en-AU"/>
        </w:rPr>
        <w:t xml:space="preserve"> Australian standards or the IAEA</w:t>
      </w:r>
      <w:r w:rsidR="003D2E8C" w:rsidRPr="008875E4">
        <w:rPr>
          <w:rFonts w:cs="Times New Roman"/>
          <w:bCs/>
          <w:szCs w:val="24"/>
          <w:lang w:eastAsia="en-AU"/>
        </w:rPr>
        <w:t xml:space="preserve"> safety standards</w:t>
      </w:r>
      <w:r w:rsidRPr="008875E4">
        <w:rPr>
          <w:rFonts w:cs="Times New Roman"/>
          <w:bCs/>
          <w:szCs w:val="24"/>
          <w:lang w:eastAsia="en-AU"/>
        </w:rPr>
        <w:t xml:space="preserve">. </w:t>
      </w:r>
      <w:r w:rsidR="003E485D" w:rsidRPr="008875E4">
        <w:rPr>
          <w:rFonts w:cs="Times New Roman"/>
          <w:bCs/>
          <w:szCs w:val="24"/>
          <w:lang w:eastAsia="en-AU"/>
        </w:rPr>
        <w:t>They provide a comprehensive list of features, controls and behaviours that contribute to safety, arranged into eight baseline modules and three cross cutting modules</w:t>
      </w:r>
      <w:r w:rsidR="00522485" w:rsidRPr="008875E4">
        <w:rPr>
          <w:rFonts w:cs="Times New Roman"/>
          <w:bCs/>
          <w:szCs w:val="24"/>
          <w:lang w:eastAsia="en-AU"/>
        </w:rPr>
        <w:t>.</w:t>
      </w:r>
    </w:p>
    <w:p w14:paraId="1D805809" w14:textId="77777777" w:rsidR="00AB062B" w:rsidRPr="008875E4" w:rsidRDefault="009723D0" w:rsidP="003E485D">
      <w:pPr>
        <w:pStyle w:val="ListParagraph"/>
        <w:numPr>
          <w:ilvl w:val="0"/>
          <w:numId w:val="31"/>
        </w:numPr>
        <w:autoSpaceDE w:val="0"/>
        <w:autoSpaceDN w:val="0"/>
        <w:adjustRightInd w:val="0"/>
        <w:spacing w:after="120"/>
        <w:rPr>
          <w:rFonts w:cs="Times New Roman"/>
          <w:bCs/>
          <w:szCs w:val="24"/>
          <w:lang w:eastAsia="en-AU"/>
        </w:rPr>
      </w:pPr>
      <w:r w:rsidRPr="008875E4">
        <w:rPr>
          <w:rFonts w:cs="Times New Roman"/>
          <w:bCs/>
          <w:szCs w:val="24"/>
          <w:lang w:eastAsia="en-AU"/>
        </w:rPr>
        <w:t>s</w:t>
      </w:r>
      <w:r w:rsidR="00AB062B" w:rsidRPr="008875E4">
        <w:rPr>
          <w:rFonts w:cs="Times New Roman"/>
          <w:bCs/>
          <w:szCs w:val="24"/>
          <w:lang w:eastAsia="en-AU"/>
        </w:rPr>
        <w:t xml:space="preserve">pecific dates for scheduled inspections and scope for inspections, </w:t>
      </w:r>
      <w:r w:rsidRPr="008875E4">
        <w:rPr>
          <w:rFonts w:cs="Times New Roman"/>
          <w:bCs/>
          <w:szCs w:val="24"/>
          <w:lang w:eastAsia="en-AU"/>
        </w:rPr>
        <w:t>which are</w:t>
      </w:r>
      <w:r w:rsidR="00AB062B" w:rsidRPr="008875E4">
        <w:rPr>
          <w:rFonts w:cs="Times New Roman"/>
          <w:bCs/>
          <w:szCs w:val="24"/>
          <w:lang w:eastAsia="en-AU"/>
        </w:rPr>
        <w:t xml:space="preserve"> discussed with the licence holder in advance of a formal notification two weeks prior to the inspection </w:t>
      </w:r>
    </w:p>
    <w:p w14:paraId="5FBE1202" w14:textId="77777777" w:rsidR="00B66CA9" w:rsidRPr="008875E4" w:rsidRDefault="009723D0" w:rsidP="003E485D">
      <w:pPr>
        <w:pStyle w:val="ListParagraph"/>
        <w:numPr>
          <w:ilvl w:val="0"/>
          <w:numId w:val="31"/>
        </w:numPr>
        <w:autoSpaceDE w:val="0"/>
        <w:autoSpaceDN w:val="0"/>
        <w:adjustRightInd w:val="0"/>
        <w:spacing w:after="120"/>
        <w:rPr>
          <w:rFonts w:cs="Times New Roman"/>
          <w:bCs/>
          <w:szCs w:val="24"/>
          <w:lang w:eastAsia="en-AU"/>
        </w:rPr>
      </w:pPr>
      <w:r w:rsidRPr="008875E4">
        <w:rPr>
          <w:rFonts w:cs="Times New Roman"/>
          <w:bCs/>
          <w:szCs w:val="24"/>
          <w:lang w:eastAsia="en-AU"/>
        </w:rPr>
        <w:t>e</w:t>
      </w:r>
      <w:r w:rsidR="00B66CA9" w:rsidRPr="008875E4">
        <w:rPr>
          <w:rFonts w:cs="Times New Roman"/>
          <w:bCs/>
          <w:szCs w:val="24"/>
          <w:lang w:eastAsia="en-AU"/>
        </w:rPr>
        <w:t>-inspections and alternative approaches for low risk radiation sources.</w:t>
      </w:r>
    </w:p>
    <w:p w14:paraId="19C5AE2C" w14:textId="18F7F6EF" w:rsidR="007E6906" w:rsidRPr="008875E4" w:rsidRDefault="00615127" w:rsidP="00D25EFE">
      <w:pPr>
        <w:spacing w:after="120"/>
        <w:rPr>
          <w:rFonts w:cs="Arial"/>
        </w:rPr>
      </w:pPr>
      <w:r w:rsidRPr="008875E4">
        <w:rPr>
          <w:rFonts w:cs="Times New Roman"/>
          <w:lang w:eastAsia="en-AU"/>
        </w:rPr>
        <w:t xml:space="preserve">ARPANSA strives to assess applications in a timely manner and within a timeframe agreed with the applicant. </w:t>
      </w:r>
      <w:r w:rsidR="00B66CA9" w:rsidRPr="008875E4">
        <w:rPr>
          <w:rFonts w:cs="Times New Roman"/>
          <w:lang w:eastAsia="en-AU"/>
        </w:rPr>
        <w:t xml:space="preserve">ARPANSA receives various types of applications including </w:t>
      </w:r>
      <w:r w:rsidR="00303150" w:rsidRPr="008875E4">
        <w:rPr>
          <w:rFonts w:cs="Times New Roman"/>
          <w:lang w:eastAsia="en-AU"/>
        </w:rPr>
        <w:t xml:space="preserve">for </w:t>
      </w:r>
      <w:r w:rsidR="00B66CA9" w:rsidRPr="008875E4">
        <w:rPr>
          <w:rFonts w:cs="Times New Roman"/>
          <w:lang w:eastAsia="en-AU"/>
        </w:rPr>
        <w:t>new licences, requests for safety</w:t>
      </w:r>
      <w:r w:rsidR="4285FAC8" w:rsidRPr="008875E4">
        <w:rPr>
          <w:rFonts w:cs="Times New Roman"/>
          <w:lang w:eastAsia="en-AU"/>
        </w:rPr>
        <w:t xml:space="preserve"> </w:t>
      </w:r>
      <w:r w:rsidR="0045754B" w:rsidRPr="008875E4">
        <w:rPr>
          <w:rFonts w:cs="Times New Roman"/>
          <w:bCs/>
          <w:szCs w:val="24"/>
          <w:lang w:eastAsia="en-AU"/>
        </w:rPr>
        <w:noBreakHyphen/>
      </w:r>
      <w:r w:rsidR="00B66CA9" w:rsidRPr="008875E4">
        <w:rPr>
          <w:rFonts w:cs="Times New Roman"/>
          <w:lang w:eastAsia="en-AU"/>
        </w:rPr>
        <w:t xml:space="preserve">significant changes, and transfer or disposal of radiation sources. </w:t>
      </w:r>
      <w:r w:rsidRPr="008875E4">
        <w:rPr>
          <w:rFonts w:cs="Times New Roman"/>
          <w:lang w:eastAsia="en-AU"/>
        </w:rPr>
        <w:t xml:space="preserve">The timeframe </w:t>
      </w:r>
      <w:r w:rsidR="007E7639" w:rsidRPr="008875E4">
        <w:rPr>
          <w:rFonts w:cs="Times New Roman"/>
          <w:lang w:eastAsia="en-AU"/>
        </w:rPr>
        <w:t xml:space="preserve">for assessment </w:t>
      </w:r>
      <w:r w:rsidRPr="008875E4">
        <w:rPr>
          <w:rFonts w:cs="Times New Roman"/>
          <w:lang w:eastAsia="en-AU"/>
        </w:rPr>
        <w:t xml:space="preserve">depends on the nature and complexity of the application and takes account of the licence holder’s priorities and </w:t>
      </w:r>
      <w:r w:rsidR="00730473" w:rsidRPr="008875E4">
        <w:rPr>
          <w:rFonts w:cs="Arial"/>
        </w:rPr>
        <w:t>ARPANSA</w:t>
      </w:r>
      <w:r w:rsidRPr="008875E4">
        <w:rPr>
          <w:rFonts w:cs="Arial"/>
        </w:rPr>
        <w:t>’s</w:t>
      </w:r>
      <w:r w:rsidR="00730473" w:rsidRPr="008875E4">
        <w:rPr>
          <w:rFonts w:cs="Arial"/>
        </w:rPr>
        <w:t xml:space="preserve"> workloads. This process of consultation is important to set realistic expectations and ensure sufficient time for a thorou</w:t>
      </w:r>
      <w:r w:rsidRPr="008875E4">
        <w:rPr>
          <w:rFonts w:cs="Arial"/>
        </w:rPr>
        <w:t>gh analysis of the application.</w:t>
      </w:r>
      <w:r w:rsidR="003E485D" w:rsidRPr="008875E4">
        <w:rPr>
          <w:rFonts w:cs="Arial"/>
        </w:rPr>
        <w:t xml:space="preserve"> </w:t>
      </w:r>
    </w:p>
    <w:p w14:paraId="4FB7807C" w14:textId="77777777" w:rsidR="007E6906" w:rsidRDefault="007E6906">
      <w:pPr>
        <w:rPr>
          <w:rFonts w:cs="Arial"/>
          <w:szCs w:val="24"/>
        </w:rPr>
      </w:pPr>
      <w:r>
        <w:rPr>
          <w:rFonts w:cs="Arial"/>
          <w:szCs w:val="24"/>
        </w:rPr>
        <w:br w:type="page"/>
      </w:r>
    </w:p>
    <w:tbl>
      <w:tblPr>
        <w:tblStyle w:val="GenericARPANSA"/>
        <w:tblW w:w="5000" w:type="pct"/>
        <w:tblLayout w:type="fixed"/>
        <w:tblLook w:val="06A0" w:firstRow="1" w:lastRow="0" w:firstColumn="1" w:lastColumn="0" w:noHBand="1" w:noVBand="1"/>
        <w:tblDescription w:val="This table contains 2 heading columns, 1. KPIs/Measures/Metrics, 2. Evidence (Performance in  2016-17). Column 2 includes a self-assessed rating against KPI 1."/>
      </w:tblPr>
      <w:tblGrid>
        <w:gridCol w:w="4814"/>
        <w:gridCol w:w="4814"/>
      </w:tblGrid>
      <w:tr w:rsidR="00F5034B" w:rsidRPr="00561938" w14:paraId="5348E045" w14:textId="77777777" w:rsidTr="0042446B">
        <w:trPr>
          <w:cnfStyle w:val="100000000000" w:firstRow="1" w:lastRow="0" w:firstColumn="0" w:lastColumn="0" w:oddVBand="0" w:evenVBand="0" w:oddHBand="0" w:evenHBand="0" w:firstRowFirstColumn="0" w:firstRowLastColumn="0" w:lastRowFirstColumn="0" w:lastRowLastColumn="0"/>
          <w:trHeight w:val="291"/>
        </w:trPr>
        <w:tc>
          <w:tcPr>
            <w:tcW w:w="0" w:type="dxa"/>
          </w:tcPr>
          <w:p w14:paraId="4DC8FF38" w14:textId="77777777" w:rsidR="00F5034B" w:rsidRPr="005F6BFB" w:rsidRDefault="00F5034B" w:rsidP="000C4A9A">
            <w:pPr>
              <w:pStyle w:val="Heading3"/>
              <w:jc w:val="left"/>
              <w:outlineLvl w:val="2"/>
              <w:rPr>
                <w:b/>
                <w:i w:val="0"/>
                <w:color w:val="FFFFFF" w:themeColor="background1"/>
              </w:rPr>
            </w:pPr>
            <w:r w:rsidRPr="005F6BFB">
              <w:rPr>
                <w:b/>
                <w:i w:val="0"/>
                <w:color w:val="FFFFFF" w:themeColor="background1"/>
              </w:rPr>
              <w:lastRenderedPageBreak/>
              <w:t>Measures/</w:t>
            </w:r>
            <w:r w:rsidR="000C4A9A">
              <w:rPr>
                <w:b/>
                <w:i w:val="0"/>
                <w:color w:val="FFFFFF" w:themeColor="background1"/>
              </w:rPr>
              <w:t>m</w:t>
            </w:r>
            <w:r w:rsidRPr="005F6BFB">
              <w:rPr>
                <w:b/>
                <w:i w:val="0"/>
                <w:color w:val="FFFFFF" w:themeColor="background1"/>
              </w:rPr>
              <w:t>etrics</w:t>
            </w:r>
          </w:p>
        </w:tc>
        <w:tc>
          <w:tcPr>
            <w:tcW w:w="0" w:type="dxa"/>
          </w:tcPr>
          <w:p w14:paraId="32F3EFF2" w14:textId="3975DB36" w:rsidR="00F5034B" w:rsidRPr="005F6BFB" w:rsidRDefault="00F5034B" w:rsidP="000C4A9A">
            <w:pPr>
              <w:pStyle w:val="Heading3"/>
              <w:jc w:val="left"/>
              <w:outlineLvl w:val="2"/>
              <w:rPr>
                <w:b/>
                <w:i w:val="0"/>
                <w:color w:val="FFFFFF" w:themeColor="background1"/>
              </w:rPr>
            </w:pPr>
            <w:r w:rsidRPr="005F6BFB">
              <w:rPr>
                <w:b/>
                <w:i w:val="0"/>
                <w:color w:val="FFFFFF" w:themeColor="background1"/>
              </w:rPr>
              <w:t>Evidence (</w:t>
            </w:r>
            <w:r w:rsidR="000C4A9A">
              <w:rPr>
                <w:b/>
                <w:i w:val="0"/>
                <w:color w:val="FFFFFF" w:themeColor="background1"/>
              </w:rPr>
              <w:t>p</w:t>
            </w:r>
            <w:r w:rsidR="00D02FB8">
              <w:rPr>
                <w:b/>
                <w:i w:val="0"/>
                <w:color w:val="FFFFFF" w:themeColor="background1"/>
              </w:rPr>
              <w:t>erformance in 2019</w:t>
            </w:r>
            <w:r w:rsidR="00721C9C">
              <w:rPr>
                <w:b/>
                <w:i w:val="0"/>
                <w:color w:val="FFFFFF" w:themeColor="background1"/>
              </w:rPr>
              <w:t>–</w:t>
            </w:r>
            <w:r w:rsidR="00D02FB8">
              <w:rPr>
                <w:b/>
                <w:i w:val="0"/>
                <w:color w:val="FFFFFF" w:themeColor="background1"/>
              </w:rPr>
              <w:t>20</w:t>
            </w:r>
            <w:r w:rsidRPr="005F6BFB">
              <w:rPr>
                <w:b/>
                <w:i w:val="0"/>
                <w:color w:val="FFFFFF" w:themeColor="background1"/>
              </w:rPr>
              <w:t>)</w:t>
            </w:r>
          </w:p>
        </w:tc>
      </w:tr>
      <w:tr w:rsidR="00F5034B" w:rsidRPr="00110D4B" w14:paraId="271C2C37" w14:textId="77777777" w:rsidTr="0042446B">
        <w:trPr>
          <w:trHeight w:val="2237"/>
        </w:trPr>
        <w:tc>
          <w:tcPr>
            <w:tcW w:w="0" w:type="dxa"/>
            <w:vAlign w:val="top"/>
          </w:tcPr>
          <w:p w14:paraId="2DD08A3D" w14:textId="77777777" w:rsidR="00F5034B" w:rsidRPr="008875E4" w:rsidRDefault="6F9414C3" w:rsidP="003774AD">
            <w:pPr>
              <w:jc w:val="left"/>
              <w:rPr>
                <w:b/>
              </w:rPr>
            </w:pPr>
            <w:r w:rsidRPr="008875E4">
              <w:rPr>
                <w:b/>
              </w:rPr>
              <w:t>PI 1.1 Inspections are conducted in accordance with established inspection schedule</w:t>
            </w:r>
          </w:p>
          <w:p w14:paraId="34541177" w14:textId="6F28D300" w:rsidR="00F5034B" w:rsidRPr="008875E4" w:rsidRDefault="6F9414C3" w:rsidP="00315E85">
            <w:pPr>
              <w:spacing w:before="120"/>
              <w:jc w:val="left"/>
            </w:pPr>
            <w:r w:rsidRPr="008875E4">
              <w:t xml:space="preserve">Eight inspection areas have been identified for licensed facilities or sources to be undertaken at least once during a three-year facility and </w:t>
            </w:r>
            <w:r w:rsidR="00F6191A" w:rsidRPr="008875E4">
              <w:t>six-year</w:t>
            </w:r>
            <w:r w:rsidRPr="008875E4">
              <w:t xml:space="preserve"> source inspection cycle. The inspection schedule is updated </w:t>
            </w:r>
            <w:r w:rsidR="006660FD" w:rsidRPr="008875E4">
              <w:t xml:space="preserve">annually and </w:t>
            </w:r>
            <w:r w:rsidRPr="008875E4">
              <w:t>communicated to licence holders. Adherence to the schedule promotes trust, predictability and efficiency. It supports ARPANSA’s efforts to deliver quality regulatory services with due consideration of the health and safety of people and the environment, without being disruptive to business.</w:t>
            </w:r>
          </w:p>
          <w:p w14:paraId="182ECAC4" w14:textId="75C604D4" w:rsidR="00F5034B" w:rsidRPr="008875E4" w:rsidRDefault="6F9414C3" w:rsidP="00D419C0">
            <w:pPr>
              <w:jc w:val="left"/>
            </w:pPr>
            <w:r w:rsidRPr="008875E4">
              <w:t>ARPANSA will measure the percentage of inspections conducted in accordance with the risk</w:t>
            </w:r>
            <w:r w:rsidR="00D419C0" w:rsidRPr="008875E4">
              <w:noBreakHyphen/>
            </w:r>
            <w:r w:rsidRPr="008875E4">
              <w:t xml:space="preserve">informed </w:t>
            </w:r>
            <w:r w:rsidR="00F6191A" w:rsidRPr="008875E4">
              <w:t>long-term</w:t>
            </w:r>
            <w:r w:rsidRPr="008875E4">
              <w:t xml:space="preserve"> inspection schedule [Quantitative].</w:t>
            </w:r>
          </w:p>
        </w:tc>
        <w:tc>
          <w:tcPr>
            <w:tcW w:w="0" w:type="dxa"/>
            <w:vAlign w:val="top"/>
          </w:tcPr>
          <w:p w14:paraId="56256E16" w14:textId="77777777" w:rsidR="00B15317" w:rsidRPr="008875E4" w:rsidRDefault="00B15317" w:rsidP="003774AD">
            <w:pPr>
              <w:jc w:val="left"/>
              <w:rPr>
                <w:b/>
              </w:rPr>
            </w:pPr>
            <w:r w:rsidRPr="008875E4">
              <w:rPr>
                <w:b/>
              </w:rPr>
              <w:t xml:space="preserve">Target </w:t>
            </w:r>
            <w:r w:rsidR="006E458F" w:rsidRPr="008875E4">
              <w:rPr>
                <w:b/>
              </w:rPr>
              <w:t>m</w:t>
            </w:r>
            <w:r w:rsidRPr="008875E4">
              <w:rPr>
                <w:b/>
              </w:rPr>
              <w:t>et</w:t>
            </w:r>
          </w:p>
          <w:p w14:paraId="54FB834E" w14:textId="3243C2DA" w:rsidR="00917224" w:rsidRPr="008875E4" w:rsidRDefault="0025256E" w:rsidP="007F79C5">
            <w:pPr>
              <w:spacing w:before="120"/>
              <w:jc w:val="left"/>
            </w:pPr>
            <w:r w:rsidRPr="008875E4">
              <w:t xml:space="preserve">A total of </w:t>
            </w:r>
            <w:r w:rsidR="0027036A" w:rsidRPr="008875E4">
              <w:t>96</w:t>
            </w:r>
            <w:r w:rsidR="6F9414C3" w:rsidRPr="008875E4">
              <w:t>% (</w:t>
            </w:r>
            <w:r w:rsidR="0027036A" w:rsidRPr="008875E4">
              <w:t>26</w:t>
            </w:r>
            <w:r w:rsidR="6F9414C3" w:rsidRPr="008875E4">
              <w:t>/</w:t>
            </w:r>
            <w:r w:rsidR="0027036A" w:rsidRPr="008875E4">
              <w:t>27</w:t>
            </w:r>
            <w:r w:rsidR="6F9414C3" w:rsidRPr="008875E4">
              <w:t xml:space="preserve">) of inspections were conducted in accordance with </w:t>
            </w:r>
            <w:r w:rsidR="007E7639" w:rsidRPr="008875E4">
              <w:t xml:space="preserve">the </w:t>
            </w:r>
            <w:r w:rsidR="6F9414C3" w:rsidRPr="008875E4">
              <w:t xml:space="preserve">schedule. This </w:t>
            </w:r>
            <w:r w:rsidR="007F79C5" w:rsidRPr="008875E4">
              <w:t>meets</w:t>
            </w:r>
            <w:r w:rsidR="6F9414C3" w:rsidRPr="008875E4">
              <w:t xml:space="preserve"> the target of 85%</w:t>
            </w:r>
            <w:r w:rsidR="00522485" w:rsidRPr="008875E4">
              <w:t xml:space="preserve"> and is above </w:t>
            </w:r>
            <w:r w:rsidR="00303150" w:rsidRPr="008875E4">
              <w:t>the</w:t>
            </w:r>
            <w:r w:rsidR="00522485" w:rsidRPr="008875E4">
              <w:t xml:space="preserve"> </w:t>
            </w:r>
            <w:r w:rsidR="00F6191A" w:rsidRPr="008875E4">
              <w:t>five-year</w:t>
            </w:r>
            <w:r w:rsidR="00522485" w:rsidRPr="008875E4">
              <w:t xml:space="preserve"> average of 86%</w:t>
            </w:r>
            <w:r w:rsidR="007F79C5" w:rsidRPr="008875E4">
              <w:t xml:space="preserve">. </w:t>
            </w:r>
          </w:p>
          <w:p w14:paraId="793EE13A" w14:textId="7C2B8987" w:rsidR="007F79C5" w:rsidRPr="008875E4" w:rsidRDefault="00917224" w:rsidP="00917224">
            <w:pPr>
              <w:spacing w:before="120"/>
              <w:jc w:val="left"/>
            </w:pPr>
            <w:r w:rsidRPr="008875E4">
              <w:t xml:space="preserve">ARPANSA does not count inspections that were cancelled or postponed for reasons that were outside of its control </w:t>
            </w:r>
            <w:r w:rsidR="00BA0433" w:rsidRPr="008875E4">
              <w:t>or for reasons permitted in its procedures.</w:t>
            </w:r>
            <w:r w:rsidRPr="008875E4">
              <w:t xml:space="preserve"> There were </w:t>
            </w:r>
            <w:r w:rsidR="501E5E53" w:rsidRPr="008875E4">
              <w:t xml:space="preserve">13 inspections </w:t>
            </w:r>
            <w:r w:rsidRPr="008875E4">
              <w:t xml:space="preserve">in this category. The </w:t>
            </w:r>
            <w:r w:rsidR="501E5E53" w:rsidRPr="008875E4">
              <w:t xml:space="preserve">reasons </w:t>
            </w:r>
            <w:r w:rsidR="007F79C5" w:rsidRPr="008875E4">
              <w:t>included restrictions associated with the COVID-19 pandemic, reclassification of items as no longer being controlled apparatus or sources being transferred from the inspection premises and lack of licence holder staff availability.</w:t>
            </w:r>
            <w:r w:rsidR="501E5E53" w:rsidRPr="008875E4">
              <w:t xml:space="preserve"> </w:t>
            </w:r>
          </w:p>
          <w:p w14:paraId="7C536A26" w14:textId="69EE8E13" w:rsidR="00917224" w:rsidRPr="008875E4" w:rsidRDefault="007F79C5" w:rsidP="007F79C5">
            <w:pPr>
              <w:jc w:val="left"/>
            </w:pPr>
            <w:r w:rsidRPr="008875E4">
              <w:t>In total 44 inspections were conducted. This number included some deferred from the original schedule and augmented inspections in response to specific safety concerns</w:t>
            </w:r>
            <w:r w:rsidR="00917224" w:rsidRPr="008875E4">
              <w:t>.</w:t>
            </w:r>
          </w:p>
        </w:tc>
      </w:tr>
      <w:tr w:rsidR="00F5034B" w:rsidRPr="00110D4B" w14:paraId="20453E76" w14:textId="77777777" w:rsidTr="0042446B">
        <w:trPr>
          <w:trHeight w:val="2299"/>
        </w:trPr>
        <w:tc>
          <w:tcPr>
            <w:tcW w:w="0" w:type="dxa"/>
            <w:tcBorders>
              <w:bottom w:val="single" w:sz="18" w:space="0" w:color="auto"/>
            </w:tcBorders>
            <w:vAlign w:val="top"/>
          </w:tcPr>
          <w:p w14:paraId="7ED90FEB" w14:textId="77777777" w:rsidR="00F5034B" w:rsidRPr="008875E4" w:rsidRDefault="4EB4279E" w:rsidP="5C950253">
            <w:pPr>
              <w:jc w:val="left"/>
              <w:rPr>
                <w:b/>
                <w:bCs/>
              </w:rPr>
            </w:pPr>
            <w:r w:rsidRPr="008875E4">
              <w:rPr>
                <w:b/>
                <w:bCs/>
              </w:rPr>
              <w:t xml:space="preserve">PI </w:t>
            </w:r>
            <w:r w:rsidR="3CC9F7AE" w:rsidRPr="008875E4">
              <w:rPr>
                <w:b/>
                <w:bCs/>
              </w:rPr>
              <w:t>1</w:t>
            </w:r>
            <w:r w:rsidRPr="008875E4">
              <w:rPr>
                <w:b/>
                <w:bCs/>
              </w:rPr>
              <w:t>.</w:t>
            </w:r>
            <w:r w:rsidR="3220790F" w:rsidRPr="008875E4">
              <w:rPr>
                <w:b/>
                <w:bCs/>
              </w:rPr>
              <w:t>2</w:t>
            </w:r>
            <w:r w:rsidRPr="008875E4">
              <w:rPr>
                <w:b/>
                <w:bCs/>
              </w:rPr>
              <w:t xml:space="preserve"> Applications are assessed within agreed timeframes.</w:t>
            </w:r>
          </w:p>
          <w:p w14:paraId="6844B7AF" w14:textId="77777777" w:rsidR="00F5034B" w:rsidRPr="008875E4" w:rsidRDefault="6F9414C3" w:rsidP="00315E85">
            <w:pPr>
              <w:spacing w:before="120"/>
              <w:jc w:val="left"/>
            </w:pPr>
            <w:r w:rsidRPr="008875E4">
              <w:t xml:space="preserve">ARPANSA reviews and takes decisions in relation to applications for new licences, amendment of licences, and for other special approvals under the </w:t>
            </w:r>
            <w:r w:rsidR="00224F5D" w:rsidRPr="008875E4">
              <w:t>ARPANSA</w:t>
            </w:r>
            <w:r w:rsidRPr="008875E4">
              <w:t xml:space="preserve"> Regulations. The complexity of applications varies widely. Using a risk-informed approach and in consultation with licence applicants or licence holders, regulatory staff will prioritise resources and establish a date for completion of the application assessment. This assists the licence holder in planning, avoiding impediments to business. </w:t>
            </w:r>
          </w:p>
          <w:p w14:paraId="2F47A498" w14:textId="77777777" w:rsidR="00F5034B" w:rsidRPr="008875E4" w:rsidRDefault="6F9414C3" w:rsidP="003774AD">
            <w:pPr>
              <w:jc w:val="left"/>
              <w:rPr>
                <w:b/>
              </w:rPr>
            </w:pPr>
            <w:r w:rsidRPr="008875E4">
              <w:t>ARPANSA will measure the percentage of applications which are assessed within this agreed timeframe [Quantitative].</w:t>
            </w:r>
          </w:p>
        </w:tc>
        <w:tc>
          <w:tcPr>
            <w:tcW w:w="0" w:type="dxa"/>
            <w:tcBorders>
              <w:bottom w:val="single" w:sz="18" w:space="0" w:color="auto"/>
            </w:tcBorders>
            <w:vAlign w:val="top"/>
          </w:tcPr>
          <w:p w14:paraId="6A8223E6" w14:textId="77777777" w:rsidR="00B15317" w:rsidRPr="008875E4" w:rsidRDefault="00B15317" w:rsidP="003774AD">
            <w:pPr>
              <w:pStyle w:val="Tabletext"/>
              <w:jc w:val="left"/>
              <w:rPr>
                <w:b/>
              </w:rPr>
            </w:pPr>
            <w:r w:rsidRPr="008875E4">
              <w:rPr>
                <w:b/>
              </w:rPr>
              <w:t xml:space="preserve">Target </w:t>
            </w:r>
            <w:r w:rsidR="006E458F" w:rsidRPr="008875E4">
              <w:rPr>
                <w:b/>
              </w:rPr>
              <w:t>met</w:t>
            </w:r>
          </w:p>
          <w:p w14:paraId="1DA80FBD" w14:textId="4509AAD5" w:rsidR="00583E9E" w:rsidRPr="008875E4" w:rsidRDefault="00085F25" w:rsidP="00315E85">
            <w:pPr>
              <w:tabs>
                <w:tab w:val="left" w:pos="175"/>
              </w:tabs>
              <w:autoSpaceDE w:val="0"/>
              <w:autoSpaceDN w:val="0"/>
              <w:adjustRightInd w:val="0"/>
              <w:spacing w:before="120"/>
              <w:jc w:val="left"/>
            </w:pPr>
            <w:r w:rsidRPr="008875E4">
              <w:t xml:space="preserve">A total of </w:t>
            </w:r>
            <w:r w:rsidR="003770EB" w:rsidRPr="008875E4">
              <w:t>94</w:t>
            </w:r>
            <w:r w:rsidR="6F9414C3" w:rsidRPr="008875E4">
              <w:t>% (</w:t>
            </w:r>
            <w:r w:rsidR="003770EB" w:rsidRPr="008875E4">
              <w:t>17</w:t>
            </w:r>
            <w:r w:rsidR="6F9414C3" w:rsidRPr="008875E4">
              <w:t>/</w:t>
            </w:r>
            <w:r w:rsidR="003770EB" w:rsidRPr="008875E4">
              <w:t>18</w:t>
            </w:r>
            <w:r w:rsidR="6F9414C3" w:rsidRPr="008875E4">
              <w:t xml:space="preserve">) </w:t>
            </w:r>
            <w:r w:rsidR="00270B0C" w:rsidRPr="008875E4">
              <w:t>of applications</w:t>
            </w:r>
            <w:r w:rsidR="6F9414C3" w:rsidRPr="008875E4">
              <w:t xml:space="preserve"> </w:t>
            </w:r>
            <w:r w:rsidR="00270B0C" w:rsidRPr="008875E4">
              <w:t xml:space="preserve">assessed (completed) </w:t>
            </w:r>
            <w:r w:rsidR="007778A7" w:rsidRPr="008875E4">
              <w:t>during this reporting period were assessed within the timeframe agreed with applicants</w:t>
            </w:r>
            <w:r w:rsidR="6F9414C3" w:rsidRPr="008875E4">
              <w:t>. This exceeded the target of 75%</w:t>
            </w:r>
            <w:r w:rsidR="00522485" w:rsidRPr="008875E4">
              <w:t xml:space="preserve"> and is above a </w:t>
            </w:r>
            <w:r w:rsidR="00F6191A" w:rsidRPr="008875E4">
              <w:t>five-year</w:t>
            </w:r>
            <w:r w:rsidR="00522485" w:rsidRPr="008875E4">
              <w:t xml:space="preserve"> average of 85%</w:t>
            </w:r>
            <w:r w:rsidR="6F9414C3" w:rsidRPr="008875E4">
              <w:t>.</w:t>
            </w:r>
          </w:p>
          <w:p w14:paraId="53708FB0" w14:textId="14CD9B80" w:rsidR="00F5034B" w:rsidRPr="008875E4" w:rsidRDefault="00FD1FB7" w:rsidP="00DE2F31">
            <w:pPr>
              <w:tabs>
                <w:tab w:val="left" w:pos="175"/>
              </w:tabs>
              <w:autoSpaceDE w:val="0"/>
              <w:autoSpaceDN w:val="0"/>
              <w:adjustRightInd w:val="0"/>
              <w:jc w:val="left"/>
            </w:pPr>
            <w:r w:rsidRPr="008875E4">
              <w:t xml:space="preserve">Applications received priority where there was an impact </w:t>
            </w:r>
            <w:r w:rsidR="007E2462" w:rsidRPr="008875E4">
              <w:t xml:space="preserve">on licence holders </w:t>
            </w:r>
            <w:r w:rsidRPr="008875E4">
              <w:t xml:space="preserve">such as </w:t>
            </w:r>
            <w:r w:rsidR="00102414" w:rsidRPr="008875E4">
              <w:t xml:space="preserve">delaying </w:t>
            </w:r>
            <w:r w:rsidRPr="008875E4">
              <w:t>commencing operation</w:t>
            </w:r>
            <w:r w:rsidR="00102414" w:rsidRPr="008875E4">
              <w:t>s</w:t>
            </w:r>
            <w:r w:rsidRPr="008875E4">
              <w:t xml:space="preserve">. This included allocating resources to these applications </w:t>
            </w:r>
            <w:r w:rsidR="00AB062B" w:rsidRPr="008875E4">
              <w:t>and</w:t>
            </w:r>
            <w:r w:rsidRPr="008875E4">
              <w:t xml:space="preserve"> prioritising these over</w:t>
            </w:r>
            <w:r w:rsidR="00DE2F31" w:rsidRPr="008875E4">
              <w:t xml:space="preserve"> </w:t>
            </w:r>
            <w:r w:rsidRPr="008875E4">
              <w:t xml:space="preserve">routine </w:t>
            </w:r>
            <w:r w:rsidR="00182C52" w:rsidRPr="008875E4">
              <w:t xml:space="preserve">or non-urgent </w:t>
            </w:r>
            <w:r w:rsidR="00DE2F31" w:rsidRPr="008875E4">
              <w:t>work</w:t>
            </w:r>
            <w:r w:rsidRPr="008875E4">
              <w:t>.</w:t>
            </w:r>
            <w:r w:rsidR="0017031C" w:rsidRPr="008875E4">
              <w:t xml:space="preserve"> </w:t>
            </w:r>
            <w:r w:rsidR="00DE2F31" w:rsidRPr="008875E4">
              <w:t>For example, f</w:t>
            </w:r>
            <w:r w:rsidR="0017031C" w:rsidRPr="008875E4">
              <w:t>ollowing a mechanical failure at ANSTO’s Nuclear Medicine facility a Section 63 approval to install a blanking plate was granted one day after it was submitted for approval.</w:t>
            </w:r>
            <w:r w:rsidR="009067D5">
              <w:t xml:space="preserve"> </w:t>
            </w:r>
            <w:r w:rsidR="0017031C" w:rsidRPr="008875E4">
              <w:t xml:space="preserve">A later, more complex approval for the dissolution of uranium target plates was approved in 11 working days. </w:t>
            </w:r>
          </w:p>
        </w:tc>
      </w:tr>
      <w:tr w:rsidR="00C032F2" w:rsidRPr="00235FFF" w14:paraId="32963E51" w14:textId="77777777" w:rsidTr="0042446B">
        <w:tc>
          <w:tcPr>
            <w:tcW w:w="0" w:type="dxa"/>
            <w:gridSpan w:val="2"/>
            <w:tcBorders>
              <w:top w:val="single" w:sz="18" w:space="0" w:color="auto"/>
              <w:bottom w:val="single" w:sz="18" w:space="0" w:color="auto"/>
            </w:tcBorders>
            <w:shd w:val="clear" w:color="auto" w:fill="CEA7EC" w:themeFill="accent1" w:themeFillShade="E6"/>
          </w:tcPr>
          <w:p w14:paraId="1B7A0172" w14:textId="13954101" w:rsidR="00C032F2" w:rsidRPr="008F6F90" w:rsidRDefault="00C032F2" w:rsidP="00522485">
            <w:pPr>
              <w:jc w:val="left"/>
              <w:rPr>
                <w:b/>
              </w:rPr>
            </w:pPr>
            <w:r w:rsidRPr="00702960">
              <w:t>Self-assessed rating:</w:t>
            </w:r>
            <w:r>
              <w:t xml:space="preserve"> </w:t>
            </w:r>
            <w:r w:rsidR="008A30A8" w:rsidRPr="008A30A8">
              <w:rPr>
                <w:b/>
                <w:bCs/>
              </w:rPr>
              <w:t xml:space="preserve">SUBSTANTIALLY </w:t>
            </w:r>
            <w:r w:rsidR="00522485" w:rsidRPr="008A30A8">
              <w:rPr>
                <w:b/>
                <w:bCs/>
              </w:rPr>
              <w:t>MET</w:t>
            </w:r>
            <w:r w:rsidR="008A30A8">
              <w:rPr>
                <w:b/>
                <w:bCs/>
              </w:rPr>
              <w:t xml:space="preserve"> </w:t>
            </w:r>
            <w:r w:rsidR="008A30A8" w:rsidRPr="008A30A8">
              <w:t xml:space="preserve">(Taking account </w:t>
            </w:r>
            <w:r w:rsidR="00F6191A">
              <w:t xml:space="preserve">of </w:t>
            </w:r>
            <w:r w:rsidR="008A30A8" w:rsidRPr="008A30A8">
              <w:t>further evidence)</w:t>
            </w:r>
          </w:p>
        </w:tc>
      </w:tr>
    </w:tbl>
    <w:p w14:paraId="48E18357" w14:textId="77777777" w:rsidR="003774AD" w:rsidRDefault="003774AD" w:rsidP="00F5034B">
      <w:pPr>
        <w:pStyle w:val="Heading3"/>
      </w:pPr>
    </w:p>
    <w:p w14:paraId="0E787940" w14:textId="77777777" w:rsidR="00F5034B" w:rsidRDefault="00F5034B" w:rsidP="00F5034B">
      <w:pPr>
        <w:pStyle w:val="Heading3"/>
      </w:pPr>
      <w:r>
        <w:t>Further evidence considered</w:t>
      </w:r>
    </w:p>
    <w:p w14:paraId="3ED03B28" w14:textId="7BCF5680" w:rsidR="00B66CA9" w:rsidRPr="008875E4" w:rsidRDefault="00615127" w:rsidP="006E3715">
      <w:r w:rsidRPr="008875E4">
        <w:t>Fees and charges</w:t>
      </w:r>
      <w:r w:rsidR="00B66CA9" w:rsidRPr="008875E4">
        <w:t>,</w:t>
      </w:r>
      <w:r w:rsidRPr="008875E4">
        <w:t xml:space="preserve"> </w:t>
      </w:r>
      <w:r w:rsidR="00B66CA9" w:rsidRPr="008875E4">
        <w:t xml:space="preserve">which </w:t>
      </w:r>
      <w:r w:rsidRPr="008875E4">
        <w:t xml:space="preserve">are set in </w:t>
      </w:r>
      <w:r w:rsidR="343D72FE" w:rsidRPr="008875E4">
        <w:t>the Regulations</w:t>
      </w:r>
      <w:r w:rsidR="00B66CA9" w:rsidRPr="008875E4">
        <w:t>, can impact licence holder operations</w:t>
      </w:r>
      <w:r w:rsidRPr="008875E4">
        <w:t xml:space="preserve">. </w:t>
      </w:r>
      <w:r w:rsidR="00D015AB" w:rsidRPr="008875E4">
        <w:t xml:space="preserve">ARPANSA’s regulatory service operates </w:t>
      </w:r>
      <w:r w:rsidR="00DE2F31" w:rsidRPr="008875E4">
        <w:t>on</w:t>
      </w:r>
      <w:r w:rsidR="00D015AB" w:rsidRPr="008875E4">
        <w:t xml:space="preserve"> a cost recovery </w:t>
      </w:r>
      <w:r w:rsidR="00464742" w:rsidRPr="008875E4">
        <w:t>basis</w:t>
      </w:r>
      <w:r w:rsidR="00D015AB" w:rsidRPr="008875E4">
        <w:t xml:space="preserve">. The resources applied to specific licences and </w:t>
      </w:r>
      <w:r w:rsidR="008F6F90" w:rsidRPr="008875E4">
        <w:t>some</w:t>
      </w:r>
      <w:r w:rsidR="00D015AB" w:rsidRPr="008875E4">
        <w:t xml:space="preserve"> generic regulatory tasks is recorded and analysed. </w:t>
      </w:r>
      <w:r w:rsidR="00464742" w:rsidRPr="008875E4">
        <w:t xml:space="preserve">The data is used to </w:t>
      </w:r>
      <w:r w:rsidRPr="008875E4">
        <w:t>ensure that financial impact to licence holder</w:t>
      </w:r>
      <w:r w:rsidR="00B66CA9" w:rsidRPr="008875E4">
        <w:t>s</w:t>
      </w:r>
      <w:r w:rsidRPr="008875E4">
        <w:t xml:space="preserve"> is fair and appropriate</w:t>
      </w:r>
      <w:r w:rsidR="00464742" w:rsidRPr="008875E4">
        <w:t xml:space="preserve">. </w:t>
      </w:r>
    </w:p>
    <w:p w14:paraId="557A3C21" w14:textId="7A3DF3A2" w:rsidR="0030652D" w:rsidRPr="008875E4" w:rsidRDefault="00464742" w:rsidP="006E3715">
      <w:r w:rsidRPr="008875E4">
        <w:t>ARPANSA applies a risk informed approach to the allocation of its regulatory resources</w:t>
      </w:r>
      <w:r w:rsidR="00844159" w:rsidRPr="008875E4">
        <w:t xml:space="preserve"> for inspections</w:t>
      </w:r>
      <w:r w:rsidR="00522485" w:rsidRPr="008875E4">
        <w:t xml:space="preserve">. The precise methods, which </w:t>
      </w:r>
      <w:r w:rsidR="00FD77D8" w:rsidRPr="008875E4">
        <w:t>are</w:t>
      </w:r>
      <w:r w:rsidR="00522485" w:rsidRPr="008875E4">
        <w:t xml:space="preserve"> described in the ARPANSA </w:t>
      </w:r>
      <w:hyperlink r:id="rId28" w:history="1">
        <w:r w:rsidR="00522485" w:rsidRPr="008875E4">
          <w:rPr>
            <w:rStyle w:val="Hyperlink"/>
            <w:color w:val="4E1A74" w:themeColor="text2"/>
          </w:rPr>
          <w:t>Inspection Manual</w:t>
        </w:r>
      </w:hyperlink>
      <w:r w:rsidRPr="008875E4">
        <w:t xml:space="preserve">, </w:t>
      </w:r>
      <w:r w:rsidR="00522485" w:rsidRPr="008875E4">
        <w:t xml:space="preserve">varies between source and facility licences. </w:t>
      </w:r>
      <w:r w:rsidR="00BD3473" w:rsidRPr="008875E4">
        <w:t>For radiation sources the allocation of resources is associated with the inherent risk of the source and expressed by the categorisation in the Act.</w:t>
      </w:r>
      <w:r w:rsidR="009067D5">
        <w:t xml:space="preserve"> </w:t>
      </w:r>
      <w:r w:rsidR="00FE344A" w:rsidRPr="008875E4">
        <w:t xml:space="preserve">Additional, augmented inspections may be undertaken where </w:t>
      </w:r>
      <w:r w:rsidR="0031305D" w:rsidRPr="008875E4">
        <w:t xml:space="preserve">it is considered that </w:t>
      </w:r>
      <w:r w:rsidR="00FE344A" w:rsidRPr="008875E4">
        <w:t xml:space="preserve">safety performance needs further assessment or be improved. </w:t>
      </w:r>
      <w:r w:rsidR="00BD3473" w:rsidRPr="008875E4">
        <w:t>For facilities, which are generally more complex</w:t>
      </w:r>
      <w:r w:rsidR="00FE344A" w:rsidRPr="008875E4">
        <w:t xml:space="preserve"> and subject to more regulatory oversight than a source</w:t>
      </w:r>
      <w:r w:rsidR="00BD3473" w:rsidRPr="008875E4">
        <w:t xml:space="preserve">, </w:t>
      </w:r>
      <w:r w:rsidR="00544F36" w:rsidRPr="008875E4">
        <w:t>the number of inspections</w:t>
      </w:r>
      <w:r w:rsidR="00BD3473" w:rsidRPr="008875E4">
        <w:t xml:space="preserve"> is </w:t>
      </w:r>
      <w:r w:rsidRPr="008875E4">
        <w:t xml:space="preserve">determined from the inherent risk of the controlled activity, the operating organisation’s safety arrangements and its operational safety performance. </w:t>
      </w:r>
      <w:r w:rsidR="00146317" w:rsidRPr="008875E4">
        <w:t>Facility operators</w:t>
      </w:r>
      <w:r w:rsidR="00D80321" w:rsidRPr="008875E4">
        <w:t xml:space="preserve"> with comprehensive safety controls and good safety performance </w:t>
      </w:r>
      <w:r w:rsidR="0017031C" w:rsidRPr="008875E4">
        <w:t>will</w:t>
      </w:r>
      <w:r w:rsidR="00D80321" w:rsidRPr="008875E4">
        <w:t xml:space="preserve"> downwardly influence the regulatory charges that they must pay</w:t>
      </w:r>
      <w:r w:rsidR="00FE344A" w:rsidRPr="008875E4">
        <w:t xml:space="preserve"> and conversely those with poorer safety performance</w:t>
      </w:r>
      <w:r w:rsidR="0017031C" w:rsidRPr="008875E4">
        <w:t xml:space="preserve"> </w:t>
      </w:r>
      <w:r w:rsidR="00726903" w:rsidRPr="008875E4">
        <w:t xml:space="preserve">will pay </w:t>
      </w:r>
      <w:r w:rsidR="00FE344A" w:rsidRPr="008875E4">
        <w:t>higher charges</w:t>
      </w:r>
      <w:r w:rsidR="00741983" w:rsidRPr="008875E4">
        <w:t xml:space="preserve"> </w:t>
      </w:r>
      <w:r w:rsidR="0017031C" w:rsidRPr="008875E4">
        <w:t xml:space="preserve">as they are </w:t>
      </w:r>
      <w:r w:rsidR="00741983" w:rsidRPr="008875E4">
        <w:t>subject to more oversight</w:t>
      </w:r>
      <w:r w:rsidR="00D80321" w:rsidRPr="008875E4">
        <w:t>.</w:t>
      </w:r>
      <w:r w:rsidR="00A16562" w:rsidRPr="008875E4">
        <w:t xml:space="preserve"> </w:t>
      </w:r>
      <w:r w:rsidR="002874CC" w:rsidRPr="008875E4">
        <w:t>ARPANSA’s inspection program is subject to annual review which includes the review of any factors that affect regulatory prioritisations.</w:t>
      </w:r>
    </w:p>
    <w:p w14:paraId="4D61AC95" w14:textId="0093CA6D" w:rsidR="00DF5438" w:rsidRPr="008875E4" w:rsidRDefault="00DF5438" w:rsidP="006E3715">
      <w:r w:rsidRPr="008875E4">
        <w:t>ARPANSA published a range of guidance.</w:t>
      </w:r>
      <w:r w:rsidR="009067D5">
        <w:t xml:space="preserve"> </w:t>
      </w:r>
      <w:hyperlink r:id="rId29" w:history="1">
        <w:r w:rsidRPr="008875E4">
          <w:rPr>
            <w:rStyle w:val="Hyperlink"/>
            <w:color w:val="4E1A74" w:themeColor="text2"/>
          </w:rPr>
          <w:t>Regulatory publications</w:t>
        </w:r>
      </w:hyperlink>
      <w:r w:rsidR="00D6221E" w:rsidRPr="008875E4">
        <w:rPr>
          <w:color w:val="4E1A74" w:themeColor="text2"/>
        </w:rPr>
        <w:t xml:space="preserve"> </w:t>
      </w:r>
      <w:r w:rsidR="00D6221E" w:rsidRPr="008875E4">
        <w:t xml:space="preserve">include radiation safety codes and standards that are used by all Commonwealth, State and Territory jurisdictions. ARPANSA also publishes its own </w:t>
      </w:r>
      <w:hyperlink r:id="rId30" w:history="1">
        <w:r w:rsidR="00D6221E" w:rsidRPr="008875E4">
          <w:rPr>
            <w:rStyle w:val="Hyperlink"/>
            <w:color w:val="4E1A74" w:themeColor="text2"/>
          </w:rPr>
          <w:t>Operating Manuals</w:t>
        </w:r>
      </w:hyperlink>
      <w:r w:rsidR="00D6221E" w:rsidRPr="008875E4">
        <w:t xml:space="preserve"> and </w:t>
      </w:r>
      <w:hyperlink r:id="rId31" w:history="1">
        <w:r w:rsidR="00D6221E" w:rsidRPr="008875E4">
          <w:rPr>
            <w:rStyle w:val="Hyperlink"/>
            <w:color w:val="4E1A74" w:themeColor="text2"/>
          </w:rPr>
          <w:t>Regulatory Guides</w:t>
        </w:r>
      </w:hyperlink>
      <w:r w:rsidR="00D6221E" w:rsidRPr="008875E4">
        <w:t xml:space="preserve"> </w:t>
      </w:r>
      <w:r w:rsidR="00DD6F51" w:rsidRPr="008875E4">
        <w:t xml:space="preserve">to provide information on how it works and its expectations in regards to safety, compliance and applications. </w:t>
      </w:r>
    </w:p>
    <w:p w14:paraId="3726ADDD" w14:textId="77777777" w:rsidR="00F5034B" w:rsidRDefault="003D31AF" w:rsidP="00F5034B">
      <w:pPr>
        <w:pStyle w:val="Heading3"/>
      </w:pPr>
      <w:r>
        <w:t>Strengths</w:t>
      </w:r>
    </w:p>
    <w:p w14:paraId="61E8DA0A" w14:textId="77777777" w:rsidR="00A36BA4" w:rsidRPr="00DF5438" w:rsidRDefault="00A36BA4" w:rsidP="00A36BA4">
      <w:pPr>
        <w:pStyle w:val="Heading3"/>
        <w:rPr>
          <w:sz w:val="22"/>
        </w:rPr>
      </w:pPr>
      <w:r w:rsidRPr="00DF5438">
        <w:rPr>
          <w:sz w:val="22"/>
        </w:rPr>
        <w:t>Mission awareness</w:t>
      </w:r>
    </w:p>
    <w:p w14:paraId="3D019AE8" w14:textId="09293492" w:rsidR="00A36BA4" w:rsidRPr="008875E4" w:rsidRDefault="008F6F90" w:rsidP="00DF5438">
      <w:pPr>
        <w:spacing w:before="0"/>
      </w:pPr>
      <w:r w:rsidRPr="008875E4">
        <w:t xml:space="preserve">Interviews with </w:t>
      </w:r>
      <w:r w:rsidR="00A36BA4" w:rsidRPr="008875E4">
        <w:t xml:space="preserve">ARPANSA’s regulatory staff </w:t>
      </w:r>
      <w:r w:rsidRPr="008875E4">
        <w:t xml:space="preserve">indicated that they </w:t>
      </w:r>
      <w:r w:rsidR="00A36BA4" w:rsidRPr="008875E4">
        <w:t xml:space="preserve">have good self-awareness, consciousness and understanding of ARPANSA’s objectives and are outcomes focussed and not </w:t>
      </w:r>
      <w:r w:rsidR="00544F36" w:rsidRPr="008875E4">
        <w:t xml:space="preserve">unnecessarily </w:t>
      </w:r>
      <w:r w:rsidR="00A36BA4" w:rsidRPr="008875E4">
        <w:t>prescriptive.</w:t>
      </w:r>
      <w:r w:rsidR="009067D5">
        <w:t xml:space="preserve"> </w:t>
      </w:r>
      <w:r w:rsidR="00A36BA4" w:rsidRPr="008875E4">
        <w:t xml:space="preserve"> Stakeholders reported that Inspectors were professional, approachable and responsive to the operational needs of licence holders.</w:t>
      </w:r>
    </w:p>
    <w:p w14:paraId="01A097FE" w14:textId="77777777" w:rsidR="00B66CA9" w:rsidRPr="00DC616B" w:rsidRDefault="00B66CA9" w:rsidP="00B66CA9">
      <w:pPr>
        <w:pStyle w:val="Heading4"/>
        <w:rPr>
          <w:rFonts w:asciiTheme="minorHAnsi" w:hAnsiTheme="minorHAnsi"/>
          <w:iCs w:val="0"/>
          <w:color w:val="4E1A74"/>
        </w:rPr>
      </w:pPr>
      <w:r w:rsidRPr="00DC616B">
        <w:rPr>
          <w:rFonts w:asciiTheme="minorHAnsi" w:hAnsiTheme="minorHAnsi"/>
          <w:iCs w:val="0"/>
          <w:color w:val="4E1A74"/>
        </w:rPr>
        <w:t xml:space="preserve">Self-assessment tool </w:t>
      </w:r>
    </w:p>
    <w:p w14:paraId="08F3995C" w14:textId="71E34D98" w:rsidR="003D31AF" w:rsidRPr="008875E4" w:rsidRDefault="00B33278" w:rsidP="00DC616B">
      <w:pPr>
        <w:spacing w:before="0"/>
      </w:pPr>
      <w:r w:rsidRPr="008875E4">
        <w:t xml:space="preserve">As reported in the previous self-assessment report, </w:t>
      </w:r>
      <w:r w:rsidR="003D31AF" w:rsidRPr="008875E4">
        <w:t xml:space="preserve">ARPANSA has developed a self-assessment tool, similar to the e-inspection program, to assist licence holders </w:t>
      </w:r>
      <w:r w:rsidR="00396B07" w:rsidRPr="008875E4">
        <w:t xml:space="preserve">in </w:t>
      </w:r>
      <w:r w:rsidR="003D31AF" w:rsidRPr="008875E4">
        <w:t>assess</w:t>
      </w:r>
      <w:r w:rsidR="00396B07" w:rsidRPr="008875E4">
        <w:t>ing</w:t>
      </w:r>
      <w:r w:rsidR="003D31AF" w:rsidRPr="008875E4">
        <w:t xml:space="preserve"> their compliance outside of the inspection cycle. </w:t>
      </w:r>
      <w:r w:rsidRPr="008875E4">
        <w:t xml:space="preserve">During this reporting year the tool has been tested, </w:t>
      </w:r>
      <w:r w:rsidR="00B0282A" w:rsidRPr="008875E4">
        <w:t xml:space="preserve">three </w:t>
      </w:r>
      <w:r w:rsidRPr="008875E4">
        <w:t>further software licences purchased</w:t>
      </w:r>
      <w:r w:rsidR="00B640BD" w:rsidRPr="008875E4">
        <w:t>,</w:t>
      </w:r>
      <w:r w:rsidRPr="008875E4">
        <w:t xml:space="preserve"> </w:t>
      </w:r>
      <w:r w:rsidR="00B640BD" w:rsidRPr="008875E4">
        <w:t xml:space="preserve">to be used by licence holders, </w:t>
      </w:r>
      <w:r w:rsidRPr="008875E4">
        <w:t>and the range of controlled activities covered has been increased</w:t>
      </w:r>
      <w:r w:rsidR="00B0282A" w:rsidRPr="008875E4">
        <w:t xml:space="preserve"> to include LASER safety</w:t>
      </w:r>
      <w:r w:rsidRPr="008875E4">
        <w:t>. The ultimate objective of this tool is to empower licence holders to identify and improve safety themselves and</w:t>
      </w:r>
      <w:r w:rsidR="0066646E" w:rsidRPr="008875E4">
        <w:t xml:space="preserve">, in doing so, free ARPANSA’s resources to concentrate on areas of greater </w:t>
      </w:r>
      <w:r w:rsidR="00B640BD" w:rsidRPr="008875E4">
        <w:t>regulatory priority</w:t>
      </w:r>
      <w:r w:rsidR="007A0364" w:rsidRPr="008875E4">
        <w:t>.</w:t>
      </w:r>
      <w:r w:rsidR="008D454A" w:rsidRPr="008875E4">
        <w:t xml:space="preserve"> </w:t>
      </w:r>
    </w:p>
    <w:p w14:paraId="044F06BD" w14:textId="77777777" w:rsidR="003B4D69" w:rsidRDefault="27E4EB51" w:rsidP="003B4D69">
      <w:pPr>
        <w:pStyle w:val="Heading3"/>
      </w:pPr>
      <w:r>
        <w:t>Identified opportunities for improvement</w:t>
      </w:r>
    </w:p>
    <w:p w14:paraId="66C234FF" w14:textId="77777777" w:rsidR="0066646E" w:rsidRPr="00DF5438" w:rsidRDefault="0066646E" w:rsidP="5C950253">
      <w:pPr>
        <w:rPr>
          <w:rFonts w:eastAsiaTheme="majorEastAsia" w:cstheme="majorBidi"/>
          <w:b/>
          <w:bCs/>
          <w:i/>
          <w:color w:val="4E1A74"/>
        </w:rPr>
      </w:pPr>
      <w:r w:rsidRPr="00DF5438">
        <w:rPr>
          <w:rFonts w:eastAsiaTheme="majorEastAsia" w:cstheme="majorBidi"/>
          <w:b/>
          <w:bCs/>
          <w:i/>
          <w:color w:val="4E1A74"/>
        </w:rPr>
        <w:t>Processing of Applications</w:t>
      </w:r>
    </w:p>
    <w:p w14:paraId="437802E6" w14:textId="3FF024EE" w:rsidR="0089152C" w:rsidRPr="008875E4" w:rsidRDefault="00DC616B" w:rsidP="00DF5438">
      <w:pPr>
        <w:spacing w:before="0"/>
      </w:pPr>
      <w:r w:rsidRPr="008875E4">
        <w:t>Data indicates that, as in previous years, ARPANSA performs strongly in meeting agreed decision dates for applications. However</w:t>
      </w:r>
      <w:r w:rsidR="00F87107" w:rsidRPr="008875E4">
        <w:t>,</w:t>
      </w:r>
      <w:r w:rsidRPr="008875E4">
        <w:t xml:space="preserve"> </w:t>
      </w:r>
      <w:r w:rsidR="0089152C" w:rsidRPr="008875E4">
        <w:t>data from post assessment surveys indicated only a 64% overall satisfaction rate in regard to the timeliness of assessment decisions</w:t>
      </w:r>
      <w:r w:rsidR="00F87107" w:rsidRPr="008875E4">
        <w:t>, i.e. about a third of respondents think ARPANSA takes to long to process applications</w:t>
      </w:r>
      <w:r w:rsidR="0089152C" w:rsidRPr="008875E4">
        <w:t>.</w:t>
      </w:r>
      <w:r w:rsidR="009067D5">
        <w:t xml:space="preserve"> </w:t>
      </w:r>
      <w:r w:rsidR="0089152C" w:rsidRPr="008875E4">
        <w:t>The reasons that assessments tak</w:t>
      </w:r>
      <w:r w:rsidR="006E5D22" w:rsidRPr="008875E4">
        <w:t>e</w:t>
      </w:r>
      <w:r w:rsidR="0089152C" w:rsidRPr="008875E4">
        <w:t xml:space="preserve"> a long time vary widely </w:t>
      </w:r>
      <w:r w:rsidR="00E74F07" w:rsidRPr="008875E4">
        <w:t xml:space="preserve">and include technical complexity, the availability of specialist expertise, and the completeness of applications. </w:t>
      </w:r>
      <w:r w:rsidR="006E5D22" w:rsidRPr="008875E4">
        <w:t xml:space="preserve">It is recommended that </w:t>
      </w:r>
      <w:r w:rsidR="0089152C" w:rsidRPr="008875E4">
        <w:t xml:space="preserve">ARPANSA investigate </w:t>
      </w:r>
      <w:r w:rsidR="006E5D22" w:rsidRPr="008875E4">
        <w:t>ways to streamline the assessment process</w:t>
      </w:r>
      <w:r w:rsidR="00E74F07" w:rsidRPr="008875E4">
        <w:t xml:space="preserve"> and to better understand the reasons underlying the expectations on timeliness are not more closely matched in practice</w:t>
      </w:r>
      <w:r w:rsidR="0089152C" w:rsidRPr="008875E4">
        <w:t xml:space="preserve">. Two ARPANSA projects are currently underway that may </w:t>
      </w:r>
      <w:r w:rsidR="006E5D22" w:rsidRPr="008875E4">
        <w:t>assist this</w:t>
      </w:r>
      <w:r w:rsidR="0089152C" w:rsidRPr="008875E4">
        <w:t>. ARPANSA has commenced a review of its guidance material</w:t>
      </w:r>
      <w:r w:rsidR="007B3B25" w:rsidRPr="008875E4">
        <w:t xml:space="preserve"> to ensure its scope, depth and applicability </w:t>
      </w:r>
      <w:r w:rsidR="006E5D22" w:rsidRPr="008875E4">
        <w:t xml:space="preserve">meets the needs of regulatory officers and licence holders or applicants. A major project is also underway to build a modern </w:t>
      </w:r>
      <w:r w:rsidR="00F87107" w:rsidRPr="008875E4">
        <w:t xml:space="preserve">information technology </w:t>
      </w:r>
      <w:r w:rsidR="006E5D22" w:rsidRPr="008875E4">
        <w:t>platform and systems framework.</w:t>
      </w:r>
      <w:r w:rsidR="009067D5">
        <w:t xml:space="preserve"> </w:t>
      </w:r>
      <w:r w:rsidR="006E5D22" w:rsidRPr="008875E4">
        <w:t xml:space="preserve">A module of this project will include administrative tools </w:t>
      </w:r>
      <w:r w:rsidR="002941BF" w:rsidRPr="008875E4">
        <w:t xml:space="preserve">to improve the efficiency of </w:t>
      </w:r>
      <w:r w:rsidR="006E5D22" w:rsidRPr="008875E4">
        <w:t>ARPANSA’s regulatory</w:t>
      </w:r>
      <w:r w:rsidR="002941BF" w:rsidRPr="008875E4">
        <w:t xml:space="preserve"> service.</w:t>
      </w:r>
      <w:r w:rsidR="009067D5">
        <w:t xml:space="preserve"> </w:t>
      </w:r>
      <w:r w:rsidR="006E5D22" w:rsidRPr="008875E4">
        <w:t xml:space="preserve"> </w:t>
      </w:r>
    </w:p>
    <w:p w14:paraId="6E14150F" w14:textId="77777777" w:rsidR="00DD6F51" w:rsidRPr="00DD6F51" w:rsidRDefault="00DD6F51" w:rsidP="00DD6F51">
      <w:pPr>
        <w:rPr>
          <w:rFonts w:eastAsiaTheme="majorEastAsia" w:cstheme="majorBidi"/>
          <w:b/>
          <w:bCs/>
          <w:i/>
          <w:color w:val="4E1A74"/>
        </w:rPr>
      </w:pPr>
      <w:r w:rsidRPr="00DD6F51">
        <w:rPr>
          <w:rFonts w:eastAsiaTheme="majorEastAsia" w:cstheme="majorBidi"/>
          <w:b/>
          <w:bCs/>
          <w:i/>
          <w:color w:val="4E1A74"/>
        </w:rPr>
        <w:t>Data management and management of workflow</w:t>
      </w:r>
    </w:p>
    <w:p w14:paraId="1378C2AF" w14:textId="70ADCD1F" w:rsidR="001E566F" w:rsidRPr="008875E4" w:rsidRDefault="001E566F" w:rsidP="009C60FA">
      <w:pPr>
        <w:pStyle w:val="Heading4"/>
        <w:rPr>
          <w:rFonts w:asciiTheme="minorHAnsi" w:eastAsiaTheme="minorEastAsia" w:hAnsiTheme="minorHAnsi" w:cstheme="minorBidi"/>
          <w:b w:val="0"/>
          <w:i w:val="0"/>
        </w:rPr>
      </w:pPr>
      <w:r w:rsidRPr="008875E4">
        <w:rPr>
          <w:rFonts w:asciiTheme="minorHAnsi" w:eastAsiaTheme="minorEastAsia" w:hAnsiTheme="minorHAnsi" w:cstheme="minorBidi"/>
          <w:b w:val="0"/>
          <w:i w:val="0"/>
        </w:rPr>
        <w:lastRenderedPageBreak/>
        <w:t>As reported in previous self-assessment reports</w:t>
      </w:r>
      <w:r w:rsidR="00F87107" w:rsidRPr="008875E4">
        <w:rPr>
          <w:rFonts w:asciiTheme="minorHAnsi" w:eastAsiaTheme="minorEastAsia" w:hAnsiTheme="minorHAnsi" w:cstheme="minorBidi"/>
          <w:b w:val="0"/>
          <w:i w:val="0"/>
        </w:rPr>
        <w:t>,</w:t>
      </w:r>
      <w:r w:rsidRPr="008875E4">
        <w:rPr>
          <w:rFonts w:asciiTheme="minorHAnsi" w:eastAsiaTheme="minorEastAsia" w:hAnsiTheme="minorHAnsi" w:cstheme="minorBidi"/>
          <w:b w:val="0"/>
          <w:i w:val="0"/>
        </w:rPr>
        <w:t xml:space="preserve"> regulatory data is fragmented across different data sources, including records management, SharePoint and ad hoc tools such as spreadsheets and databases. Whilst not outwardly visible, regulatory staff regard the current arrangements as inefficient</w:t>
      </w:r>
      <w:r w:rsidR="00835B41" w:rsidRPr="008875E4">
        <w:rPr>
          <w:rFonts w:asciiTheme="minorHAnsi" w:eastAsiaTheme="minorEastAsia" w:hAnsiTheme="minorHAnsi" w:cstheme="minorBidi"/>
          <w:b w:val="0"/>
          <w:i w:val="0"/>
        </w:rPr>
        <w:t xml:space="preserve">, </w:t>
      </w:r>
      <w:r w:rsidRPr="008875E4">
        <w:rPr>
          <w:rFonts w:asciiTheme="minorHAnsi" w:eastAsiaTheme="minorEastAsia" w:hAnsiTheme="minorHAnsi" w:cstheme="minorBidi"/>
          <w:b w:val="0"/>
          <w:i w:val="0"/>
        </w:rPr>
        <w:t>making workflow management difficult</w:t>
      </w:r>
      <w:r w:rsidR="00835B41" w:rsidRPr="008875E4">
        <w:rPr>
          <w:rFonts w:asciiTheme="minorHAnsi" w:eastAsiaTheme="minorEastAsia" w:hAnsiTheme="minorHAnsi" w:cstheme="minorBidi"/>
          <w:b w:val="0"/>
          <w:i w:val="0"/>
        </w:rPr>
        <w:t xml:space="preserve"> and increasing the risk of administrative error through the multitude of reporting protocols</w:t>
      </w:r>
      <w:r w:rsidRPr="008875E4">
        <w:rPr>
          <w:rFonts w:asciiTheme="minorHAnsi" w:eastAsiaTheme="minorEastAsia" w:hAnsiTheme="minorHAnsi" w:cstheme="minorBidi"/>
          <w:b w:val="0"/>
          <w:i w:val="0"/>
        </w:rPr>
        <w:t xml:space="preserve">. </w:t>
      </w:r>
      <w:r w:rsidR="00F87107" w:rsidRPr="008875E4">
        <w:rPr>
          <w:rFonts w:asciiTheme="minorHAnsi" w:eastAsiaTheme="minorEastAsia" w:hAnsiTheme="minorHAnsi" w:cstheme="minorBidi"/>
          <w:b w:val="0"/>
          <w:i w:val="0"/>
        </w:rPr>
        <w:t>The</w:t>
      </w:r>
      <w:r w:rsidRPr="008875E4">
        <w:rPr>
          <w:rFonts w:asciiTheme="minorHAnsi" w:eastAsiaTheme="minorEastAsia" w:hAnsiTheme="minorHAnsi" w:cstheme="minorBidi"/>
          <w:b w:val="0"/>
          <w:i w:val="0"/>
        </w:rPr>
        <w:t xml:space="preserve"> use</w:t>
      </w:r>
      <w:r w:rsidR="00F87107" w:rsidRPr="008875E4">
        <w:rPr>
          <w:rFonts w:asciiTheme="minorHAnsi" w:eastAsiaTheme="minorEastAsia" w:hAnsiTheme="minorHAnsi" w:cstheme="minorBidi"/>
          <w:b w:val="0"/>
          <w:i w:val="0"/>
        </w:rPr>
        <w:t xml:space="preserve"> of</w:t>
      </w:r>
      <w:r w:rsidRPr="008875E4">
        <w:rPr>
          <w:rFonts w:asciiTheme="minorHAnsi" w:eastAsiaTheme="minorEastAsia" w:hAnsiTheme="minorHAnsi" w:cstheme="minorBidi"/>
          <w:b w:val="0"/>
          <w:i w:val="0"/>
        </w:rPr>
        <w:t xml:space="preserve"> regulatory data for business intelligence purposes such as identifying trends or common safety issues</w:t>
      </w:r>
      <w:r w:rsidR="00F87107" w:rsidRPr="008875E4">
        <w:rPr>
          <w:rFonts w:asciiTheme="minorHAnsi" w:eastAsiaTheme="minorEastAsia" w:hAnsiTheme="minorHAnsi" w:cstheme="minorBidi"/>
          <w:b w:val="0"/>
          <w:i w:val="0"/>
        </w:rPr>
        <w:t xml:space="preserve"> is sub-optimal</w:t>
      </w:r>
      <w:r w:rsidRPr="008875E4">
        <w:rPr>
          <w:rFonts w:asciiTheme="minorHAnsi" w:eastAsiaTheme="minorEastAsia" w:hAnsiTheme="minorHAnsi" w:cstheme="minorBidi"/>
          <w:b w:val="0"/>
          <w:i w:val="0"/>
        </w:rPr>
        <w:t xml:space="preserve">. </w:t>
      </w:r>
      <w:r w:rsidR="005C2F5A" w:rsidRPr="008875E4">
        <w:rPr>
          <w:rFonts w:asciiTheme="minorHAnsi" w:eastAsiaTheme="minorEastAsia" w:hAnsiTheme="minorHAnsi" w:cstheme="minorBidi"/>
          <w:b w:val="0"/>
          <w:i w:val="0"/>
        </w:rPr>
        <w:t xml:space="preserve">To address these issues ARPANSA </w:t>
      </w:r>
      <w:r w:rsidR="00FD77D8" w:rsidRPr="008875E4">
        <w:rPr>
          <w:rFonts w:asciiTheme="minorHAnsi" w:eastAsiaTheme="minorEastAsia" w:hAnsiTheme="minorHAnsi" w:cstheme="minorBidi"/>
          <w:b w:val="0"/>
          <w:i w:val="0"/>
        </w:rPr>
        <w:t xml:space="preserve">is </w:t>
      </w:r>
      <w:r w:rsidR="005C2F5A" w:rsidRPr="008875E4">
        <w:rPr>
          <w:rFonts w:asciiTheme="minorHAnsi" w:eastAsiaTheme="minorEastAsia" w:hAnsiTheme="minorHAnsi" w:cstheme="minorBidi"/>
          <w:b w:val="0"/>
          <w:i w:val="0"/>
        </w:rPr>
        <w:t xml:space="preserve">progressively improving its platforms and systems. </w:t>
      </w:r>
      <w:r w:rsidR="00F87107" w:rsidRPr="008875E4">
        <w:rPr>
          <w:rFonts w:asciiTheme="minorHAnsi" w:eastAsiaTheme="minorEastAsia" w:hAnsiTheme="minorHAnsi" w:cstheme="minorBidi"/>
          <w:b w:val="0"/>
          <w:i w:val="0"/>
        </w:rPr>
        <w:t>ARPANSA is investing heavily into an upgrade of its</w:t>
      </w:r>
      <w:r w:rsidR="005C2F5A" w:rsidRPr="008875E4">
        <w:rPr>
          <w:rFonts w:asciiTheme="minorHAnsi" w:eastAsiaTheme="minorEastAsia" w:hAnsiTheme="minorHAnsi" w:cstheme="minorBidi"/>
          <w:b w:val="0"/>
          <w:i w:val="0"/>
        </w:rPr>
        <w:t xml:space="preserve"> platform</w:t>
      </w:r>
      <w:r w:rsidR="00F87107" w:rsidRPr="008875E4">
        <w:rPr>
          <w:rFonts w:asciiTheme="minorHAnsi" w:eastAsiaTheme="minorEastAsia" w:hAnsiTheme="minorHAnsi" w:cstheme="minorBidi"/>
          <w:b w:val="0"/>
          <w:i w:val="0"/>
        </w:rPr>
        <w:t>s</w:t>
      </w:r>
      <w:r w:rsidR="005C2F5A" w:rsidRPr="008875E4">
        <w:rPr>
          <w:rFonts w:asciiTheme="minorHAnsi" w:eastAsiaTheme="minorEastAsia" w:hAnsiTheme="minorHAnsi" w:cstheme="minorBidi"/>
          <w:b w:val="0"/>
          <w:i w:val="0"/>
        </w:rPr>
        <w:t xml:space="preserve"> and systems </w:t>
      </w:r>
      <w:r w:rsidR="00F87107" w:rsidRPr="008875E4">
        <w:rPr>
          <w:rFonts w:asciiTheme="minorHAnsi" w:eastAsiaTheme="minorEastAsia" w:hAnsiTheme="minorHAnsi" w:cstheme="minorBidi"/>
          <w:b w:val="0"/>
          <w:i w:val="0"/>
        </w:rPr>
        <w:t xml:space="preserve">over several years into which </w:t>
      </w:r>
      <w:r w:rsidR="005C2F5A" w:rsidRPr="008875E4">
        <w:rPr>
          <w:rFonts w:asciiTheme="minorHAnsi" w:eastAsiaTheme="minorEastAsia" w:hAnsiTheme="minorHAnsi" w:cstheme="minorBidi"/>
          <w:b w:val="0"/>
          <w:i w:val="0"/>
        </w:rPr>
        <w:t xml:space="preserve">its regulatory systems </w:t>
      </w:r>
      <w:r w:rsidR="00F87107" w:rsidRPr="008875E4">
        <w:rPr>
          <w:rFonts w:asciiTheme="minorHAnsi" w:eastAsiaTheme="minorEastAsia" w:hAnsiTheme="minorHAnsi" w:cstheme="minorBidi"/>
          <w:b w:val="0"/>
          <w:i w:val="0"/>
        </w:rPr>
        <w:t>will be integrated</w:t>
      </w:r>
      <w:r w:rsidR="005C2F5A" w:rsidRPr="008875E4">
        <w:rPr>
          <w:rFonts w:asciiTheme="minorHAnsi" w:eastAsiaTheme="minorEastAsia" w:hAnsiTheme="minorHAnsi" w:cstheme="minorBidi"/>
          <w:b w:val="0"/>
          <w:i w:val="0"/>
        </w:rPr>
        <w:t xml:space="preserve">. Until </w:t>
      </w:r>
      <w:r w:rsidR="65B82AA0" w:rsidRPr="008875E4">
        <w:rPr>
          <w:rFonts w:asciiTheme="minorHAnsi" w:eastAsiaTheme="minorEastAsia" w:hAnsiTheme="minorHAnsi" w:cstheme="minorBidi"/>
          <w:b w:val="0"/>
          <w:bCs w:val="0"/>
          <w:i w:val="0"/>
          <w:iCs w:val="0"/>
        </w:rPr>
        <w:t>these systems</w:t>
      </w:r>
      <w:r w:rsidR="005C2F5A" w:rsidRPr="008875E4">
        <w:rPr>
          <w:rFonts w:asciiTheme="minorHAnsi" w:eastAsiaTheme="minorEastAsia" w:hAnsiTheme="minorHAnsi" w:cstheme="minorBidi"/>
          <w:b w:val="0"/>
          <w:i w:val="0"/>
        </w:rPr>
        <w:t xml:space="preserve"> are designed, developed and implemented </w:t>
      </w:r>
      <w:r w:rsidR="00F87107" w:rsidRPr="008875E4">
        <w:rPr>
          <w:rFonts w:asciiTheme="minorHAnsi" w:eastAsiaTheme="minorEastAsia" w:hAnsiTheme="minorHAnsi" w:cstheme="minorBidi"/>
          <w:b w:val="0"/>
          <w:i w:val="0"/>
        </w:rPr>
        <w:t>a level of</w:t>
      </w:r>
      <w:r w:rsidR="005C2F5A" w:rsidRPr="008875E4">
        <w:rPr>
          <w:rFonts w:asciiTheme="minorHAnsi" w:eastAsiaTheme="minorEastAsia" w:hAnsiTheme="minorHAnsi" w:cstheme="minorBidi"/>
          <w:b w:val="0"/>
          <w:i w:val="0"/>
        </w:rPr>
        <w:t xml:space="preserve"> fragmentation </w:t>
      </w:r>
      <w:r w:rsidR="00F87107" w:rsidRPr="008875E4">
        <w:rPr>
          <w:rFonts w:asciiTheme="minorHAnsi" w:eastAsiaTheme="minorEastAsia" w:hAnsiTheme="minorHAnsi" w:cstheme="minorBidi"/>
          <w:b w:val="0"/>
          <w:i w:val="0"/>
        </w:rPr>
        <w:t>will remain</w:t>
      </w:r>
      <w:r w:rsidR="005C2F5A" w:rsidRPr="008875E4">
        <w:rPr>
          <w:rFonts w:asciiTheme="minorHAnsi" w:eastAsiaTheme="minorEastAsia" w:hAnsiTheme="minorHAnsi" w:cstheme="minorBidi"/>
          <w:b w:val="0"/>
          <w:i w:val="0"/>
        </w:rPr>
        <w:t>.</w:t>
      </w:r>
    </w:p>
    <w:p w14:paraId="1AD16C26" w14:textId="77777777" w:rsidR="003B4D69" w:rsidRDefault="00561938" w:rsidP="00C032F2">
      <w:pPr>
        <w:pStyle w:val="Heading2"/>
        <w:spacing w:before="480"/>
      </w:pPr>
      <w:bookmarkStart w:id="48" w:name="_Toc12884001"/>
      <w:bookmarkStart w:id="49" w:name="_Toc23846608"/>
      <w:bookmarkStart w:id="50" w:name="_Toc58918580"/>
      <w:r w:rsidRPr="00110D4B">
        <w:t>KPI 2 - Communication with regulated entities is clear, targeted and effective</w:t>
      </w:r>
      <w:bookmarkEnd w:id="48"/>
      <w:bookmarkEnd w:id="49"/>
      <w:bookmarkEnd w:id="50"/>
    </w:p>
    <w:p w14:paraId="6F2EA699" w14:textId="77777777" w:rsidR="00690142" w:rsidRDefault="00690142" w:rsidP="00690142">
      <w:pPr>
        <w:pStyle w:val="Heading3"/>
        <w:rPr>
          <w:rFonts w:cs="Times New Roman"/>
          <w:color w:val="C00000"/>
          <w:lang w:eastAsia="en-AU"/>
        </w:rPr>
      </w:pPr>
      <w:r>
        <w:rPr>
          <w:rFonts w:eastAsia="Calibri"/>
        </w:rPr>
        <w:t>ARPANSA’s Objectives/Claims for KPI 2</w:t>
      </w:r>
    </w:p>
    <w:p w14:paraId="6BBA2FA5" w14:textId="0617FA30" w:rsidR="00A27A5E" w:rsidRPr="008875E4" w:rsidRDefault="00D92517" w:rsidP="00A27A5E">
      <w:pPr>
        <w:rPr>
          <w:rFonts w:cs="Times New Roman"/>
          <w:bCs/>
          <w:lang w:eastAsia="en-AU"/>
        </w:rPr>
      </w:pPr>
      <w:r w:rsidRPr="008875E4">
        <w:rPr>
          <w:rFonts w:cs="Times New Roman"/>
          <w:bCs/>
          <w:lang w:eastAsia="en-AU"/>
        </w:rPr>
        <w:t xml:space="preserve">ARPANSA </w:t>
      </w:r>
      <w:r w:rsidR="00B7546F" w:rsidRPr="008875E4">
        <w:rPr>
          <w:rFonts w:cs="Times New Roman"/>
          <w:bCs/>
          <w:lang w:eastAsia="en-AU"/>
        </w:rPr>
        <w:t xml:space="preserve">communicates with licenced entities </w:t>
      </w:r>
      <w:r w:rsidR="00980306" w:rsidRPr="008875E4">
        <w:rPr>
          <w:rFonts w:cs="Times New Roman"/>
          <w:bCs/>
          <w:lang w:eastAsia="en-AU"/>
        </w:rPr>
        <w:t>by a range of methods</w:t>
      </w:r>
      <w:r w:rsidR="006C20D6" w:rsidRPr="008875E4">
        <w:rPr>
          <w:rFonts w:cs="Times New Roman"/>
          <w:bCs/>
          <w:lang w:eastAsia="en-AU"/>
        </w:rPr>
        <w:t xml:space="preserve"> to collect information and </w:t>
      </w:r>
      <w:r w:rsidR="00250A94" w:rsidRPr="008875E4">
        <w:rPr>
          <w:rFonts w:cs="Times New Roman"/>
          <w:bCs/>
          <w:lang w:eastAsia="en-AU"/>
        </w:rPr>
        <w:t xml:space="preserve">to consult and </w:t>
      </w:r>
      <w:r w:rsidR="001502AF" w:rsidRPr="008875E4">
        <w:rPr>
          <w:rFonts w:cs="Times New Roman"/>
          <w:bCs/>
          <w:lang w:eastAsia="en-AU"/>
        </w:rPr>
        <w:t>inform licence holders of regulatory matters</w:t>
      </w:r>
      <w:r w:rsidR="00F97FD5" w:rsidRPr="008875E4">
        <w:rPr>
          <w:rFonts w:cs="Times New Roman"/>
          <w:bCs/>
          <w:lang w:eastAsia="en-AU"/>
        </w:rPr>
        <w:t>.</w:t>
      </w:r>
      <w:r w:rsidR="009067D5">
        <w:rPr>
          <w:rFonts w:cs="Times New Roman"/>
          <w:bCs/>
          <w:lang w:eastAsia="en-AU"/>
        </w:rPr>
        <w:t xml:space="preserve"> </w:t>
      </w:r>
      <w:r w:rsidR="00F97FD5" w:rsidRPr="008875E4">
        <w:rPr>
          <w:rFonts w:cs="Times New Roman"/>
          <w:bCs/>
          <w:lang w:eastAsia="en-AU"/>
        </w:rPr>
        <w:t>These include:</w:t>
      </w:r>
    </w:p>
    <w:p w14:paraId="60C2B4B7" w14:textId="798D4366" w:rsidR="00F97FD5" w:rsidRPr="008875E4" w:rsidRDefault="00A96AC6" w:rsidP="008875E4">
      <w:pPr>
        <w:pStyle w:val="ListParagraph"/>
        <w:numPr>
          <w:ilvl w:val="0"/>
          <w:numId w:val="39"/>
        </w:numPr>
        <w:rPr>
          <w:rFonts w:cs="Times New Roman"/>
          <w:bCs/>
          <w:lang w:eastAsia="en-AU"/>
        </w:rPr>
      </w:pPr>
      <w:r w:rsidRPr="008875E4">
        <w:rPr>
          <w:rFonts w:cs="Times New Roman"/>
          <w:bCs/>
          <w:lang w:eastAsia="en-AU"/>
        </w:rPr>
        <w:t>Dedicated</w:t>
      </w:r>
      <w:r w:rsidR="00F97FD5" w:rsidRPr="008875E4">
        <w:rPr>
          <w:rFonts w:cs="Times New Roman"/>
          <w:bCs/>
          <w:lang w:eastAsia="en-AU"/>
        </w:rPr>
        <w:t xml:space="preserve"> Lead Inspectors are allocated</w:t>
      </w:r>
      <w:r w:rsidR="0043215B" w:rsidRPr="008875E4">
        <w:rPr>
          <w:rFonts w:cs="Times New Roman"/>
          <w:bCs/>
          <w:lang w:eastAsia="en-AU"/>
        </w:rPr>
        <w:t xml:space="preserve"> to each li</w:t>
      </w:r>
      <w:r w:rsidR="00D67A72" w:rsidRPr="008875E4">
        <w:rPr>
          <w:rFonts w:cs="Times New Roman"/>
          <w:bCs/>
          <w:lang w:eastAsia="en-AU"/>
        </w:rPr>
        <w:t xml:space="preserve">cence to </w:t>
      </w:r>
      <w:r w:rsidR="00562B9A" w:rsidRPr="008875E4">
        <w:rPr>
          <w:rFonts w:cs="Times New Roman"/>
          <w:bCs/>
          <w:lang w:eastAsia="en-AU"/>
        </w:rPr>
        <w:t>build up detailed knowledge and understanding or the licen</w:t>
      </w:r>
      <w:r w:rsidR="00FD77D8" w:rsidRPr="008875E4">
        <w:rPr>
          <w:rFonts w:cs="Times New Roman"/>
          <w:bCs/>
          <w:lang w:eastAsia="en-AU"/>
        </w:rPr>
        <w:t>s</w:t>
      </w:r>
      <w:r w:rsidR="00562B9A" w:rsidRPr="008875E4">
        <w:rPr>
          <w:rFonts w:cs="Times New Roman"/>
          <w:bCs/>
          <w:lang w:eastAsia="en-AU"/>
        </w:rPr>
        <w:t>e</w:t>
      </w:r>
      <w:r w:rsidR="00202EB0" w:rsidRPr="008875E4">
        <w:rPr>
          <w:rFonts w:cs="Times New Roman"/>
          <w:bCs/>
          <w:lang w:eastAsia="en-AU"/>
        </w:rPr>
        <w:t>d</w:t>
      </w:r>
      <w:r w:rsidR="00663029" w:rsidRPr="008875E4">
        <w:rPr>
          <w:rFonts w:cs="Times New Roman"/>
          <w:bCs/>
          <w:lang w:eastAsia="en-AU"/>
        </w:rPr>
        <w:t xml:space="preserve"> acti</w:t>
      </w:r>
      <w:r w:rsidR="00437D3F" w:rsidRPr="008875E4">
        <w:rPr>
          <w:rFonts w:cs="Times New Roman"/>
          <w:bCs/>
          <w:lang w:eastAsia="en-AU"/>
        </w:rPr>
        <w:t>vity</w:t>
      </w:r>
      <w:r w:rsidR="00FA2359" w:rsidRPr="008875E4">
        <w:rPr>
          <w:rFonts w:cs="Times New Roman"/>
          <w:bCs/>
          <w:lang w:eastAsia="en-AU"/>
        </w:rPr>
        <w:t xml:space="preserve"> and understand the impact of ARPANSA’s regulatory approach</w:t>
      </w:r>
      <w:r w:rsidR="00437D3F" w:rsidRPr="008875E4">
        <w:rPr>
          <w:rFonts w:cs="Times New Roman"/>
          <w:bCs/>
          <w:lang w:eastAsia="en-AU"/>
        </w:rPr>
        <w:t xml:space="preserve">. They </w:t>
      </w:r>
      <w:r w:rsidR="009C7CD4" w:rsidRPr="008875E4">
        <w:rPr>
          <w:rFonts w:cs="Times New Roman"/>
          <w:bCs/>
          <w:lang w:eastAsia="en-AU"/>
        </w:rPr>
        <w:t>are</w:t>
      </w:r>
      <w:r w:rsidR="00437D3F" w:rsidRPr="008875E4">
        <w:rPr>
          <w:rFonts w:cs="Times New Roman"/>
          <w:bCs/>
          <w:lang w:eastAsia="en-AU"/>
        </w:rPr>
        <w:t xml:space="preserve"> the </w:t>
      </w:r>
      <w:r w:rsidR="00DD5114" w:rsidRPr="008875E4">
        <w:rPr>
          <w:rFonts w:cs="Times New Roman"/>
          <w:bCs/>
          <w:lang w:eastAsia="en-AU"/>
        </w:rPr>
        <w:t xml:space="preserve">licence holder’s </w:t>
      </w:r>
      <w:r w:rsidR="00437D3F" w:rsidRPr="008875E4">
        <w:rPr>
          <w:rFonts w:cs="Times New Roman"/>
          <w:bCs/>
          <w:lang w:eastAsia="en-AU"/>
        </w:rPr>
        <w:t xml:space="preserve">main point of contact </w:t>
      </w:r>
      <w:r w:rsidR="00DD5114" w:rsidRPr="008875E4">
        <w:rPr>
          <w:rFonts w:cs="Times New Roman"/>
          <w:bCs/>
          <w:lang w:eastAsia="en-AU"/>
        </w:rPr>
        <w:t>with ARPANSA</w:t>
      </w:r>
      <w:r w:rsidR="00302C38" w:rsidRPr="008875E4">
        <w:rPr>
          <w:rFonts w:cs="Times New Roman"/>
          <w:bCs/>
          <w:lang w:eastAsia="en-AU"/>
        </w:rPr>
        <w:t xml:space="preserve"> and the focus of communication.</w:t>
      </w:r>
    </w:p>
    <w:p w14:paraId="289BC05A" w14:textId="67A700AD" w:rsidR="00302C38" w:rsidRPr="008875E4" w:rsidRDefault="00D70DB0" w:rsidP="008875E4">
      <w:pPr>
        <w:pStyle w:val="ListParagraph"/>
        <w:numPr>
          <w:ilvl w:val="0"/>
          <w:numId w:val="39"/>
        </w:numPr>
        <w:rPr>
          <w:rFonts w:cs="Times New Roman"/>
          <w:bCs/>
          <w:lang w:eastAsia="en-AU"/>
        </w:rPr>
      </w:pPr>
      <w:r w:rsidRPr="008875E4">
        <w:rPr>
          <w:rFonts w:cs="Times New Roman"/>
          <w:bCs/>
          <w:lang w:eastAsia="en-AU"/>
        </w:rPr>
        <w:t>Licence Administrato</w:t>
      </w:r>
      <w:r w:rsidR="003578CA" w:rsidRPr="008875E4">
        <w:rPr>
          <w:rFonts w:cs="Times New Roman"/>
          <w:bCs/>
          <w:lang w:eastAsia="en-AU"/>
        </w:rPr>
        <w:t xml:space="preserve">r to </w:t>
      </w:r>
      <w:r w:rsidR="000A5556" w:rsidRPr="008875E4">
        <w:rPr>
          <w:rFonts w:cs="Times New Roman"/>
          <w:bCs/>
          <w:lang w:eastAsia="en-AU"/>
        </w:rPr>
        <w:t xml:space="preserve">distribute, </w:t>
      </w:r>
      <w:r w:rsidR="003578CA" w:rsidRPr="008875E4">
        <w:rPr>
          <w:rFonts w:cs="Times New Roman"/>
          <w:bCs/>
          <w:lang w:eastAsia="en-AU"/>
        </w:rPr>
        <w:t>collect and collate important licence data.</w:t>
      </w:r>
      <w:r w:rsidR="009067D5">
        <w:rPr>
          <w:rFonts w:cs="Times New Roman"/>
          <w:bCs/>
          <w:lang w:eastAsia="en-AU"/>
        </w:rPr>
        <w:t xml:space="preserve"> </w:t>
      </w:r>
      <w:r w:rsidR="003578CA" w:rsidRPr="008875E4">
        <w:rPr>
          <w:rFonts w:cs="Times New Roman"/>
          <w:bCs/>
          <w:lang w:eastAsia="en-AU"/>
        </w:rPr>
        <w:t xml:space="preserve">The Licence Administrator </w:t>
      </w:r>
      <w:r w:rsidR="000A5556" w:rsidRPr="008875E4">
        <w:rPr>
          <w:rFonts w:cs="Times New Roman"/>
          <w:bCs/>
          <w:lang w:eastAsia="en-AU"/>
        </w:rPr>
        <w:t xml:space="preserve">is the focus of communication involving </w:t>
      </w:r>
      <w:r w:rsidR="008536BE" w:rsidRPr="008875E4">
        <w:rPr>
          <w:rFonts w:cs="Times New Roman"/>
          <w:bCs/>
          <w:lang w:eastAsia="en-AU"/>
        </w:rPr>
        <w:t>any administrative</w:t>
      </w:r>
      <w:r w:rsidR="000A5556" w:rsidRPr="008875E4">
        <w:rPr>
          <w:rFonts w:cs="Times New Roman"/>
          <w:bCs/>
          <w:lang w:eastAsia="en-AU"/>
        </w:rPr>
        <w:t xml:space="preserve"> regulatory </w:t>
      </w:r>
      <w:r w:rsidR="008536BE" w:rsidRPr="008875E4">
        <w:rPr>
          <w:rFonts w:cs="Times New Roman"/>
          <w:bCs/>
          <w:lang w:eastAsia="en-AU"/>
        </w:rPr>
        <w:t>questions between ARPANSA and the regulated entity.</w:t>
      </w:r>
    </w:p>
    <w:p w14:paraId="7A2EF770" w14:textId="6C6E9E2B" w:rsidR="006A59EF" w:rsidRPr="008875E4" w:rsidRDefault="00B76AEF" w:rsidP="008875E4">
      <w:pPr>
        <w:pStyle w:val="ListParagraph"/>
        <w:numPr>
          <w:ilvl w:val="0"/>
          <w:numId w:val="39"/>
        </w:numPr>
        <w:rPr>
          <w:lang w:eastAsia="en-AU"/>
        </w:rPr>
      </w:pPr>
      <w:r w:rsidRPr="008875E4">
        <w:rPr>
          <w:lang w:eastAsia="en-AU"/>
        </w:rPr>
        <w:t>Information sharing meetings.</w:t>
      </w:r>
      <w:r w:rsidR="009067D5">
        <w:rPr>
          <w:lang w:eastAsia="en-AU"/>
        </w:rPr>
        <w:t xml:space="preserve"> </w:t>
      </w:r>
      <w:r w:rsidRPr="008875E4">
        <w:rPr>
          <w:lang w:eastAsia="en-AU"/>
        </w:rPr>
        <w:t xml:space="preserve">These range from working level meetings </w:t>
      </w:r>
      <w:r w:rsidR="001A0683" w:rsidRPr="008875E4">
        <w:rPr>
          <w:lang w:eastAsia="en-AU"/>
        </w:rPr>
        <w:t>between inspectors and frontline operational staff to meetings between the senior executives of each organisation.</w:t>
      </w:r>
    </w:p>
    <w:p w14:paraId="76D76D1C" w14:textId="016623B7" w:rsidR="00630AFA" w:rsidRPr="008875E4" w:rsidRDefault="003D6BF5" w:rsidP="008875E4">
      <w:pPr>
        <w:pStyle w:val="ListParagraph"/>
        <w:numPr>
          <w:ilvl w:val="0"/>
          <w:numId w:val="39"/>
        </w:numPr>
        <w:rPr>
          <w:lang w:eastAsia="en-AU"/>
        </w:rPr>
      </w:pPr>
      <w:r w:rsidRPr="008875E4">
        <w:rPr>
          <w:lang w:eastAsia="en-AU"/>
        </w:rPr>
        <w:t xml:space="preserve">Annual conferences (licence holder forums) </w:t>
      </w:r>
      <w:r w:rsidR="00C2385C" w:rsidRPr="008875E4">
        <w:rPr>
          <w:lang w:eastAsia="en-AU"/>
        </w:rPr>
        <w:t>are held where topical radiation safety issues are discussed.</w:t>
      </w:r>
      <w:r w:rsidR="009067D5">
        <w:rPr>
          <w:lang w:eastAsia="en-AU"/>
        </w:rPr>
        <w:t xml:space="preserve"> </w:t>
      </w:r>
      <w:r w:rsidR="00C2385C" w:rsidRPr="008875E4">
        <w:rPr>
          <w:lang w:eastAsia="en-AU"/>
        </w:rPr>
        <w:t xml:space="preserve">These forums </w:t>
      </w:r>
      <w:r w:rsidR="00DF4883" w:rsidRPr="008875E4">
        <w:rPr>
          <w:lang w:eastAsia="en-AU"/>
        </w:rPr>
        <w:t>also allow for networking between licenced entities</w:t>
      </w:r>
      <w:r w:rsidR="00D96438" w:rsidRPr="008875E4">
        <w:rPr>
          <w:lang w:eastAsia="en-AU"/>
        </w:rPr>
        <w:t xml:space="preserve"> for the purpose of sharing </w:t>
      </w:r>
      <w:r w:rsidR="00A70C37" w:rsidRPr="008875E4">
        <w:rPr>
          <w:lang w:eastAsia="en-AU"/>
        </w:rPr>
        <w:t>operational experience relating to safety</w:t>
      </w:r>
    </w:p>
    <w:p w14:paraId="4181BAE4" w14:textId="0D80CE7F" w:rsidR="00A70C37" w:rsidRPr="008875E4" w:rsidRDefault="000724BD" w:rsidP="008875E4">
      <w:pPr>
        <w:pStyle w:val="ListParagraph"/>
        <w:numPr>
          <w:ilvl w:val="0"/>
          <w:numId w:val="39"/>
        </w:numPr>
        <w:rPr>
          <w:rFonts w:cs="Times New Roman"/>
          <w:lang w:eastAsia="en-AU"/>
        </w:rPr>
      </w:pPr>
      <w:r w:rsidRPr="008875E4">
        <w:rPr>
          <w:rFonts w:cstheme="minorHAnsi"/>
          <w:bCs/>
          <w:lang w:eastAsia="en-AU"/>
        </w:rPr>
        <w:t>Meet the regulator forums.</w:t>
      </w:r>
      <w:r w:rsidR="009067D5">
        <w:rPr>
          <w:rFonts w:cstheme="minorHAnsi"/>
          <w:bCs/>
          <w:lang w:eastAsia="en-AU"/>
        </w:rPr>
        <w:t xml:space="preserve"> </w:t>
      </w:r>
      <w:r w:rsidRPr="008875E4">
        <w:rPr>
          <w:rFonts w:cstheme="minorHAnsi"/>
          <w:bCs/>
          <w:lang w:eastAsia="en-AU"/>
        </w:rPr>
        <w:t xml:space="preserve">These are </w:t>
      </w:r>
      <w:r w:rsidR="00F6191A" w:rsidRPr="008875E4">
        <w:rPr>
          <w:rFonts w:cstheme="minorHAnsi"/>
          <w:bCs/>
          <w:lang w:eastAsia="en-AU"/>
        </w:rPr>
        <w:t>mini</w:t>
      </w:r>
      <w:r w:rsidRPr="008875E4">
        <w:rPr>
          <w:rFonts w:cstheme="minorHAnsi"/>
          <w:bCs/>
          <w:lang w:eastAsia="en-AU"/>
        </w:rPr>
        <w:t xml:space="preserve"> licence holder forums </w:t>
      </w:r>
      <w:r w:rsidR="00F6191A" w:rsidRPr="008875E4">
        <w:rPr>
          <w:rFonts w:cstheme="minorHAnsi"/>
          <w:bCs/>
          <w:lang w:eastAsia="en-AU"/>
        </w:rPr>
        <w:t>and</w:t>
      </w:r>
      <w:r w:rsidRPr="008875E4">
        <w:rPr>
          <w:rFonts w:cstheme="minorHAnsi"/>
          <w:bCs/>
          <w:lang w:eastAsia="en-AU"/>
        </w:rPr>
        <w:t xml:space="preserve"> are aimed </w:t>
      </w:r>
      <w:r w:rsidR="00D425AB" w:rsidRPr="008875E4">
        <w:rPr>
          <w:rFonts w:cstheme="minorHAnsi"/>
          <w:bCs/>
          <w:lang w:eastAsia="en-AU"/>
        </w:rPr>
        <w:t>at a front-line</w:t>
      </w:r>
      <w:r w:rsidR="00766E02" w:rsidRPr="008875E4">
        <w:rPr>
          <w:rFonts w:cstheme="minorHAnsi"/>
          <w:bCs/>
          <w:lang w:eastAsia="en-AU"/>
        </w:rPr>
        <w:t>,</w:t>
      </w:r>
      <w:r w:rsidR="00D425AB" w:rsidRPr="008875E4">
        <w:rPr>
          <w:rFonts w:cstheme="minorHAnsi"/>
          <w:bCs/>
          <w:lang w:eastAsia="en-AU"/>
        </w:rPr>
        <w:t xml:space="preserve"> operational level</w:t>
      </w:r>
      <w:r w:rsidR="00766E02" w:rsidRPr="008875E4">
        <w:rPr>
          <w:rFonts w:cstheme="minorHAnsi"/>
          <w:bCs/>
          <w:lang w:eastAsia="en-AU"/>
        </w:rPr>
        <w:t>,</w:t>
      </w:r>
      <w:r w:rsidR="00D425AB" w:rsidRPr="008875E4">
        <w:rPr>
          <w:rFonts w:cstheme="minorHAnsi"/>
          <w:bCs/>
          <w:lang w:eastAsia="en-AU"/>
        </w:rPr>
        <w:t xml:space="preserve"> </w:t>
      </w:r>
      <w:r w:rsidR="00F6191A" w:rsidRPr="008875E4">
        <w:rPr>
          <w:rFonts w:cstheme="minorHAnsi"/>
          <w:bCs/>
          <w:lang w:eastAsia="en-AU"/>
        </w:rPr>
        <w:t xml:space="preserve">workers </w:t>
      </w:r>
      <w:r w:rsidR="00D425AB" w:rsidRPr="008875E4">
        <w:rPr>
          <w:rFonts w:cstheme="minorHAnsi"/>
          <w:bCs/>
          <w:lang w:eastAsia="en-AU"/>
        </w:rPr>
        <w:t xml:space="preserve">that would not otherwise attend the </w:t>
      </w:r>
      <w:r w:rsidR="00D30166" w:rsidRPr="008875E4">
        <w:rPr>
          <w:rFonts w:cstheme="minorHAnsi"/>
          <w:bCs/>
          <w:lang w:eastAsia="en-AU"/>
        </w:rPr>
        <w:t xml:space="preserve">main licence holder forum that is a </w:t>
      </w:r>
      <w:r w:rsidR="00F87107" w:rsidRPr="008875E4">
        <w:rPr>
          <w:rFonts w:cstheme="minorHAnsi"/>
          <w:bCs/>
          <w:lang w:eastAsia="en-AU"/>
        </w:rPr>
        <w:t>Canberra-</w:t>
      </w:r>
      <w:r w:rsidR="00D425AB" w:rsidRPr="008875E4">
        <w:rPr>
          <w:rFonts w:cstheme="minorHAnsi"/>
          <w:bCs/>
          <w:lang w:eastAsia="en-AU"/>
        </w:rPr>
        <w:t xml:space="preserve">based </w:t>
      </w:r>
      <w:r w:rsidR="00C70F66" w:rsidRPr="008875E4">
        <w:rPr>
          <w:rFonts w:cstheme="minorHAnsi"/>
          <w:bCs/>
          <w:lang w:eastAsia="en-AU"/>
        </w:rPr>
        <w:t>c</w:t>
      </w:r>
      <w:r w:rsidR="00454B87" w:rsidRPr="008875E4">
        <w:rPr>
          <w:rFonts w:cstheme="minorHAnsi"/>
          <w:bCs/>
          <w:lang w:eastAsia="en-AU"/>
        </w:rPr>
        <w:t>onference.</w:t>
      </w:r>
    </w:p>
    <w:p w14:paraId="28EB9013" w14:textId="6DAA7DE8" w:rsidR="00454B87" w:rsidRPr="008875E4" w:rsidRDefault="00454B87" w:rsidP="008875E4">
      <w:pPr>
        <w:pStyle w:val="ListParagraph"/>
        <w:numPr>
          <w:ilvl w:val="0"/>
          <w:numId w:val="39"/>
        </w:numPr>
        <w:rPr>
          <w:rFonts w:cs="Times New Roman"/>
          <w:lang w:eastAsia="en-AU"/>
        </w:rPr>
      </w:pPr>
      <w:r w:rsidRPr="008875E4">
        <w:rPr>
          <w:rFonts w:cstheme="minorHAnsi"/>
          <w:bCs/>
          <w:lang w:eastAsia="en-AU"/>
        </w:rPr>
        <w:t xml:space="preserve">ARPANSA website. The website provides a range of </w:t>
      </w:r>
      <w:r w:rsidR="00B34614" w:rsidRPr="008875E4">
        <w:rPr>
          <w:rFonts w:cstheme="minorHAnsi"/>
          <w:bCs/>
          <w:lang w:eastAsia="en-AU"/>
        </w:rPr>
        <w:t xml:space="preserve">information on how ARPANSA conducts </w:t>
      </w:r>
      <w:r w:rsidR="00052009" w:rsidRPr="008875E4">
        <w:rPr>
          <w:rFonts w:cstheme="minorHAnsi"/>
          <w:bCs/>
          <w:lang w:eastAsia="en-AU"/>
        </w:rPr>
        <w:t>its</w:t>
      </w:r>
      <w:r w:rsidR="00B34614" w:rsidRPr="008875E4">
        <w:rPr>
          <w:rFonts w:cstheme="minorHAnsi"/>
          <w:bCs/>
          <w:lang w:eastAsia="en-AU"/>
        </w:rPr>
        <w:t xml:space="preserve"> business, </w:t>
      </w:r>
      <w:r w:rsidR="00052009" w:rsidRPr="008875E4">
        <w:rPr>
          <w:rFonts w:cstheme="minorHAnsi"/>
          <w:bCs/>
          <w:lang w:eastAsia="en-AU"/>
        </w:rPr>
        <w:t xml:space="preserve">guidance on </w:t>
      </w:r>
      <w:r w:rsidR="00B34614" w:rsidRPr="008875E4">
        <w:rPr>
          <w:rFonts w:cstheme="minorHAnsi"/>
          <w:bCs/>
          <w:lang w:eastAsia="en-AU"/>
        </w:rPr>
        <w:t xml:space="preserve">the </w:t>
      </w:r>
      <w:r w:rsidR="00F701BD" w:rsidRPr="008875E4">
        <w:rPr>
          <w:rFonts w:cstheme="minorHAnsi"/>
          <w:bCs/>
          <w:lang w:eastAsia="en-AU"/>
        </w:rPr>
        <w:t xml:space="preserve">expected </w:t>
      </w:r>
      <w:r w:rsidR="00052009" w:rsidRPr="008875E4">
        <w:rPr>
          <w:rFonts w:cstheme="minorHAnsi"/>
          <w:bCs/>
          <w:lang w:eastAsia="en-AU"/>
        </w:rPr>
        <w:t xml:space="preserve">safety </w:t>
      </w:r>
      <w:r w:rsidR="00B34614" w:rsidRPr="008875E4">
        <w:rPr>
          <w:rFonts w:cstheme="minorHAnsi"/>
          <w:bCs/>
          <w:lang w:eastAsia="en-AU"/>
        </w:rPr>
        <w:t xml:space="preserve">standards </w:t>
      </w:r>
      <w:r w:rsidR="00F701BD" w:rsidRPr="008875E4">
        <w:rPr>
          <w:rFonts w:cstheme="minorHAnsi"/>
          <w:bCs/>
          <w:lang w:eastAsia="en-AU"/>
        </w:rPr>
        <w:t xml:space="preserve">to be met and </w:t>
      </w:r>
      <w:r w:rsidR="00320F40" w:rsidRPr="008875E4">
        <w:rPr>
          <w:rFonts w:cstheme="minorHAnsi"/>
          <w:bCs/>
          <w:lang w:eastAsia="en-AU"/>
        </w:rPr>
        <w:t>a</w:t>
      </w:r>
      <w:r w:rsidR="00FF63BC" w:rsidRPr="008875E4">
        <w:rPr>
          <w:rFonts w:cstheme="minorHAnsi"/>
          <w:bCs/>
          <w:lang w:eastAsia="en-AU"/>
        </w:rPr>
        <w:t xml:space="preserve"> range of reports </w:t>
      </w:r>
      <w:r w:rsidR="00E65820" w:rsidRPr="008875E4">
        <w:rPr>
          <w:rFonts w:cstheme="minorHAnsi"/>
          <w:bCs/>
          <w:lang w:eastAsia="en-AU"/>
        </w:rPr>
        <w:t xml:space="preserve">including statement of reasons for key decisions, </w:t>
      </w:r>
      <w:r w:rsidR="00BB4ED6" w:rsidRPr="008875E4">
        <w:rPr>
          <w:rFonts w:cstheme="minorHAnsi"/>
          <w:bCs/>
          <w:lang w:eastAsia="en-AU"/>
        </w:rPr>
        <w:t>significant regulatory analysis reports and the analysis of common safety problems.</w:t>
      </w:r>
      <w:r w:rsidR="00DC6D02" w:rsidRPr="008875E4">
        <w:rPr>
          <w:rFonts w:cstheme="minorHAnsi"/>
          <w:bCs/>
          <w:lang w:eastAsia="en-AU"/>
        </w:rPr>
        <w:t xml:space="preserve"> </w:t>
      </w:r>
    </w:p>
    <w:p w14:paraId="7002FB2C" w14:textId="10CA3885" w:rsidR="00E04EC8" w:rsidRPr="008875E4" w:rsidRDefault="00E04EC8" w:rsidP="008875E4">
      <w:pPr>
        <w:pStyle w:val="ListParagraph"/>
        <w:numPr>
          <w:ilvl w:val="0"/>
          <w:numId w:val="39"/>
        </w:numPr>
        <w:rPr>
          <w:rFonts w:cs="Times New Roman"/>
          <w:bCs/>
          <w:lang w:eastAsia="en-AU"/>
        </w:rPr>
      </w:pPr>
      <w:r w:rsidRPr="008875E4">
        <w:rPr>
          <w:rFonts w:cs="Times New Roman"/>
          <w:bCs/>
          <w:lang w:eastAsia="en-AU"/>
        </w:rPr>
        <w:t>Meetings with prospective licence holders and the general community</w:t>
      </w:r>
      <w:r w:rsidR="00D35365" w:rsidRPr="008875E4">
        <w:rPr>
          <w:rFonts w:cs="Times New Roman"/>
          <w:bCs/>
          <w:lang w:eastAsia="en-AU"/>
        </w:rPr>
        <w:t xml:space="preserve"> that may be affected by licen</w:t>
      </w:r>
      <w:r w:rsidR="00557F9D" w:rsidRPr="008875E4">
        <w:rPr>
          <w:rFonts w:cs="Times New Roman"/>
          <w:bCs/>
          <w:lang w:eastAsia="en-AU"/>
        </w:rPr>
        <w:t>s</w:t>
      </w:r>
      <w:r w:rsidR="00D35365" w:rsidRPr="008875E4">
        <w:rPr>
          <w:rFonts w:cs="Times New Roman"/>
          <w:bCs/>
          <w:lang w:eastAsia="en-AU"/>
        </w:rPr>
        <w:t>ed activities.</w:t>
      </w:r>
      <w:r w:rsidR="009067D5">
        <w:rPr>
          <w:rFonts w:cs="Times New Roman"/>
          <w:bCs/>
          <w:lang w:eastAsia="en-AU"/>
        </w:rPr>
        <w:t xml:space="preserve"> </w:t>
      </w:r>
      <w:r w:rsidR="00D35365" w:rsidRPr="008875E4">
        <w:rPr>
          <w:rFonts w:cs="Times New Roman"/>
          <w:bCs/>
          <w:lang w:eastAsia="en-AU"/>
        </w:rPr>
        <w:t xml:space="preserve">These meetings </w:t>
      </w:r>
      <w:r w:rsidR="008417AB" w:rsidRPr="008875E4">
        <w:rPr>
          <w:rFonts w:cs="Times New Roman"/>
          <w:bCs/>
          <w:lang w:eastAsia="en-AU"/>
        </w:rPr>
        <w:t xml:space="preserve">provide information on regulatory expectations </w:t>
      </w:r>
      <w:r w:rsidR="00FA2359" w:rsidRPr="008875E4">
        <w:rPr>
          <w:rFonts w:cs="Times New Roman"/>
          <w:bCs/>
          <w:lang w:eastAsia="en-AU"/>
        </w:rPr>
        <w:t>and confidence to stakeholders that ARPANSA’s processes achieve its regulatory purpose</w:t>
      </w:r>
      <w:r w:rsidR="00DC6D02" w:rsidRPr="008875E4">
        <w:rPr>
          <w:rFonts w:cs="Times New Roman"/>
          <w:bCs/>
          <w:lang w:eastAsia="en-AU"/>
        </w:rPr>
        <w:t>.</w:t>
      </w:r>
    </w:p>
    <w:p w14:paraId="3D6AB1C2" w14:textId="1037B05A" w:rsidR="002D5DD1" w:rsidRPr="008875E4" w:rsidRDefault="00401601" w:rsidP="008875E4">
      <w:pPr>
        <w:pStyle w:val="ListParagraph"/>
        <w:numPr>
          <w:ilvl w:val="0"/>
          <w:numId w:val="39"/>
        </w:numPr>
        <w:rPr>
          <w:rFonts w:cs="Times New Roman"/>
          <w:bCs/>
          <w:lang w:eastAsia="en-AU"/>
        </w:rPr>
      </w:pPr>
      <w:r w:rsidRPr="008875E4">
        <w:rPr>
          <w:rFonts w:cs="Times New Roman"/>
          <w:bCs/>
          <w:lang w:eastAsia="en-AU"/>
        </w:rPr>
        <w:lastRenderedPageBreak/>
        <w:t xml:space="preserve">All licensing decisions are communicated in writing and include a statement of reasons </w:t>
      </w:r>
      <w:r w:rsidR="00A55045" w:rsidRPr="008875E4">
        <w:rPr>
          <w:rFonts w:cs="Times New Roman"/>
          <w:bCs/>
          <w:lang w:eastAsia="en-AU"/>
        </w:rPr>
        <w:t>that formed the basis for the decision.</w:t>
      </w:r>
      <w:r w:rsidR="009067D5">
        <w:rPr>
          <w:rFonts w:cs="Times New Roman"/>
          <w:bCs/>
          <w:lang w:eastAsia="en-AU"/>
        </w:rPr>
        <w:t xml:space="preserve"> </w:t>
      </w:r>
      <w:r w:rsidR="00A55045" w:rsidRPr="008875E4">
        <w:rPr>
          <w:rFonts w:cs="Times New Roman"/>
          <w:bCs/>
          <w:lang w:eastAsia="en-AU"/>
        </w:rPr>
        <w:t>Major licence decisions and regulatory assessment reports are published on the ARPANSA website.</w:t>
      </w:r>
    </w:p>
    <w:p w14:paraId="4132332C" w14:textId="00ECB7D0" w:rsidR="00A55045" w:rsidRPr="008875E4" w:rsidRDefault="00A55045" w:rsidP="008875E4">
      <w:pPr>
        <w:pStyle w:val="ListParagraph"/>
        <w:numPr>
          <w:ilvl w:val="0"/>
          <w:numId w:val="39"/>
        </w:numPr>
        <w:rPr>
          <w:rFonts w:cs="Times New Roman"/>
          <w:bCs/>
          <w:lang w:eastAsia="en-AU"/>
        </w:rPr>
      </w:pPr>
      <w:r w:rsidRPr="008875E4">
        <w:rPr>
          <w:rFonts w:cs="Times New Roman"/>
          <w:bCs/>
          <w:lang w:eastAsia="en-AU"/>
        </w:rPr>
        <w:t>Inspection reports are provided to each licence holder individually.</w:t>
      </w:r>
      <w:r w:rsidR="009067D5">
        <w:rPr>
          <w:rFonts w:cs="Times New Roman"/>
          <w:bCs/>
          <w:lang w:eastAsia="en-AU"/>
        </w:rPr>
        <w:t xml:space="preserve"> </w:t>
      </w:r>
      <w:r w:rsidRPr="008875E4">
        <w:rPr>
          <w:rFonts w:cs="Times New Roman"/>
          <w:bCs/>
          <w:lang w:eastAsia="en-AU"/>
        </w:rPr>
        <w:t>Unless containing security sensitive information all inspection reports are published on the ARPANSA website.</w:t>
      </w:r>
    </w:p>
    <w:tbl>
      <w:tblPr>
        <w:tblStyle w:val="GenericARPANSA4"/>
        <w:tblpPr w:leftFromText="180" w:rightFromText="180" w:vertAnchor="text" w:tblpY="173"/>
        <w:tblW w:w="10173" w:type="dxa"/>
        <w:tblLayout w:type="fixed"/>
        <w:tblLook w:val="06A0" w:firstRow="1" w:lastRow="0" w:firstColumn="1" w:lastColumn="0" w:noHBand="1" w:noVBand="1"/>
        <w:tblDescription w:val="This table contains 2 heading columns, 1. KPIs/Measures/Metrics, 2. Evidence (Performance in  2016-17). Column 2 includes a self-assessed rating against KPI 2."/>
      </w:tblPr>
      <w:tblGrid>
        <w:gridCol w:w="5086"/>
        <w:gridCol w:w="5087"/>
      </w:tblGrid>
      <w:tr w:rsidR="00244F01" w:rsidRPr="00561938" w14:paraId="5440F18E" w14:textId="77777777" w:rsidTr="004244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vAlign w:val="top"/>
          </w:tcPr>
          <w:p w14:paraId="3DE1F4B4" w14:textId="77777777" w:rsidR="00244F01" w:rsidRPr="00D25EFE" w:rsidRDefault="00244F01" w:rsidP="00C032F2">
            <w:pPr>
              <w:pStyle w:val="Tabletext"/>
              <w:spacing w:before="120" w:after="120"/>
              <w:jc w:val="left"/>
            </w:pPr>
            <w:r w:rsidRPr="00D25EFE">
              <w:t>Measures/</w:t>
            </w:r>
            <w:r w:rsidR="00302D3E">
              <w:t>m</w:t>
            </w:r>
            <w:r w:rsidRPr="00D25EFE">
              <w:t>etrics</w:t>
            </w:r>
          </w:p>
        </w:tc>
        <w:tc>
          <w:tcPr>
            <w:tcW w:w="0" w:type="dxa"/>
            <w:vAlign w:val="top"/>
          </w:tcPr>
          <w:p w14:paraId="20756F70" w14:textId="38D69D9F" w:rsidR="00244F01" w:rsidRPr="00D25EFE" w:rsidRDefault="00244F01" w:rsidP="00AD0A80">
            <w:pPr>
              <w:pStyle w:val="Tabletext"/>
              <w:spacing w:before="120" w:after="120"/>
              <w:jc w:val="left"/>
              <w:cnfStyle w:val="100000000000" w:firstRow="1" w:lastRow="0" w:firstColumn="0" w:lastColumn="0" w:oddVBand="0" w:evenVBand="0" w:oddHBand="0" w:evenHBand="0" w:firstRowFirstColumn="0" w:firstRowLastColumn="0" w:lastRowFirstColumn="0" w:lastRowLastColumn="0"/>
            </w:pPr>
            <w:r w:rsidRPr="00D25EFE">
              <w:t>Evidence (</w:t>
            </w:r>
            <w:r w:rsidR="000C4A9A">
              <w:t>p</w:t>
            </w:r>
            <w:r w:rsidRPr="00D25EFE">
              <w:t xml:space="preserve">erformance in </w:t>
            </w:r>
            <w:r>
              <w:t>20</w:t>
            </w:r>
            <w:r w:rsidR="00AD0A80">
              <w:t>19</w:t>
            </w:r>
            <w:r w:rsidR="00302D3E">
              <w:t>–</w:t>
            </w:r>
            <w:r w:rsidR="7F18757E">
              <w:t>2</w:t>
            </w:r>
            <w:r w:rsidR="00AD0A80">
              <w:t>0</w:t>
            </w:r>
            <w:r w:rsidRPr="00D25EFE">
              <w:t>)</w:t>
            </w:r>
          </w:p>
        </w:tc>
      </w:tr>
      <w:tr w:rsidR="00244F01" w:rsidRPr="00110D4B" w14:paraId="3AF2770A" w14:textId="77777777" w:rsidTr="0042446B">
        <w:trPr>
          <w:trHeight w:val="2242"/>
        </w:trPr>
        <w:tc>
          <w:tcPr>
            <w:cnfStyle w:val="001000000000" w:firstRow="0" w:lastRow="0" w:firstColumn="1" w:lastColumn="0" w:oddVBand="0" w:evenVBand="0" w:oddHBand="0" w:evenHBand="0" w:firstRowFirstColumn="0" w:firstRowLastColumn="0" w:lastRowFirstColumn="0" w:lastRowLastColumn="0"/>
            <w:tcW w:w="0" w:type="dxa"/>
            <w:tcBorders>
              <w:bottom w:val="single" w:sz="18" w:space="0" w:color="auto"/>
            </w:tcBorders>
            <w:vAlign w:val="top"/>
          </w:tcPr>
          <w:p w14:paraId="5A7FB491" w14:textId="77777777" w:rsidR="00244F01" w:rsidRPr="008875E4" w:rsidRDefault="00244F01" w:rsidP="00C032F2">
            <w:pPr>
              <w:spacing w:before="60"/>
              <w:jc w:val="left"/>
            </w:pPr>
            <w:r w:rsidRPr="008875E4">
              <w:t>PI 2.1 Information sharing meetings are held with licence holders</w:t>
            </w:r>
          </w:p>
          <w:p w14:paraId="703F12AA" w14:textId="77777777" w:rsidR="00244F01" w:rsidRPr="008875E4" w:rsidRDefault="00244F01" w:rsidP="00315E85">
            <w:pPr>
              <w:spacing w:before="120"/>
              <w:jc w:val="left"/>
              <w:rPr>
                <w:b w:val="0"/>
              </w:rPr>
            </w:pPr>
            <w:r w:rsidRPr="008875E4">
              <w:rPr>
                <w:b w:val="0"/>
              </w:rPr>
              <w:t xml:space="preserve">Meetings are held with licence holders to exchange information on regulatory matters such as upcoming legislative changes, new or amended regulatory guides, licence applications, or licensing and compliance issues. Examples of such established forums are the Defence-ARPANSA Liaison Forum (DALF), </w:t>
            </w:r>
            <w:r w:rsidR="00557F9D" w:rsidRPr="008875E4">
              <w:rPr>
                <w:b w:val="0"/>
              </w:rPr>
              <w:t xml:space="preserve">the CSIRO-ARPANSA Liaison Forum (CALF), </w:t>
            </w:r>
            <w:r w:rsidRPr="008875E4">
              <w:rPr>
                <w:b w:val="0"/>
              </w:rPr>
              <w:t>the newly instituted ANSTO-ARPANSA Liaison Forum (AALF) and ARPANSA Licence Holder Forums. Regular information exchange on regulatory matters reduces uncertainties about regulatory expectations, ultimately improving compliance rates and removing unnecessary regulatory burden.</w:t>
            </w:r>
          </w:p>
          <w:p w14:paraId="3EBBE47E" w14:textId="7A2360B2" w:rsidR="00244F01" w:rsidRPr="008875E4" w:rsidRDefault="00244F01" w:rsidP="00C032F2">
            <w:pPr>
              <w:spacing w:before="60"/>
              <w:jc w:val="left"/>
              <w:rPr>
                <w:b w:val="0"/>
              </w:rPr>
            </w:pPr>
            <w:r w:rsidRPr="008875E4">
              <w:rPr>
                <w:b w:val="0"/>
              </w:rPr>
              <w:t xml:space="preserve">ARPANSA will </w:t>
            </w:r>
            <w:r w:rsidR="00D30166" w:rsidRPr="008875E4">
              <w:rPr>
                <w:b w:val="0"/>
              </w:rPr>
              <w:t>measure the</w:t>
            </w:r>
            <w:r w:rsidRPr="008875E4">
              <w:rPr>
                <w:b w:val="0"/>
              </w:rPr>
              <w:t xml:space="preserve"> number of meetings held in a year [Quantitative</w:t>
            </w:r>
            <w:r w:rsidR="1019FD05" w:rsidRPr="008875E4">
              <w:rPr>
                <w:b w:val="0"/>
              </w:rPr>
              <w:t>],</w:t>
            </w:r>
            <w:r w:rsidRPr="008875E4">
              <w:rPr>
                <w:b w:val="0"/>
              </w:rPr>
              <w:t xml:space="preserve"> and evaluate the quality, including any feedback received from these meetings, to determine if the communication is effective [Qualitative].</w:t>
            </w:r>
          </w:p>
        </w:tc>
        <w:tc>
          <w:tcPr>
            <w:tcW w:w="0" w:type="dxa"/>
            <w:tcBorders>
              <w:bottom w:val="single" w:sz="18" w:space="0" w:color="auto"/>
            </w:tcBorders>
            <w:vAlign w:val="top"/>
          </w:tcPr>
          <w:p w14:paraId="49397C6E" w14:textId="77777777" w:rsidR="00244F01" w:rsidRPr="008875E4" w:rsidRDefault="00244F01" w:rsidP="00C032F2">
            <w:pPr>
              <w:spacing w:before="60"/>
              <w:jc w:val="left"/>
              <w:cnfStyle w:val="000000000000" w:firstRow="0" w:lastRow="0" w:firstColumn="0" w:lastColumn="0" w:oddVBand="0" w:evenVBand="0" w:oddHBand="0" w:evenHBand="0" w:firstRowFirstColumn="0" w:firstRowLastColumn="0" w:lastRowFirstColumn="0" w:lastRowLastColumn="0"/>
              <w:rPr>
                <w:b/>
              </w:rPr>
            </w:pPr>
            <w:r w:rsidRPr="008875E4">
              <w:rPr>
                <w:b/>
              </w:rPr>
              <w:t xml:space="preserve">Target </w:t>
            </w:r>
            <w:r w:rsidR="00302D3E" w:rsidRPr="008875E4">
              <w:rPr>
                <w:b/>
              </w:rPr>
              <w:t>m</w:t>
            </w:r>
            <w:r w:rsidRPr="008875E4">
              <w:rPr>
                <w:b/>
              </w:rPr>
              <w:t>et</w:t>
            </w:r>
          </w:p>
          <w:p w14:paraId="3D676CD1" w14:textId="672C5AF9" w:rsidR="00244F01" w:rsidRPr="008875E4" w:rsidRDefault="00302D3E" w:rsidP="00315E85">
            <w:pPr>
              <w:spacing w:before="120"/>
              <w:jc w:val="left"/>
              <w:cnfStyle w:val="000000000000" w:firstRow="0" w:lastRow="0" w:firstColumn="0" w:lastColumn="0" w:oddVBand="0" w:evenVBand="0" w:oddHBand="0" w:evenHBand="0" w:firstRowFirstColumn="0" w:firstRowLastColumn="0" w:lastRowFirstColumn="0" w:lastRowLastColumn="0"/>
            </w:pPr>
            <w:r w:rsidRPr="008875E4">
              <w:rPr>
                <w:rFonts w:ascii="Calibri" w:hAnsi="Calibri"/>
              </w:rPr>
              <w:t xml:space="preserve">A total of </w:t>
            </w:r>
            <w:r w:rsidR="003770EB" w:rsidRPr="008875E4">
              <w:rPr>
                <w:rFonts w:ascii="Calibri" w:hAnsi="Calibri"/>
              </w:rPr>
              <w:t>32</w:t>
            </w:r>
            <w:r w:rsidR="00244F01" w:rsidRPr="008875E4">
              <w:rPr>
                <w:rFonts w:ascii="Calibri" w:hAnsi="Calibri"/>
              </w:rPr>
              <w:t xml:space="preserve"> information sharing meetings were held over the year as well as </w:t>
            </w:r>
            <w:r w:rsidR="003770EB" w:rsidRPr="008875E4">
              <w:rPr>
                <w:rFonts w:ascii="Calibri" w:hAnsi="Calibri"/>
              </w:rPr>
              <w:t>18</w:t>
            </w:r>
            <w:r w:rsidR="00244F01" w:rsidRPr="008875E4">
              <w:rPr>
                <w:rFonts w:ascii="Calibri" w:hAnsi="Calibri"/>
              </w:rPr>
              <w:t xml:space="preserve"> site visits.</w:t>
            </w:r>
            <w:r w:rsidR="00591EDF" w:rsidRPr="008875E4">
              <w:rPr>
                <w:rFonts w:ascii="Calibri" w:hAnsi="Calibri"/>
              </w:rPr>
              <w:t xml:space="preserve"> This number represents a good </w:t>
            </w:r>
            <w:r w:rsidR="00EA5A66" w:rsidRPr="008875E4">
              <w:rPr>
                <w:rFonts w:ascii="Calibri" w:hAnsi="Calibri"/>
              </w:rPr>
              <w:t>number of meetings</w:t>
            </w:r>
            <w:r w:rsidR="00F16CC6" w:rsidRPr="008875E4">
              <w:rPr>
                <w:rFonts w:ascii="Calibri" w:hAnsi="Calibri"/>
              </w:rPr>
              <w:t xml:space="preserve"> although it is down on a five-</w:t>
            </w:r>
            <w:r w:rsidR="00591EDF" w:rsidRPr="008875E4">
              <w:rPr>
                <w:rFonts w:ascii="Calibri" w:hAnsi="Calibri"/>
              </w:rPr>
              <w:t>year average of 37.</w:t>
            </w:r>
            <w:r w:rsidR="009067D5">
              <w:rPr>
                <w:rFonts w:ascii="Calibri" w:hAnsi="Calibri"/>
              </w:rPr>
              <w:t xml:space="preserve"> </w:t>
            </w:r>
            <w:r w:rsidR="002F7BF4" w:rsidRPr="008875E4">
              <w:rPr>
                <w:rFonts w:ascii="Calibri" w:hAnsi="Calibri"/>
              </w:rPr>
              <w:t>From March 2020 the number of meetings held reduced</w:t>
            </w:r>
            <w:r w:rsidR="000668C9" w:rsidRPr="008875E4">
              <w:rPr>
                <w:rFonts w:ascii="Calibri" w:hAnsi="Calibri"/>
              </w:rPr>
              <w:t xml:space="preserve"> to four</w:t>
            </w:r>
            <w:r w:rsidR="002F7BF4" w:rsidRPr="008875E4">
              <w:rPr>
                <w:rFonts w:ascii="Calibri" w:hAnsi="Calibri"/>
              </w:rPr>
              <w:t xml:space="preserve"> in recognition of COVID-19 physical distancing restrictions.</w:t>
            </w:r>
            <w:r w:rsidR="009067D5">
              <w:rPr>
                <w:rFonts w:ascii="Calibri" w:hAnsi="Calibri"/>
              </w:rPr>
              <w:t xml:space="preserve"> </w:t>
            </w:r>
            <w:r w:rsidR="002F7BF4" w:rsidRPr="008875E4">
              <w:rPr>
                <w:rFonts w:ascii="Calibri" w:hAnsi="Calibri"/>
              </w:rPr>
              <w:t>ARPANSA, has reached out to licence holders by telephone and video conference to maintain regular contact</w:t>
            </w:r>
            <w:r w:rsidR="00F16CC6" w:rsidRPr="008875E4">
              <w:rPr>
                <w:rFonts w:ascii="Calibri" w:hAnsi="Calibri"/>
              </w:rPr>
              <w:t>. This</w:t>
            </w:r>
            <w:r w:rsidR="004B0369" w:rsidRPr="008875E4">
              <w:rPr>
                <w:rFonts w:ascii="Calibri" w:hAnsi="Calibri"/>
              </w:rPr>
              <w:t xml:space="preserve"> is </w:t>
            </w:r>
            <w:r w:rsidR="002F7BF4" w:rsidRPr="008875E4">
              <w:rPr>
                <w:rFonts w:ascii="Calibri" w:hAnsi="Calibri"/>
              </w:rPr>
              <w:t xml:space="preserve">effective as an interim measure but </w:t>
            </w:r>
            <w:r w:rsidR="00F16CC6" w:rsidRPr="008875E4">
              <w:rPr>
                <w:rFonts w:ascii="Calibri" w:hAnsi="Calibri"/>
              </w:rPr>
              <w:t>cannot replace, only supplement</w:t>
            </w:r>
            <w:r w:rsidR="002F7BF4" w:rsidRPr="008875E4">
              <w:rPr>
                <w:rFonts w:ascii="Calibri" w:hAnsi="Calibri"/>
              </w:rPr>
              <w:t xml:space="preserve"> physical meetings </w:t>
            </w:r>
            <w:r w:rsidR="004B0369" w:rsidRPr="008875E4">
              <w:rPr>
                <w:rFonts w:ascii="Calibri" w:hAnsi="Calibri"/>
              </w:rPr>
              <w:t>in the long term.</w:t>
            </w:r>
          </w:p>
          <w:p w14:paraId="43C65422" w14:textId="77777777" w:rsidR="00244F01" w:rsidRPr="008875E4" w:rsidRDefault="00244F01" w:rsidP="00C032F2">
            <w:p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rPr>
              <w:t>Examples of meetings held in the period include:</w:t>
            </w:r>
          </w:p>
          <w:p w14:paraId="2A967DC3" w14:textId="77777777" w:rsidR="00244F01" w:rsidRPr="008875E4" w:rsidRDefault="00157F0D" w:rsidP="00C032F2">
            <w:pPr>
              <w:pStyle w:val="ListParagraph"/>
              <w:numPr>
                <w:ilvl w:val="0"/>
                <w:numId w:val="37"/>
              </w:num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rPr>
              <w:t>l</w:t>
            </w:r>
            <w:r w:rsidR="00244F01" w:rsidRPr="008875E4">
              <w:rPr>
                <w:rFonts w:ascii="Calibri" w:hAnsi="Calibri"/>
              </w:rPr>
              <w:t>iaison forums with Defence, CSIRO and ANSTO</w:t>
            </w:r>
          </w:p>
          <w:p w14:paraId="6A635A69" w14:textId="77777777" w:rsidR="004B0369" w:rsidRPr="008875E4" w:rsidRDefault="004B0369" w:rsidP="00C032F2">
            <w:pPr>
              <w:pStyle w:val="ListParagraph"/>
              <w:numPr>
                <w:ilvl w:val="0"/>
                <w:numId w:val="37"/>
              </w:num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rPr>
              <w:t>quarterly meetings with major licence holders</w:t>
            </w:r>
          </w:p>
          <w:p w14:paraId="00904D4F" w14:textId="77777777" w:rsidR="00244F01" w:rsidRPr="008875E4" w:rsidRDefault="004B0369" w:rsidP="004B0369">
            <w:pPr>
              <w:pStyle w:val="ListParagraph"/>
              <w:numPr>
                <w:ilvl w:val="0"/>
                <w:numId w:val="37"/>
              </w:num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rPr>
              <w:t xml:space="preserve">21 </w:t>
            </w:r>
            <w:r w:rsidR="00244F01" w:rsidRPr="008875E4">
              <w:rPr>
                <w:rFonts w:ascii="Calibri" w:hAnsi="Calibri"/>
              </w:rPr>
              <w:t xml:space="preserve">survey responses were received for the </w:t>
            </w:r>
            <w:r w:rsidR="009713E5" w:rsidRPr="008875E4">
              <w:rPr>
                <w:rFonts w:ascii="Calibri" w:hAnsi="Calibri"/>
              </w:rPr>
              <w:t xml:space="preserve">2019 </w:t>
            </w:r>
            <w:r w:rsidR="00244F01" w:rsidRPr="008875E4">
              <w:rPr>
                <w:rFonts w:ascii="Calibri" w:hAnsi="Calibri"/>
              </w:rPr>
              <w:t>LHF</w:t>
            </w:r>
            <w:r w:rsidR="009713E5" w:rsidRPr="008875E4">
              <w:rPr>
                <w:rFonts w:ascii="Calibri" w:hAnsi="Calibri"/>
              </w:rPr>
              <w:t xml:space="preserve"> with all respondents rating it as </w:t>
            </w:r>
            <w:r w:rsidR="00244F01" w:rsidRPr="008875E4">
              <w:rPr>
                <w:rFonts w:ascii="Calibri" w:hAnsi="Calibri"/>
              </w:rPr>
              <w:t xml:space="preserve">‘excellent’ or ‘above average’. </w:t>
            </w:r>
            <w:r w:rsidR="009713E5" w:rsidRPr="008875E4">
              <w:rPr>
                <w:rFonts w:ascii="Calibri" w:hAnsi="Calibri"/>
              </w:rPr>
              <w:t xml:space="preserve">The responses indicated that </w:t>
            </w:r>
            <w:r w:rsidR="00244F01" w:rsidRPr="008875E4">
              <w:rPr>
                <w:rFonts w:ascii="Calibri" w:hAnsi="Calibri"/>
              </w:rPr>
              <w:t>the panel discussions and coffee corner discussions</w:t>
            </w:r>
            <w:r w:rsidR="009713E5" w:rsidRPr="008875E4">
              <w:rPr>
                <w:rFonts w:ascii="Calibri" w:hAnsi="Calibri"/>
              </w:rPr>
              <w:t xml:space="preserve"> are particularly useful including by providing opportunities for networking</w:t>
            </w:r>
            <w:r w:rsidR="00244F01" w:rsidRPr="008875E4">
              <w:rPr>
                <w:rFonts w:ascii="Calibri" w:hAnsi="Calibri"/>
              </w:rPr>
              <w:t>.</w:t>
            </w:r>
          </w:p>
        </w:tc>
      </w:tr>
      <w:tr w:rsidR="00C032F2" w:rsidRPr="00110D4B" w14:paraId="2019CD62" w14:textId="77777777" w:rsidTr="0042446B">
        <w:tc>
          <w:tcPr>
            <w:cnfStyle w:val="001000000000" w:firstRow="0" w:lastRow="0" w:firstColumn="1" w:lastColumn="0" w:oddVBand="0" w:evenVBand="0" w:oddHBand="0" w:evenHBand="0" w:firstRowFirstColumn="0" w:firstRowLastColumn="0" w:lastRowFirstColumn="0" w:lastRowLastColumn="0"/>
            <w:tcW w:w="0" w:type="dxa"/>
            <w:gridSpan w:val="2"/>
            <w:tcBorders>
              <w:bottom w:val="single" w:sz="18" w:space="0" w:color="auto"/>
            </w:tcBorders>
            <w:shd w:val="clear" w:color="auto" w:fill="CDF1CD" w:themeFill="accent2" w:themeFillTint="33"/>
            <w:vAlign w:val="top"/>
          </w:tcPr>
          <w:p w14:paraId="02CD7BFA" w14:textId="77777777" w:rsidR="00C032F2" w:rsidRPr="003571EE" w:rsidRDefault="00C032F2" w:rsidP="00367EA2">
            <w:pPr>
              <w:spacing w:before="60"/>
              <w:jc w:val="left"/>
              <w:rPr>
                <w:b w:val="0"/>
              </w:rPr>
            </w:pPr>
            <w:r w:rsidRPr="00302D3E">
              <w:t>Self-assessed rating:</w:t>
            </w:r>
            <w:r>
              <w:rPr>
                <w:b w:val="0"/>
              </w:rPr>
              <w:t xml:space="preserve"> </w:t>
            </w:r>
            <w:r w:rsidR="00367EA2">
              <w:t>Met</w:t>
            </w:r>
          </w:p>
        </w:tc>
      </w:tr>
    </w:tbl>
    <w:p w14:paraId="18E8FED9" w14:textId="77777777" w:rsidR="000A645A" w:rsidRPr="0052173C" w:rsidRDefault="00F5034B" w:rsidP="0052173C">
      <w:pPr>
        <w:pStyle w:val="Heading3"/>
      </w:pPr>
      <w:r>
        <w:t>Further evidence considered</w:t>
      </w:r>
    </w:p>
    <w:p w14:paraId="3D8597EF" w14:textId="2B189D6F" w:rsidR="00A55045" w:rsidRPr="008875E4" w:rsidRDefault="00E21D27" w:rsidP="00637F11">
      <w:pPr>
        <w:spacing w:before="120"/>
        <w:rPr>
          <w:szCs w:val="24"/>
          <w:lang w:eastAsia="en-AU"/>
        </w:rPr>
      </w:pPr>
      <w:r w:rsidRPr="008875E4">
        <w:rPr>
          <w:szCs w:val="24"/>
          <w:lang w:eastAsia="en-AU"/>
        </w:rPr>
        <w:t>ARPANSA’s approach to regulation was found to be open and transparent</w:t>
      </w:r>
      <w:r w:rsidR="00637F11" w:rsidRPr="008875E4">
        <w:rPr>
          <w:szCs w:val="24"/>
          <w:lang w:eastAsia="en-AU"/>
        </w:rPr>
        <w:t>, a feature that is recognised from the results of surveys and feedback from licence holders including interviews undertaken for this assessment.</w:t>
      </w:r>
      <w:r w:rsidR="00A55045" w:rsidRPr="008875E4">
        <w:rPr>
          <w:szCs w:val="24"/>
          <w:lang w:eastAsia="en-AU"/>
        </w:rPr>
        <w:t xml:space="preserve"> ARPANSA’s philosophy is to publish information </w:t>
      </w:r>
      <w:r w:rsidR="00D30166" w:rsidRPr="008875E4">
        <w:rPr>
          <w:szCs w:val="24"/>
          <w:lang w:eastAsia="en-AU"/>
        </w:rPr>
        <w:t>wherever</w:t>
      </w:r>
      <w:r w:rsidR="00F16CC6" w:rsidRPr="008875E4">
        <w:rPr>
          <w:szCs w:val="24"/>
          <w:lang w:eastAsia="en-AU"/>
        </w:rPr>
        <w:t xml:space="preserve"> feasible, </w:t>
      </w:r>
      <w:r w:rsidR="00A55045" w:rsidRPr="008875E4">
        <w:rPr>
          <w:szCs w:val="24"/>
          <w:lang w:eastAsia="en-AU"/>
        </w:rPr>
        <w:t>unless there is a reason not to publish.</w:t>
      </w:r>
    </w:p>
    <w:p w14:paraId="49228224" w14:textId="639D782F" w:rsidR="00637F11" w:rsidRPr="008875E4" w:rsidRDefault="00637F11" w:rsidP="00637F11">
      <w:pPr>
        <w:spacing w:before="120"/>
        <w:rPr>
          <w:szCs w:val="24"/>
          <w:lang w:eastAsia="en-AU"/>
        </w:rPr>
      </w:pPr>
      <w:r w:rsidRPr="008875E4">
        <w:rPr>
          <w:szCs w:val="24"/>
          <w:lang w:eastAsia="en-AU"/>
        </w:rPr>
        <w:t>The allocation of a Lead Inspector for each licence was singled out as being particularly useful. Lead inspectors were said to be readily available, open and</w:t>
      </w:r>
      <w:r w:rsidR="00A178DB" w:rsidRPr="008875E4">
        <w:rPr>
          <w:szCs w:val="24"/>
          <w:lang w:eastAsia="en-AU"/>
        </w:rPr>
        <w:t xml:space="preserve"> consistent in their messaging regarding regulatory expectations.</w:t>
      </w:r>
      <w:r w:rsidR="00E90438" w:rsidRPr="008875E4">
        <w:rPr>
          <w:szCs w:val="24"/>
          <w:lang w:eastAsia="en-AU"/>
        </w:rPr>
        <w:t xml:space="preserve"> </w:t>
      </w:r>
      <w:r w:rsidR="00767910" w:rsidRPr="008875E4">
        <w:rPr>
          <w:szCs w:val="24"/>
          <w:lang w:eastAsia="en-AU"/>
        </w:rPr>
        <w:t xml:space="preserve">There </w:t>
      </w:r>
      <w:r w:rsidR="00F16CC6" w:rsidRPr="008875E4">
        <w:rPr>
          <w:szCs w:val="24"/>
          <w:lang w:eastAsia="en-AU"/>
        </w:rPr>
        <w:t>were</w:t>
      </w:r>
      <w:r w:rsidR="00767910" w:rsidRPr="008875E4">
        <w:rPr>
          <w:szCs w:val="24"/>
          <w:lang w:eastAsia="en-AU"/>
        </w:rPr>
        <w:t xml:space="preserve"> high levels of licence holder satisfaction </w:t>
      </w:r>
      <w:r w:rsidR="00D30166" w:rsidRPr="008875E4">
        <w:rPr>
          <w:szCs w:val="24"/>
          <w:lang w:eastAsia="en-AU"/>
        </w:rPr>
        <w:t>regarding</w:t>
      </w:r>
      <w:r w:rsidR="00767910" w:rsidRPr="008875E4">
        <w:rPr>
          <w:szCs w:val="24"/>
          <w:lang w:eastAsia="en-AU"/>
        </w:rPr>
        <w:t xml:space="preserve"> the accessibility, knowledge and professionalism o</w:t>
      </w:r>
      <w:r w:rsidR="00F16CC6" w:rsidRPr="008875E4">
        <w:rPr>
          <w:szCs w:val="24"/>
          <w:lang w:eastAsia="en-AU"/>
        </w:rPr>
        <w:t>f i</w:t>
      </w:r>
      <w:r w:rsidR="00767910" w:rsidRPr="008875E4">
        <w:rPr>
          <w:szCs w:val="24"/>
          <w:lang w:eastAsia="en-AU"/>
        </w:rPr>
        <w:t>nspectors.</w:t>
      </w:r>
    </w:p>
    <w:p w14:paraId="4BE78282" w14:textId="77777777" w:rsidR="000A645A" w:rsidRPr="008875E4" w:rsidRDefault="000A645A" w:rsidP="00637F11">
      <w:pPr>
        <w:spacing w:before="120"/>
        <w:rPr>
          <w:szCs w:val="24"/>
          <w:lang w:eastAsia="en-AU"/>
        </w:rPr>
      </w:pPr>
      <w:r w:rsidRPr="008875E4">
        <w:rPr>
          <w:szCs w:val="24"/>
          <w:lang w:eastAsia="en-AU"/>
        </w:rPr>
        <w:t>Written communication was reviewed and found to be targeted and clear. Correspondence regarding application</w:t>
      </w:r>
      <w:r w:rsidR="0052173C" w:rsidRPr="008875E4">
        <w:rPr>
          <w:szCs w:val="24"/>
          <w:lang w:eastAsia="en-AU"/>
        </w:rPr>
        <w:t>s</w:t>
      </w:r>
      <w:r w:rsidRPr="008875E4">
        <w:rPr>
          <w:szCs w:val="24"/>
          <w:lang w:eastAsia="en-AU"/>
        </w:rPr>
        <w:t xml:space="preserve"> and any non-compliance </w:t>
      </w:r>
      <w:r w:rsidR="0052173C" w:rsidRPr="008875E4">
        <w:rPr>
          <w:szCs w:val="24"/>
          <w:lang w:eastAsia="en-AU"/>
        </w:rPr>
        <w:t>provide clear</w:t>
      </w:r>
      <w:r w:rsidRPr="008875E4">
        <w:rPr>
          <w:szCs w:val="24"/>
          <w:lang w:eastAsia="en-AU"/>
        </w:rPr>
        <w:t xml:space="preserve"> statements of </w:t>
      </w:r>
      <w:r w:rsidR="0052173C" w:rsidRPr="008875E4">
        <w:rPr>
          <w:szCs w:val="24"/>
          <w:lang w:eastAsia="en-AU"/>
        </w:rPr>
        <w:t>regarding the basis of the decision</w:t>
      </w:r>
      <w:r w:rsidRPr="008875E4">
        <w:rPr>
          <w:szCs w:val="24"/>
          <w:lang w:eastAsia="en-AU"/>
        </w:rPr>
        <w:t>. The licence holders are consistently provided the opportunity to review the factual basis for decisions.</w:t>
      </w:r>
    </w:p>
    <w:p w14:paraId="0B86907E" w14:textId="77777777" w:rsidR="000A645A" w:rsidRPr="008875E4" w:rsidRDefault="000A645A" w:rsidP="00637F11">
      <w:pPr>
        <w:spacing w:before="120"/>
        <w:rPr>
          <w:szCs w:val="24"/>
          <w:lang w:eastAsia="en-AU"/>
        </w:rPr>
      </w:pPr>
      <w:r w:rsidRPr="008875E4">
        <w:rPr>
          <w:szCs w:val="24"/>
          <w:lang w:eastAsia="en-AU"/>
        </w:rPr>
        <w:t>Inspection reports and information on major regulatory decisions is published on the ARPANSA website.</w:t>
      </w:r>
    </w:p>
    <w:p w14:paraId="4461EE64" w14:textId="77777777" w:rsidR="004D76DF" w:rsidRPr="00991157" w:rsidRDefault="00A27A5E" w:rsidP="00D25EFE">
      <w:pPr>
        <w:spacing w:before="120" w:after="120"/>
        <w:rPr>
          <w:rFonts w:cs="Times New Roman"/>
          <w:color w:val="C00000"/>
          <w:lang w:eastAsia="en-AU"/>
        </w:rPr>
      </w:pPr>
      <w:r w:rsidRPr="00991157">
        <w:rPr>
          <w:color w:val="C00000"/>
        </w:rPr>
        <w:t xml:space="preserve"> </w:t>
      </w:r>
    </w:p>
    <w:p w14:paraId="7C034A24" w14:textId="77777777" w:rsidR="00F5034B" w:rsidRDefault="00F5034B" w:rsidP="00D25EFE">
      <w:pPr>
        <w:pStyle w:val="Heading3"/>
        <w:spacing w:before="180"/>
      </w:pPr>
      <w:r>
        <w:t>Strengths</w:t>
      </w:r>
    </w:p>
    <w:p w14:paraId="254042C9" w14:textId="70F6250F" w:rsidR="00993489" w:rsidRPr="00DC6D02" w:rsidRDefault="00993489" w:rsidP="00D25EFE">
      <w:pPr>
        <w:pStyle w:val="Heading4"/>
        <w:spacing w:before="140"/>
        <w:rPr>
          <w:rFonts w:asciiTheme="minorHAnsi" w:hAnsiTheme="minorHAnsi"/>
          <w:iCs w:val="0"/>
          <w:color w:val="4E1A74"/>
        </w:rPr>
      </w:pPr>
      <w:r w:rsidRPr="00DC6D02">
        <w:rPr>
          <w:rFonts w:asciiTheme="minorHAnsi" w:hAnsiTheme="minorHAnsi"/>
          <w:iCs w:val="0"/>
          <w:color w:val="4E1A74"/>
        </w:rPr>
        <w:t>Multifaceted communication</w:t>
      </w:r>
      <w:r w:rsidR="00D27B88">
        <w:rPr>
          <w:rFonts w:asciiTheme="minorHAnsi" w:hAnsiTheme="minorHAnsi"/>
          <w:iCs w:val="0"/>
          <w:color w:val="4E1A74"/>
        </w:rPr>
        <w:t>s</w:t>
      </w:r>
      <w:r w:rsidRPr="00DC6D02">
        <w:rPr>
          <w:rFonts w:asciiTheme="minorHAnsi" w:hAnsiTheme="minorHAnsi"/>
          <w:iCs w:val="0"/>
          <w:color w:val="4E1A74"/>
        </w:rPr>
        <w:t xml:space="preserve"> </w:t>
      </w:r>
    </w:p>
    <w:p w14:paraId="2D4EEEAA" w14:textId="5A07EEF3" w:rsidR="00942E08" w:rsidRPr="008875E4" w:rsidRDefault="00942E08" w:rsidP="006868A0">
      <w:pPr>
        <w:spacing w:before="0"/>
      </w:pPr>
      <w:r w:rsidRPr="008875E4">
        <w:t xml:space="preserve">As stated above, ARPANSA employs a wide range of communication tools with the purpose of protecting people and the environment. There is no single focus </w:t>
      </w:r>
      <w:r w:rsidR="00401601" w:rsidRPr="008875E4">
        <w:t>to</w:t>
      </w:r>
      <w:r w:rsidRPr="008875E4">
        <w:t xml:space="preserve"> these tools and instead they are intended to deliver messages for safety from various angles. The results of surveys and from discussion with licence holders, ARPANSA is recognis</w:t>
      </w:r>
      <w:r w:rsidR="00401601" w:rsidRPr="008875E4">
        <w:t>ed as an effective communicator</w:t>
      </w:r>
      <w:r w:rsidRPr="008875E4">
        <w:t>.</w:t>
      </w:r>
      <w:r w:rsidR="009067D5">
        <w:t xml:space="preserve"> </w:t>
      </w:r>
      <w:r w:rsidRPr="008875E4">
        <w:t>However, despite this recognition</w:t>
      </w:r>
      <w:r w:rsidR="00F16CC6" w:rsidRPr="008875E4">
        <w:t>,</w:t>
      </w:r>
      <w:r w:rsidRPr="008875E4">
        <w:t xml:space="preserve"> ARPANSA continues to review its processes in the interest of continuous improvement.</w:t>
      </w:r>
      <w:r w:rsidR="009067D5">
        <w:t xml:space="preserve"> </w:t>
      </w:r>
      <w:r w:rsidRPr="008875E4">
        <w:t xml:space="preserve">Current projects in this space include a review of </w:t>
      </w:r>
      <w:r w:rsidR="00401601" w:rsidRPr="008875E4">
        <w:t xml:space="preserve">its guidance material to ensure that its scope, depth and applicability </w:t>
      </w:r>
      <w:r w:rsidR="00401601" w:rsidRPr="008875E4">
        <w:lastRenderedPageBreak/>
        <w:t>meets the needs of regulatory officers and licence holders.</w:t>
      </w:r>
      <w:r w:rsidR="009067D5">
        <w:t xml:space="preserve"> </w:t>
      </w:r>
      <w:r w:rsidR="00401601" w:rsidRPr="008875E4">
        <w:t>For this review, which examines the entirety of available guidance, ARPANSA is actively reaching out to licence holders to properly understand what is needed to assist them to maintain safety and meet compliance requirements.</w:t>
      </w:r>
    </w:p>
    <w:p w14:paraId="4826BAD6" w14:textId="77777777" w:rsidR="00F5034B" w:rsidRPr="00991157" w:rsidRDefault="00F5034B" w:rsidP="006868A0">
      <w:pPr>
        <w:spacing w:before="0"/>
        <w:rPr>
          <w:color w:val="C00000"/>
        </w:rPr>
      </w:pPr>
    </w:p>
    <w:p w14:paraId="10DA7DBC" w14:textId="77777777" w:rsidR="00F5034B" w:rsidRDefault="00F5034B" w:rsidP="00D25EFE">
      <w:pPr>
        <w:pStyle w:val="Heading3"/>
        <w:spacing w:before="200"/>
      </w:pPr>
      <w:r>
        <w:t>Identified opportunities for improvement</w:t>
      </w:r>
    </w:p>
    <w:p w14:paraId="29164E8B" w14:textId="77777777" w:rsidR="00E96A85" w:rsidRPr="00E96A85" w:rsidRDefault="00E96A85" w:rsidP="00E96A85">
      <w:pPr>
        <w:pStyle w:val="Heading3"/>
        <w:rPr>
          <w:sz w:val="22"/>
        </w:rPr>
      </w:pPr>
      <w:r w:rsidRPr="00E96A85">
        <w:rPr>
          <w:sz w:val="22"/>
        </w:rPr>
        <w:t>Impact of COVID-19 Restrictions</w:t>
      </w:r>
    </w:p>
    <w:p w14:paraId="57CFFBA4" w14:textId="48384501" w:rsidR="00E96A85" w:rsidRPr="008875E4" w:rsidRDefault="00E96A85" w:rsidP="00600034">
      <w:pPr>
        <w:spacing w:before="0"/>
      </w:pPr>
      <w:r w:rsidRPr="008875E4">
        <w:t xml:space="preserve">From March 2020 ARPANSA’s regulatory </w:t>
      </w:r>
      <w:r w:rsidR="00F16CC6" w:rsidRPr="008875E4">
        <w:t>activities have</w:t>
      </w:r>
      <w:r w:rsidRPr="008875E4">
        <w:t xml:space="preserve"> been impacted by Commonwealth, State and Territory restrictions aimed at limiting the spread of COVID-19. It was found that this had impacted certain aspects of communication between ARPANSA and its licen</w:t>
      </w:r>
      <w:r w:rsidR="00557F9D" w:rsidRPr="008875E4">
        <w:t>s</w:t>
      </w:r>
      <w:r w:rsidRPr="008875E4">
        <w:t xml:space="preserve">ed entities that are normally undertaken </w:t>
      </w:r>
      <w:r w:rsidR="00E941DF" w:rsidRPr="008875E4">
        <w:t>physically</w:t>
      </w:r>
      <w:r w:rsidRPr="008875E4">
        <w:t>.</w:t>
      </w:r>
      <w:r w:rsidR="009067D5">
        <w:t xml:space="preserve"> </w:t>
      </w:r>
      <w:r w:rsidR="00E941DF" w:rsidRPr="008875E4">
        <w:t>For example, planning for</w:t>
      </w:r>
      <w:r w:rsidRPr="008875E4">
        <w:t xml:space="preserve"> the next Licence Holder Forum was suspended,</w:t>
      </w:r>
      <w:r w:rsidR="00E941DF" w:rsidRPr="008875E4">
        <w:t xml:space="preserve"> no </w:t>
      </w:r>
      <w:r w:rsidR="007E30CF" w:rsidRPr="008875E4">
        <w:t>“</w:t>
      </w:r>
      <w:r w:rsidR="00C7271F" w:rsidRPr="008875E4">
        <w:t xml:space="preserve">Meet </w:t>
      </w:r>
      <w:r w:rsidRPr="008875E4">
        <w:t xml:space="preserve">the </w:t>
      </w:r>
      <w:r w:rsidR="00C7271F" w:rsidRPr="008875E4">
        <w:t>Regulator</w:t>
      </w:r>
      <w:r w:rsidR="007E30CF" w:rsidRPr="008875E4">
        <w:t>”</w:t>
      </w:r>
      <w:r w:rsidRPr="008875E4">
        <w:t xml:space="preserve"> forums have been held an</w:t>
      </w:r>
      <w:r w:rsidR="00F16CC6" w:rsidRPr="008875E4">
        <w:t>d ARPANSA’s inspection program</w:t>
      </w:r>
      <w:r w:rsidRPr="008875E4">
        <w:t xml:space="preserve"> has been impacted with those </w:t>
      </w:r>
      <w:r w:rsidR="00D27B88" w:rsidRPr="008875E4">
        <w:t xml:space="preserve">remaining </w:t>
      </w:r>
      <w:r w:rsidRPr="008875E4">
        <w:t xml:space="preserve">inspections being undertaken </w:t>
      </w:r>
      <w:r w:rsidR="00E941DF" w:rsidRPr="008875E4">
        <w:t xml:space="preserve">mostly using </w:t>
      </w:r>
      <w:r w:rsidRPr="008875E4">
        <w:t>remote</w:t>
      </w:r>
      <w:r w:rsidR="00E941DF" w:rsidRPr="008875E4">
        <w:t xml:space="preserve"> methods (</w:t>
      </w:r>
      <w:r w:rsidR="00D27B88" w:rsidRPr="008875E4">
        <w:t>for example,</w:t>
      </w:r>
      <w:r w:rsidR="00E941DF" w:rsidRPr="008875E4">
        <w:t xml:space="preserve"> document correspondence and video methods)</w:t>
      </w:r>
      <w:r w:rsidRPr="008875E4">
        <w:t>.</w:t>
      </w:r>
      <w:r w:rsidR="00E941DF" w:rsidRPr="008875E4">
        <w:t xml:space="preserve"> Whilst these methods have been effective as an interim and temporary arrangement, the assessment team recommends that other, alternative methods of interacting are explored and implemented.</w:t>
      </w:r>
      <w:r w:rsidR="009067D5">
        <w:t xml:space="preserve"> </w:t>
      </w:r>
      <w:r w:rsidR="00E941DF" w:rsidRPr="008875E4">
        <w:t xml:space="preserve">These must be </w:t>
      </w:r>
      <w:r w:rsidR="00D27B88" w:rsidRPr="008875E4">
        <w:t>able</w:t>
      </w:r>
      <w:r w:rsidR="00E941DF" w:rsidRPr="008875E4">
        <w:t xml:space="preserve"> to support and independently verify the safety performance of licen</w:t>
      </w:r>
      <w:r w:rsidR="00557F9D" w:rsidRPr="008875E4">
        <w:t>s</w:t>
      </w:r>
      <w:r w:rsidR="00E941DF" w:rsidRPr="008875E4">
        <w:t>ed entities.</w:t>
      </w:r>
    </w:p>
    <w:p w14:paraId="60F5B7EA" w14:textId="56ABD626" w:rsidR="004B0369" w:rsidRPr="00E941DF" w:rsidRDefault="00A178DB" w:rsidP="00D25EFE">
      <w:pPr>
        <w:pStyle w:val="Heading4"/>
        <w:spacing w:before="120"/>
        <w:rPr>
          <w:rFonts w:asciiTheme="minorHAnsi" w:hAnsiTheme="minorHAnsi"/>
          <w:iCs w:val="0"/>
          <w:color w:val="4E1A74"/>
        </w:rPr>
      </w:pPr>
      <w:r w:rsidRPr="00E941DF">
        <w:rPr>
          <w:rFonts w:asciiTheme="minorHAnsi" w:hAnsiTheme="minorHAnsi"/>
          <w:iCs w:val="0"/>
          <w:color w:val="4E1A74"/>
        </w:rPr>
        <w:t>Lead Inspectors</w:t>
      </w:r>
      <w:r w:rsidR="00BD2FC7">
        <w:rPr>
          <w:rFonts w:asciiTheme="minorHAnsi" w:hAnsiTheme="minorHAnsi"/>
          <w:iCs w:val="0"/>
          <w:color w:val="4E1A74"/>
        </w:rPr>
        <w:t xml:space="preserve"> and Inspector Rotation</w:t>
      </w:r>
    </w:p>
    <w:p w14:paraId="09AD066B" w14:textId="783CE725" w:rsidR="00BD2FC7" w:rsidRPr="008875E4" w:rsidRDefault="00BD2FC7" w:rsidP="00BD2FC7">
      <w:pPr>
        <w:spacing w:before="120"/>
        <w:rPr>
          <w:szCs w:val="24"/>
          <w:lang w:eastAsia="en-AU"/>
        </w:rPr>
      </w:pPr>
      <w:r w:rsidRPr="008875E4">
        <w:rPr>
          <w:szCs w:val="24"/>
          <w:lang w:eastAsia="en-AU"/>
        </w:rPr>
        <w:t xml:space="preserve">The allocation of a Lead Inspector for each licence was singled out as being particularly useful. Lead inspectors were said to be readily available, open and consistent in their messaging regarding regulatory expectations. There were high levels of licence holder satisfaction </w:t>
      </w:r>
      <w:r w:rsidR="00D30166" w:rsidRPr="008875E4">
        <w:rPr>
          <w:szCs w:val="24"/>
          <w:lang w:eastAsia="en-AU"/>
        </w:rPr>
        <w:t>regarding</w:t>
      </w:r>
      <w:r w:rsidRPr="008875E4">
        <w:rPr>
          <w:szCs w:val="24"/>
          <w:lang w:eastAsia="en-AU"/>
        </w:rPr>
        <w:t xml:space="preserve"> the accessibility, knowledge and professionalism of inspectors.</w:t>
      </w:r>
    </w:p>
    <w:p w14:paraId="2E518D78" w14:textId="77777777" w:rsidR="00BD2FC7" w:rsidRPr="008875E4" w:rsidRDefault="00BD2FC7" w:rsidP="00A55045">
      <w:pPr>
        <w:spacing w:before="0"/>
        <w:rPr>
          <w:lang w:eastAsia="en-AU"/>
        </w:rPr>
      </w:pPr>
    </w:p>
    <w:p w14:paraId="4D9D7714" w14:textId="198D6B4E" w:rsidR="00A178DB" w:rsidRPr="008875E4" w:rsidRDefault="00A178DB" w:rsidP="00A55045">
      <w:pPr>
        <w:spacing w:before="0"/>
        <w:rPr>
          <w:lang w:eastAsia="en-AU"/>
        </w:rPr>
      </w:pPr>
      <w:r w:rsidRPr="008875E4">
        <w:rPr>
          <w:lang w:eastAsia="en-AU"/>
        </w:rPr>
        <w:t xml:space="preserve">Lead inspectors are rotated periodically from one licence to another, a practice undertaken to spread operational knowledge and experience throughout the inspection team and to reduce the potential for </w:t>
      </w:r>
      <w:r w:rsidR="00D27B88" w:rsidRPr="008875E4">
        <w:rPr>
          <w:lang w:eastAsia="en-AU"/>
        </w:rPr>
        <w:t>‘</w:t>
      </w:r>
      <w:r w:rsidRPr="008875E4">
        <w:rPr>
          <w:lang w:eastAsia="en-AU"/>
        </w:rPr>
        <w:t>regulatory capture</w:t>
      </w:r>
      <w:r w:rsidR="00D27B88" w:rsidRPr="008875E4">
        <w:rPr>
          <w:lang w:eastAsia="en-AU"/>
        </w:rPr>
        <w:t>’</w:t>
      </w:r>
      <w:r w:rsidRPr="008875E4">
        <w:rPr>
          <w:lang w:eastAsia="en-AU"/>
        </w:rPr>
        <w:t>. Licence holder representatives reported that the transition from one lead inspector to another should be improved to allow more time for the incoming lead to learn the licence holder operation.</w:t>
      </w:r>
      <w:r w:rsidR="009067D5">
        <w:rPr>
          <w:lang w:eastAsia="en-AU"/>
        </w:rPr>
        <w:t xml:space="preserve"> </w:t>
      </w:r>
      <w:r w:rsidR="005B4E2D" w:rsidRPr="008875E4">
        <w:rPr>
          <w:lang w:eastAsia="en-AU"/>
        </w:rPr>
        <w:t>L</w:t>
      </w:r>
      <w:r w:rsidRPr="008875E4">
        <w:rPr>
          <w:lang w:eastAsia="en-AU"/>
        </w:rPr>
        <w:t xml:space="preserve">icence holders </w:t>
      </w:r>
      <w:r w:rsidR="005B4E2D" w:rsidRPr="008875E4">
        <w:rPr>
          <w:lang w:eastAsia="en-AU"/>
        </w:rPr>
        <w:t xml:space="preserve">reported that they </w:t>
      </w:r>
      <w:r w:rsidR="00D30166" w:rsidRPr="008875E4">
        <w:rPr>
          <w:lang w:eastAsia="en-AU"/>
        </w:rPr>
        <w:t>must</w:t>
      </w:r>
      <w:r w:rsidRPr="008875E4">
        <w:rPr>
          <w:lang w:eastAsia="en-AU"/>
        </w:rPr>
        <w:t xml:space="preserve"> invest time to bring the incoming inspect</w:t>
      </w:r>
      <w:r w:rsidR="00557F9D" w:rsidRPr="008875E4">
        <w:rPr>
          <w:lang w:eastAsia="en-AU"/>
        </w:rPr>
        <w:t>or’s</w:t>
      </w:r>
      <w:r w:rsidRPr="008875E4">
        <w:rPr>
          <w:lang w:eastAsia="en-AU"/>
        </w:rPr>
        <w:t xml:space="preserve"> knowledge </w:t>
      </w:r>
      <w:r w:rsidR="00557F9D" w:rsidRPr="008875E4">
        <w:rPr>
          <w:lang w:eastAsia="en-AU"/>
        </w:rPr>
        <w:t>o</w:t>
      </w:r>
      <w:r w:rsidRPr="008875E4">
        <w:rPr>
          <w:lang w:eastAsia="en-AU"/>
        </w:rPr>
        <w:t>f its operations up to speed</w:t>
      </w:r>
      <w:r w:rsidR="00D27B88" w:rsidRPr="008875E4">
        <w:rPr>
          <w:lang w:eastAsia="en-AU"/>
        </w:rPr>
        <w:t>,</w:t>
      </w:r>
      <w:r w:rsidRPr="008875E4">
        <w:rPr>
          <w:lang w:eastAsia="en-AU"/>
        </w:rPr>
        <w:t xml:space="preserve"> especially where there are novel uses for radiation such as those used in scientific research.</w:t>
      </w:r>
    </w:p>
    <w:p w14:paraId="2CEE29C3" w14:textId="77777777" w:rsidR="008057BE" w:rsidRPr="00A55045" w:rsidRDefault="008057BE" w:rsidP="00D25EFE">
      <w:pPr>
        <w:pStyle w:val="Heading4"/>
        <w:spacing w:before="120"/>
        <w:rPr>
          <w:rFonts w:asciiTheme="minorHAnsi" w:hAnsiTheme="minorHAnsi"/>
          <w:iCs w:val="0"/>
          <w:color w:val="4E1A74"/>
        </w:rPr>
      </w:pPr>
      <w:r w:rsidRPr="00A55045">
        <w:rPr>
          <w:rFonts w:asciiTheme="minorHAnsi" w:hAnsiTheme="minorHAnsi"/>
          <w:iCs w:val="0"/>
          <w:color w:val="4E1A74"/>
        </w:rPr>
        <w:t xml:space="preserve">Recording </w:t>
      </w:r>
      <w:r w:rsidR="12B3E498" w:rsidRPr="00A55045">
        <w:rPr>
          <w:rFonts w:asciiTheme="minorHAnsi" w:hAnsiTheme="minorHAnsi"/>
          <w:iCs w:val="0"/>
          <w:color w:val="4E1A74"/>
        </w:rPr>
        <w:t>and enco</w:t>
      </w:r>
      <w:r w:rsidR="479EBCD0" w:rsidRPr="00A55045">
        <w:rPr>
          <w:rFonts w:asciiTheme="minorHAnsi" w:hAnsiTheme="minorHAnsi"/>
          <w:iCs w:val="0"/>
          <w:color w:val="4E1A74"/>
        </w:rPr>
        <w:t>u</w:t>
      </w:r>
      <w:r w:rsidR="12B3E498" w:rsidRPr="00A55045">
        <w:rPr>
          <w:rFonts w:asciiTheme="minorHAnsi" w:hAnsiTheme="minorHAnsi"/>
          <w:iCs w:val="0"/>
          <w:color w:val="4E1A74"/>
        </w:rPr>
        <w:t>raging feedback (</w:t>
      </w:r>
      <w:r w:rsidR="479EBCD0" w:rsidRPr="00A55045">
        <w:rPr>
          <w:rFonts w:asciiTheme="minorHAnsi" w:hAnsiTheme="minorHAnsi"/>
          <w:iCs w:val="0"/>
          <w:color w:val="4E1A74"/>
        </w:rPr>
        <w:t>information sharing meetings)</w:t>
      </w:r>
      <w:r w:rsidRPr="00A55045">
        <w:rPr>
          <w:rFonts w:asciiTheme="minorHAnsi" w:hAnsiTheme="minorHAnsi"/>
          <w:iCs w:val="0"/>
          <w:color w:val="4E1A74"/>
        </w:rPr>
        <w:t xml:space="preserve"> </w:t>
      </w:r>
    </w:p>
    <w:p w14:paraId="47C4DC1B" w14:textId="095A6FF3" w:rsidR="008057BE" w:rsidRPr="008875E4" w:rsidRDefault="003C33DA" w:rsidP="00692518">
      <w:pPr>
        <w:spacing w:before="0"/>
      </w:pPr>
      <w:r w:rsidRPr="008875E4">
        <w:t xml:space="preserve">As reported in previous self-assessments, </w:t>
      </w:r>
      <w:r w:rsidR="00C6542C" w:rsidRPr="008875E4">
        <w:t xml:space="preserve">a mechanism </w:t>
      </w:r>
      <w:r w:rsidR="008057BE" w:rsidRPr="008875E4">
        <w:t xml:space="preserve">for recording feedback received </w:t>
      </w:r>
      <w:r w:rsidRPr="008875E4">
        <w:t>from meetings is under-utilised.</w:t>
      </w:r>
      <w:r w:rsidR="00557F9D" w:rsidRPr="008875E4">
        <w:t xml:space="preserve"> </w:t>
      </w:r>
      <w:r w:rsidR="298F0471" w:rsidRPr="008875E4">
        <w:t>Forums for sharing approaches and knowledge within RSB was al</w:t>
      </w:r>
      <w:r w:rsidR="00D27B88" w:rsidRPr="008875E4">
        <w:t>so identified as an area which sh</w:t>
      </w:r>
      <w:r w:rsidR="298F0471" w:rsidRPr="008875E4">
        <w:t>ould be further develop</w:t>
      </w:r>
      <w:r w:rsidR="00557F9D" w:rsidRPr="008875E4">
        <w:t>ed</w:t>
      </w:r>
      <w:r w:rsidR="298F0471" w:rsidRPr="008875E4">
        <w:t xml:space="preserve">. </w:t>
      </w:r>
      <w:r w:rsidRPr="008875E4">
        <w:t>Th</w:t>
      </w:r>
      <w:r w:rsidR="00D27B88" w:rsidRPr="008875E4">
        <w:t>i</w:t>
      </w:r>
      <w:r w:rsidR="5633968A" w:rsidRPr="008875E4">
        <w:t>s suggest</w:t>
      </w:r>
      <w:r w:rsidR="00D27B88" w:rsidRPr="008875E4">
        <w:t xml:space="preserve">s that there have been </w:t>
      </w:r>
      <w:r w:rsidRPr="008875E4">
        <w:t>misse</w:t>
      </w:r>
      <w:r w:rsidR="3089C81C" w:rsidRPr="008875E4">
        <w:t>d</w:t>
      </w:r>
      <w:r w:rsidRPr="008875E4">
        <w:t xml:space="preserve"> opportunities to improve regulatory </w:t>
      </w:r>
      <w:r w:rsidR="00D27B88" w:rsidRPr="008875E4">
        <w:t>actions</w:t>
      </w:r>
      <w:r w:rsidRPr="008875E4">
        <w:t>.</w:t>
      </w:r>
    </w:p>
    <w:p w14:paraId="663CCF79" w14:textId="77777777" w:rsidR="00C032F2" w:rsidRDefault="00C032F2">
      <w:pPr>
        <w:rPr>
          <w:rFonts w:ascii="Calibri" w:eastAsiaTheme="majorEastAsia" w:hAnsi="Calibri" w:cstheme="majorBidi"/>
          <w:b/>
          <w:bCs/>
          <w:color w:val="4E1A74"/>
          <w:sz w:val="26"/>
          <w:szCs w:val="26"/>
        </w:rPr>
      </w:pPr>
      <w:bookmarkStart w:id="51" w:name="_Toc23846609"/>
    </w:p>
    <w:p w14:paraId="45F042BA" w14:textId="77777777" w:rsidR="00CD74EC" w:rsidRDefault="00CD74EC" w:rsidP="00CD74EC">
      <w:pPr>
        <w:pStyle w:val="Heading2"/>
      </w:pPr>
      <w:bookmarkStart w:id="52" w:name="_Toc58918581"/>
      <w:r w:rsidRPr="00110D4B">
        <w:t>KPI 3 - Actions undertaken by regulators are proportionate to the regulatory risk</w:t>
      </w:r>
      <w:bookmarkEnd w:id="51"/>
      <w:bookmarkEnd w:id="52"/>
    </w:p>
    <w:p w14:paraId="2D3CB762" w14:textId="77777777" w:rsidR="00703DE7" w:rsidRDefault="00703DE7" w:rsidP="00703DE7">
      <w:pPr>
        <w:pStyle w:val="Heading3"/>
        <w:rPr>
          <w:lang w:eastAsia="en-AU"/>
        </w:rPr>
      </w:pPr>
      <w:r>
        <w:rPr>
          <w:lang w:eastAsia="en-AU"/>
        </w:rPr>
        <w:t>ARPANSA’s Objectives/Claims for KPI 3</w:t>
      </w:r>
    </w:p>
    <w:p w14:paraId="0D53EDF7" w14:textId="6CF92560" w:rsidR="005724AA" w:rsidRPr="008875E4" w:rsidRDefault="00337FB0" w:rsidP="0030652D">
      <w:pPr>
        <w:autoSpaceDE w:val="0"/>
        <w:autoSpaceDN w:val="0"/>
        <w:adjustRightInd w:val="0"/>
        <w:spacing w:after="120"/>
        <w:rPr>
          <w:rFonts w:cs="Times New Roman"/>
          <w:bCs/>
          <w:szCs w:val="24"/>
          <w:lang w:eastAsia="en-AU"/>
        </w:rPr>
      </w:pPr>
      <w:r w:rsidRPr="008875E4">
        <w:rPr>
          <w:rFonts w:cs="Times New Roman"/>
          <w:bCs/>
          <w:szCs w:val="24"/>
          <w:lang w:eastAsia="en-AU"/>
        </w:rPr>
        <w:t xml:space="preserve">ARPANSA seeks to ensure that its regulatory oversight program is proportionate to the risk the controlled activity poses to people and the environment. </w:t>
      </w:r>
      <w:r w:rsidR="00CB129B" w:rsidRPr="008875E4">
        <w:rPr>
          <w:rFonts w:cs="Times New Roman"/>
          <w:bCs/>
          <w:szCs w:val="24"/>
          <w:lang w:eastAsia="en-AU"/>
        </w:rPr>
        <w:t>Oversight</w:t>
      </w:r>
      <w:r w:rsidRPr="008875E4">
        <w:rPr>
          <w:rFonts w:cs="Times New Roman"/>
          <w:bCs/>
          <w:szCs w:val="24"/>
          <w:lang w:eastAsia="en-AU"/>
        </w:rPr>
        <w:t xml:space="preserve"> includes</w:t>
      </w:r>
      <w:r w:rsidR="00557F9D" w:rsidRPr="008875E4">
        <w:rPr>
          <w:rFonts w:cs="Times New Roman"/>
          <w:bCs/>
          <w:szCs w:val="24"/>
          <w:lang w:eastAsia="en-AU"/>
        </w:rPr>
        <w:t xml:space="preserve"> </w:t>
      </w:r>
      <w:r w:rsidR="00033E7E" w:rsidRPr="008875E4">
        <w:rPr>
          <w:rFonts w:cs="Times New Roman"/>
          <w:bCs/>
          <w:szCs w:val="24"/>
          <w:lang w:eastAsia="en-AU"/>
        </w:rPr>
        <w:t>an</w:t>
      </w:r>
      <w:r w:rsidRPr="008875E4">
        <w:rPr>
          <w:rFonts w:cs="Times New Roman"/>
          <w:bCs/>
          <w:szCs w:val="24"/>
          <w:lang w:eastAsia="en-AU"/>
        </w:rPr>
        <w:t xml:space="preserve"> </w:t>
      </w:r>
      <w:r w:rsidR="00F15194" w:rsidRPr="008875E4">
        <w:rPr>
          <w:rFonts w:cs="Times New Roman"/>
          <w:bCs/>
          <w:szCs w:val="24"/>
          <w:lang w:eastAsia="en-AU"/>
        </w:rPr>
        <w:t>inspection program</w:t>
      </w:r>
      <w:r w:rsidR="00EB64F1" w:rsidRPr="008875E4">
        <w:rPr>
          <w:rFonts w:cs="Times New Roman"/>
          <w:bCs/>
          <w:szCs w:val="24"/>
          <w:lang w:eastAsia="en-AU"/>
        </w:rPr>
        <w:t xml:space="preserve"> where depth and frequency of inspections </w:t>
      </w:r>
      <w:r w:rsidR="00033E7E" w:rsidRPr="008875E4">
        <w:rPr>
          <w:rFonts w:cs="Times New Roman"/>
          <w:bCs/>
          <w:szCs w:val="24"/>
          <w:lang w:eastAsia="en-AU"/>
        </w:rPr>
        <w:t>are</w:t>
      </w:r>
      <w:r w:rsidR="00EB64F1" w:rsidRPr="008875E4">
        <w:rPr>
          <w:rFonts w:cs="Times New Roman"/>
          <w:bCs/>
          <w:szCs w:val="24"/>
          <w:lang w:eastAsia="en-AU"/>
        </w:rPr>
        <w:t xml:space="preserve"> determined by the overall risk of the controlled activity that includes an assessment of the safety controls in place and the safety performance of the operator. Outside of the inspection program, </w:t>
      </w:r>
      <w:r w:rsidRPr="008875E4">
        <w:rPr>
          <w:rFonts w:cs="Times New Roman"/>
          <w:bCs/>
          <w:szCs w:val="24"/>
          <w:lang w:eastAsia="en-AU"/>
        </w:rPr>
        <w:t xml:space="preserve">site visits </w:t>
      </w:r>
      <w:r w:rsidR="00CB129B" w:rsidRPr="008875E4">
        <w:rPr>
          <w:rFonts w:cs="Times New Roman"/>
          <w:bCs/>
          <w:szCs w:val="24"/>
          <w:lang w:eastAsia="en-AU"/>
        </w:rPr>
        <w:lastRenderedPageBreak/>
        <w:t>by regulatory officers</w:t>
      </w:r>
      <w:r w:rsidR="00EB64F1" w:rsidRPr="008875E4">
        <w:rPr>
          <w:rFonts w:cs="Times New Roman"/>
          <w:bCs/>
          <w:szCs w:val="24"/>
          <w:lang w:eastAsia="en-AU"/>
        </w:rPr>
        <w:t>, oth</w:t>
      </w:r>
      <w:r w:rsidR="00DE046F" w:rsidRPr="008875E4">
        <w:rPr>
          <w:rFonts w:cs="Times New Roman"/>
          <w:bCs/>
          <w:szCs w:val="24"/>
          <w:lang w:eastAsia="en-AU"/>
        </w:rPr>
        <w:t xml:space="preserve">er meetings, </w:t>
      </w:r>
      <w:r w:rsidR="00EB64F1" w:rsidRPr="008875E4">
        <w:rPr>
          <w:rFonts w:cs="Times New Roman"/>
          <w:bCs/>
          <w:szCs w:val="24"/>
          <w:lang w:eastAsia="en-AU"/>
        </w:rPr>
        <w:t xml:space="preserve">forums and </w:t>
      </w:r>
      <w:r w:rsidR="00DE046F" w:rsidRPr="008875E4">
        <w:rPr>
          <w:rFonts w:cs="Times New Roman"/>
          <w:bCs/>
          <w:szCs w:val="24"/>
          <w:lang w:eastAsia="en-AU"/>
        </w:rPr>
        <w:t>self-reporting</w:t>
      </w:r>
      <w:r w:rsidR="00EB64F1" w:rsidRPr="008875E4">
        <w:rPr>
          <w:rFonts w:cs="Times New Roman"/>
          <w:bCs/>
          <w:szCs w:val="24"/>
          <w:lang w:eastAsia="en-AU"/>
        </w:rPr>
        <w:t xml:space="preserve"> requirements are used </w:t>
      </w:r>
      <w:r w:rsidR="00DE046F" w:rsidRPr="008875E4">
        <w:rPr>
          <w:rFonts w:cs="Times New Roman"/>
          <w:bCs/>
          <w:szCs w:val="24"/>
          <w:lang w:eastAsia="en-AU"/>
        </w:rPr>
        <w:t>to maintain effective ove</w:t>
      </w:r>
      <w:r w:rsidR="009A0126" w:rsidRPr="008875E4">
        <w:rPr>
          <w:rFonts w:cs="Times New Roman"/>
          <w:bCs/>
          <w:szCs w:val="24"/>
          <w:lang w:eastAsia="en-AU"/>
        </w:rPr>
        <w:t>rsight of safety and compliance</w:t>
      </w:r>
      <w:r w:rsidRPr="008875E4">
        <w:rPr>
          <w:rFonts w:cs="Times New Roman"/>
          <w:bCs/>
          <w:szCs w:val="24"/>
          <w:lang w:eastAsia="en-AU"/>
        </w:rPr>
        <w:t xml:space="preserve">. </w:t>
      </w:r>
    </w:p>
    <w:p w14:paraId="67DCDB85" w14:textId="17EB3A41" w:rsidR="00337FB0" w:rsidRPr="008875E4" w:rsidRDefault="00337FB0" w:rsidP="00337FB0">
      <w:pPr>
        <w:autoSpaceDE w:val="0"/>
        <w:autoSpaceDN w:val="0"/>
        <w:adjustRightInd w:val="0"/>
        <w:spacing w:after="120"/>
        <w:rPr>
          <w:rFonts w:cs="Times New Roman"/>
          <w:lang w:eastAsia="en-AU"/>
        </w:rPr>
      </w:pPr>
      <w:r w:rsidRPr="008875E4">
        <w:rPr>
          <w:rFonts w:cs="Times New Roman"/>
          <w:lang w:eastAsia="en-AU"/>
        </w:rPr>
        <w:t xml:space="preserve">An inspection may </w:t>
      </w:r>
      <w:r w:rsidR="00033E7E" w:rsidRPr="008875E4">
        <w:rPr>
          <w:rFonts w:cs="Times New Roman"/>
          <w:lang w:eastAsia="en-AU"/>
        </w:rPr>
        <w:t>result in</w:t>
      </w:r>
      <w:r w:rsidRPr="008875E4">
        <w:rPr>
          <w:rFonts w:cs="Times New Roman"/>
          <w:lang w:eastAsia="en-AU"/>
        </w:rPr>
        <w:t xml:space="preserve"> three types of findings</w:t>
      </w:r>
      <w:r w:rsidR="006805D0" w:rsidRPr="008875E4">
        <w:rPr>
          <w:rFonts w:cs="Times New Roman"/>
          <w:lang w:eastAsia="en-AU"/>
        </w:rPr>
        <w:t>:</w:t>
      </w:r>
      <w:r w:rsidR="009067D5">
        <w:rPr>
          <w:rFonts w:cs="Times New Roman"/>
          <w:lang w:eastAsia="en-AU"/>
        </w:rPr>
        <w:t xml:space="preserve">  </w:t>
      </w:r>
      <w:r w:rsidRPr="008875E4">
        <w:rPr>
          <w:rFonts w:cs="Times New Roman"/>
          <w:lang w:eastAsia="en-AU"/>
        </w:rPr>
        <w:t xml:space="preserve"> </w:t>
      </w:r>
    </w:p>
    <w:p w14:paraId="1EDE5F66" w14:textId="5B5CB1CE" w:rsidR="00337FB0" w:rsidRPr="008875E4" w:rsidRDefault="00337FB0" w:rsidP="00692518">
      <w:pPr>
        <w:pStyle w:val="ListParagraph"/>
        <w:numPr>
          <w:ilvl w:val="0"/>
          <w:numId w:val="30"/>
        </w:numPr>
        <w:autoSpaceDE w:val="0"/>
        <w:autoSpaceDN w:val="0"/>
        <w:adjustRightInd w:val="0"/>
        <w:spacing w:after="120"/>
        <w:rPr>
          <w:rFonts w:cs="Times New Roman"/>
          <w:lang w:eastAsia="en-AU"/>
        </w:rPr>
      </w:pPr>
      <w:r w:rsidRPr="008875E4">
        <w:rPr>
          <w:rFonts w:cs="Times New Roman"/>
          <w:lang w:eastAsia="en-AU"/>
        </w:rPr>
        <w:t>‘</w:t>
      </w:r>
      <w:r w:rsidR="00033E7E" w:rsidRPr="008875E4">
        <w:rPr>
          <w:rFonts w:cs="Times New Roman"/>
          <w:lang w:eastAsia="en-AU"/>
        </w:rPr>
        <w:t>G</w:t>
      </w:r>
      <w:r w:rsidRPr="008875E4">
        <w:rPr>
          <w:rFonts w:cs="Times New Roman"/>
          <w:lang w:eastAsia="en-AU"/>
        </w:rPr>
        <w:t xml:space="preserve">ood </w:t>
      </w:r>
      <w:r w:rsidR="001B0C1B" w:rsidRPr="008875E4">
        <w:rPr>
          <w:rFonts w:cs="Times New Roman"/>
          <w:lang w:eastAsia="en-AU"/>
        </w:rPr>
        <w:t>p</w:t>
      </w:r>
      <w:r w:rsidRPr="008875E4">
        <w:rPr>
          <w:rFonts w:cs="Times New Roman"/>
          <w:lang w:eastAsia="en-AU"/>
        </w:rPr>
        <w:t>ractice’</w:t>
      </w:r>
      <w:r w:rsidR="00033E7E" w:rsidRPr="008875E4">
        <w:rPr>
          <w:rFonts w:cs="Times New Roman"/>
          <w:lang w:eastAsia="en-AU"/>
        </w:rPr>
        <w:t>,</w:t>
      </w:r>
      <w:r w:rsidR="005724AA" w:rsidRPr="008875E4">
        <w:rPr>
          <w:rFonts w:cs="Times New Roman"/>
          <w:lang w:eastAsia="en-AU"/>
        </w:rPr>
        <w:t xml:space="preserve"> </w:t>
      </w:r>
      <w:r w:rsidR="005347D2" w:rsidRPr="008875E4">
        <w:rPr>
          <w:rFonts w:cs="Times New Roman"/>
          <w:lang w:eastAsia="en-AU"/>
        </w:rPr>
        <w:t xml:space="preserve">which identifies </w:t>
      </w:r>
      <w:r w:rsidR="005724AA" w:rsidRPr="008875E4">
        <w:rPr>
          <w:rFonts w:cs="Times New Roman"/>
          <w:lang w:eastAsia="en-AU"/>
        </w:rPr>
        <w:t>w</w:t>
      </w:r>
      <w:r w:rsidR="00B15350" w:rsidRPr="008875E4">
        <w:rPr>
          <w:rFonts w:cs="Times New Roman"/>
          <w:lang w:eastAsia="en-AU"/>
        </w:rPr>
        <w:t>h</w:t>
      </w:r>
      <w:r w:rsidR="005724AA" w:rsidRPr="008875E4">
        <w:rPr>
          <w:rFonts w:cs="Times New Roman"/>
          <w:lang w:eastAsia="en-AU"/>
        </w:rPr>
        <w:t xml:space="preserve">ere the licence holder has </w:t>
      </w:r>
      <w:r w:rsidR="00A80963" w:rsidRPr="008875E4">
        <w:rPr>
          <w:rFonts w:cs="Times New Roman"/>
          <w:lang w:eastAsia="en-AU"/>
        </w:rPr>
        <w:t xml:space="preserve">a practice which is considered </w:t>
      </w:r>
      <w:r w:rsidR="005347D2" w:rsidRPr="008875E4">
        <w:rPr>
          <w:rFonts w:cs="Times New Roman"/>
          <w:lang w:eastAsia="en-AU"/>
        </w:rPr>
        <w:t>superior to that observed elsewhere and</w:t>
      </w:r>
      <w:r w:rsidR="00A80963" w:rsidRPr="008875E4">
        <w:rPr>
          <w:rFonts w:cs="Times New Roman"/>
          <w:lang w:eastAsia="en-AU"/>
        </w:rPr>
        <w:t xml:space="preserve"> </w:t>
      </w:r>
      <w:r w:rsidR="005347D2" w:rsidRPr="008875E4">
        <w:rPr>
          <w:rFonts w:cs="Times New Roman"/>
          <w:lang w:eastAsia="en-AU"/>
        </w:rPr>
        <w:t>goes beyond the fulfilment of requirements</w:t>
      </w:r>
      <w:r w:rsidR="00A80963" w:rsidRPr="008875E4">
        <w:rPr>
          <w:rFonts w:cs="Times New Roman"/>
          <w:lang w:eastAsia="en-AU"/>
        </w:rPr>
        <w:t xml:space="preserve"> or expectations. This helps to highlight and share good practices</w:t>
      </w:r>
      <w:r w:rsidR="002874CC" w:rsidRPr="008875E4">
        <w:rPr>
          <w:rFonts w:cs="Times New Roman"/>
          <w:lang w:eastAsia="en-AU"/>
        </w:rPr>
        <w:t>.</w:t>
      </w:r>
    </w:p>
    <w:p w14:paraId="53FE9CFA" w14:textId="1FEF54B7" w:rsidR="00337FB0" w:rsidRPr="008875E4" w:rsidRDefault="00337FB0" w:rsidP="00337FB0">
      <w:pPr>
        <w:pStyle w:val="ListParagraph"/>
        <w:numPr>
          <w:ilvl w:val="0"/>
          <w:numId w:val="30"/>
        </w:numPr>
        <w:autoSpaceDE w:val="0"/>
        <w:autoSpaceDN w:val="0"/>
        <w:adjustRightInd w:val="0"/>
        <w:spacing w:after="120"/>
        <w:rPr>
          <w:rFonts w:cs="Times New Roman"/>
          <w:lang w:eastAsia="en-AU"/>
        </w:rPr>
      </w:pPr>
      <w:r w:rsidRPr="008875E4">
        <w:rPr>
          <w:rFonts w:cs="Times New Roman"/>
          <w:lang w:eastAsia="en-AU"/>
        </w:rPr>
        <w:t>‘</w:t>
      </w:r>
      <w:r w:rsidR="00033E7E" w:rsidRPr="008875E4">
        <w:rPr>
          <w:rFonts w:cs="Times New Roman"/>
          <w:lang w:eastAsia="en-AU"/>
        </w:rPr>
        <w:t>A</w:t>
      </w:r>
      <w:r w:rsidRPr="008875E4">
        <w:rPr>
          <w:rFonts w:cs="Times New Roman"/>
          <w:lang w:eastAsia="en-AU"/>
        </w:rPr>
        <w:t>reas for improvement</w:t>
      </w:r>
      <w:r w:rsidR="005724AA" w:rsidRPr="008875E4">
        <w:rPr>
          <w:rFonts w:cs="Times New Roman"/>
          <w:lang w:eastAsia="en-AU"/>
        </w:rPr>
        <w:t>’ (AFI)</w:t>
      </w:r>
      <w:r w:rsidR="00033E7E" w:rsidRPr="008875E4">
        <w:rPr>
          <w:rFonts w:cs="Times New Roman"/>
          <w:lang w:eastAsia="en-AU"/>
        </w:rPr>
        <w:t>,</w:t>
      </w:r>
      <w:r w:rsidRPr="008875E4">
        <w:rPr>
          <w:rFonts w:cs="Times New Roman"/>
          <w:lang w:eastAsia="en-AU"/>
        </w:rPr>
        <w:t xml:space="preserve"> </w:t>
      </w:r>
      <w:r w:rsidR="005724AA" w:rsidRPr="008875E4">
        <w:rPr>
          <w:rFonts w:cs="Times New Roman"/>
          <w:lang w:eastAsia="en-AU"/>
        </w:rPr>
        <w:t>which identifies</w:t>
      </w:r>
      <w:r w:rsidRPr="008875E4">
        <w:rPr>
          <w:rFonts w:cs="Times New Roman"/>
          <w:lang w:eastAsia="en-AU"/>
        </w:rPr>
        <w:t xml:space="preserve"> when a licence holder does not follow accepted best practice or does not meet self-imposed </w:t>
      </w:r>
      <w:r w:rsidR="005724AA" w:rsidRPr="008875E4">
        <w:rPr>
          <w:rFonts w:cs="Times New Roman"/>
          <w:lang w:eastAsia="en-AU"/>
        </w:rPr>
        <w:t>requirements,</w:t>
      </w:r>
      <w:r w:rsidRPr="008875E4">
        <w:rPr>
          <w:rFonts w:cs="Times New Roman"/>
          <w:lang w:eastAsia="en-AU"/>
        </w:rPr>
        <w:t xml:space="preserve"> but </w:t>
      </w:r>
      <w:r w:rsidR="005724AA" w:rsidRPr="008875E4">
        <w:rPr>
          <w:rFonts w:cs="Times New Roman"/>
          <w:lang w:eastAsia="en-AU"/>
        </w:rPr>
        <w:t xml:space="preserve">the </w:t>
      </w:r>
      <w:r w:rsidR="0089191B" w:rsidRPr="008875E4">
        <w:rPr>
          <w:rFonts w:cs="Times New Roman"/>
          <w:lang w:eastAsia="en-AU"/>
        </w:rPr>
        <w:t xml:space="preserve">licence </w:t>
      </w:r>
      <w:r w:rsidR="005724AA" w:rsidRPr="008875E4">
        <w:rPr>
          <w:rFonts w:cs="Times New Roman"/>
          <w:lang w:eastAsia="en-AU"/>
        </w:rPr>
        <w:t>holder is</w:t>
      </w:r>
      <w:r w:rsidRPr="008875E4">
        <w:rPr>
          <w:rFonts w:cs="Times New Roman"/>
          <w:lang w:eastAsia="en-AU"/>
        </w:rPr>
        <w:t xml:space="preserve"> not contravening a legal requirement. These represent an area where the licence holder should improve their safety and security systems and practices</w:t>
      </w:r>
      <w:r w:rsidR="00997CD0" w:rsidRPr="008875E4">
        <w:rPr>
          <w:rFonts w:cs="Times New Roman"/>
          <w:lang w:eastAsia="en-AU"/>
        </w:rPr>
        <w:t>.</w:t>
      </w:r>
      <w:r w:rsidRPr="008875E4">
        <w:rPr>
          <w:rFonts w:cs="Times New Roman"/>
          <w:lang w:eastAsia="en-AU"/>
        </w:rPr>
        <w:t xml:space="preserve"> </w:t>
      </w:r>
      <w:r w:rsidR="00997CD0" w:rsidRPr="008875E4">
        <w:rPr>
          <w:rFonts w:cs="Times New Roman"/>
          <w:lang w:eastAsia="en-AU"/>
        </w:rPr>
        <w:t xml:space="preserve">AFIs </w:t>
      </w:r>
      <w:r w:rsidRPr="008875E4">
        <w:rPr>
          <w:rFonts w:cs="Times New Roman"/>
          <w:lang w:eastAsia="en-AU"/>
        </w:rPr>
        <w:t xml:space="preserve">are typically actioned voluntarily </w:t>
      </w:r>
      <w:r w:rsidR="00997CD0" w:rsidRPr="008875E4">
        <w:rPr>
          <w:rFonts w:cs="Times New Roman"/>
          <w:lang w:eastAsia="en-AU"/>
        </w:rPr>
        <w:t xml:space="preserve">and </w:t>
      </w:r>
      <w:r w:rsidR="00033E7E" w:rsidRPr="008875E4">
        <w:rPr>
          <w:rFonts w:cs="Times New Roman"/>
          <w:lang w:eastAsia="en-AU"/>
        </w:rPr>
        <w:t xml:space="preserve">ARPANSA may monitor, advise and encourage actions, but will </w:t>
      </w:r>
      <w:r w:rsidR="00D30166" w:rsidRPr="008875E4">
        <w:rPr>
          <w:rFonts w:cs="Times New Roman"/>
          <w:lang w:eastAsia="en-AU"/>
        </w:rPr>
        <w:t>not intervene</w:t>
      </w:r>
      <w:r w:rsidR="002874CC" w:rsidRPr="008875E4">
        <w:rPr>
          <w:rFonts w:cs="Times New Roman"/>
          <w:lang w:eastAsia="en-AU"/>
        </w:rPr>
        <w:t>.</w:t>
      </w:r>
    </w:p>
    <w:p w14:paraId="69D90340" w14:textId="1C2FA64F" w:rsidR="00337FB0" w:rsidRPr="008875E4" w:rsidRDefault="00337FB0" w:rsidP="00692518">
      <w:pPr>
        <w:pStyle w:val="ListParagraph"/>
        <w:numPr>
          <w:ilvl w:val="0"/>
          <w:numId w:val="30"/>
        </w:numPr>
        <w:autoSpaceDE w:val="0"/>
        <w:autoSpaceDN w:val="0"/>
        <w:adjustRightInd w:val="0"/>
        <w:spacing w:after="120"/>
        <w:rPr>
          <w:rFonts w:cs="Times New Roman"/>
          <w:lang w:eastAsia="en-AU"/>
        </w:rPr>
      </w:pPr>
      <w:r w:rsidRPr="008875E4">
        <w:rPr>
          <w:rFonts w:cs="Times New Roman"/>
          <w:lang w:eastAsia="en-AU"/>
        </w:rPr>
        <w:t>‘</w:t>
      </w:r>
      <w:r w:rsidR="00033E7E" w:rsidRPr="008875E4">
        <w:rPr>
          <w:rFonts w:cs="Times New Roman"/>
          <w:lang w:eastAsia="en-AU"/>
        </w:rPr>
        <w:t>P</w:t>
      </w:r>
      <w:r w:rsidRPr="008875E4">
        <w:rPr>
          <w:rFonts w:cs="Times New Roman"/>
          <w:lang w:eastAsia="en-AU"/>
        </w:rPr>
        <w:t>otential non-compliances’</w:t>
      </w:r>
      <w:r w:rsidR="005724AA" w:rsidRPr="008875E4">
        <w:rPr>
          <w:rFonts w:cs="Times New Roman"/>
          <w:lang w:eastAsia="en-AU"/>
        </w:rPr>
        <w:t xml:space="preserve"> (PNC)</w:t>
      </w:r>
      <w:r w:rsidR="00033E7E" w:rsidRPr="008875E4">
        <w:rPr>
          <w:rFonts w:cs="Times New Roman"/>
          <w:lang w:eastAsia="en-AU"/>
        </w:rPr>
        <w:t>,</w:t>
      </w:r>
      <w:r w:rsidRPr="008875E4">
        <w:rPr>
          <w:rFonts w:cs="Times New Roman"/>
          <w:lang w:eastAsia="en-AU"/>
        </w:rPr>
        <w:t xml:space="preserve"> </w:t>
      </w:r>
      <w:r w:rsidR="005724AA" w:rsidRPr="008875E4">
        <w:rPr>
          <w:rFonts w:cs="Times New Roman"/>
          <w:lang w:eastAsia="en-AU"/>
        </w:rPr>
        <w:t>which identif</w:t>
      </w:r>
      <w:r w:rsidR="00557F9D" w:rsidRPr="008875E4">
        <w:rPr>
          <w:rFonts w:cs="Times New Roman"/>
          <w:lang w:eastAsia="en-AU"/>
        </w:rPr>
        <w:t>y</w:t>
      </w:r>
      <w:r w:rsidR="005724AA" w:rsidRPr="008875E4">
        <w:rPr>
          <w:rFonts w:cs="Times New Roman"/>
          <w:lang w:eastAsia="en-AU"/>
        </w:rPr>
        <w:t xml:space="preserve"> where </w:t>
      </w:r>
      <w:r w:rsidRPr="008875E4">
        <w:rPr>
          <w:rFonts w:cs="Times New Roman"/>
          <w:lang w:eastAsia="en-AU"/>
        </w:rPr>
        <w:t>inspectors consider that a licence holder does not meet the legislative require</w:t>
      </w:r>
      <w:r w:rsidR="005724AA" w:rsidRPr="008875E4">
        <w:rPr>
          <w:rFonts w:cs="Times New Roman"/>
          <w:lang w:eastAsia="en-AU"/>
        </w:rPr>
        <w:t xml:space="preserve">ments of the Act, </w:t>
      </w:r>
      <w:r w:rsidRPr="008875E4">
        <w:rPr>
          <w:rFonts w:cs="Times New Roman"/>
          <w:lang w:eastAsia="en-AU"/>
        </w:rPr>
        <w:t>Regulations or specific licence conditions. A formal determination of whether a</w:t>
      </w:r>
      <w:r w:rsidR="70AB788E" w:rsidRPr="008875E4">
        <w:rPr>
          <w:rFonts w:cs="Times New Roman"/>
          <w:lang w:eastAsia="en-AU"/>
        </w:rPr>
        <w:t xml:space="preserve"> PNC </w:t>
      </w:r>
      <w:r w:rsidRPr="008875E4">
        <w:rPr>
          <w:rFonts w:cs="Times New Roman"/>
          <w:lang w:eastAsia="en-AU"/>
        </w:rPr>
        <w:t xml:space="preserve">is a breach of the Act is made by the CEO of ARPANSA (or his delegate), based on the evidence presented by inspectors and the licence holder. </w:t>
      </w:r>
    </w:p>
    <w:p w14:paraId="455EA5B0" w14:textId="0200B2AF" w:rsidR="003D7313" w:rsidRPr="008875E4" w:rsidRDefault="00337FB0" w:rsidP="00E269C3">
      <w:pPr>
        <w:rPr>
          <w:rFonts w:ascii="Calibri" w:eastAsia="Calibri" w:hAnsi="Calibri" w:cs="Calibri"/>
          <w:i/>
        </w:rPr>
      </w:pPr>
      <w:r w:rsidRPr="008875E4">
        <w:t>ARPANSA has a range of available regulatory responses to non-compliance</w:t>
      </w:r>
      <w:r w:rsidR="00B82FB6" w:rsidRPr="008875E4">
        <w:t xml:space="preserve"> which are described in the </w:t>
      </w:r>
      <w:hyperlink r:id="rId32" w:history="1">
        <w:r w:rsidR="00B82FB6" w:rsidRPr="008875E4">
          <w:rPr>
            <w:rStyle w:val="Hyperlink"/>
            <w:color w:val="4E1A74" w:themeColor="text2"/>
          </w:rPr>
          <w:t>Compliance and Enforcement Manual</w:t>
        </w:r>
      </w:hyperlink>
      <w:r w:rsidR="002A3915" w:rsidRPr="008875E4">
        <w:t>.</w:t>
      </w:r>
      <w:r w:rsidR="009067D5">
        <w:t xml:space="preserve"> </w:t>
      </w:r>
      <w:r w:rsidRPr="008875E4">
        <w:t xml:space="preserve">The level of response is proportionate to the particular circumstance. ARPANSA’s </w:t>
      </w:r>
      <w:r w:rsidR="007206D9" w:rsidRPr="008875E4">
        <w:t>most common</w:t>
      </w:r>
      <w:r w:rsidRPr="008875E4">
        <w:t xml:space="preserve"> response </w:t>
      </w:r>
      <w:r w:rsidR="007206D9" w:rsidRPr="008875E4">
        <w:t xml:space="preserve">to non-compliance </w:t>
      </w:r>
      <w:r w:rsidRPr="008875E4">
        <w:t xml:space="preserve">will be to encourage a </w:t>
      </w:r>
      <w:r w:rsidR="007206D9" w:rsidRPr="008875E4">
        <w:t xml:space="preserve">voluntary </w:t>
      </w:r>
      <w:r w:rsidRPr="008875E4">
        <w:t>return to compliance. If this is unsuccessful</w:t>
      </w:r>
      <w:r w:rsidR="007206D9" w:rsidRPr="008875E4">
        <w:t xml:space="preserve"> </w:t>
      </w:r>
      <w:r w:rsidR="00AC3E0B" w:rsidRPr="008875E4">
        <w:t>or</w:t>
      </w:r>
      <w:r w:rsidR="007206D9" w:rsidRPr="008875E4">
        <w:t xml:space="preserve"> if the matter is particularly serious</w:t>
      </w:r>
      <w:r w:rsidRPr="008875E4">
        <w:t xml:space="preserve">, the regulatory response may be escalated to formal </w:t>
      </w:r>
      <w:r w:rsidR="007206D9" w:rsidRPr="008875E4">
        <w:t xml:space="preserve">enforcement </w:t>
      </w:r>
      <w:r w:rsidRPr="008875E4">
        <w:t xml:space="preserve">action such as </w:t>
      </w:r>
      <w:r w:rsidR="007206D9" w:rsidRPr="008875E4">
        <w:t xml:space="preserve">the imposition of additional licence conditions, </w:t>
      </w:r>
      <w:r w:rsidRPr="008875E4">
        <w:t xml:space="preserve">an improvement notice or direction, through to suspension or cancellation of licence, or court action. ARPANSA is currently </w:t>
      </w:r>
      <w:r w:rsidR="007206D9" w:rsidRPr="008875E4">
        <w:t xml:space="preserve">updating its </w:t>
      </w:r>
      <w:r w:rsidRPr="008875E4">
        <w:t xml:space="preserve">compliance and enforcement </w:t>
      </w:r>
      <w:r w:rsidR="007206D9" w:rsidRPr="008875E4">
        <w:t>manual</w:t>
      </w:r>
      <w:r w:rsidRPr="008875E4">
        <w:t xml:space="preserve"> </w:t>
      </w:r>
      <w:r w:rsidR="007206D9" w:rsidRPr="008875E4">
        <w:t xml:space="preserve">to ensure its policies are outcomes focussed and drive protective behaviours and practices. </w:t>
      </w:r>
      <w:r w:rsidRPr="008875E4">
        <w:t xml:space="preserve">This </w:t>
      </w:r>
      <w:r w:rsidR="007206D9" w:rsidRPr="008875E4">
        <w:t xml:space="preserve">update takes </w:t>
      </w:r>
      <w:r w:rsidRPr="008875E4">
        <w:t xml:space="preserve">into account the </w:t>
      </w:r>
      <w:r w:rsidR="007206D9" w:rsidRPr="008875E4">
        <w:t>findings</w:t>
      </w:r>
      <w:r w:rsidR="005724AA" w:rsidRPr="008875E4">
        <w:t xml:space="preserve"> of reviews of other regulatory bodies, such as the</w:t>
      </w:r>
      <w:r w:rsidR="005724AA" w:rsidRPr="008875E4">
        <w:rPr>
          <w:rFonts w:ascii="Calibri" w:eastAsia="Calibri" w:hAnsi="Calibri" w:cs="Calibri"/>
        </w:rPr>
        <w:t xml:space="preserve"> </w:t>
      </w:r>
      <w:hyperlink r:id="rId33">
        <w:r w:rsidR="1A21585A" w:rsidRPr="008875E4">
          <w:rPr>
            <w:rStyle w:val="Hyperlink"/>
            <w:rFonts w:ascii="Calibri" w:eastAsia="Calibri" w:hAnsi="Calibri" w:cs="Calibri"/>
            <w:i/>
            <w:iCs/>
            <w:color w:val="4E1A74" w:themeColor="text2"/>
          </w:rPr>
          <w:t>R</w:t>
        </w:r>
        <w:r w:rsidR="005724AA" w:rsidRPr="008875E4">
          <w:rPr>
            <w:rStyle w:val="Hyperlink"/>
            <w:rFonts w:ascii="Calibri" w:eastAsia="Calibri" w:hAnsi="Calibri" w:cs="Calibri"/>
            <w:i/>
            <w:iCs/>
            <w:color w:val="4E1A74" w:themeColor="text2"/>
          </w:rPr>
          <w:t xml:space="preserve">oyal </w:t>
        </w:r>
        <w:r w:rsidR="1A21585A" w:rsidRPr="008875E4">
          <w:rPr>
            <w:rStyle w:val="Hyperlink"/>
            <w:rFonts w:ascii="Calibri" w:eastAsia="Calibri" w:hAnsi="Calibri" w:cs="Calibri"/>
            <w:i/>
            <w:iCs/>
            <w:color w:val="4E1A74" w:themeColor="text2"/>
          </w:rPr>
          <w:t>C</w:t>
        </w:r>
        <w:r w:rsidR="005724AA" w:rsidRPr="008875E4">
          <w:rPr>
            <w:rStyle w:val="Hyperlink"/>
            <w:rFonts w:ascii="Calibri" w:eastAsia="Calibri" w:hAnsi="Calibri" w:cs="Calibri"/>
            <w:i/>
            <w:iCs/>
            <w:color w:val="4E1A74" w:themeColor="text2"/>
          </w:rPr>
          <w:t xml:space="preserve">ommission into </w:t>
        </w:r>
        <w:r w:rsidR="0E030F41" w:rsidRPr="008875E4">
          <w:rPr>
            <w:rStyle w:val="Hyperlink"/>
            <w:rFonts w:ascii="Calibri" w:eastAsia="Calibri" w:hAnsi="Calibri" w:cs="Calibri"/>
            <w:i/>
            <w:iCs/>
            <w:color w:val="4E1A74" w:themeColor="text2"/>
          </w:rPr>
          <w:t>M</w:t>
        </w:r>
        <w:r w:rsidR="005724AA" w:rsidRPr="008875E4">
          <w:rPr>
            <w:rStyle w:val="Hyperlink"/>
            <w:rFonts w:ascii="Calibri" w:eastAsia="Calibri" w:hAnsi="Calibri" w:cs="Calibri"/>
            <w:i/>
            <w:iCs/>
            <w:color w:val="4E1A74" w:themeColor="text2"/>
          </w:rPr>
          <w:t xml:space="preserve">isconduct in the </w:t>
        </w:r>
        <w:r w:rsidR="0E030F41" w:rsidRPr="008875E4">
          <w:rPr>
            <w:rStyle w:val="Hyperlink"/>
            <w:rFonts w:ascii="Calibri" w:eastAsia="Calibri" w:hAnsi="Calibri" w:cs="Calibri"/>
            <w:i/>
            <w:iCs/>
            <w:color w:val="4E1A74" w:themeColor="text2"/>
          </w:rPr>
          <w:t>B</w:t>
        </w:r>
        <w:r w:rsidR="005724AA" w:rsidRPr="008875E4">
          <w:rPr>
            <w:rStyle w:val="Hyperlink"/>
            <w:rFonts w:ascii="Calibri" w:eastAsia="Calibri" w:hAnsi="Calibri" w:cs="Calibri"/>
            <w:i/>
            <w:iCs/>
            <w:color w:val="4E1A74" w:themeColor="text2"/>
          </w:rPr>
          <w:t xml:space="preserve">anking, </w:t>
        </w:r>
        <w:r w:rsidR="0E030F41" w:rsidRPr="008875E4">
          <w:rPr>
            <w:rStyle w:val="Hyperlink"/>
            <w:rFonts w:ascii="Calibri" w:eastAsia="Calibri" w:hAnsi="Calibri" w:cs="Calibri"/>
            <w:i/>
            <w:iCs/>
            <w:color w:val="4E1A74" w:themeColor="text2"/>
          </w:rPr>
          <w:t>S</w:t>
        </w:r>
        <w:r w:rsidR="005724AA" w:rsidRPr="008875E4">
          <w:rPr>
            <w:rStyle w:val="Hyperlink"/>
            <w:rFonts w:ascii="Calibri" w:eastAsia="Calibri" w:hAnsi="Calibri" w:cs="Calibri"/>
            <w:i/>
            <w:iCs/>
            <w:color w:val="4E1A74" w:themeColor="text2"/>
          </w:rPr>
          <w:t xml:space="preserve">uperannuation and </w:t>
        </w:r>
        <w:r w:rsidR="0E030F41" w:rsidRPr="008875E4">
          <w:rPr>
            <w:rStyle w:val="Hyperlink"/>
            <w:rFonts w:ascii="Calibri" w:eastAsia="Calibri" w:hAnsi="Calibri" w:cs="Calibri"/>
            <w:i/>
            <w:iCs/>
            <w:color w:val="4E1A74" w:themeColor="text2"/>
          </w:rPr>
          <w:t>F</w:t>
        </w:r>
        <w:r w:rsidR="005724AA" w:rsidRPr="008875E4">
          <w:rPr>
            <w:rStyle w:val="Hyperlink"/>
            <w:rFonts w:ascii="Calibri" w:eastAsia="Calibri" w:hAnsi="Calibri" w:cs="Calibri"/>
            <w:i/>
            <w:iCs/>
            <w:color w:val="4E1A74" w:themeColor="text2"/>
          </w:rPr>
          <w:t xml:space="preserve">inancial </w:t>
        </w:r>
        <w:r w:rsidR="0E030F41" w:rsidRPr="008875E4">
          <w:rPr>
            <w:rStyle w:val="Hyperlink"/>
            <w:rFonts w:ascii="Calibri" w:eastAsia="Calibri" w:hAnsi="Calibri" w:cs="Calibri"/>
            <w:i/>
            <w:iCs/>
            <w:color w:val="4E1A74" w:themeColor="text2"/>
          </w:rPr>
          <w:t>S</w:t>
        </w:r>
        <w:r w:rsidR="005724AA" w:rsidRPr="008875E4">
          <w:rPr>
            <w:rStyle w:val="Hyperlink"/>
            <w:rFonts w:ascii="Calibri" w:eastAsia="Calibri" w:hAnsi="Calibri" w:cs="Calibri"/>
            <w:i/>
            <w:iCs/>
            <w:color w:val="4E1A74" w:themeColor="text2"/>
          </w:rPr>
          <w:t xml:space="preserve">ervices </w:t>
        </w:r>
        <w:r w:rsidR="0E030F41" w:rsidRPr="008875E4">
          <w:rPr>
            <w:rStyle w:val="Hyperlink"/>
            <w:rFonts w:ascii="Calibri" w:eastAsia="Calibri" w:hAnsi="Calibri" w:cs="Calibri"/>
            <w:i/>
            <w:iCs/>
            <w:color w:val="4E1A74" w:themeColor="text2"/>
          </w:rPr>
          <w:t>I</w:t>
        </w:r>
        <w:r w:rsidR="005724AA" w:rsidRPr="008875E4">
          <w:rPr>
            <w:rStyle w:val="Hyperlink"/>
            <w:rFonts w:ascii="Calibri" w:eastAsia="Calibri" w:hAnsi="Calibri" w:cs="Calibri"/>
            <w:i/>
            <w:iCs/>
            <w:color w:val="4E1A74" w:themeColor="text2"/>
          </w:rPr>
          <w:t>ndustry</w:t>
        </w:r>
      </w:hyperlink>
      <w:r w:rsidR="62E61236" w:rsidRPr="008875E4">
        <w:rPr>
          <w:rFonts w:ascii="Calibri" w:eastAsia="Calibri" w:hAnsi="Calibri" w:cs="Calibri"/>
          <w:i/>
          <w:iCs/>
          <w:color w:val="4E1A74" w:themeColor="text2"/>
        </w:rPr>
        <w:t xml:space="preserve"> </w:t>
      </w:r>
      <w:r w:rsidR="62E61236" w:rsidRPr="008875E4">
        <w:rPr>
          <w:rFonts w:ascii="Calibri" w:eastAsia="Calibri" w:hAnsi="Calibri" w:cs="Calibri"/>
          <w:i/>
          <w:iCs/>
        </w:rPr>
        <w:t>(2019)</w:t>
      </w:r>
      <w:r w:rsidR="005724AA" w:rsidRPr="008875E4">
        <w:rPr>
          <w:rFonts w:ascii="Calibri" w:eastAsia="Calibri" w:hAnsi="Calibri" w:cs="Calibri"/>
          <w:i/>
          <w:iCs/>
        </w:rPr>
        <w:t>.</w:t>
      </w:r>
    </w:p>
    <w:p w14:paraId="5B0718F1" w14:textId="77777777" w:rsidR="00337FB0" w:rsidRPr="00CD74EC" w:rsidRDefault="00337FB0" w:rsidP="00337FB0">
      <w:pPr>
        <w:pStyle w:val="Tabletext"/>
        <w:jc w:val="left"/>
      </w:pPr>
    </w:p>
    <w:tbl>
      <w:tblPr>
        <w:tblStyle w:val="GenericARPANSA4"/>
        <w:tblW w:w="4930" w:type="pct"/>
        <w:tblLook w:val="06A0" w:firstRow="1" w:lastRow="0" w:firstColumn="1" w:lastColumn="0" w:noHBand="1" w:noVBand="1"/>
        <w:tblDescription w:val="This table contains 2 heading columns, 1. KPIs/Measures/Metrics, 2. Evidence (Performance in  2016-17). Column 2 includes a self-assessed rating against KPI 3."/>
      </w:tblPr>
      <w:tblGrid>
        <w:gridCol w:w="4955"/>
        <w:gridCol w:w="4538"/>
      </w:tblGrid>
      <w:tr w:rsidR="00CD74EC" w:rsidRPr="00E25E18" w14:paraId="3BCEF93B" w14:textId="77777777" w:rsidTr="000F58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pct"/>
          </w:tcPr>
          <w:p w14:paraId="3A54C4BF" w14:textId="77777777" w:rsidR="003B4D69" w:rsidRPr="00E25E18" w:rsidRDefault="003B4D69" w:rsidP="00C032F2">
            <w:pPr>
              <w:pStyle w:val="Tabletext"/>
              <w:spacing w:before="120" w:after="120"/>
              <w:jc w:val="left"/>
              <w:rPr>
                <w:rFonts w:asciiTheme="minorHAnsi" w:hAnsiTheme="minorHAnsi"/>
                <w:b w:val="0"/>
              </w:rPr>
            </w:pPr>
            <w:r w:rsidRPr="00E25E18">
              <w:t>Measures/</w:t>
            </w:r>
            <w:r w:rsidR="0030570B">
              <w:t>m</w:t>
            </w:r>
            <w:r w:rsidRPr="00E25E18">
              <w:t>etrics</w:t>
            </w:r>
          </w:p>
        </w:tc>
        <w:tc>
          <w:tcPr>
            <w:tcW w:w="0" w:type="pct"/>
          </w:tcPr>
          <w:p w14:paraId="610C9C24" w14:textId="6A69D066" w:rsidR="003B4D69" w:rsidRPr="00E25E18" w:rsidRDefault="003B4D69" w:rsidP="0030570B">
            <w:pPr>
              <w:pStyle w:val="Tabletext"/>
              <w:spacing w:before="120" w:after="120"/>
              <w:jc w:val="left"/>
              <w:cnfStyle w:val="100000000000" w:firstRow="1" w:lastRow="0" w:firstColumn="0" w:lastColumn="0" w:oddVBand="0" w:evenVBand="0" w:oddHBand="0" w:evenHBand="0" w:firstRowFirstColumn="0" w:firstRowLastColumn="0" w:lastRowFirstColumn="0" w:lastRowLastColumn="0"/>
            </w:pPr>
            <w:r w:rsidRPr="00E25E18">
              <w:t>Evidence (</w:t>
            </w:r>
            <w:r w:rsidR="000C4A9A">
              <w:t>p</w:t>
            </w:r>
            <w:r w:rsidR="00D02FB8">
              <w:t>erformance in 2019-20</w:t>
            </w:r>
            <w:r w:rsidRPr="00E25E18">
              <w:t>)</w:t>
            </w:r>
          </w:p>
        </w:tc>
      </w:tr>
      <w:tr w:rsidR="003B4D69" w:rsidRPr="00E25E18" w14:paraId="76BB6A8A" w14:textId="77777777" w:rsidTr="000F5890">
        <w:trPr>
          <w:trHeight w:val="2189"/>
        </w:trPr>
        <w:tc>
          <w:tcPr>
            <w:cnfStyle w:val="001000000000" w:firstRow="0" w:lastRow="0" w:firstColumn="1" w:lastColumn="0" w:oddVBand="0" w:evenVBand="0" w:oddHBand="0" w:evenHBand="0" w:firstRowFirstColumn="0" w:firstRowLastColumn="0" w:lastRowFirstColumn="0" w:lastRowLastColumn="0"/>
            <w:tcW w:w="0" w:type="pct"/>
            <w:vAlign w:val="top"/>
          </w:tcPr>
          <w:p w14:paraId="0E3C1258" w14:textId="77777777" w:rsidR="003B4D69" w:rsidRPr="008875E4" w:rsidRDefault="00EA436F" w:rsidP="00C032F2">
            <w:pPr>
              <w:pStyle w:val="Tabletext"/>
              <w:jc w:val="left"/>
            </w:pPr>
            <w:r w:rsidRPr="008875E4">
              <w:t xml:space="preserve">PI </w:t>
            </w:r>
            <w:r w:rsidR="6F9414C3" w:rsidRPr="008875E4">
              <w:t xml:space="preserve">3.1 Inspection </w:t>
            </w:r>
            <w:r w:rsidR="00562C74" w:rsidRPr="008875E4">
              <w:t xml:space="preserve">schedule </w:t>
            </w:r>
            <w:r w:rsidR="6F9414C3" w:rsidRPr="008875E4">
              <w:t>is risk informed and reviewed annually.</w:t>
            </w:r>
          </w:p>
          <w:p w14:paraId="31987F81" w14:textId="77777777" w:rsidR="003B4D69" w:rsidRPr="008875E4" w:rsidRDefault="6F9414C3" w:rsidP="00315E85">
            <w:pPr>
              <w:pStyle w:val="Tabletext"/>
              <w:spacing w:before="120"/>
              <w:jc w:val="left"/>
              <w:rPr>
                <w:b w:val="0"/>
              </w:rPr>
            </w:pPr>
            <w:r w:rsidRPr="008875E4">
              <w:rPr>
                <w:b w:val="0"/>
              </w:rPr>
              <w:t>ARPANSA applies a graded, risk informed approach to its inspection program. This measure indicates ARPANSA’s ability to apply its regulatory resources efficiently and proportionately where needed.</w:t>
            </w:r>
          </w:p>
          <w:p w14:paraId="426040EB" w14:textId="77777777" w:rsidR="008F74D3" w:rsidRPr="008875E4" w:rsidRDefault="4243EE35" w:rsidP="00C032F2">
            <w:pPr>
              <w:pStyle w:val="Tabletext"/>
              <w:jc w:val="left"/>
              <w:rPr>
                <w:b w:val="0"/>
              </w:rPr>
            </w:pPr>
            <w:r w:rsidRPr="008875E4">
              <w:rPr>
                <w:b w:val="0"/>
              </w:rPr>
              <w:t>For source licences a six-year baseline inspection program based on the source (hazard) category is used. For efficiency, the inspection program also takes account of the geographical location of the sources so that regions with multiple sources may be inspected together.</w:t>
            </w:r>
          </w:p>
          <w:p w14:paraId="01A75509" w14:textId="77777777" w:rsidR="003B4D69" w:rsidRPr="008875E4" w:rsidRDefault="006E2E9C" w:rsidP="00C032F2">
            <w:pPr>
              <w:pStyle w:val="Tabletext"/>
              <w:jc w:val="left"/>
              <w:rPr>
                <w:b w:val="0"/>
              </w:rPr>
            </w:pPr>
            <w:r w:rsidRPr="008875E4">
              <w:rPr>
                <w:b w:val="0"/>
              </w:rPr>
              <w:t>Inspection schedules for f</w:t>
            </w:r>
            <w:r w:rsidR="6F9414C3" w:rsidRPr="008875E4">
              <w:rPr>
                <w:b w:val="0"/>
              </w:rPr>
              <w:t>acility licences are reviewed annually and after any significant regulatory events such as non-compliance, incidents and accidents. The structured review takes account of the inherent risks presented by the facility, the level of safety controls and performance of the operator. The outcome of this review is used to determine the overall proportion of regulatory resources applied to each facility.</w:t>
            </w:r>
          </w:p>
          <w:p w14:paraId="0B75EFB2" w14:textId="77777777" w:rsidR="003B4D69" w:rsidRPr="008875E4" w:rsidRDefault="6F9414C3" w:rsidP="00C032F2">
            <w:pPr>
              <w:pStyle w:val="Tabletext"/>
              <w:jc w:val="left"/>
              <w:rPr>
                <w:b w:val="0"/>
              </w:rPr>
            </w:pPr>
            <w:r w:rsidRPr="008875E4">
              <w:rPr>
                <w:b w:val="0"/>
              </w:rPr>
              <w:t xml:space="preserve">This balanced approach recognises good performance </w:t>
            </w:r>
            <w:r w:rsidR="006E2E9C" w:rsidRPr="008875E4">
              <w:rPr>
                <w:b w:val="0"/>
              </w:rPr>
              <w:t xml:space="preserve">of the operator </w:t>
            </w:r>
            <w:r w:rsidRPr="008875E4">
              <w:rPr>
                <w:b w:val="0"/>
              </w:rPr>
              <w:t>with reduced regulatory effort and allows regulatory resources to be applied where they have most safety benefit.</w:t>
            </w:r>
          </w:p>
          <w:p w14:paraId="467946B2" w14:textId="77777777" w:rsidR="003B4D69" w:rsidRPr="008875E4" w:rsidRDefault="6F9414C3" w:rsidP="00C032F2">
            <w:pPr>
              <w:pStyle w:val="Tabletext"/>
              <w:jc w:val="left"/>
              <w:rPr>
                <w:b w:val="0"/>
              </w:rPr>
            </w:pPr>
            <w:r w:rsidRPr="008875E4">
              <w:rPr>
                <w:b w:val="0"/>
              </w:rPr>
              <w:t>ARPANSA will measure the conformance to this scheduling and risk review processes [Qualitative].</w:t>
            </w:r>
          </w:p>
        </w:tc>
        <w:tc>
          <w:tcPr>
            <w:tcW w:w="0" w:type="pct"/>
            <w:vAlign w:val="top"/>
          </w:tcPr>
          <w:p w14:paraId="359A0780" w14:textId="77777777" w:rsidR="00B15317" w:rsidRPr="008875E4" w:rsidRDefault="00B15317" w:rsidP="00C032F2">
            <w:pPr>
              <w:pStyle w:val="Tabletext"/>
              <w:jc w:val="left"/>
              <w:cnfStyle w:val="000000000000" w:firstRow="0" w:lastRow="0" w:firstColumn="0" w:lastColumn="0" w:oddVBand="0" w:evenVBand="0" w:oddHBand="0" w:evenHBand="0" w:firstRowFirstColumn="0" w:firstRowLastColumn="0" w:lastRowFirstColumn="0" w:lastRowLastColumn="0"/>
              <w:rPr>
                <w:b/>
              </w:rPr>
            </w:pPr>
            <w:r w:rsidRPr="008875E4">
              <w:rPr>
                <w:b/>
              </w:rPr>
              <w:t xml:space="preserve">Target </w:t>
            </w:r>
            <w:r w:rsidR="0030570B" w:rsidRPr="008875E4">
              <w:rPr>
                <w:b/>
              </w:rPr>
              <w:t>met</w:t>
            </w:r>
          </w:p>
          <w:p w14:paraId="711E79C9" w14:textId="204E8251" w:rsidR="0078572E" w:rsidRPr="008875E4" w:rsidRDefault="0078572E" w:rsidP="00315E85">
            <w:pPr>
              <w:pStyle w:val="Tabletext"/>
              <w:spacing w:before="12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rPr>
              <w:t>The facility</w:t>
            </w:r>
            <w:r w:rsidR="501E5E53" w:rsidRPr="008875E4">
              <w:rPr>
                <w:rFonts w:ascii="Calibri" w:hAnsi="Calibri"/>
              </w:rPr>
              <w:t xml:space="preserve"> inspection schedule </w:t>
            </w:r>
            <w:r w:rsidRPr="008875E4">
              <w:rPr>
                <w:rFonts w:ascii="Calibri" w:hAnsi="Calibri"/>
              </w:rPr>
              <w:t>was last reviewed</w:t>
            </w:r>
            <w:r w:rsidR="00961940" w:rsidRPr="008875E4">
              <w:rPr>
                <w:rFonts w:ascii="Calibri" w:hAnsi="Calibri"/>
              </w:rPr>
              <w:t xml:space="preserve"> and updated</w:t>
            </w:r>
            <w:r w:rsidRPr="008875E4">
              <w:rPr>
                <w:rFonts w:ascii="Calibri" w:hAnsi="Calibri"/>
              </w:rPr>
              <w:t xml:space="preserve"> in</w:t>
            </w:r>
            <w:r w:rsidR="501E5E53" w:rsidRPr="008875E4">
              <w:rPr>
                <w:rFonts w:ascii="Calibri" w:hAnsi="Calibri"/>
              </w:rPr>
              <w:t xml:space="preserve"> </w:t>
            </w:r>
            <w:r w:rsidR="009C02A1" w:rsidRPr="008875E4">
              <w:rPr>
                <w:rFonts w:ascii="Calibri" w:hAnsi="Calibri"/>
              </w:rPr>
              <w:t>March 2020</w:t>
            </w:r>
            <w:r w:rsidR="00AE1FC4" w:rsidRPr="008875E4">
              <w:rPr>
                <w:rFonts w:ascii="Calibri" w:hAnsi="Calibri"/>
              </w:rPr>
              <w:t>.</w:t>
            </w:r>
            <w:r w:rsidR="009067D5">
              <w:rPr>
                <w:rFonts w:ascii="Calibri" w:hAnsi="Calibri"/>
              </w:rPr>
              <w:t xml:space="preserve"> </w:t>
            </w:r>
            <w:r w:rsidR="004C3E48" w:rsidRPr="008875E4">
              <w:rPr>
                <w:rFonts w:ascii="Calibri" w:hAnsi="Calibri"/>
              </w:rPr>
              <w:t xml:space="preserve">The review of the source inspection program completed in July 2020 having been delayed </w:t>
            </w:r>
            <w:r w:rsidR="00030369" w:rsidRPr="008875E4">
              <w:rPr>
                <w:rFonts w:ascii="Calibri" w:hAnsi="Calibri"/>
              </w:rPr>
              <w:t>allowing</w:t>
            </w:r>
            <w:r w:rsidR="004C3E48" w:rsidRPr="008875E4">
              <w:rPr>
                <w:rFonts w:ascii="Calibri" w:hAnsi="Calibri"/>
              </w:rPr>
              <w:t xml:space="preserve"> adjustments arising from the COVID-19 pandemic.</w:t>
            </w:r>
          </w:p>
          <w:p w14:paraId="39330E61" w14:textId="77777777" w:rsidR="003B4D69" w:rsidRPr="008875E4" w:rsidRDefault="003B4D69" w:rsidP="00C032F2">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B4D69" w:rsidRPr="00E25E18" w14:paraId="301DC91B" w14:textId="77777777" w:rsidTr="00030369">
        <w:trPr>
          <w:cantSplit/>
          <w:trHeight w:val="2237"/>
        </w:trPr>
        <w:tc>
          <w:tcPr>
            <w:cnfStyle w:val="001000000000" w:firstRow="0" w:lastRow="0" w:firstColumn="1" w:lastColumn="0" w:oddVBand="0" w:evenVBand="0" w:oddHBand="0" w:evenHBand="0" w:firstRowFirstColumn="0" w:firstRowLastColumn="0" w:lastRowFirstColumn="0" w:lastRowLastColumn="0"/>
            <w:tcW w:w="0" w:type="pct"/>
            <w:tcBorders>
              <w:bottom w:val="single" w:sz="18" w:space="0" w:color="auto"/>
            </w:tcBorders>
            <w:vAlign w:val="top"/>
          </w:tcPr>
          <w:p w14:paraId="0EF31F08" w14:textId="77777777" w:rsidR="003B4D69" w:rsidRPr="008875E4" w:rsidRDefault="00EA436F" w:rsidP="00C032F2">
            <w:pPr>
              <w:pStyle w:val="Tabletext"/>
              <w:jc w:val="left"/>
            </w:pPr>
            <w:r w:rsidRPr="008875E4">
              <w:lastRenderedPageBreak/>
              <w:t xml:space="preserve">PI </w:t>
            </w:r>
            <w:r w:rsidR="6F9414C3" w:rsidRPr="008875E4">
              <w:t>3.2 A graded approach is applied to compliance monitoring and enforcement actions.</w:t>
            </w:r>
          </w:p>
          <w:p w14:paraId="1FFA22CA" w14:textId="77777777" w:rsidR="003B4D69" w:rsidRPr="008875E4" w:rsidRDefault="6F9414C3" w:rsidP="00315E85">
            <w:pPr>
              <w:pStyle w:val="Tabletext"/>
              <w:spacing w:before="120"/>
              <w:jc w:val="left"/>
              <w:rPr>
                <w:b w:val="0"/>
              </w:rPr>
            </w:pPr>
            <w:r w:rsidRPr="008875E4">
              <w:rPr>
                <w:b w:val="0"/>
              </w:rPr>
              <w:t>ARPANSA applies a graded, risk informed, approach to compliance monitoring and non-compliance in accordance with published policies. When potential non-compliance is identified, the regulatory response is commensurate with its significance and ARPANSA will use the minimum response required to achieve the desired result, which, in most cases will be a return to compliance. Good safety performance characterised by a good safety (and security) culture will be taken into account when determining the response. The baseline inspection schedule is supplemented by augmented inspections where there are concerns</w:t>
            </w:r>
            <w:r w:rsidR="00656DCF" w:rsidRPr="008875E4">
              <w:rPr>
                <w:b w:val="0"/>
              </w:rPr>
              <w:t xml:space="preserve"> about the licen</w:t>
            </w:r>
            <w:r w:rsidR="00404CF5" w:rsidRPr="008875E4">
              <w:rPr>
                <w:b w:val="0"/>
              </w:rPr>
              <w:t>s</w:t>
            </w:r>
            <w:r w:rsidR="00656DCF" w:rsidRPr="008875E4">
              <w:rPr>
                <w:b w:val="0"/>
              </w:rPr>
              <w:t xml:space="preserve">ee’s </w:t>
            </w:r>
            <w:r w:rsidR="00E365CE" w:rsidRPr="008875E4">
              <w:rPr>
                <w:b w:val="0"/>
              </w:rPr>
              <w:t xml:space="preserve">safety </w:t>
            </w:r>
            <w:r w:rsidR="00656DCF" w:rsidRPr="008875E4">
              <w:rPr>
                <w:b w:val="0"/>
              </w:rPr>
              <w:t>performance</w:t>
            </w:r>
            <w:r w:rsidRPr="008875E4">
              <w:rPr>
                <w:b w:val="0"/>
              </w:rPr>
              <w:t>.</w:t>
            </w:r>
          </w:p>
          <w:p w14:paraId="5A1571A7" w14:textId="77777777" w:rsidR="003B4D69" w:rsidRPr="008875E4" w:rsidRDefault="6F9414C3" w:rsidP="00846343">
            <w:pPr>
              <w:pStyle w:val="Tabletext"/>
              <w:jc w:val="left"/>
              <w:rPr>
                <w:b w:val="0"/>
              </w:rPr>
            </w:pPr>
            <w:r w:rsidRPr="008875E4">
              <w:rPr>
                <w:b w:val="0"/>
              </w:rPr>
              <w:t>ARPANSA will measure conformance with the policies for inspection outcomes and non</w:t>
            </w:r>
            <w:r w:rsidR="00846343" w:rsidRPr="008875E4">
              <w:rPr>
                <w:b w:val="0"/>
              </w:rPr>
              <w:noBreakHyphen/>
            </w:r>
            <w:r w:rsidRPr="008875E4">
              <w:rPr>
                <w:b w:val="0"/>
              </w:rPr>
              <w:t xml:space="preserve">compliance, and the general proportion of effort </w:t>
            </w:r>
            <w:r w:rsidR="00656DCF" w:rsidRPr="008875E4">
              <w:rPr>
                <w:b w:val="0"/>
              </w:rPr>
              <w:t xml:space="preserve">will be </w:t>
            </w:r>
            <w:r w:rsidRPr="008875E4">
              <w:rPr>
                <w:b w:val="0"/>
              </w:rPr>
              <w:t>applied to areas of greatest safety risk.</w:t>
            </w:r>
          </w:p>
        </w:tc>
        <w:tc>
          <w:tcPr>
            <w:tcW w:w="0" w:type="pct"/>
            <w:tcBorders>
              <w:bottom w:val="single" w:sz="18" w:space="0" w:color="auto"/>
            </w:tcBorders>
            <w:vAlign w:val="top"/>
          </w:tcPr>
          <w:p w14:paraId="03B5FE72" w14:textId="77777777" w:rsidR="00B15317" w:rsidRPr="008875E4" w:rsidRDefault="00B15317" w:rsidP="00C032F2">
            <w:pPr>
              <w:pStyle w:val="Tabletext"/>
              <w:jc w:val="left"/>
              <w:cnfStyle w:val="000000000000" w:firstRow="0" w:lastRow="0" w:firstColumn="0" w:lastColumn="0" w:oddVBand="0" w:evenVBand="0" w:oddHBand="0" w:evenHBand="0" w:firstRowFirstColumn="0" w:firstRowLastColumn="0" w:lastRowFirstColumn="0" w:lastRowLastColumn="0"/>
              <w:rPr>
                <w:b/>
              </w:rPr>
            </w:pPr>
            <w:r w:rsidRPr="008875E4">
              <w:rPr>
                <w:b/>
              </w:rPr>
              <w:t xml:space="preserve">Target </w:t>
            </w:r>
            <w:r w:rsidR="00FC15F5" w:rsidRPr="008875E4">
              <w:rPr>
                <w:b/>
              </w:rPr>
              <w:t>met</w:t>
            </w:r>
          </w:p>
          <w:p w14:paraId="77EF08AB" w14:textId="47913EEE" w:rsidR="00DE046F" w:rsidRPr="008875E4" w:rsidRDefault="000756A6" w:rsidP="00DE046F">
            <w:pPr>
              <w:pStyle w:val="Tabletext"/>
              <w:spacing w:before="120"/>
              <w:jc w:val="left"/>
              <w:cnfStyle w:val="000000000000" w:firstRow="0" w:lastRow="0" w:firstColumn="0" w:lastColumn="0" w:oddVBand="0" w:evenVBand="0" w:oddHBand="0" w:evenHBand="0" w:firstRowFirstColumn="0" w:firstRowLastColumn="0" w:lastRowFirstColumn="0" w:lastRowLastColumn="0"/>
              <w:rPr>
                <w:sz w:val="21"/>
                <w:szCs w:val="21"/>
              </w:rPr>
            </w:pPr>
            <w:r w:rsidRPr="008875E4">
              <w:rPr>
                <w:sz w:val="21"/>
                <w:szCs w:val="21"/>
              </w:rPr>
              <w:t>R</w:t>
            </w:r>
            <w:r w:rsidR="0078572E" w:rsidRPr="008875E4">
              <w:rPr>
                <w:sz w:val="21"/>
                <w:szCs w:val="21"/>
              </w:rPr>
              <w:t>egulatory time recorded against licence</w:t>
            </w:r>
            <w:r w:rsidR="00656DCF" w:rsidRPr="008875E4">
              <w:rPr>
                <w:sz w:val="21"/>
                <w:szCs w:val="21"/>
              </w:rPr>
              <w:t>s</w:t>
            </w:r>
            <w:r w:rsidR="0078572E" w:rsidRPr="008875E4">
              <w:rPr>
                <w:sz w:val="21"/>
                <w:szCs w:val="21"/>
              </w:rPr>
              <w:t xml:space="preserve"> with medium or higher </w:t>
            </w:r>
            <w:r w:rsidR="006A1D23" w:rsidRPr="008875E4">
              <w:rPr>
                <w:sz w:val="21"/>
                <w:szCs w:val="21"/>
              </w:rPr>
              <w:t>regulatory priority (risk-informed)</w:t>
            </w:r>
            <w:r w:rsidRPr="008875E4">
              <w:rPr>
                <w:sz w:val="21"/>
                <w:szCs w:val="21"/>
              </w:rPr>
              <w:t xml:space="preserve"> totalled </w:t>
            </w:r>
            <w:r w:rsidR="3B22A1B7" w:rsidRPr="008875E4">
              <w:rPr>
                <w:sz w:val="21"/>
                <w:szCs w:val="21"/>
              </w:rPr>
              <w:t>73</w:t>
            </w:r>
            <w:r w:rsidRPr="008875E4">
              <w:rPr>
                <w:sz w:val="21"/>
                <w:szCs w:val="21"/>
              </w:rPr>
              <w:t>%</w:t>
            </w:r>
            <w:r w:rsidR="0078572E" w:rsidRPr="008875E4">
              <w:rPr>
                <w:sz w:val="21"/>
                <w:szCs w:val="21"/>
              </w:rPr>
              <w:t>.</w:t>
            </w:r>
            <w:r w:rsidR="00DE046F" w:rsidRPr="008875E4">
              <w:rPr>
                <w:sz w:val="21"/>
                <w:szCs w:val="21"/>
              </w:rPr>
              <w:t xml:space="preserve"> This year’s figure matches the average for the previous four years</w:t>
            </w:r>
            <w:r w:rsidR="00784334" w:rsidRPr="008875E4">
              <w:rPr>
                <w:sz w:val="21"/>
                <w:szCs w:val="21"/>
              </w:rPr>
              <w:t xml:space="preserve"> (73%)</w:t>
            </w:r>
            <w:r w:rsidR="00DE046F" w:rsidRPr="008875E4">
              <w:rPr>
                <w:sz w:val="21"/>
                <w:szCs w:val="21"/>
              </w:rPr>
              <w:t xml:space="preserve"> but is the lower than the previous two years (86% and 82</w:t>
            </w:r>
            <w:r w:rsidR="00F851F2" w:rsidRPr="008875E4">
              <w:rPr>
                <w:sz w:val="21"/>
                <w:szCs w:val="21"/>
              </w:rPr>
              <w:t>%</w:t>
            </w:r>
            <w:r w:rsidR="00DE046F" w:rsidRPr="008875E4">
              <w:rPr>
                <w:sz w:val="21"/>
                <w:szCs w:val="21"/>
              </w:rPr>
              <w:t xml:space="preserve">). </w:t>
            </w:r>
          </w:p>
          <w:p w14:paraId="282C7D3C" w14:textId="78011846" w:rsidR="0078572E" w:rsidRPr="008875E4" w:rsidRDefault="0078572E" w:rsidP="00C032F2">
            <w:pPr>
              <w:pStyle w:val="Tabletext"/>
              <w:jc w:val="left"/>
              <w:cnfStyle w:val="000000000000" w:firstRow="0" w:lastRow="0" w:firstColumn="0" w:lastColumn="0" w:oddVBand="0" w:evenVBand="0" w:oddHBand="0" w:evenHBand="0" w:firstRowFirstColumn="0" w:firstRowLastColumn="0" w:lastRowFirstColumn="0" w:lastRowLastColumn="0"/>
              <w:rPr>
                <w:sz w:val="21"/>
                <w:szCs w:val="21"/>
              </w:rPr>
            </w:pPr>
            <w:r w:rsidRPr="008875E4">
              <w:rPr>
                <w:sz w:val="21"/>
                <w:szCs w:val="21"/>
              </w:rPr>
              <w:t xml:space="preserve">A range of options are </w:t>
            </w:r>
            <w:r w:rsidR="00773A3D" w:rsidRPr="008875E4">
              <w:rPr>
                <w:sz w:val="21"/>
                <w:szCs w:val="21"/>
              </w:rPr>
              <w:t xml:space="preserve">available to </w:t>
            </w:r>
            <w:r w:rsidRPr="008875E4">
              <w:rPr>
                <w:sz w:val="21"/>
                <w:szCs w:val="21"/>
              </w:rPr>
              <w:t>ensure effective control</w:t>
            </w:r>
            <w:r w:rsidR="00773A3D" w:rsidRPr="008875E4">
              <w:rPr>
                <w:sz w:val="21"/>
                <w:szCs w:val="21"/>
              </w:rPr>
              <w:t>. ARPANSA will use an appropriate response to non-compliance and any performance concerns that considers the risk to safety.</w:t>
            </w:r>
            <w:r w:rsidR="009067D5">
              <w:rPr>
                <w:sz w:val="21"/>
                <w:szCs w:val="21"/>
              </w:rPr>
              <w:t xml:space="preserve"> </w:t>
            </w:r>
            <w:r w:rsidR="00583E9E" w:rsidRPr="008875E4">
              <w:rPr>
                <w:sz w:val="21"/>
                <w:szCs w:val="21"/>
              </w:rPr>
              <w:t>For example, in the 4</w:t>
            </w:r>
            <w:r w:rsidR="00237D6C" w:rsidRPr="008875E4">
              <w:rPr>
                <w:sz w:val="21"/>
                <w:szCs w:val="21"/>
              </w:rPr>
              <w:t>4</w:t>
            </w:r>
            <w:r w:rsidR="00583E9E" w:rsidRPr="008875E4">
              <w:rPr>
                <w:sz w:val="21"/>
                <w:szCs w:val="21"/>
              </w:rPr>
              <w:t xml:space="preserve"> inspections performed</w:t>
            </w:r>
            <w:r w:rsidRPr="008875E4">
              <w:rPr>
                <w:sz w:val="21"/>
                <w:szCs w:val="21"/>
              </w:rPr>
              <w:t xml:space="preserve"> 1</w:t>
            </w:r>
            <w:r w:rsidR="00237D6C" w:rsidRPr="008875E4">
              <w:rPr>
                <w:sz w:val="21"/>
                <w:szCs w:val="21"/>
              </w:rPr>
              <w:t>3</w:t>
            </w:r>
            <w:r w:rsidR="00E56AAB" w:rsidRPr="008875E4">
              <w:rPr>
                <w:sz w:val="21"/>
                <w:szCs w:val="21"/>
              </w:rPr>
              <w:t>7</w:t>
            </w:r>
            <w:r w:rsidR="00861D76" w:rsidRPr="008875E4">
              <w:rPr>
                <w:sz w:val="21"/>
                <w:szCs w:val="21"/>
              </w:rPr>
              <w:t> </w:t>
            </w:r>
            <w:r w:rsidRPr="008875E4">
              <w:rPr>
                <w:sz w:val="21"/>
                <w:szCs w:val="21"/>
              </w:rPr>
              <w:t xml:space="preserve">AFIs, </w:t>
            </w:r>
            <w:r w:rsidR="00237D6C" w:rsidRPr="008875E4">
              <w:rPr>
                <w:sz w:val="21"/>
                <w:szCs w:val="21"/>
              </w:rPr>
              <w:t>two</w:t>
            </w:r>
            <w:r w:rsidRPr="008875E4">
              <w:rPr>
                <w:sz w:val="21"/>
                <w:szCs w:val="21"/>
              </w:rPr>
              <w:t xml:space="preserve"> PNCs, and </w:t>
            </w:r>
            <w:r w:rsidR="00237D6C" w:rsidRPr="008875E4">
              <w:rPr>
                <w:sz w:val="21"/>
                <w:szCs w:val="21"/>
              </w:rPr>
              <w:t>three</w:t>
            </w:r>
            <w:r w:rsidR="00E73E46" w:rsidRPr="008875E4">
              <w:rPr>
                <w:sz w:val="21"/>
                <w:szCs w:val="21"/>
              </w:rPr>
              <w:t xml:space="preserve"> </w:t>
            </w:r>
            <w:r w:rsidRPr="008875E4">
              <w:rPr>
                <w:sz w:val="21"/>
                <w:szCs w:val="21"/>
              </w:rPr>
              <w:t xml:space="preserve">good practices </w:t>
            </w:r>
            <w:r w:rsidR="00583E9E" w:rsidRPr="008875E4">
              <w:rPr>
                <w:sz w:val="21"/>
                <w:szCs w:val="21"/>
              </w:rPr>
              <w:t>were found</w:t>
            </w:r>
            <w:r w:rsidR="00E56AAB" w:rsidRPr="008875E4">
              <w:rPr>
                <w:sz w:val="21"/>
                <w:szCs w:val="21"/>
              </w:rPr>
              <w:t xml:space="preserve"> during inspections</w:t>
            </w:r>
            <w:r w:rsidRPr="008875E4">
              <w:rPr>
                <w:sz w:val="21"/>
                <w:szCs w:val="21"/>
              </w:rPr>
              <w:t>.</w:t>
            </w:r>
          </w:p>
          <w:p w14:paraId="4DCD3D0A" w14:textId="5E5FB342" w:rsidR="005A60AE" w:rsidRPr="008875E4" w:rsidRDefault="0078572E" w:rsidP="00C032F2">
            <w:pPr>
              <w:pStyle w:val="Tabletext"/>
              <w:jc w:val="left"/>
              <w:cnfStyle w:val="000000000000" w:firstRow="0" w:lastRow="0" w:firstColumn="0" w:lastColumn="0" w:oddVBand="0" w:evenVBand="0" w:oddHBand="0" w:evenHBand="0" w:firstRowFirstColumn="0" w:firstRowLastColumn="0" w:lastRowFirstColumn="0" w:lastRowLastColumn="0"/>
              <w:rPr>
                <w:sz w:val="21"/>
                <w:szCs w:val="21"/>
              </w:rPr>
            </w:pPr>
            <w:r w:rsidRPr="008875E4">
              <w:rPr>
                <w:sz w:val="21"/>
                <w:szCs w:val="21"/>
              </w:rPr>
              <w:t xml:space="preserve">In accordance with the published ‘graded approach to non-compliance’, </w:t>
            </w:r>
            <w:r w:rsidR="005A60AE" w:rsidRPr="008875E4">
              <w:rPr>
                <w:sz w:val="21"/>
                <w:szCs w:val="21"/>
              </w:rPr>
              <w:t xml:space="preserve">the safety </w:t>
            </w:r>
            <w:r w:rsidRPr="008875E4">
              <w:rPr>
                <w:sz w:val="21"/>
                <w:szCs w:val="21"/>
              </w:rPr>
              <w:t>significance of the non-compliance</w:t>
            </w:r>
            <w:r w:rsidR="005A60AE" w:rsidRPr="008875E4">
              <w:rPr>
                <w:sz w:val="21"/>
                <w:szCs w:val="21"/>
              </w:rPr>
              <w:t xml:space="preserve"> is </w:t>
            </w:r>
            <w:r w:rsidR="00D30166" w:rsidRPr="008875E4">
              <w:rPr>
                <w:sz w:val="21"/>
                <w:szCs w:val="21"/>
              </w:rPr>
              <w:t>considered</w:t>
            </w:r>
            <w:r w:rsidRPr="008875E4">
              <w:rPr>
                <w:sz w:val="21"/>
                <w:szCs w:val="21"/>
              </w:rPr>
              <w:t xml:space="preserve">. Of the </w:t>
            </w:r>
            <w:r w:rsidR="00E56AAB" w:rsidRPr="008875E4">
              <w:rPr>
                <w:sz w:val="21"/>
                <w:szCs w:val="21"/>
              </w:rPr>
              <w:t>12</w:t>
            </w:r>
            <w:r w:rsidRPr="008875E4">
              <w:rPr>
                <w:sz w:val="21"/>
                <w:szCs w:val="21"/>
              </w:rPr>
              <w:t xml:space="preserve"> confirmed non-compliances</w:t>
            </w:r>
            <w:r w:rsidR="00861D76" w:rsidRPr="008875E4">
              <w:rPr>
                <w:sz w:val="21"/>
                <w:szCs w:val="21"/>
              </w:rPr>
              <w:t>,</w:t>
            </w:r>
            <w:r w:rsidRPr="008875E4">
              <w:rPr>
                <w:sz w:val="21"/>
                <w:szCs w:val="21"/>
              </w:rPr>
              <w:t xml:space="preserve"> </w:t>
            </w:r>
            <w:r w:rsidR="00E56AAB" w:rsidRPr="008875E4">
              <w:rPr>
                <w:sz w:val="21"/>
                <w:szCs w:val="21"/>
              </w:rPr>
              <w:t>11</w:t>
            </w:r>
            <w:r w:rsidRPr="008875E4">
              <w:rPr>
                <w:sz w:val="21"/>
                <w:szCs w:val="21"/>
              </w:rPr>
              <w:t xml:space="preserve"> were considered </w:t>
            </w:r>
            <w:r w:rsidR="0000001F" w:rsidRPr="008875E4">
              <w:rPr>
                <w:sz w:val="21"/>
                <w:szCs w:val="21"/>
              </w:rPr>
              <w:t xml:space="preserve">not to be of high significance to safety </w:t>
            </w:r>
            <w:r w:rsidRPr="008875E4">
              <w:rPr>
                <w:sz w:val="21"/>
                <w:szCs w:val="21"/>
              </w:rPr>
              <w:t xml:space="preserve">and </w:t>
            </w:r>
            <w:r w:rsidR="00744359" w:rsidRPr="008875E4">
              <w:rPr>
                <w:sz w:val="21"/>
                <w:szCs w:val="21"/>
              </w:rPr>
              <w:t xml:space="preserve">the licence holders </w:t>
            </w:r>
            <w:r w:rsidRPr="008875E4">
              <w:rPr>
                <w:sz w:val="21"/>
                <w:szCs w:val="21"/>
              </w:rPr>
              <w:t>we</w:t>
            </w:r>
            <w:r w:rsidR="6304C676" w:rsidRPr="008875E4">
              <w:rPr>
                <w:sz w:val="21"/>
                <w:szCs w:val="21"/>
              </w:rPr>
              <w:t>re</w:t>
            </w:r>
            <w:r w:rsidRPr="008875E4">
              <w:rPr>
                <w:sz w:val="21"/>
                <w:szCs w:val="21"/>
              </w:rPr>
              <w:t xml:space="preserve"> </w:t>
            </w:r>
            <w:r w:rsidR="6304C676" w:rsidRPr="008875E4">
              <w:rPr>
                <w:sz w:val="21"/>
                <w:szCs w:val="21"/>
              </w:rPr>
              <w:t>no</w:t>
            </w:r>
            <w:r w:rsidR="00692518" w:rsidRPr="008875E4">
              <w:rPr>
                <w:sz w:val="21"/>
                <w:szCs w:val="21"/>
              </w:rPr>
              <w:t>t</w:t>
            </w:r>
            <w:r w:rsidR="6304C676" w:rsidRPr="008875E4">
              <w:rPr>
                <w:sz w:val="21"/>
                <w:szCs w:val="21"/>
              </w:rPr>
              <w:t xml:space="preserve"> </w:t>
            </w:r>
            <w:r w:rsidRPr="008875E4">
              <w:rPr>
                <w:sz w:val="21"/>
                <w:szCs w:val="21"/>
              </w:rPr>
              <w:t xml:space="preserve">named. </w:t>
            </w:r>
          </w:p>
          <w:p w14:paraId="55AB8518" w14:textId="5762C560" w:rsidR="003B4D69" w:rsidRPr="008875E4" w:rsidRDefault="003A5B39" w:rsidP="00C032F2">
            <w:pPr>
              <w:pStyle w:val="Tabletext"/>
              <w:jc w:val="left"/>
              <w:cnfStyle w:val="000000000000" w:firstRow="0" w:lastRow="0" w:firstColumn="0" w:lastColumn="0" w:oddVBand="0" w:evenVBand="0" w:oddHBand="0" w:evenHBand="0" w:firstRowFirstColumn="0" w:firstRowLastColumn="0" w:lastRowFirstColumn="0" w:lastRowLastColumn="0"/>
            </w:pPr>
            <w:r w:rsidRPr="008875E4">
              <w:rPr>
                <w:sz w:val="21"/>
                <w:szCs w:val="21"/>
              </w:rPr>
              <w:t xml:space="preserve">In line with the </w:t>
            </w:r>
            <w:r w:rsidR="00F33986" w:rsidRPr="008875E4">
              <w:rPr>
                <w:sz w:val="21"/>
                <w:szCs w:val="21"/>
              </w:rPr>
              <w:t xml:space="preserve">ARPANSA’s </w:t>
            </w:r>
            <w:r w:rsidRPr="008875E4">
              <w:rPr>
                <w:sz w:val="21"/>
                <w:szCs w:val="21"/>
              </w:rPr>
              <w:t xml:space="preserve">published approach there was a clear preference </w:t>
            </w:r>
            <w:r w:rsidR="00F33986" w:rsidRPr="008875E4">
              <w:rPr>
                <w:sz w:val="21"/>
                <w:szCs w:val="21"/>
              </w:rPr>
              <w:t xml:space="preserve">by ARPANSA to </w:t>
            </w:r>
            <w:r w:rsidRPr="008875E4">
              <w:rPr>
                <w:sz w:val="21"/>
                <w:szCs w:val="21"/>
              </w:rPr>
              <w:t>use lower order controls such as non-named breaches</w:t>
            </w:r>
            <w:r w:rsidR="00F33986" w:rsidRPr="008875E4">
              <w:rPr>
                <w:sz w:val="21"/>
                <w:szCs w:val="21"/>
              </w:rPr>
              <w:t xml:space="preserve"> and or AFI’s in place of very minor examples of non-compliance</w:t>
            </w:r>
            <w:r w:rsidRPr="008875E4">
              <w:rPr>
                <w:sz w:val="21"/>
                <w:szCs w:val="21"/>
              </w:rPr>
              <w:t>.</w:t>
            </w:r>
          </w:p>
        </w:tc>
      </w:tr>
      <w:tr w:rsidR="00BF6CD7" w:rsidRPr="00E25E18" w14:paraId="299F4710" w14:textId="77777777" w:rsidTr="0042446B">
        <w:trPr>
          <w:cantSplit/>
        </w:trPr>
        <w:tc>
          <w:tcPr>
            <w:cnfStyle w:val="001000000000" w:firstRow="0" w:lastRow="0" w:firstColumn="1" w:lastColumn="0" w:oddVBand="0" w:evenVBand="0" w:oddHBand="0" w:evenHBand="0" w:firstRowFirstColumn="0" w:firstRowLastColumn="0" w:lastRowFirstColumn="0" w:lastRowLastColumn="0"/>
            <w:tcW w:w="0" w:type="pct"/>
            <w:gridSpan w:val="2"/>
            <w:tcBorders>
              <w:bottom w:val="single" w:sz="18" w:space="0" w:color="auto"/>
            </w:tcBorders>
            <w:shd w:val="clear" w:color="auto" w:fill="CDF1CD" w:themeFill="accent2" w:themeFillTint="33"/>
            <w:vAlign w:val="top"/>
          </w:tcPr>
          <w:p w14:paraId="01B8CD0E" w14:textId="77777777" w:rsidR="00BF6CD7" w:rsidRPr="00E25E18" w:rsidRDefault="00BF6CD7" w:rsidP="00DE046F">
            <w:pPr>
              <w:pStyle w:val="Tabletext"/>
              <w:jc w:val="left"/>
            </w:pPr>
            <w:r w:rsidRPr="00E25E18">
              <w:rPr>
                <w:b w:val="0"/>
              </w:rPr>
              <w:t>Self-assessed rating:</w:t>
            </w:r>
            <w:r w:rsidRPr="00E25E18">
              <w:t xml:space="preserve"> </w:t>
            </w:r>
            <w:r w:rsidR="00DE046F">
              <w:t>Met</w:t>
            </w:r>
          </w:p>
        </w:tc>
      </w:tr>
    </w:tbl>
    <w:p w14:paraId="5E75F466" w14:textId="77777777" w:rsidR="00A12896" w:rsidRDefault="00A12896" w:rsidP="00F5034B">
      <w:pPr>
        <w:pStyle w:val="Heading3"/>
      </w:pPr>
      <w:r>
        <w:t>Assessment of Objectives/Claims</w:t>
      </w:r>
    </w:p>
    <w:p w14:paraId="6E2DD7C0" w14:textId="312F7648" w:rsidR="00A12896" w:rsidRPr="008875E4" w:rsidRDefault="00A12896" w:rsidP="00A12896">
      <w:r w:rsidRPr="008875E4">
        <w:t xml:space="preserve">ARPANSA’s claims against KPI 3 were largely found to be fulfilled. The prioritisation of regulatory resources accurately follows the approach described in the inspection manual that is published on </w:t>
      </w:r>
      <w:r w:rsidR="00F319D4" w:rsidRPr="008875E4">
        <w:t>the</w:t>
      </w:r>
      <w:r w:rsidRPr="008875E4">
        <w:t xml:space="preserve"> website and this is supported by data showing most time is spent on licences with </w:t>
      </w:r>
      <w:r w:rsidR="00366F03" w:rsidRPr="008875E4">
        <w:t xml:space="preserve">highest inherent risk. Although </w:t>
      </w:r>
      <w:r w:rsidR="00F319D4" w:rsidRPr="008875E4">
        <w:t>this</w:t>
      </w:r>
      <w:r w:rsidR="00366F03" w:rsidRPr="008875E4">
        <w:t xml:space="preserve"> does not extend to the RPF concept of “earned autonomy”</w:t>
      </w:r>
      <w:r w:rsidR="00F319D4" w:rsidRPr="008875E4">
        <w:t>,</w:t>
      </w:r>
      <w:r w:rsidR="00366F03" w:rsidRPr="008875E4">
        <w:t xml:space="preserve"> recognition of good safety performance is built</w:t>
      </w:r>
      <w:r w:rsidR="00F319D4" w:rsidRPr="008875E4">
        <w:t xml:space="preserve"> into </w:t>
      </w:r>
      <w:r w:rsidR="00366F03" w:rsidRPr="008875E4">
        <w:t>the allocation of regulatory resources.</w:t>
      </w:r>
      <w:r w:rsidR="0004137A" w:rsidRPr="008875E4">
        <w:t xml:space="preserve"> An example of where</w:t>
      </w:r>
      <w:r w:rsidR="0000001F" w:rsidRPr="008875E4">
        <w:t xml:space="preserve"> this is clearly demonstrated is</w:t>
      </w:r>
      <w:r w:rsidR="0004137A" w:rsidRPr="008875E4">
        <w:t xml:space="preserve"> the ARPANSA </w:t>
      </w:r>
      <w:hyperlink r:id="rId34" w:history="1">
        <w:r w:rsidR="0004137A" w:rsidRPr="008875E4">
          <w:rPr>
            <w:rStyle w:val="Hyperlink"/>
            <w:color w:val="4E1A74" w:themeColor="text2"/>
          </w:rPr>
          <w:t>Inspection Manual</w:t>
        </w:r>
      </w:hyperlink>
      <w:r w:rsidR="0004137A" w:rsidRPr="008875E4">
        <w:t>.</w:t>
      </w:r>
    </w:p>
    <w:p w14:paraId="6FBAD3C3" w14:textId="52C7BCB7" w:rsidR="00366F03" w:rsidRPr="008875E4" w:rsidRDefault="005639E0" w:rsidP="00A12896">
      <w:r w:rsidRPr="008875E4">
        <w:t xml:space="preserve">ARPANSA’s response to </w:t>
      </w:r>
      <w:r w:rsidR="19BA68C3" w:rsidRPr="008875E4">
        <w:t>a</w:t>
      </w:r>
      <w:r w:rsidRPr="008875E4">
        <w:t xml:space="preserve"> contamination accident that occurred on June 2019 is described in</w:t>
      </w:r>
      <w:r w:rsidR="0030286B" w:rsidRPr="008875E4">
        <w:t xml:space="preserve"> the</w:t>
      </w:r>
      <w:r w:rsidRPr="008875E4">
        <w:t xml:space="preserve"> significant events </w:t>
      </w:r>
      <w:r w:rsidR="0030286B" w:rsidRPr="008875E4">
        <w:t xml:space="preserve">section </w:t>
      </w:r>
      <w:r w:rsidR="00A75226" w:rsidRPr="008875E4">
        <w:t xml:space="preserve">on page </w:t>
      </w:r>
      <w:r w:rsidRPr="008875E4">
        <w:fldChar w:fldCharType="begin"/>
      </w:r>
      <w:r w:rsidRPr="008875E4">
        <w:instrText xml:space="preserve"> PAGEREF _Ref51511054 \h </w:instrText>
      </w:r>
      <w:r w:rsidRPr="008875E4">
        <w:fldChar w:fldCharType="separate"/>
      </w:r>
      <w:r w:rsidR="004B30DE" w:rsidRPr="008875E4">
        <w:rPr>
          <w:noProof/>
        </w:rPr>
        <w:t>4</w:t>
      </w:r>
      <w:r w:rsidRPr="008875E4">
        <w:fldChar w:fldCharType="end"/>
      </w:r>
      <w:r w:rsidR="009332C5" w:rsidRPr="008875E4">
        <w:t xml:space="preserve"> of this report</w:t>
      </w:r>
      <w:r w:rsidR="00A75226" w:rsidRPr="008875E4">
        <w:t>.</w:t>
      </w:r>
      <w:r w:rsidR="009067D5">
        <w:t xml:space="preserve"> </w:t>
      </w:r>
      <w:r w:rsidRPr="008875E4">
        <w:t>This provides a useful example of a response to a significant action, in this instance taken by the imposition of a special licence condition</w:t>
      </w:r>
      <w:r w:rsidR="00937A68" w:rsidRPr="008875E4">
        <w:t xml:space="preserve"> in July 2019</w:t>
      </w:r>
      <w:r w:rsidR="0004137A" w:rsidRPr="008875E4">
        <w:t xml:space="preserve"> together with a series of augmented inspections</w:t>
      </w:r>
      <w:r w:rsidRPr="008875E4">
        <w:t>.</w:t>
      </w:r>
      <w:r w:rsidR="009067D5">
        <w:t xml:space="preserve"> </w:t>
      </w:r>
      <w:r w:rsidR="005734CB" w:rsidRPr="008875E4">
        <w:t>The licence condition limited ANM</w:t>
      </w:r>
      <w:r w:rsidRPr="008875E4">
        <w:t xml:space="preserve"> producti</w:t>
      </w:r>
      <w:r w:rsidR="005734CB" w:rsidRPr="008875E4">
        <w:t xml:space="preserve">on so that </w:t>
      </w:r>
      <w:r w:rsidRPr="008875E4">
        <w:t>ANSTO was able to continue to supply essential medicines to t</w:t>
      </w:r>
      <w:r w:rsidR="00C358FA" w:rsidRPr="008875E4">
        <w:t>he Australian market while</w:t>
      </w:r>
      <w:r w:rsidRPr="008875E4">
        <w:t xml:space="preserve"> redirecting </w:t>
      </w:r>
      <w:r w:rsidR="00C358FA" w:rsidRPr="008875E4">
        <w:t xml:space="preserve">necessary </w:t>
      </w:r>
      <w:r w:rsidRPr="008875E4">
        <w:t xml:space="preserve">resources to address the safety weaknesses identified by the </w:t>
      </w:r>
      <w:r w:rsidR="00C358FA" w:rsidRPr="008875E4">
        <w:t xml:space="preserve">investigations into the </w:t>
      </w:r>
      <w:r w:rsidRPr="008875E4">
        <w:t>accident. This, together with a series of targeted augmented inspections and an ARPANSA initiated survey of ANSTO</w:t>
      </w:r>
      <w:r w:rsidR="00937A68" w:rsidRPr="008875E4">
        <w:t>’s</w:t>
      </w:r>
      <w:r w:rsidRPr="008875E4">
        <w:t xml:space="preserve"> </w:t>
      </w:r>
      <w:r w:rsidR="00937A68" w:rsidRPr="008875E4">
        <w:t>culture for safety</w:t>
      </w:r>
      <w:r w:rsidRPr="008875E4">
        <w:t xml:space="preserve"> allowed ARPANSA to relax this </w:t>
      </w:r>
      <w:r w:rsidR="00937A68" w:rsidRPr="008875E4">
        <w:t xml:space="preserve">restriction </w:t>
      </w:r>
      <w:r w:rsidR="00C358FA" w:rsidRPr="008875E4">
        <w:t>in</w:t>
      </w:r>
      <w:r w:rsidR="00937A68" w:rsidRPr="008875E4">
        <w:t xml:space="preserve"> March 2020.</w:t>
      </w:r>
      <w:r w:rsidR="005734CB" w:rsidRPr="008875E4">
        <w:t xml:space="preserve"> A detailed </w:t>
      </w:r>
      <w:hyperlink r:id="rId35">
        <w:r w:rsidR="005734CB" w:rsidRPr="008875E4">
          <w:rPr>
            <w:rStyle w:val="Hyperlink"/>
            <w:color w:val="4E1A74" w:themeColor="text2"/>
          </w:rPr>
          <w:t>statement of reasons</w:t>
        </w:r>
      </w:hyperlink>
      <w:r w:rsidR="005734CB" w:rsidRPr="008875E4">
        <w:t xml:space="preserve"> regarding this regulatory response is available on the ARPANSA website</w:t>
      </w:r>
    </w:p>
    <w:p w14:paraId="6D5AD925" w14:textId="77777777" w:rsidR="00F5034B" w:rsidRDefault="00FE34D3" w:rsidP="00F5034B">
      <w:pPr>
        <w:pStyle w:val="Heading3"/>
      </w:pPr>
      <w:r>
        <w:t>Strengths</w:t>
      </w:r>
    </w:p>
    <w:p w14:paraId="514963A4" w14:textId="77777777" w:rsidR="224069B8" w:rsidRPr="00C272BE" w:rsidRDefault="224069B8" w:rsidP="00692518">
      <w:pPr>
        <w:pStyle w:val="Heading4"/>
        <w:rPr>
          <w:rFonts w:asciiTheme="minorHAnsi" w:hAnsiTheme="minorHAnsi"/>
          <w:iCs w:val="0"/>
          <w:color w:val="4E1A74"/>
        </w:rPr>
      </w:pPr>
      <w:r w:rsidRPr="00C272BE">
        <w:rPr>
          <w:rFonts w:asciiTheme="minorHAnsi" w:hAnsiTheme="minorHAnsi"/>
          <w:iCs w:val="0"/>
          <w:color w:val="4E1A74"/>
        </w:rPr>
        <w:t>Graded Approach</w:t>
      </w:r>
    </w:p>
    <w:p w14:paraId="07806685" w14:textId="77777777" w:rsidR="006A1D23" w:rsidRPr="008875E4" w:rsidRDefault="00C272BE" w:rsidP="00692518">
      <w:pPr>
        <w:spacing w:before="0"/>
      </w:pPr>
      <w:r w:rsidRPr="008875E4">
        <w:t xml:space="preserve">As noted in previous RPF reports, </w:t>
      </w:r>
      <w:r w:rsidR="00E365CE" w:rsidRPr="008875E4">
        <w:t>ARPANSA’s i</w:t>
      </w:r>
      <w:r w:rsidR="006A1D23" w:rsidRPr="008875E4">
        <w:t xml:space="preserve">nternal and publicly available guidance on the graded approach such as </w:t>
      </w:r>
      <w:r w:rsidR="002E0211" w:rsidRPr="008875E4">
        <w:t>for</w:t>
      </w:r>
      <w:r w:rsidR="00926189" w:rsidRPr="008875E4">
        <w:t xml:space="preserve"> inspection</w:t>
      </w:r>
      <w:r w:rsidR="006A1D23" w:rsidRPr="008875E4">
        <w:t xml:space="preserve"> and enforcement </w:t>
      </w:r>
      <w:r w:rsidRPr="008875E4">
        <w:t>is</w:t>
      </w:r>
      <w:r w:rsidR="006A1D23" w:rsidRPr="008875E4">
        <w:t xml:space="preserve"> clearly </w:t>
      </w:r>
      <w:r w:rsidR="00926189" w:rsidRPr="008875E4">
        <w:t>visible</w:t>
      </w:r>
      <w:r w:rsidR="006A1D23" w:rsidRPr="008875E4">
        <w:t xml:space="preserve"> and well utilised</w:t>
      </w:r>
      <w:r w:rsidR="00E365CE" w:rsidRPr="008875E4">
        <w:t xml:space="preserve"> by regulatory officers</w:t>
      </w:r>
      <w:r w:rsidR="006A1D23" w:rsidRPr="008875E4">
        <w:t xml:space="preserve">. </w:t>
      </w:r>
      <w:r w:rsidRPr="008875E4">
        <w:t xml:space="preserve">ARPANSA continues to expend the majority of its regulatory resources (73%) on medium or higher risk licences. </w:t>
      </w:r>
      <w:r w:rsidR="0000001F" w:rsidRPr="008875E4">
        <w:t>The approach is outcomes focussed and not prescriptive.</w:t>
      </w:r>
    </w:p>
    <w:p w14:paraId="63E9AAEC" w14:textId="77777777" w:rsidR="00F5034B" w:rsidRDefault="00F5034B" w:rsidP="00F5034B">
      <w:pPr>
        <w:pStyle w:val="Heading3"/>
      </w:pPr>
      <w:r>
        <w:t>Identified opportunities for improvement</w:t>
      </w:r>
    </w:p>
    <w:p w14:paraId="164EF8D4" w14:textId="77777777" w:rsidR="0000001F" w:rsidRDefault="0000001F" w:rsidP="007D3E21">
      <w:pPr>
        <w:pStyle w:val="Heading4"/>
        <w:rPr>
          <w:rFonts w:asciiTheme="minorHAnsi" w:hAnsiTheme="minorHAnsi"/>
          <w:iCs w:val="0"/>
          <w:color w:val="4E1A74"/>
        </w:rPr>
      </w:pPr>
      <w:r>
        <w:rPr>
          <w:rFonts w:asciiTheme="minorHAnsi" w:hAnsiTheme="minorHAnsi"/>
          <w:iCs w:val="0"/>
          <w:color w:val="4E1A74"/>
        </w:rPr>
        <w:t>Variability of Service</w:t>
      </w:r>
      <w:r w:rsidR="00334D99">
        <w:rPr>
          <w:rFonts w:asciiTheme="minorHAnsi" w:hAnsiTheme="minorHAnsi"/>
          <w:iCs w:val="0"/>
          <w:color w:val="4E1A74"/>
        </w:rPr>
        <w:t xml:space="preserve"> Approach</w:t>
      </w:r>
    </w:p>
    <w:p w14:paraId="6EAC8F5D" w14:textId="2B4C0242" w:rsidR="0000001F" w:rsidRPr="008875E4" w:rsidRDefault="00C358FA" w:rsidP="007137A2">
      <w:pPr>
        <w:spacing w:before="0"/>
      </w:pPr>
      <w:r w:rsidRPr="008875E4">
        <w:t xml:space="preserve">ARPANSA has a </w:t>
      </w:r>
      <w:r w:rsidR="007137A2" w:rsidRPr="008875E4">
        <w:t xml:space="preserve">structured framework and management system that guides its approach to regulation. The framework has flexibility to contend with the wide variety of types of </w:t>
      </w:r>
      <w:r w:rsidR="007137A2" w:rsidRPr="008875E4">
        <w:lastRenderedPageBreak/>
        <w:t>controlled activities that it regulates. This assessment found differences in the applied approach (e.g. a mixture of compliance vs guidance approaches</w:t>
      </w:r>
      <w:r w:rsidR="00334D99" w:rsidRPr="008875E4">
        <w:t>) sh</w:t>
      </w:r>
      <w:r w:rsidR="007137A2" w:rsidRPr="008875E4">
        <w:t xml:space="preserve">ould be better understood and used to inform regulatory systems and training. </w:t>
      </w:r>
    </w:p>
    <w:p w14:paraId="6D04E562" w14:textId="77777777" w:rsidR="00544D9E" w:rsidRPr="00C272BE" w:rsidRDefault="00544D9E" w:rsidP="007D3E21">
      <w:pPr>
        <w:pStyle w:val="Heading4"/>
        <w:rPr>
          <w:rFonts w:asciiTheme="minorHAnsi" w:hAnsiTheme="minorHAnsi"/>
          <w:iCs w:val="0"/>
          <w:color w:val="4E1A74"/>
        </w:rPr>
      </w:pPr>
      <w:r w:rsidRPr="00C272BE">
        <w:rPr>
          <w:rFonts w:asciiTheme="minorHAnsi" w:hAnsiTheme="minorHAnsi"/>
          <w:iCs w:val="0"/>
          <w:color w:val="4E1A74"/>
        </w:rPr>
        <w:t>Approach to Holistic Safety</w:t>
      </w:r>
    </w:p>
    <w:p w14:paraId="6FE0D184" w14:textId="66A807E3" w:rsidR="00C272BE" w:rsidRPr="008875E4" w:rsidRDefault="00544D9E" w:rsidP="00C272BE">
      <w:pPr>
        <w:spacing w:before="0"/>
      </w:pPr>
      <w:r w:rsidRPr="008875E4">
        <w:t xml:space="preserve">For a number of years ARPANSA has promoted a best practice systemic approach to safety management known as </w:t>
      </w:r>
      <w:hyperlink r:id="rId36" w:history="1">
        <w:r w:rsidRPr="008875E4">
          <w:rPr>
            <w:rStyle w:val="Hyperlink"/>
            <w:color w:val="4E1A74" w:themeColor="text2"/>
          </w:rPr>
          <w:t>holistic safety</w:t>
        </w:r>
      </w:hyperlink>
      <w:r w:rsidRPr="008875E4">
        <w:t>.</w:t>
      </w:r>
      <w:r w:rsidR="009067D5">
        <w:t xml:space="preserve"> </w:t>
      </w:r>
      <w:r w:rsidRPr="008875E4">
        <w:t>The approach examines the interaction of human and organisational contributors to safety together with technological factors</w:t>
      </w:r>
      <w:r w:rsidR="00AD25AD" w:rsidRPr="008875E4">
        <w:t>. It is</w:t>
      </w:r>
      <w:r w:rsidRPr="008875E4">
        <w:t xml:space="preserve"> a principle now embedded in international safety standards. This assessment identified a wide variety of attitudes to the holistic approach</w:t>
      </w:r>
      <w:r w:rsidR="00AD25AD" w:rsidRPr="008875E4">
        <w:t xml:space="preserve"> and the appropriateness of ARPANSA’s </w:t>
      </w:r>
      <w:r w:rsidR="00C272BE" w:rsidRPr="008875E4">
        <w:t>work in this space</w:t>
      </w:r>
      <w:r w:rsidRPr="008875E4">
        <w:t>.</w:t>
      </w:r>
      <w:r w:rsidR="009067D5">
        <w:t xml:space="preserve"> </w:t>
      </w:r>
      <w:r w:rsidRPr="008875E4">
        <w:t xml:space="preserve">The assessment team </w:t>
      </w:r>
      <w:r w:rsidR="009332C5" w:rsidRPr="008875E4">
        <w:t>was told by</w:t>
      </w:r>
      <w:r w:rsidR="009067D5">
        <w:t xml:space="preserve"> </w:t>
      </w:r>
      <w:r w:rsidRPr="008875E4">
        <w:t>some licence holder staff that the approach was not helpful and that ARPANSA should concentrate on front-line workplace assessment of safety.</w:t>
      </w:r>
      <w:r w:rsidR="00AD25AD" w:rsidRPr="008875E4">
        <w:t xml:space="preserve"> Some inspectors are also less comfortable examining holistic safety than other aspects of safety. It is recommended that ARPANSA reviews the effectiveness of its promotion and oversight of holistic safety</w:t>
      </w:r>
      <w:r w:rsidR="009332C5" w:rsidRPr="008875E4">
        <w:t xml:space="preserve"> and the training provided to the inspection team</w:t>
      </w:r>
      <w:r w:rsidR="00C272BE" w:rsidRPr="008875E4">
        <w:t xml:space="preserve">. </w:t>
      </w:r>
    </w:p>
    <w:p w14:paraId="1ED2AAF8" w14:textId="77777777" w:rsidR="00C272BE" w:rsidRPr="008875E4" w:rsidRDefault="00C272BE" w:rsidP="00C272BE">
      <w:pPr>
        <w:spacing w:before="0"/>
      </w:pPr>
    </w:p>
    <w:p w14:paraId="12F5A2DF" w14:textId="4DE77A5A" w:rsidR="00544D9E" w:rsidRPr="008875E4" w:rsidRDefault="00C272BE" w:rsidP="00C272BE">
      <w:pPr>
        <w:spacing w:before="0"/>
      </w:pPr>
      <w:r w:rsidRPr="008875E4">
        <w:t>It was noted that ARPANSA has recently recruited to further enhance its capabilities in human and organisation</w:t>
      </w:r>
      <w:r w:rsidR="001A50FD" w:rsidRPr="008875E4">
        <w:t>al</w:t>
      </w:r>
      <w:r w:rsidRPr="008875E4">
        <w:t xml:space="preserve"> factors and has initiated a review of regulatory guidance.</w:t>
      </w:r>
    </w:p>
    <w:p w14:paraId="7475F005" w14:textId="77777777" w:rsidR="007D3E21" w:rsidRPr="0051753E" w:rsidRDefault="007D3E21" w:rsidP="007D3E21">
      <w:pPr>
        <w:pStyle w:val="Heading4"/>
        <w:rPr>
          <w:rFonts w:asciiTheme="minorHAnsi" w:hAnsiTheme="minorHAnsi"/>
          <w:iCs w:val="0"/>
          <w:color w:val="4E1A74"/>
        </w:rPr>
      </w:pPr>
      <w:r w:rsidRPr="0051753E">
        <w:rPr>
          <w:rFonts w:asciiTheme="minorHAnsi" w:hAnsiTheme="minorHAnsi"/>
          <w:iCs w:val="0"/>
          <w:color w:val="4E1A74"/>
        </w:rPr>
        <w:t xml:space="preserve">Record </w:t>
      </w:r>
      <w:r w:rsidR="00A04217" w:rsidRPr="0051753E">
        <w:rPr>
          <w:rFonts w:asciiTheme="minorHAnsi" w:hAnsiTheme="minorHAnsi"/>
          <w:iCs w:val="0"/>
          <w:color w:val="4E1A74"/>
        </w:rPr>
        <w:t>k</w:t>
      </w:r>
      <w:r w:rsidRPr="0051753E">
        <w:rPr>
          <w:rFonts w:asciiTheme="minorHAnsi" w:hAnsiTheme="minorHAnsi"/>
          <w:iCs w:val="0"/>
          <w:color w:val="4E1A74"/>
        </w:rPr>
        <w:t>eeping</w:t>
      </w:r>
    </w:p>
    <w:p w14:paraId="6B85D3B2" w14:textId="186CDEBE" w:rsidR="00FE34D3" w:rsidRPr="008875E4" w:rsidRDefault="006732C0" w:rsidP="007D3E21">
      <w:pPr>
        <w:spacing w:before="0"/>
      </w:pPr>
      <w:r w:rsidRPr="008875E4">
        <w:t xml:space="preserve">Data management continues to be a challenge as reported in previous years. This is partly due to the fragmented data systems being used for regulation (See </w:t>
      </w:r>
      <w:r w:rsidR="00C358FA" w:rsidRPr="008875E4">
        <w:t>KPI 1). While</w:t>
      </w:r>
      <w:r w:rsidRPr="008875E4">
        <w:t xml:space="preserve"> improvements have been noted, a number of</w:t>
      </w:r>
      <w:r w:rsidR="0064580C" w:rsidRPr="008875E4">
        <w:t xml:space="preserve"> instances of poor record keeping were identified</w:t>
      </w:r>
      <w:r w:rsidRPr="008875E4">
        <w:t xml:space="preserve"> particularly in regard to the L</w:t>
      </w:r>
      <w:r w:rsidR="009C2852" w:rsidRPr="008875E4">
        <w:t xml:space="preserve">icence </w:t>
      </w:r>
      <w:r w:rsidRPr="008875E4">
        <w:t>A</w:t>
      </w:r>
      <w:r w:rsidR="009C2852" w:rsidRPr="008875E4">
        <w:t xml:space="preserve">dministration </w:t>
      </w:r>
      <w:r w:rsidRPr="008875E4">
        <w:t>D</w:t>
      </w:r>
      <w:r w:rsidR="009C2852" w:rsidRPr="008875E4">
        <w:t>atabase</w:t>
      </w:r>
      <w:r w:rsidR="0064580C" w:rsidRPr="008875E4">
        <w:t xml:space="preserve">. For example, </w:t>
      </w:r>
      <w:r w:rsidR="00334D99" w:rsidRPr="008875E4">
        <w:t xml:space="preserve">despite significant resources invested in the planning and conduct of an inspection, </w:t>
      </w:r>
      <w:r w:rsidRPr="008875E4">
        <w:t xml:space="preserve">it was noted </w:t>
      </w:r>
      <w:r w:rsidR="0051753E" w:rsidRPr="008875E4">
        <w:t xml:space="preserve">again </w:t>
      </w:r>
      <w:r w:rsidRPr="008875E4">
        <w:t xml:space="preserve">that the </w:t>
      </w:r>
      <w:r w:rsidR="0051753E" w:rsidRPr="008875E4">
        <w:t>breach follow-up register is in most cases not completed.</w:t>
      </w:r>
      <w:r w:rsidRPr="008875E4">
        <w:t xml:space="preserve"> As stated previously this hinders ARPANSA’s ability to use the data it receives for business </w:t>
      </w:r>
      <w:r w:rsidR="0051753E" w:rsidRPr="008875E4">
        <w:t>intelligence</w:t>
      </w:r>
      <w:r w:rsidRPr="008875E4">
        <w:t xml:space="preserve"> purposes.</w:t>
      </w:r>
    </w:p>
    <w:p w14:paraId="08173274" w14:textId="77777777" w:rsidR="003B4D69" w:rsidRDefault="00CD74EC" w:rsidP="0013700D">
      <w:pPr>
        <w:pStyle w:val="Heading2"/>
        <w:spacing w:before="480"/>
      </w:pPr>
      <w:bookmarkStart w:id="53" w:name="_Toc12884003"/>
      <w:bookmarkStart w:id="54" w:name="_Toc23846610"/>
      <w:bookmarkStart w:id="55" w:name="_Toc58918582"/>
      <w:r w:rsidRPr="00110D4B">
        <w:t>KPI 4 - Compliance and monitoring approaches are streamlined and co-ordinated</w:t>
      </w:r>
      <w:bookmarkEnd w:id="53"/>
      <w:bookmarkEnd w:id="54"/>
      <w:bookmarkEnd w:id="55"/>
    </w:p>
    <w:p w14:paraId="7CF73712" w14:textId="77777777" w:rsidR="009442D9" w:rsidRPr="009442D9" w:rsidRDefault="009442D9" w:rsidP="00692518">
      <w:pPr>
        <w:autoSpaceDE w:val="0"/>
        <w:autoSpaceDN w:val="0"/>
        <w:adjustRightInd w:val="0"/>
        <w:spacing w:after="120"/>
        <w:rPr>
          <w:rFonts w:eastAsiaTheme="majorEastAsia" w:cstheme="majorBidi"/>
          <w:b/>
          <w:bCs/>
          <w:i/>
          <w:color w:val="4E1A74"/>
          <w:sz w:val="24"/>
        </w:rPr>
      </w:pPr>
      <w:r w:rsidRPr="009442D9">
        <w:rPr>
          <w:rFonts w:eastAsiaTheme="majorEastAsia" w:cstheme="majorBidi"/>
          <w:b/>
          <w:bCs/>
          <w:i/>
          <w:color w:val="4E1A74"/>
          <w:sz w:val="24"/>
        </w:rPr>
        <w:t>ARPANSA’s Objectives/Claims for KPI 4</w:t>
      </w:r>
    </w:p>
    <w:p w14:paraId="3308B0D1" w14:textId="7C3B0688" w:rsidR="004F4B77" w:rsidRPr="008875E4" w:rsidRDefault="00B0073E" w:rsidP="0030652D">
      <w:pPr>
        <w:autoSpaceDE w:val="0"/>
        <w:autoSpaceDN w:val="0"/>
        <w:adjustRightInd w:val="0"/>
        <w:spacing w:after="120"/>
        <w:rPr>
          <w:rFonts w:cs="Times New Roman"/>
          <w:bCs/>
          <w:szCs w:val="24"/>
          <w:lang w:eastAsia="en-AU"/>
        </w:rPr>
      </w:pPr>
      <w:r w:rsidRPr="008875E4">
        <w:rPr>
          <w:rFonts w:cs="Times New Roman"/>
          <w:bCs/>
          <w:szCs w:val="24"/>
          <w:lang w:eastAsia="en-AU"/>
        </w:rPr>
        <w:t xml:space="preserve">ARPANSA’s compliance monitoring </w:t>
      </w:r>
      <w:r w:rsidR="00C75245" w:rsidRPr="008875E4">
        <w:rPr>
          <w:rFonts w:cs="Times New Roman"/>
          <w:bCs/>
          <w:szCs w:val="24"/>
          <w:lang w:eastAsia="en-AU"/>
        </w:rPr>
        <w:t>approach is built on a well-documented framework. It</w:t>
      </w:r>
      <w:r w:rsidRPr="008875E4">
        <w:rPr>
          <w:rFonts w:cs="Times New Roman"/>
          <w:bCs/>
          <w:szCs w:val="24"/>
          <w:lang w:eastAsia="en-AU"/>
        </w:rPr>
        <w:t xml:space="preserve"> </w:t>
      </w:r>
      <w:r w:rsidR="00204D1B" w:rsidRPr="008875E4">
        <w:rPr>
          <w:rFonts w:cs="Times New Roman"/>
          <w:bCs/>
          <w:szCs w:val="24"/>
          <w:lang w:eastAsia="en-AU"/>
        </w:rPr>
        <w:t>includes</w:t>
      </w:r>
      <w:r w:rsidRPr="008875E4">
        <w:rPr>
          <w:rFonts w:cs="Times New Roman"/>
          <w:bCs/>
          <w:szCs w:val="24"/>
          <w:lang w:eastAsia="en-AU"/>
        </w:rPr>
        <w:t xml:space="preserve"> </w:t>
      </w:r>
      <w:r w:rsidR="00971125" w:rsidRPr="008875E4">
        <w:rPr>
          <w:rFonts w:cs="Times New Roman"/>
          <w:bCs/>
          <w:szCs w:val="24"/>
          <w:lang w:eastAsia="en-AU"/>
        </w:rPr>
        <w:t>review of</w:t>
      </w:r>
      <w:r w:rsidRPr="008875E4">
        <w:rPr>
          <w:rFonts w:cs="Times New Roman"/>
          <w:bCs/>
          <w:szCs w:val="24"/>
          <w:lang w:eastAsia="en-AU"/>
        </w:rPr>
        <w:t xml:space="preserve"> reporting </w:t>
      </w:r>
      <w:r w:rsidR="00971125" w:rsidRPr="008875E4">
        <w:rPr>
          <w:rFonts w:cs="Times New Roman"/>
          <w:bCs/>
          <w:szCs w:val="24"/>
          <w:lang w:eastAsia="en-AU"/>
        </w:rPr>
        <w:t>from</w:t>
      </w:r>
      <w:r w:rsidRPr="008875E4">
        <w:rPr>
          <w:rFonts w:cs="Times New Roman"/>
          <w:bCs/>
          <w:szCs w:val="24"/>
          <w:lang w:eastAsia="en-AU"/>
        </w:rPr>
        <w:t xml:space="preserve"> the licence holder, </w:t>
      </w:r>
      <w:r w:rsidR="00881453" w:rsidRPr="008875E4">
        <w:rPr>
          <w:rFonts w:cs="Times New Roman"/>
          <w:bCs/>
          <w:szCs w:val="24"/>
          <w:lang w:eastAsia="en-AU"/>
        </w:rPr>
        <w:t xml:space="preserve">a risk informed </w:t>
      </w:r>
      <w:r w:rsidRPr="008875E4">
        <w:rPr>
          <w:rFonts w:cs="Times New Roman"/>
          <w:bCs/>
          <w:szCs w:val="24"/>
          <w:lang w:eastAsia="en-AU"/>
        </w:rPr>
        <w:t>inspection</w:t>
      </w:r>
      <w:r w:rsidR="00881453" w:rsidRPr="008875E4">
        <w:rPr>
          <w:rFonts w:cs="Times New Roman"/>
          <w:bCs/>
          <w:szCs w:val="24"/>
          <w:lang w:eastAsia="en-AU"/>
        </w:rPr>
        <w:t xml:space="preserve"> program</w:t>
      </w:r>
      <w:r w:rsidRPr="008875E4">
        <w:rPr>
          <w:rFonts w:cs="Times New Roman"/>
          <w:bCs/>
          <w:szCs w:val="24"/>
          <w:lang w:eastAsia="en-AU"/>
        </w:rPr>
        <w:t xml:space="preserve"> and a range of communication practices that collectively provide regulatory oversight</w:t>
      </w:r>
      <w:r w:rsidR="00971125" w:rsidRPr="008875E4">
        <w:rPr>
          <w:rFonts w:cs="Times New Roman"/>
          <w:bCs/>
          <w:szCs w:val="24"/>
          <w:lang w:eastAsia="en-AU"/>
        </w:rPr>
        <w:t xml:space="preserve">. </w:t>
      </w:r>
      <w:r w:rsidR="00C75245" w:rsidRPr="008875E4">
        <w:rPr>
          <w:rFonts w:cs="Times New Roman"/>
          <w:bCs/>
          <w:szCs w:val="24"/>
          <w:lang w:eastAsia="en-AU"/>
        </w:rPr>
        <w:t xml:space="preserve">An internal management system supports the consistent delivery of its regulatory service through </w:t>
      </w:r>
      <w:r w:rsidRPr="008875E4">
        <w:rPr>
          <w:rFonts w:cs="Times New Roman"/>
          <w:bCs/>
          <w:szCs w:val="24"/>
          <w:lang w:eastAsia="en-AU"/>
        </w:rPr>
        <w:t xml:space="preserve">approaches </w:t>
      </w:r>
      <w:r w:rsidR="00C75245" w:rsidRPr="008875E4">
        <w:rPr>
          <w:rFonts w:cs="Times New Roman"/>
          <w:bCs/>
          <w:szCs w:val="24"/>
          <w:lang w:eastAsia="en-AU"/>
        </w:rPr>
        <w:t xml:space="preserve">that </w:t>
      </w:r>
      <w:r w:rsidRPr="008875E4">
        <w:rPr>
          <w:rFonts w:cs="Times New Roman"/>
          <w:bCs/>
          <w:szCs w:val="24"/>
          <w:lang w:eastAsia="en-AU"/>
        </w:rPr>
        <w:t xml:space="preserve">enable </w:t>
      </w:r>
      <w:r w:rsidR="00881453" w:rsidRPr="008875E4">
        <w:rPr>
          <w:rFonts w:cs="Times New Roman"/>
          <w:bCs/>
          <w:szCs w:val="24"/>
          <w:lang w:eastAsia="en-AU"/>
        </w:rPr>
        <w:t xml:space="preserve">a balanced approach between </w:t>
      </w:r>
      <w:r w:rsidR="00F12E47" w:rsidRPr="008875E4">
        <w:rPr>
          <w:rFonts w:cs="Times New Roman"/>
          <w:bCs/>
          <w:szCs w:val="24"/>
          <w:lang w:eastAsia="en-AU"/>
        </w:rPr>
        <w:t>coercive and softer, persuasive</w:t>
      </w:r>
      <w:r w:rsidR="00C51DD3" w:rsidRPr="008875E4">
        <w:rPr>
          <w:rFonts w:cs="Times New Roman"/>
          <w:bCs/>
          <w:szCs w:val="24"/>
          <w:lang w:eastAsia="en-AU"/>
        </w:rPr>
        <w:t>,</w:t>
      </w:r>
      <w:r w:rsidR="00F12E47" w:rsidRPr="008875E4">
        <w:rPr>
          <w:rFonts w:cs="Times New Roman"/>
          <w:bCs/>
          <w:szCs w:val="24"/>
          <w:lang w:eastAsia="en-AU"/>
        </w:rPr>
        <w:t xml:space="preserve"> </w:t>
      </w:r>
      <w:r w:rsidR="00881453" w:rsidRPr="008875E4">
        <w:rPr>
          <w:rFonts w:cs="Times New Roman"/>
          <w:bCs/>
          <w:szCs w:val="24"/>
          <w:lang w:eastAsia="en-AU"/>
        </w:rPr>
        <w:t>regulatory practices</w:t>
      </w:r>
      <w:r w:rsidR="00EE41F4" w:rsidRPr="008875E4">
        <w:rPr>
          <w:rFonts w:cs="Times New Roman"/>
          <w:bCs/>
          <w:szCs w:val="24"/>
          <w:lang w:eastAsia="en-AU"/>
        </w:rPr>
        <w:t xml:space="preserve">. </w:t>
      </w:r>
      <w:r w:rsidR="00C358FA" w:rsidRPr="008875E4">
        <w:rPr>
          <w:rFonts w:cs="Times New Roman"/>
          <w:bCs/>
          <w:szCs w:val="24"/>
          <w:lang w:eastAsia="en-AU"/>
        </w:rPr>
        <w:t xml:space="preserve">ARPANSA strives to limit regulatory </w:t>
      </w:r>
      <w:r w:rsidR="008115CB" w:rsidRPr="008875E4">
        <w:rPr>
          <w:rFonts w:cs="Times New Roman"/>
          <w:bCs/>
          <w:szCs w:val="24"/>
          <w:lang w:eastAsia="en-AU"/>
        </w:rPr>
        <w:t>burden</w:t>
      </w:r>
      <w:r w:rsidR="00C358FA" w:rsidRPr="008875E4">
        <w:rPr>
          <w:rFonts w:cs="Times New Roman"/>
          <w:bCs/>
          <w:szCs w:val="24"/>
          <w:lang w:eastAsia="en-AU"/>
        </w:rPr>
        <w:t xml:space="preserve"> and not unduly impede on justified and safe practices involving radiation, emphas</w:t>
      </w:r>
      <w:r w:rsidR="008115CB" w:rsidRPr="008875E4">
        <w:rPr>
          <w:rFonts w:cs="Times New Roman"/>
          <w:bCs/>
          <w:szCs w:val="24"/>
          <w:lang w:eastAsia="en-AU"/>
        </w:rPr>
        <w:t>is</w:t>
      </w:r>
      <w:r w:rsidR="00C358FA" w:rsidRPr="008875E4">
        <w:rPr>
          <w:rFonts w:cs="Times New Roman"/>
          <w:bCs/>
          <w:szCs w:val="24"/>
          <w:lang w:eastAsia="en-AU"/>
        </w:rPr>
        <w:t xml:space="preserve">ing </w:t>
      </w:r>
      <w:r w:rsidR="009442D9" w:rsidRPr="008875E4">
        <w:rPr>
          <w:rFonts w:cs="Times New Roman"/>
          <w:bCs/>
          <w:szCs w:val="24"/>
          <w:lang w:eastAsia="en-AU"/>
        </w:rPr>
        <w:t xml:space="preserve">that the primary responsibility for safety </w:t>
      </w:r>
      <w:r w:rsidR="00442158" w:rsidRPr="008875E4">
        <w:rPr>
          <w:rFonts w:cs="Times New Roman"/>
          <w:bCs/>
          <w:szCs w:val="24"/>
          <w:lang w:eastAsia="en-AU"/>
        </w:rPr>
        <w:t xml:space="preserve">rests with </w:t>
      </w:r>
      <w:r w:rsidR="009442D9" w:rsidRPr="008875E4">
        <w:rPr>
          <w:rFonts w:cs="Times New Roman"/>
          <w:bCs/>
          <w:szCs w:val="24"/>
          <w:lang w:eastAsia="en-AU"/>
        </w:rPr>
        <w:t>the licence holder</w:t>
      </w:r>
      <w:r w:rsidR="00EE41F4" w:rsidRPr="008875E4">
        <w:rPr>
          <w:rFonts w:cs="Times New Roman"/>
          <w:bCs/>
          <w:szCs w:val="24"/>
          <w:lang w:eastAsia="en-AU"/>
        </w:rPr>
        <w:t>, and to direct resources to where they are most needed</w:t>
      </w:r>
      <w:r w:rsidRPr="008875E4">
        <w:rPr>
          <w:rFonts w:cs="Times New Roman"/>
          <w:bCs/>
          <w:szCs w:val="24"/>
          <w:lang w:eastAsia="en-AU"/>
        </w:rPr>
        <w:t xml:space="preserve">. </w:t>
      </w:r>
    </w:p>
    <w:p w14:paraId="6F73FE64" w14:textId="5B23CD67" w:rsidR="00B0073E" w:rsidRPr="008875E4" w:rsidRDefault="00B0073E" w:rsidP="0030652D">
      <w:pPr>
        <w:autoSpaceDE w:val="0"/>
        <w:autoSpaceDN w:val="0"/>
        <w:adjustRightInd w:val="0"/>
        <w:spacing w:after="120"/>
        <w:rPr>
          <w:rFonts w:cs="Times New Roman"/>
          <w:lang w:eastAsia="en-AU"/>
        </w:rPr>
      </w:pPr>
      <w:r w:rsidRPr="008875E4">
        <w:rPr>
          <w:rFonts w:cs="Times New Roman"/>
          <w:lang w:eastAsia="en-AU"/>
        </w:rPr>
        <w:t xml:space="preserve">ARPANSA encourages licence holders to proactively manage safety by identifying and managing their own </w:t>
      </w:r>
      <w:r w:rsidR="00971125" w:rsidRPr="008875E4">
        <w:rPr>
          <w:rFonts w:cs="Times New Roman"/>
          <w:lang w:eastAsia="en-AU"/>
        </w:rPr>
        <w:t xml:space="preserve">areas for improvement (AFI) </w:t>
      </w:r>
      <w:r w:rsidRPr="008875E4">
        <w:rPr>
          <w:rFonts w:cs="Times New Roman"/>
          <w:lang w:eastAsia="en-AU"/>
        </w:rPr>
        <w:t xml:space="preserve">and </w:t>
      </w:r>
      <w:r w:rsidR="00971125" w:rsidRPr="008875E4">
        <w:rPr>
          <w:rFonts w:cs="Times New Roman"/>
          <w:lang w:eastAsia="en-AU"/>
        </w:rPr>
        <w:t>self-r</w:t>
      </w:r>
      <w:r w:rsidRPr="008875E4">
        <w:rPr>
          <w:rFonts w:cs="Times New Roman"/>
          <w:lang w:eastAsia="en-AU"/>
        </w:rPr>
        <w:t>eport</w:t>
      </w:r>
      <w:r w:rsidR="00971125" w:rsidRPr="008875E4">
        <w:rPr>
          <w:rFonts w:cs="Times New Roman"/>
          <w:lang w:eastAsia="en-AU"/>
        </w:rPr>
        <w:t>ing any</w:t>
      </w:r>
      <w:r w:rsidRPr="008875E4">
        <w:rPr>
          <w:rFonts w:cs="Times New Roman"/>
          <w:lang w:eastAsia="en-AU"/>
        </w:rPr>
        <w:t xml:space="preserve"> potential non-compliances</w:t>
      </w:r>
      <w:r w:rsidR="004F4B77" w:rsidRPr="008875E4">
        <w:rPr>
          <w:rFonts w:cs="Times New Roman"/>
          <w:lang w:eastAsia="en-AU"/>
        </w:rPr>
        <w:t>.</w:t>
      </w:r>
      <w:r w:rsidR="009067D5">
        <w:rPr>
          <w:rFonts w:cs="Times New Roman"/>
          <w:lang w:eastAsia="en-AU"/>
        </w:rPr>
        <w:t xml:space="preserve"> </w:t>
      </w:r>
      <w:r w:rsidR="004F4B77" w:rsidRPr="008875E4">
        <w:rPr>
          <w:rFonts w:cs="Times New Roman"/>
          <w:lang w:eastAsia="en-AU"/>
        </w:rPr>
        <w:t xml:space="preserve">The </w:t>
      </w:r>
      <w:r w:rsidR="00442158" w:rsidRPr="008875E4">
        <w:rPr>
          <w:rFonts w:cs="Times New Roman"/>
          <w:lang w:eastAsia="en-AU"/>
        </w:rPr>
        <w:t xml:space="preserve">ARPANS Regulations require a licence holder to investigate and rectify any suspected instances </w:t>
      </w:r>
      <w:r w:rsidR="4569A329" w:rsidRPr="008875E4">
        <w:rPr>
          <w:rFonts w:cs="Times New Roman"/>
          <w:lang w:eastAsia="en-AU"/>
        </w:rPr>
        <w:t>of</w:t>
      </w:r>
      <w:r w:rsidR="00442158" w:rsidRPr="008875E4">
        <w:rPr>
          <w:rFonts w:cs="Times New Roman"/>
          <w:lang w:eastAsia="en-AU"/>
        </w:rPr>
        <w:t xml:space="preserve"> non-compliance.</w:t>
      </w:r>
      <w:r w:rsidR="009067D5">
        <w:rPr>
          <w:rFonts w:cs="Times New Roman"/>
          <w:lang w:eastAsia="en-AU"/>
        </w:rPr>
        <w:t xml:space="preserve"> </w:t>
      </w:r>
      <w:r w:rsidR="0078367D" w:rsidRPr="008875E4">
        <w:rPr>
          <w:rFonts w:cs="Times New Roman"/>
          <w:lang w:eastAsia="en-AU"/>
        </w:rPr>
        <w:t>To avoid</w:t>
      </w:r>
      <w:r w:rsidR="00EE41F4" w:rsidRPr="008875E4">
        <w:rPr>
          <w:rFonts w:cs="Times New Roman"/>
          <w:lang w:eastAsia="en-AU"/>
        </w:rPr>
        <w:t xml:space="preserve"> future non-compliance, </w:t>
      </w:r>
      <w:r w:rsidR="00442158" w:rsidRPr="008875E4">
        <w:rPr>
          <w:rFonts w:cs="Times New Roman"/>
          <w:lang w:eastAsia="en-AU"/>
        </w:rPr>
        <w:t>ARPANSA encourages the adoption of international best practice in nuclear safety and radiation</w:t>
      </w:r>
      <w:r w:rsidR="00EE41F4" w:rsidRPr="008875E4">
        <w:rPr>
          <w:rFonts w:cs="Times New Roman"/>
          <w:lang w:eastAsia="en-AU"/>
        </w:rPr>
        <w:t xml:space="preserve"> protection</w:t>
      </w:r>
      <w:r w:rsidR="00442158" w:rsidRPr="008875E4">
        <w:rPr>
          <w:rFonts w:cs="Times New Roman"/>
          <w:lang w:eastAsia="en-AU"/>
        </w:rPr>
        <w:t xml:space="preserve"> as articulated in </w:t>
      </w:r>
      <w:r w:rsidR="00EE41F4" w:rsidRPr="008875E4">
        <w:rPr>
          <w:rFonts w:cs="Times New Roman"/>
          <w:lang w:eastAsia="en-AU"/>
        </w:rPr>
        <w:t xml:space="preserve">established </w:t>
      </w:r>
      <w:r w:rsidR="00442158" w:rsidRPr="008875E4">
        <w:rPr>
          <w:rFonts w:cs="Times New Roman"/>
          <w:lang w:eastAsia="en-AU"/>
        </w:rPr>
        <w:t xml:space="preserve">internationals standards such as those of the </w:t>
      </w:r>
      <w:r w:rsidR="00454B08" w:rsidRPr="008875E4">
        <w:rPr>
          <w:rFonts w:cs="Times New Roman"/>
          <w:lang w:eastAsia="en-AU"/>
        </w:rPr>
        <w:t xml:space="preserve">ICRP and </w:t>
      </w:r>
      <w:r w:rsidR="00442158" w:rsidRPr="008875E4">
        <w:rPr>
          <w:rFonts w:cs="Times New Roman"/>
          <w:lang w:eastAsia="en-AU"/>
        </w:rPr>
        <w:lastRenderedPageBreak/>
        <w:t>UN IAEA</w:t>
      </w:r>
      <w:r w:rsidR="009C2AD5" w:rsidRPr="008875E4">
        <w:rPr>
          <w:rFonts w:cs="Times New Roman"/>
          <w:lang w:eastAsia="en-AU"/>
        </w:rPr>
        <w:t>. ARPANSA is involved in the development of these standards through its international engagement program</w:t>
      </w:r>
      <w:r w:rsidR="00442158" w:rsidRPr="008875E4">
        <w:rPr>
          <w:rFonts w:cs="Times New Roman"/>
          <w:lang w:eastAsia="en-AU"/>
        </w:rPr>
        <w:t xml:space="preserve">. </w:t>
      </w:r>
      <w:r w:rsidR="008115CB" w:rsidRPr="008875E4">
        <w:rPr>
          <w:rFonts w:cs="Times New Roman"/>
          <w:lang w:eastAsia="en-AU"/>
        </w:rPr>
        <w:t xml:space="preserve">In its decisions ARPANSA considers the safety implications where a licence holder does not adopt international best practice. </w:t>
      </w:r>
      <w:r w:rsidR="0078367D" w:rsidRPr="008875E4">
        <w:rPr>
          <w:rFonts w:cs="Times New Roman"/>
          <w:lang w:eastAsia="en-AU"/>
        </w:rPr>
        <w:t xml:space="preserve">The safety implications </w:t>
      </w:r>
      <w:r w:rsidR="00FD36C0" w:rsidRPr="008875E4">
        <w:rPr>
          <w:rFonts w:cs="Times New Roman"/>
          <w:lang w:eastAsia="en-AU"/>
        </w:rPr>
        <w:t xml:space="preserve">where </w:t>
      </w:r>
      <w:r w:rsidR="0078367D" w:rsidRPr="008875E4">
        <w:rPr>
          <w:rFonts w:cs="Times New Roman"/>
          <w:lang w:eastAsia="en-AU"/>
        </w:rPr>
        <w:t xml:space="preserve">a licence holder </w:t>
      </w:r>
      <w:r w:rsidR="00B66865" w:rsidRPr="008875E4">
        <w:rPr>
          <w:rFonts w:cs="Times New Roman"/>
          <w:lang w:eastAsia="en-AU"/>
        </w:rPr>
        <w:t xml:space="preserve">did </w:t>
      </w:r>
      <w:r w:rsidR="0078367D" w:rsidRPr="008875E4">
        <w:rPr>
          <w:rFonts w:cs="Times New Roman"/>
          <w:lang w:eastAsia="en-AU"/>
        </w:rPr>
        <w:t>not m</w:t>
      </w:r>
      <w:r w:rsidR="00454B08" w:rsidRPr="008875E4">
        <w:rPr>
          <w:rFonts w:cs="Times New Roman"/>
          <w:lang w:eastAsia="en-AU"/>
        </w:rPr>
        <w:t xml:space="preserve">eet </w:t>
      </w:r>
      <w:r w:rsidR="0078367D" w:rsidRPr="008875E4">
        <w:rPr>
          <w:rFonts w:cs="Times New Roman"/>
          <w:lang w:eastAsia="en-AU"/>
        </w:rPr>
        <w:t xml:space="preserve">international best practice </w:t>
      </w:r>
      <w:r w:rsidR="00FD36C0" w:rsidRPr="008875E4">
        <w:rPr>
          <w:rFonts w:cs="Times New Roman"/>
          <w:lang w:eastAsia="en-AU"/>
        </w:rPr>
        <w:t xml:space="preserve">is </w:t>
      </w:r>
      <w:r w:rsidR="009C2AD5" w:rsidRPr="008875E4">
        <w:rPr>
          <w:rFonts w:cs="Times New Roman"/>
          <w:lang w:eastAsia="en-AU"/>
        </w:rPr>
        <w:t>analysed</w:t>
      </w:r>
      <w:r w:rsidR="0078367D" w:rsidRPr="008875E4">
        <w:rPr>
          <w:rFonts w:cs="Times New Roman"/>
          <w:lang w:eastAsia="en-AU"/>
        </w:rPr>
        <w:t xml:space="preserve"> during licen</w:t>
      </w:r>
      <w:r w:rsidR="001A50FD" w:rsidRPr="008875E4">
        <w:rPr>
          <w:rFonts w:cs="Times New Roman"/>
          <w:lang w:eastAsia="en-AU"/>
        </w:rPr>
        <w:t>s</w:t>
      </w:r>
      <w:r w:rsidR="0078367D" w:rsidRPr="008875E4">
        <w:rPr>
          <w:rFonts w:cs="Times New Roman"/>
          <w:lang w:eastAsia="en-AU"/>
        </w:rPr>
        <w:t xml:space="preserve">ing </w:t>
      </w:r>
      <w:r w:rsidR="00FD36C0" w:rsidRPr="008875E4">
        <w:rPr>
          <w:rFonts w:cs="Times New Roman"/>
          <w:lang w:eastAsia="en-AU"/>
        </w:rPr>
        <w:t>assessments</w:t>
      </w:r>
      <w:r w:rsidR="00454B08" w:rsidRPr="008875E4">
        <w:rPr>
          <w:rFonts w:cs="Times New Roman"/>
          <w:lang w:eastAsia="en-AU"/>
        </w:rPr>
        <w:t xml:space="preserve"> and can affect its authorisation to conduct controlled activities. </w:t>
      </w:r>
      <w:r w:rsidR="00FD36C0" w:rsidRPr="008875E4">
        <w:rPr>
          <w:rFonts w:cs="Times New Roman"/>
          <w:lang w:eastAsia="en-AU"/>
        </w:rPr>
        <w:t>During inspections a licence holder may be notified of an area</w:t>
      </w:r>
      <w:r w:rsidR="00454B08" w:rsidRPr="008875E4">
        <w:rPr>
          <w:rFonts w:cs="Times New Roman"/>
          <w:lang w:eastAsia="en-AU"/>
        </w:rPr>
        <w:t xml:space="preserve"> </w:t>
      </w:r>
      <w:r w:rsidR="00FD36C0" w:rsidRPr="008875E4">
        <w:rPr>
          <w:rFonts w:cs="Times New Roman"/>
          <w:lang w:eastAsia="en-AU"/>
        </w:rPr>
        <w:t>for</w:t>
      </w:r>
      <w:r w:rsidR="00454B08" w:rsidRPr="008875E4">
        <w:rPr>
          <w:rFonts w:cs="Times New Roman"/>
          <w:lang w:eastAsia="en-AU"/>
        </w:rPr>
        <w:t xml:space="preserve"> improvement where it is found that best practice is not practi</w:t>
      </w:r>
      <w:r w:rsidR="001A50FD" w:rsidRPr="008875E4">
        <w:rPr>
          <w:rFonts w:cs="Times New Roman"/>
          <w:lang w:eastAsia="en-AU"/>
        </w:rPr>
        <w:t>s</w:t>
      </w:r>
      <w:r w:rsidR="00454B08" w:rsidRPr="008875E4">
        <w:rPr>
          <w:rFonts w:cs="Times New Roman"/>
          <w:lang w:eastAsia="en-AU"/>
        </w:rPr>
        <w:t>ed.</w:t>
      </w:r>
    </w:p>
    <w:p w14:paraId="4FF33292" w14:textId="77777777" w:rsidR="00B0073E" w:rsidRPr="008875E4" w:rsidRDefault="00B0073E" w:rsidP="00B0073E">
      <w:pPr>
        <w:autoSpaceDE w:val="0"/>
        <w:autoSpaceDN w:val="0"/>
        <w:adjustRightInd w:val="0"/>
        <w:spacing w:after="120"/>
        <w:rPr>
          <w:rFonts w:cs="Times New Roman"/>
          <w:lang w:eastAsia="en-AU"/>
        </w:rPr>
      </w:pPr>
      <w:r w:rsidRPr="008875E4">
        <w:rPr>
          <w:rFonts w:cs="Times New Roman"/>
          <w:lang w:eastAsia="en-AU"/>
        </w:rPr>
        <w:t xml:space="preserve">ARPANSA oversees the Commonwealth’s use of radiation sources and facilities. However, many of the entities that hold a licence issued by ARPANSA </w:t>
      </w:r>
      <w:r w:rsidR="00971125" w:rsidRPr="008875E4">
        <w:rPr>
          <w:rFonts w:cs="Times New Roman"/>
          <w:lang w:eastAsia="en-AU"/>
        </w:rPr>
        <w:t xml:space="preserve">are also subject to </w:t>
      </w:r>
      <w:r w:rsidRPr="008875E4">
        <w:rPr>
          <w:rFonts w:cs="Times New Roman"/>
          <w:lang w:eastAsia="en-AU"/>
        </w:rPr>
        <w:t xml:space="preserve">other regulatory frameworks. Examples of other regulators include Comcare, </w:t>
      </w:r>
      <w:r w:rsidR="00971125" w:rsidRPr="008875E4">
        <w:rPr>
          <w:rFonts w:cs="Times New Roman"/>
          <w:lang w:eastAsia="en-AU"/>
        </w:rPr>
        <w:t xml:space="preserve">the </w:t>
      </w:r>
      <w:r w:rsidRPr="008875E4">
        <w:rPr>
          <w:rFonts w:cs="Times New Roman"/>
          <w:lang w:eastAsia="en-AU"/>
        </w:rPr>
        <w:t>Australian Safeguards and Non-proliferation Office (ASNO), and</w:t>
      </w:r>
      <w:r w:rsidR="00971125" w:rsidRPr="008875E4">
        <w:rPr>
          <w:rFonts w:cs="Times New Roman"/>
          <w:lang w:eastAsia="en-AU"/>
        </w:rPr>
        <w:t xml:space="preserve"> the</w:t>
      </w:r>
      <w:r w:rsidRPr="008875E4">
        <w:rPr>
          <w:rFonts w:cs="Times New Roman"/>
          <w:lang w:eastAsia="en-AU"/>
        </w:rPr>
        <w:t xml:space="preserve"> Therapeutic Goods Administration (TGA). </w:t>
      </w:r>
      <w:r w:rsidR="00C51DD3" w:rsidRPr="008875E4">
        <w:rPr>
          <w:rFonts w:cs="Times New Roman"/>
          <w:lang w:eastAsia="en-AU"/>
        </w:rPr>
        <w:t xml:space="preserve">Where appropriate ARPANSA engages with other </w:t>
      </w:r>
      <w:r w:rsidR="40DDE0DA" w:rsidRPr="008875E4">
        <w:rPr>
          <w:rFonts w:cs="Times New Roman"/>
          <w:lang w:eastAsia="en-AU"/>
        </w:rPr>
        <w:t>regulators</w:t>
      </w:r>
      <w:r w:rsidR="00C51DD3" w:rsidRPr="008875E4">
        <w:rPr>
          <w:rFonts w:cs="Times New Roman"/>
          <w:lang w:eastAsia="en-AU"/>
        </w:rPr>
        <w:t xml:space="preserve"> to share information and approaches.</w:t>
      </w:r>
    </w:p>
    <w:tbl>
      <w:tblPr>
        <w:tblStyle w:val="GenericARPANSA4"/>
        <w:tblW w:w="5046" w:type="pct"/>
        <w:tblLayout w:type="fixed"/>
        <w:tblLook w:val="06A0" w:firstRow="1" w:lastRow="0" w:firstColumn="1" w:lastColumn="0" w:noHBand="1" w:noVBand="1"/>
        <w:tblDescription w:val="This table contains 2 heading columns, 1. KPIs/Measures/Metrics, 2. Evidence (Performance in  2016-17). Column 2 includes a self-assessed rating against KPI 4."/>
      </w:tblPr>
      <w:tblGrid>
        <w:gridCol w:w="4859"/>
        <w:gridCol w:w="4858"/>
      </w:tblGrid>
      <w:tr w:rsidR="00CD74EC" w:rsidRPr="00CD74EC" w14:paraId="460DE0D9" w14:textId="77777777" w:rsidTr="00BA34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3FE7E8C6" w14:textId="77777777" w:rsidR="003B4D69" w:rsidRPr="000B0690" w:rsidRDefault="003B4D69" w:rsidP="000B0690">
            <w:pPr>
              <w:pStyle w:val="Heading3"/>
              <w:jc w:val="left"/>
              <w:outlineLvl w:val="2"/>
              <w:rPr>
                <w:rFonts w:asciiTheme="minorHAnsi" w:hAnsiTheme="minorHAnsi"/>
                <w:b/>
                <w:i w:val="0"/>
                <w:color w:val="FFFFFF" w:themeColor="background1"/>
                <w:sz w:val="22"/>
              </w:rPr>
            </w:pPr>
            <w:r w:rsidRPr="000B0690">
              <w:rPr>
                <w:b/>
                <w:i w:val="0"/>
                <w:color w:val="FFFFFF" w:themeColor="background1"/>
                <w:sz w:val="22"/>
              </w:rPr>
              <w:t>Measures/</w:t>
            </w:r>
            <w:r w:rsidR="00AB0116">
              <w:rPr>
                <w:b/>
                <w:i w:val="0"/>
                <w:color w:val="FFFFFF" w:themeColor="background1"/>
                <w:sz w:val="22"/>
              </w:rPr>
              <w:t>m</w:t>
            </w:r>
            <w:r w:rsidRPr="000B0690">
              <w:rPr>
                <w:b/>
                <w:i w:val="0"/>
                <w:color w:val="FFFFFF" w:themeColor="background1"/>
                <w:sz w:val="22"/>
              </w:rPr>
              <w:t>etrics</w:t>
            </w:r>
          </w:p>
        </w:tc>
        <w:tc>
          <w:tcPr>
            <w:tcW w:w="0" w:type="pct"/>
          </w:tcPr>
          <w:p w14:paraId="3ED9D6B0" w14:textId="2BCE757F" w:rsidR="003B4D69" w:rsidRPr="000B0690" w:rsidRDefault="003B4D69" w:rsidP="00F87107">
            <w:pPr>
              <w:pStyle w:val="Heading3"/>
              <w:jc w:val="left"/>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FFFFFF" w:themeColor="background1"/>
                <w:sz w:val="22"/>
              </w:rPr>
            </w:pPr>
            <w:r w:rsidRPr="000B0690">
              <w:rPr>
                <w:b/>
                <w:i w:val="0"/>
                <w:color w:val="FFFFFF" w:themeColor="background1"/>
                <w:sz w:val="22"/>
              </w:rPr>
              <w:t>Evidence (</w:t>
            </w:r>
            <w:r w:rsidR="00AB0116">
              <w:rPr>
                <w:b/>
                <w:i w:val="0"/>
                <w:color w:val="FFFFFF" w:themeColor="background1"/>
                <w:sz w:val="22"/>
              </w:rPr>
              <w:t>p</w:t>
            </w:r>
            <w:r w:rsidRPr="000B0690">
              <w:rPr>
                <w:b/>
                <w:i w:val="0"/>
                <w:color w:val="FFFFFF" w:themeColor="background1"/>
                <w:sz w:val="22"/>
              </w:rPr>
              <w:t>erformance in 20</w:t>
            </w:r>
            <w:r w:rsidR="00AD0A80">
              <w:rPr>
                <w:b/>
                <w:i w:val="0"/>
                <w:color w:val="FFFFFF" w:themeColor="background1"/>
                <w:sz w:val="22"/>
              </w:rPr>
              <w:t>19-20</w:t>
            </w:r>
            <w:r w:rsidRPr="000B0690">
              <w:rPr>
                <w:b/>
                <w:i w:val="0"/>
                <w:color w:val="FFFFFF" w:themeColor="background1"/>
                <w:sz w:val="22"/>
              </w:rPr>
              <w:t>)</w:t>
            </w:r>
          </w:p>
        </w:tc>
      </w:tr>
      <w:tr w:rsidR="003B4D69" w:rsidRPr="00110D4B" w14:paraId="6407D270" w14:textId="77777777" w:rsidTr="00BA347B">
        <w:trPr>
          <w:trHeight w:val="2242"/>
        </w:trPr>
        <w:tc>
          <w:tcPr>
            <w:cnfStyle w:val="001000000000" w:firstRow="0" w:lastRow="0" w:firstColumn="1" w:lastColumn="0" w:oddVBand="0" w:evenVBand="0" w:oddHBand="0" w:evenHBand="0" w:firstRowFirstColumn="0" w:firstRowLastColumn="0" w:lastRowFirstColumn="0" w:lastRowLastColumn="0"/>
            <w:tcW w:w="0" w:type="pct"/>
            <w:vAlign w:val="top"/>
          </w:tcPr>
          <w:p w14:paraId="1D77C68A" w14:textId="77777777" w:rsidR="003B4D69" w:rsidRPr="008875E4" w:rsidRDefault="00EA436F" w:rsidP="000B0690">
            <w:pPr>
              <w:pStyle w:val="Tabletext"/>
              <w:jc w:val="left"/>
            </w:pPr>
            <w:r w:rsidRPr="008875E4">
              <w:t xml:space="preserve">PI </w:t>
            </w:r>
            <w:r w:rsidR="6F9414C3" w:rsidRPr="008875E4">
              <w:t>4.1 Actions are initiated within three months of the identification of an area for improvement.</w:t>
            </w:r>
          </w:p>
          <w:p w14:paraId="17087094" w14:textId="645429FF" w:rsidR="003B4D69" w:rsidRPr="008875E4" w:rsidRDefault="6F9414C3" w:rsidP="00315E85">
            <w:pPr>
              <w:pStyle w:val="Tabletext"/>
              <w:spacing w:before="120"/>
              <w:jc w:val="left"/>
              <w:rPr>
                <w:b w:val="0"/>
              </w:rPr>
            </w:pPr>
            <w:r w:rsidRPr="008875E4">
              <w:rPr>
                <w:b w:val="0"/>
              </w:rPr>
              <w:t xml:space="preserve">When an Area </w:t>
            </w:r>
            <w:r w:rsidR="00D30166" w:rsidRPr="008875E4">
              <w:rPr>
                <w:b w:val="0"/>
              </w:rPr>
              <w:t>for</w:t>
            </w:r>
            <w:r w:rsidRPr="008875E4">
              <w:rPr>
                <w:b w:val="0"/>
              </w:rPr>
              <w:t xml:space="preserve"> Improvement (AFI) is identified as a result of an inspection or other monitoring, there is an expectation that the licence holder will take corrective action in a timely fashion. The objective of identifying areas for improvement is to reduce regulatory burden by improving safety through a light touch, without the use of enforcement actions. Typically</w:t>
            </w:r>
            <w:r w:rsidR="00583E9E" w:rsidRPr="008875E4">
              <w:rPr>
                <w:rFonts w:cstheme="minorHAnsi"/>
                <w:b w:val="0"/>
              </w:rPr>
              <w:t>,</w:t>
            </w:r>
            <w:r w:rsidRPr="008875E4">
              <w:rPr>
                <w:b w:val="0"/>
              </w:rPr>
              <w:t xml:space="preserve"> an AFI represents a situation that could lead to a non</w:t>
            </w:r>
            <w:r w:rsidRPr="008875E4">
              <w:rPr>
                <w:rFonts w:ascii="Cambria Math" w:hAnsi="Cambria Math"/>
                <w:b w:val="0"/>
              </w:rPr>
              <w:t>‑</w:t>
            </w:r>
            <w:r w:rsidRPr="008875E4">
              <w:rPr>
                <w:b w:val="0"/>
              </w:rPr>
              <w:t>compliance or in which safety practice could be improved. As such, where licence holders voluntarily implement corrective action</w:t>
            </w:r>
            <w:r w:rsidR="00CA3C5A" w:rsidRPr="008875E4">
              <w:rPr>
                <w:b w:val="0"/>
              </w:rPr>
              <w:t>s</w:t>
            </w:r>
            <w:r w:rsidRPr="008875E4">
              <w:rPr>
                <w:b w:val="0"/>
              </w:rPr>
              <w:t xml:space="preserve"> following the finding of an </w:t>
            </w:r>
            <w:r w:rsidR="005C5339" w:rsidRPr="008875E4">
              <w:rPr>
                <w:b w:val="0"/>
              </w:rPr>
              <w:t>AFI</w:t>
            </w:r>
            <w:r w:rsidRPr="008875E4">
              <w:rPr>
                <w:b w:val="0"/>
              </w:rPr>
              <w:t xml:space="preserve"> it demonstrates good safety culture, the effectiveness of non-enforcement actions and ARPANSA</w:t>
            </w:r>
            <w:r w:rsidR="00E365CE" w:rsidRPr="008875E4">
              <w:rPr>
                <w:b w:val="0"/>
              </w:rPr>
              <w:t>’</w:t>
            </w:r>
            <w:r w:rsidR="007B6A89" w:rsidRPr="008875E4">
              <w:rPr>
                <w:b w:val="0"/>
              </w:rPr>
              <w:t>s</w:t>
            </w:r>
            <w:r w:rsidRPr="008875E4">
              <w:rPr>
                <w:b w:val="0"/>
              </w:rPr>
              <w:t xml:space="preserve"> promotion of best practice.</w:t>
            </w:r>
          </w:p>
          <w:p w14:paraId="39D3AC71" w14:textId="77777777" w:rsidR="003B4D69" w:rsidRPr="008875E4" w:rsidRDefault="6F9414C3" w:rsidP="000B0690">
            <w:pPr>
              <w:pStyle w:val="Tabletext"/>
              <w:jc w:val="left"/>
            </w:pPr>
            <w:r w:rsidRPr="008875E4">
              <w:rPr>
                <w:b w:val="0"/>
              </w:rPr>
              <w:t xml:space="preserve">ARPANSA will measure the percentage of </w:t>
            </w:r>
            <w:r w:rsidR="00FC1647" w:rsidRPr="008875E4">
              <w:rPr>
                <w:b w:val="0"/>
              </w:rPr>
              <w:t>AFIs identified where</w:t>
            </w:r>
            <w:r w:rsidRPr="008875E4">
              <w:rPr>
                <w:b w:val="0"/>
              </w:rPr>
              <w:t xml:space="preserve"> an action is initiated </w:t>
            </w:r>
            <w:r w:rsidR="00FC1647" w:rsidRPr="008875E4">
              <w:rPr>
                <w:b w:val="0"/>
              </w:rPr>
              <w:t>by the</w:t>
            </w:r>
            <w:r w:rsidRPr="008875E4">
              <w:rPr>
                <w:b w:val="0"/>
              </w:rPr>
              <w:t xml:space="preserve"> licence holder [Quantitative].</w:t>
            </w:r>
          </w:p>
        </w:tc>
        <w:tc>
          <w:tcPr>
            <w:tcW w:w="0" w:type="pct"/>
            <w:vAlign w:val="top"/>
          </w:tcPr>
          <w:p w14:paraId="088B3A41" w14:textId="77777777" w:rsidR="009E3FCA" w:rsidRPr="008875E4" w:rsidRDefault="009E3FCA" w:rsidP="000B0690">
            <w:pPr>
              <w:pStyle w:val="Tabletext"/>
              <w:jc w:val="left"/>
              <w:cnfStyle w:val="000000000000" w:firstRow="0" w:lastRow="0" w:firstColumn="0" w:lastColumn="0" w:oddVBand="0" w:evenVBand="0" w:oddHBand="0" w:evenHBand="0" w:firstRowFirstColumn="0" w:firstRowLastColumn="0" w:lastRowFirstColumn="0" w:lastRowLastColumn="0"/>
              <w:rPr>
                <w:b/>
              </w:rPr>
            </w:pPr>
            <w:r w:rsidRPr="008875E4">
              <w:rPr>
                <w:b/>
              </w:rPr>
              <w:t xml:space="preserve">Target </w:t>
            </w:r>
            <w:r w:rsidR="00AB0116" w:rsidRPr="008875E4">
              <w:rPr>
                <w:b/>
              </w:rPr>
              <w:t>m</w:t>
            </w:r>
            <w:r w:rsidRPr="008875E4">
              <w:rPr>
                <w:b/>
              </w:rPr>
              <w:t>et</w:t>
            </w:r>
          </w:p>
          <w:p w14:paraId="604682DD" w14:textId="48A38024" w:rsidR="00B47748" w:rsidRPr="008875E4" w:rsidRDefault="002E0211" w:rsidP="00315E85">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8875E4">
              <w:t xml:space="preserve">In </w:t>
            </w:r>
            <w:r w:rsidR="5E0ACC35" w:rsidRPr="008875E4">
              <w:t>68</w:t>
            </w:r>
            <w:r w:rsidR="20433E95" w:rsidRPr="008875E4">
              <w:t xml:space="preserve">% of </w:t>
            </w:r>
            <w:r w:rsidRPr="008875E4">
              <w:t>AFIs</w:t>
            </w:r>
            <w:r w:rsidR="20433E95" w:rsidRPr="008875E4">
              <w:t xml:space="preserve"> an action is initiated within </w:t>
            </w:r>
            <w:r w:rsidR="285B093C" w:rsidRPr="008875E4">
              <w:t>three</w:t>
            </w:r>
            <w:r w:rsidR="20433E95" w:rsidRPr="008875E4">
              <w:t xml:space="preserve"> months. </w:t>
            </w:r>
            <w:r w:rsidR="00F12E47" w:rsidRPr="008875E4">
              <w:t xml:space="preserve">This compares to a </w:t>
            </w:r>
            <w:r w:rsidR="00D30166" w:rsidRPr="008875E4">
              <w:t>five-year</w:t>
            </w:r>
            <w:r w:rsidR="00F12E47" w:rsidRPr="008875E4">
              <w:t xml:space="preserve"> average of 60%. </w:t>
            </w:r>
            <w:r w:rsidR="22911B66" w:rsidRPr="008875E4">
              <w:t xml:space="preserve">A total of </w:t>
            </w:r>
            <w:r w:rsidR="22C1C4A9" w:rsidRPr="008875E4">
              <w:t>127</w:t>
            </w:r>
            <w:r w:rsidR="22911B66" w:rsidRPr="008875E4">
              <w:t xml:space="preserve"> </w:t>
            </w:r>
            <w:r w:rsidRPr="008875E4">
              <w:t xml:space="preserve">out </w:t>
            </w:r>
            <w:r w:rsidR="22911B66" w:rsidRPr="008875E4">
              <w:t>of 1</w:t>
            </w:r>
            <w:r w:rsidR="3DC6DF11" w:rsidRPr="008875E4">
              <w:t>87</w:t>
            </w:r>
            <w:r w:rsidR="20433E95" w:rsidRPr="008875E4">
              <w:t xml:space="preserve"> AFIs </w:t>
            </w:r>
            <w:r w:rsidR="22911B66" w:rsidRPr="008875E4">
              <w:t xml:space="preserve">had </w:t>
            </w:r>
            <w:r w:rsidR="20433E95" w:rsidRPr="008875E4">
              <w:t>actions</w:t>
            </w:r>
            <w:r w:rsidR="22911B66" w:rsidRPr="008875E4">
              <w:t xml:space="preserve"> initiated</w:t>
            </w:r>
            <w:r w:rsidR="009E73DF" w:rsidRPr="008875E4">
              <w:t>.</w:t>
            </w:r>
          </w:p>
          <w:p w14:paraId="0C173B6B" w14:textId="1DFF701A" w:rsidR="003B4D69" w:rsidRPr="008875E4" w:rsidRDefault="00B47748" w:rsidP="000B0690">
            <w:pPr>
              <w:pStyle w:val="Tabletext"/>
              <w:jc w:val="left"/>
              <w:cnfStyle w:val="000000000000" w:firstRow="0" w:lastRow="0" w:firstColumn="0" w:lastColumn="0" w:oddVBand="0" w:evenVBand="0" w:oddHBand="0" w:evenHBand="0" w:firstRowFirstColumn="0" w:firstRowLastColumn="0" w:lastRowFirstColumn="0" w:lastRowLastColumn="0"/>
            </w:pPr>
            <w:r w:rsidRPr="008875E4">
              <w:t xml:space="preserve">The target </w:t>
            </w:r>
            <w:r w:rsidR="00583E9E" w:rsidRPr="008875E4">
              <w:rPr>
                <w:rFonts w:cstheme="minorHAnsi"/>
              </w:rPr>
              <w:t>(50%)</w:t>
            </w:r>
            <w:r w:rsidRPr="008875E4">
              <w:rPr>
                <w:rFonts w:cstheme="minorHAnsi"/>
              </w:rPr>
              <w:t xml:space="preserve"> </w:t>
            </w:r>
            <w:r w:rsidRPr="008875E4">
              <w:t xml:space="preserve">was </w:t>
            </w:r>
            <w:r w:rsidR="00FC1647" w:rsidRPr="008875E4">
              <w:rPr>
                <w:rFonts w:cstheme="minorHAnsi"/>
              </w:rPr>
              <w:t>exceeded</w:t>
            </w:r>
            <w:r w:rsidR="009E73DF" w:rsidRPr="008875E4">
              <w:t xml:space="preserve">. The voluntary correction of </w:t>
            </w:r>
            <w:r w:rsidR="00C5556E" w:rsidRPr="008875E4">
              <w:t>AFIs</w:t>
            </w:r>
            <w:r w:rsidR="009E73DF" w:rsidRPr="008875E4">
              <w:t xml:space="preserve"> indicates that licence holders understand the safety benefits </w:t>
            </w:r>
            <w:r w:rsidR="00FD36C0" w:rsidRPr="008875E4">
              <w:t>and</w:t>
            </w:r>
            <w:r w:rsidR="009E73DF" w:rsidRPr="008875E4">
              <w:t xml:space="preserve"> reflects well on the culture of </w:t>
            </w:r>
            <w:r w:rsidR="00FD36C0" w:rsidRPr="008875E4">
              <w:t xml:space="preserve">the </w:t>
            </w:r>
            <w:r w:rsidR="009E73DF" w:rsidRPr="008875E4">
              <w:t xml:space="preserve">licence holders and influence of ARPANSA. </w:t>
            </w:r>
            <w:r w:rsidR="003B4D69" w:rsidRPr="008875E4">
              <w:br/>
            </w:r>
          </w:p>
          <w:p w14:paraId="724F3742" w14:textId="77777777" w:rsidR="003B4D69" w:rsidRPr="008875E4" w:rsidRDefault="003B4D69" w:rsidP="000B0690">
            <w:pPr>
              <w:pStyle w:val="Tabletext"/>
              <w:jc w:val="left"/>
              <w:cnfStyle w:val="000000000000" w:firstRow="0" w:lastRow="0" w:firstColumn="0" w:lastColumn="0" w:oddVBand="0" w:evenVBand="0" w:oddHBand="0" w:evenHBand="0" w:firstRowFirstColumn="0" w:firstRowLastColumn="0" w:lastRowFirstColumn="0" w:lastRowLastColumn="0"/>
            </w:pPr>
          </w:p>
        </w:tc>
      </w:tr>
      <w:tr w:rsidR="003B4D69" w:rsidRPr="00110D4B" w14:paraId="14209969" w14:textId="77777777" w:rsidTr="00BA347B">
        <w:trPr>
          <w:trHeight w:val="2397"/>
        </w:trPr>
        <w:tc>
          <w:tcPr>
            <w:cnfStyle w:val="001000000000" w:firstRow="0" w:lastRow="0" w:firstColumn="1" w:lastColumn="0" w:oddVBand="0" w:evenVBand="0" w:oddHBand="0" w:evenHBand="0" w:firstRowFirstColumn="0" w:firstRowLastColumn="0" w:lastRowFirstColumn="0" w:lastRowLastColumn="0"/>
            <w:tcW w:w="0" w:type="pct"/>
            <w:tcBorders>
              <w:bottom w:val="single" w:sz="18" w:space="0" w:color="auto"/>
            </w:tcBorders>
            <w:vAlign w:val="top"/>
          </w:tcPr>
          <w:p w14:paraId="1B210F72" w14:textId="77777777" w:rsidR="003B4D69" w:rsidRPr="008875E4" w:rsidRDefault="00EA436F" w:rsidP="000B0690">
            <w:pPr>
              <w:pStyle w:val="Tabletext"/>
              <w:jc w:val="left"/>
            </w:pPr>
            <w:r w:rsidRPr="008875E4">
              <w:t xml:space="preserve">PI </w:t>
            </w:r>
            <w:r w:rsidR="6F9414C3" w:rsidRPr="008875E4">
              <w:t>4.2 Information is shared with collaborating regulatory agencies.</w:t>
            </w:r>
          </w:p>
          <w:p w14:paraId="5E5A4C73" w14:textId="77777777" w:rsidR="003B4D69" w:rsidRPr="008875E4" w:rsidRDefault="6F9414C3" w:rsidP="00315E85">
            <w:pPr>
              <w:pStyle w:val="Tabletext"/>
              <w:spacing w:before="120"/>
              <w:jc w:val="left"/>
              <w:rPr>
                <w:b w:val="0"/>
              </w:rPr>
            </w:pPr>
            <w:r w:rsidRPr="008875E4">
              <w:rPr>
                <w:b w:val="0"/>
              </w:rPr>
              <w:t>ARPANSA licence holders are also regulated by other regulatory agencies. ARPANSA will collaborate with other regulators, where appropriate, by the sharing of information or undertaking joint activities. The objective of collaboration is to co-ordinate work in common areas of interest so as to avoid duplication and unnecessary disruption to the licence holder, and in so doing reduce regulatory burden [Qualitative].</w:t>
            </w:r>
          </w:p>
          <w:p w14:paraId="4933AEEB" w14:textId="77777777" w:rsidR="003B4D69" w:rsidRPr="008875E4" w:rsidRDefault="003B4D69" w:rsidP="000B0690">
            <w:pPr>
              <w:pStyle w:val="Tabletext"/>
              <w:jc w:val="left"/>
            </w:pPr>
          </w:p>
        </w:tc>
        <w:tc>
          <w:tcPr>
            <w:tcW w:w="0" w:type="pct"/>
            <w:tcBorders>
              <w:bottom w:val="single" w:sz="18" w:space="0" w:color="auto"/>
            </w:tcBorders>
            <w:vAlign w:val="top"/>
          </w:tcPr>
          <w:p w14:paraId="5ECA50B9" w14:textId="77777777" w:rsidR="009E3FCA" w:rsidRPr="008875E4" w:rsidRDefault="3FE9662A" w:rsidP="0794A046">
            <w:pPr>
              <w:pStyle w:val="Tabletext"/>
              <w:jc w:val="left"/>
              <w:cnfStyle w:val="000000000000" w:firstRow="0" w:lastRow="0" w:firstColumn="0" w:lastColumn="0" w:oddVBand="0" w:evenVBand="0" w:oddHBand="0" w:evenHBand="0" w:firstRowFirstColumn="0" w:firstRowLastColumn="0" w:lastRowFirstColumn="0" w:lastRowLastColumn="0"/>
              <w:rPr>
                <w:b/>
                <w:bCs/>
              </w:rPr>
            </w:pPr>
            <w:r w:rsidRPr="008875E4">
              <w:rPr>
                <w:b/>
                <w:bCs/>
              </w:rPr>
              <w:t xml:space="preserve">Target </w:t>
            </w:r>
            <w:r w:rsidR="38FA6C7E" w:rsidRPr="008875E4">
              <w:rPr>
                <w:b/>
                <w:bCs/>
              </w:rPr>
              <w:t>met</w:t>
            </w:r>
          </w:p>
          <w:p w14:paraId="1287C3DE" w14:textId="7CEEB6C3" w:rsidR="00E20300" w:rsidRPr="008875E4" w:rsidRDefault="00636AF3" w:rsidP="00315E85">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8875E4">
              <w:t xml:space="preserve">ARPANSA collaborates </w:t>
            </w:r>
            <w:r w:rsidR="001B1968" w:rsidRPr="008875E4">
              <w:t xml:space="preserve">regularly with Comcare and met on three occasions (October, February and May) </w:t>
            </w:r>
            <w:r w:rsidRPr="008875E4">
              <w:t xml:space="preserve">to discuss joint licence holders and shared interests such as the management of human and organisational factors. </w:t>
            </w:r>
            <w:r w:rsidR="001B1968" w:rsidRPr="008875E4">
              <w:t xml:space="preserve">Comcare also contributed a training session at the Regulatory Services annual training day. </w:t>
            </w:r>
            <w:r w:rsidRPr="008875E4">
              <w:t xml:space="preserve">ARPANSA also continues to maintain close links with </w:t>
            </w:r>
            <w:r w:rsidR="00E20300" w:rsidRPr="008875E4">
              <w:t>A</w:t>
            </w:r>
            <w:r w:rsidR="00C50962" w:rsidRPr="008875E4">
              <w:t xml:space="preserve">ustralian </w:t>
            </w:r>
            <w:r w:rsidR="00E20300" w:rsidRPr="008875E4">
              <w:t>S</w:t>
            </w:r>
            <w:r w:rsidR="00C50962" w:rsidRPr="008875E4">
              <w:t xml:space="preserve">afeguards and </w:t>
            </w:r>
            <w:r w:rsidR="00E20300" w:rsidRPr="008875E4">
              <w:t>N</w:t>
            </w:r>
            <w:r w:rsidR="00C50962" w:rsidRPr="008875E4">
              <w:t xml:space="preserve">on-proliferation </w:t>
            </w:r>
            <w:r w:rsidR="00E20300" w:rsidRPr="008875E4">
              <w:t>O</w:t>
            </w:r>
            <w:r w:rsidR="00C50962" w:rsidRPr="008875E4">
              <w:t>ffice</w:t>
            </w:r>
            <w:r w:rsidR="00E20300" w:rsidRPr="008875E4">
              <w:t xml:space="preserve">. This collaboration avoids some duplication of requirements, facilitates the delivery of a shared message for safety and leads to improved understanding of respective requirements. </w:t>
            </w:r>
          </w:p>
          <w:p w14:paraId="7D71DC62" w14:textId="77777777" w:rsidR="003B4D69" w:rsidRPr="008875E4" w:rsidRDefault="00E20300" w:rsidP="00E2799E">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8875E4">
              <w:t xml:space="preserve">ARPANSA also works with </w:t>
            </w:r>
            <w:r w:rsidR="00E2799E" w:rsidRPr="008875E4">
              <w:t xml:space="preserve">and shares information with </w:t>
            </w:r>
            <w:r w:rsidRPr="008875E4">
              <w:t>state and territory radiation regulators</w:t>
            </w:r>
            <w:r w:rsidR="00E2799E" w:rsidRPr="008875E4">
              <w:t xml:space="preserve"> and</w:t>
            </w:r>
            <w:r w:rsidRPr="008875E4">
              <w:t xml:space="preserve"> regulatory groups such as the Commonwealth Regulator</w:t>
            </w:r>
            <w:r w:rsidR="004057DA" w:rsidRPr="008875E4">
              <w:t>y</w:t>
            </w:r>
            <w:r w:rsidRPr="008875E4">
              <w:t xml:space="preserve"> Science network</w:t>
            </w:r>
            <w:r w:rsidR="00E2799E" w:rsidRPr="008875E4">
              <w:t>.</w:t>
            </w:r>
          </w:p>
        </w:tc>
      </w:tr>
      <w:tr w:rsidR="000B0690" w:rsidRPr="00110D4B" w14:paraId="325D9AFD" w14:textId="77777777" w:rsidTr="00BA347B">
        <w:tc>
          <w:tcPr>
            <w:cnfStyle w:val="001000000000" w:firstRow="0" w:lastRow="0" w:firstColumn="1" w:lastColumn="0" w:oddVBand="0" w:evenVBand="0" w:oddHBand="0" w:evenHBand="0" w:firstRowFirstColumn="0" w:firstRowLastColumn="0" w:lastRowFirstColumn="0" w:lastRowLastColumn="0"/>
            <w:tcW w:w="0" w:type="pct"/>
            <w:gridSpan w:val="2"/>
            <w:tcBorders>
              <w:bottom w:val="single" w:sz="18" w:space="0" w:color="auto"/>
            </w:tcBorders>
            <w:shd w:val="clear" w:color="auto" w:fill="CDF1CD" w:themeFill="accent2" w:themeFillTint="33"/>
            <w:vAlign w:val="top"/>
          </w:tcPr>
          <w:p w14:paraId="41AA03B9" w14:textId="77777777" w:rsidR="000B0690" w:rsidRPr="000B0690" w:rsidRDefault="000B0690" w:rsidP="00CB69FE">
            <w:pPr>
              <w:spacing w:before="60"/>
              <w:jc w:val="left"/>
            </w:pPr>
            <w:r w:rsidRPr="000B0690">
              <w:rPr>
                <w:b w:val="0"/>
              </w:rPr>
              <w:t>Self-assessed rating:</w:t>
            </w:r>
            <w:r>
              <w:t xml:space="preserve"> </w:t>
            </w:r>
            <w:r w:rsidR="00CB69FE">
              <w:t>Met</w:t>
            </w:r>
          </w:p>
        </w:tc>
      </w:tr>
    </w:tbl>
    <w:p w14:paraId="4C0F9A06" w14:textId="77777777" w:rsidR="00F5034B" w:rsidRDefault="00F5034B" w:rsidP="00F5034B">
      <w:pPr>
        <w:pStyle w:val="Heading3"/>
      </w:pPr>
      <w:r>
        <w:t>Further evidence considered</w:t>
      </w:r>
    </w:p>
    <w:p w14:paraId="0D94C847" w14:textId="026749A7" w:rsidR="00B0073E" w:rsidRPr="008875E4" w:rsidRDefault="00B0073E" w:rsidP="00B0073E">
      <w:r w:rsidRPr="008875E4">
        <w:t xml:space="preserve">ARPANSA collects regulatory information about </w:t>
      </w:r>
      <w:r w:rsidR="008B7841" w:rsidRPr="008875E4">
        <w:t>the safety performance of licen</w:t>
      </w:r>
      <w:r w:rsidR="00046A1A" w:rsidRPr="008875E4">
        <w:t>se</w:t>
      </w:r>
      <w:r w:rsidRPr="008875E4">
        <w:t xml:space="preserve">es. This information is stored in </w:t>
      </w:r>
      <w:r w:rsidR="008B7841" w:rsidRPr="008875E4">
        <w:t xml:space="preserve">one or more of the following: the </w:t>
      </w:r>
      <w:r w:rsidRPr="008875E4">
        <w:t>record management system</w:t>
      </w:r>
      <w:r w:rsidR="008B7841" w:rsidRPr="008875E4">
        <w:t xml:space="preserve"> (</w:t>
      </w:r>
      <w:r w:rsidR="001977FB" w:rsidRPr="008875E4">
        <w:t>Content Manager</w:t>
      </w:r>
      <w:r w:rsidR="008B7841" w:rsidRPr="008875E4">
        <w:t>)</w:t>
      </w:r>
      <w:r w:rsidRPr="008875E4">
        <w:t>, a purpose</w:t>
      </w:r>
      <w:r w:rsidR="6B71811E" w:rsidRPr="008875E4">
        <w:t>-</w:t>
      </w:r>
      <w:r w:rsidRPr="008875E4">
        <w:t>built database (L</w:t>
      </w:r>
      <w:r w:rsidR="00C50962" w:rsidRPr="008875E4">
        <w:t xml:space="preserve">icence </w:t>
      </w:r>
      <w:r w:rsidRPr="008875E4">
        <w:t>A</w:t>
      </w:r>
      <w:r w:rsidR="00C50962" w:rsidRPr="008875E4">
        <w:t xml:space="preserve">dministration </w:t>
      </w:r>
      <w:r w:rsidRPr="008875E4">
        <w:t>D</w:t>
      </w:r>
      <w:r w:rsidR="00C50962" w:rsidRPr="008875E4">
        <w:t>atabase</w:t>
      </w:r>
      <w:r w:rsidRPr="008875E4">
        <w:t>), the branch intranet page</w:t>
      </w:r>
      <w:r w:rsidR="008B7841" w:rsidRPr="008875E4">
        <w:t xml:space="preserve"> (ISAAC)</w:t>
      </w:r>
      <w:r w:rsidRPr="008875E4">
        <w:t xml:space="preserve"> and </w:t>
      </w:r>
      <w:r w:rsidR="007829E9" w:rsidRPr="008875E4">
        <w:t>ad hoc tools such as</w:t>
      </w:r>
      <w:r w:rsidRPr="008875E4">
        <w:t xml:space="preserve"> spreadsheets. </w:t>
      </w:r>
      <w:r w:rsidR="00465DB0" w:rsidRPr="008875E4">
        <w:t xml:space="preserve">The limited functionality of the current system </w:t>
      </w:r>
      <w:r w:rsidR="00C41C83" w:rsidRPr="008875E4">
        <w:t>has been identified as an area for improvement</w:t>
      </w:r>
      <w:r w:rsidR="00465DB0" w:rsidRPr="008875E4">
        <w:t xml:space="preserve">. </w:t>
      </w:r>
      <w:r w:rsidR="007829E9" w:rsidRPr="008875E4">
        <w:t>F</w:t>
      </w:r>
      <w:r w:rsidR="00BF054E" w:rsidRPr="008875E4">
        <w:t>unctionality such as dashboards</w:t>
      </w:r>
      <w:r w:rsidR="007829E9" w:rsidRPr="008875E4">
        <w:t>,</w:t>
      </w:r>
      <w:r w:rsidR="00BF054E" w:rsidRPr="008875E4">
        <w:t xml:space="preserve"> </w:t>
      </w:r>
      <w:r w:rsidR="007829E9" w:rsidRPr="008875E4">
        <w:t xml:space="preserve">would </w:t>
      </w:r>
      <w:r w:rsidR="00465DB0" w:rsidRPr="008875E4">
        <w:t xml:space="preserve">reduce the reliance on individual memory and </w:t>
      </w:r>
      <w:r w:rsidR="007829E9" w:rsidRPr="008875E4">
        <w:t xml:space="preserve">assist officers and managers to </w:t>
      </w:r>
      <w:r w:rsidR="00465DB0" w:rsidRPr="008875E4">
        <w:t xml:space="preserve">efficiently </w:t>
      </w:r>
      <w:r w:rsidR="007829E9" w:rsidRPr="008875E4">
        <w:t>maintain overs</w:t>
      </w:r>
      <w:r w:rsidR="00465DB0" w:rsidRPr="008875E4">
        <w:t>ight.</w:t>
      </w:r>
      <w:r w:rsidR="00B6652C" w:rsidRPr="008875E4">
        <w:t xml:space="preserve"> </w:t>
      </w:r>
      <w:r w:rsidR="00465DB0" w:rsidRPr="008875E4">
        <w:t>Desired features include a licence holder interface for self-reporting, automated calculation of</w:t>
      </w:r>
      <w:r w:rsidR="00BF054E" w:rsidRPr="008875E4">
        <w:t xml:space="preserve"> fees, </w:t>
      </w:r>
      <w:r w:rsidR="00B6652C" w:rsidRPr="008875E4">
        <w:t>generat</w:t>
      </w:r>
      <w:r w:rsidR="00465DB0" w:rsidRPr="008875E4">
        <w:t>ion</w:t>
      </w:r>
      <w:r w:rsidR="00B6652C" w:rsidRPr="008875E4">
        <w:t xml:space="preserve"> </w:t>
      </w:r>
      <w:r w:rsidR="001977FB" w:rsidRPr="008875E4">
        <w:t xml:space="preserve">of </w:t>
      </w:r>
      <w:r w:rsidR="00BF054E" w:rsidRPr="008875E4">
        <w:t>licence</w:t>
      </w:r>
      <w:r w:rsidR="00B6652C" w:rsidRPr="008875E4">
        <w:t xml:space="preserve"> documents</w:t>
      </w:r>
      <w:r w:rsidR="00465DB0" w:rsidRPr="008875E4">
        <w:t xml:space="preserve">, analysis of </w:t>
      </w:r>
      <w:r w:rsidR="00BF054E" w:rsidRPr="008875E4">
        <w:t>inspection outcomes,</w:t>
      </w:r>
      <w:r w:rsidR="00B6652C" w:rsidRPr="008875E4">
        <w:t xml:space="preserve"> </w:t>
      </w:r>
      <w:r w:rsidR="002E0211" w:rsidRPr="008875E4">
        <w:t xml:space="preserve">or generate </w:t>
      </w:r>
      <w:r w:rsidR="007829E9" w:rsidRPr="008875E4">
        <w:t>report</w:t>
      </w:r>
      <w:r w:rsidR="002E0211" w:rsidRPr="008875E4">
        <w:t>s</w:t>
      </w:r>
      <w:r w:rsidR="007829E9" w:rsidRPr="008875E4">
        <w:t xml:space="preserve"> and </w:t>
      </w:r>
      <w:r w:rsidR="00B6652C" w:rsidRPr="008875E4">
        <w:t>inventory</w:t>
      </w:r>
      <w:r w:rsidR="007829E9" w:rsidRPr="008875E4">
        <w:t xml:space="preserve"> updates</w:t>
      </w:r>
      <w:r w:rsidR="00B6652C" w:rsidRPr="008875E4">
        <w:t xml:space="preserve"> </w:t>
      </w:r>
      <w:r w:rsidR="00BF054E" w:rsidRPr="008875E4">
        <w:t xml:space="preserve">without the use of additional programs (e.g. </w:t>
      </w:r>
      <w:r w:rsidR="00E967A4" w:rsidRPr="008875E4">
        <w:t xml:space="preserve">via </w:t>
      </w:r>
      <w:r w:rsidR="00BF054E" w:rsidRPr="008875E4">
        <w:t>spreadsheets).</w:t>
      </w:r>
    </w:p>
    <w:p w14:paraId="1FD3F515" w14:textId="50C14461" w:rsidR="00BF054E" w:rsidRPr="008875E4" w:rsidRDefault="00BF054E" w:rsidP="00BF054E">
      <w:pPr>
        <w:autoSpaceDE w:val="0"/>
        <w:autoSpaceDN w:val="0"/>
        <w:adjustRightInd w:val="0"/>
        <w:spacing w:after="120"/>
        <w:rPr>
          <w:rFonts w:cs="Times New Roman"/>
          <w:lang w:eastAsia="en-AU"/>
        </w:rPr>
      </w:pPr>
      <w:r w:rsidRPr="008875E4">
        <w:rPr>
          <w:rFonts w:cs="Times New Roman"/>
          <w:lang w:eastAsia="en-AU"/>
        </w:rPr>
        <w:t xml:space="preserve">A </w:t>
      </w:r>
      <w:r w:rsidR="007829E9" w:rsidRPr="008875E4">
        <w:rPr>
          <w:rFonts w:cs="Times New Roman"/>
          <w:lang w:eastAsia="en-AU"/>
        </w:rPr>
        <w:t>quarterly and annual</w:t>
      </w:r>
      <w:r w:rsidRPr="008875E4">
        <w:rPr>
          <w:rFonts w:cs="Times New Roman"/>
          <w:lang w:eastAsia="en-AU"/>
        </w:rPr>
        <w:t xml:space="preserve"> analysis of </w:t>
      </w:r>
      <w:r w:rsidR="007829E9" w:rsidRPr="008875E4">
        <w:rPr>
          <w:rFonts w:cs="Times New Roman"/>
          <w:lang w:eastAsia="en-AU"/>
        </w:rPr>
        <w:t>Inspection findings (</w:t>
      </w:r>
      <w:r w:rsidRPr="008875E4">
        <w:rPr>
          <w:rFonts w:cs="Times New Roman"/>
          <w:lang w:eastAsia="en-AU"/>
        </w:rPr>
        <w:t>AFIs, potential non-compliances, and good practices</w:t>
      </w:r>
      <w:r w:rsidR="007829E9" w:rsidRPr="008875E4">
        <w:rPr>
          <w:rFonts w:cs="Times New Roman"/>
          <w:lang w:eastAsia="en-AU"/>
        </w:rPr>
        <w:t>)</w:t>
      </w:r>
      <w:r w:rsidRPr="008875E4">
        <w:rPr>
          <w:rFonts w:cs="Times New Roman"/>
          <w:lang w:eastAsia="en-AU"/>
        </w:rPr>
        <w:t xml:space="preserve"> is </w:t>
      </w:r>
      <w:r w:rsidR="007829E9" w:rsidRPr="008875E4">
        <w:rPr>
          <w:rFonts w:cs="Times New Roman"/>
          <w:lang w:eastAsia="en-AU"/>
        </w:rPr>
        <w:t>sent to staff via email</w:t>
      </w:r>
      <w:r w:rsidRPr="008875E4">
        <w:rPr>
          <w:rFonts w:cs="Times New Roman"/>
          <w:lang w:eastAsia="en-AU"/>
        </w:rPr>
        <w:t xml:space="preserve">. This </w:t>
      </w:r>
      <w:r w:rsidR="007829E9" w:rsidRPr="008875E4">
        <w:rPr>
          <w:rFonts w:cs="Times New Roman"/>
          <w:lang w:eastAsia="en-AU"/>
        </w:rPr>
        <w:t xml:space="preserve">helps to </w:t>
      </w:r>
      <w:r w:rsidRPr="008875E4">
        <w:rPr>
          <w:rFonts w:cs="Times New Roman"/>
          <w:lang w:eastAsia="en-AU"/>
        </w:rPr>
        <w:t xml:space="preserve">monitor trends and identify </w:t>
      </w:r>
      <w:r w:rsidRPr="008875E4">
        <w:rPr>
          <w:rFonts w:cs="Times New Roman"/>
          <w:lang w:eastAsia="en-AU"/>
        </w:rPr>
        <w:lastRenderedPageBreak/>
        <w:t xml:space="preserve">emerging issues. </w:t>
      </w:r>
      <w:r w:rsidR="007829E9" w:rsidRPr="008875E4">
        <w:rPr>
          <w:rFonts w:cs="Times New Roman"/>
          <w:lang w:eastAsia="en-AU"/>
        </w:rPr>
        <w:t>The o</w:t>
      </w:r>
      <w:r w:rsidRPr="008875E4">
        <w:rPr>
          <w:rFonts w:cs="Times New Roman"/>
          <w:lang w:eastAsia="en-AU"/>
        </w:rPr>
        <w:t xml:space="preserve">utcome of </w:t>
      </w:r>
      <w:r w:rsidR="007829E9" w:rsidRPr="008875E4">
        <w:rPr>
          <w:rFonts w:cs="Times New Roman"/>
          <w:lang w:eastAsia="en-AU"/>
        </w:rPr>
        <w:t xml:space="preserve">this </w:t>
      </w:r>
      <w:r w:rsidRPr="008875E4">
        <w:rPr>
          <w:rFonts w:cs="Times New Roman"/>
          <w:lang w:eastAsia="en-AU"/>
        </w:rPr>
        <w:t xml:space="preserve">analysis </w:t>
      </w:r>
      <w:r w:rsidR="007829E9" w:rsidRPr="008875E4">
        <w:rPr>
          <w:rFonts w:cs="Times New Roman"/>
          <w:lang w:eastAsia="en-AU"/>
        </w:rPr>
        <w:t xml:space="preserve">is </w:t>
      </w:r>
      <w:r w:rsidRPr="008875E4">
        <w:rPr>
          <w:rFonts w:cs="Times New Roman"/>
          <w:lang w:eastAsia="en-AU"/>
        </w:rPr>
        <w:t xml:space="preserve">made available to licence holders through the </w:t>
      </w:r>
      <w:hyperlink r:id="rId37">
        <w:r w:rsidRPr="008875E4">
          <w:rPr>
            <w:rStyle w:val="Hyperlink"/>
            <w:rFonts w:cs="Times New Roman"/>
            <w:color w:val="4E1A74" w:themeColor="text2"/>
            <w:lang w:eastAsia="en-AU"/>
          </w:rPr>
          <w:t>ARPANSA website</w:t>
        </w:r>
      </w:hyperlink>
      <w:r w:rsidR="007829E9" w:rsidRPr="008875E4">
        <w:rPr>
          <w:rFonts w:cs="Times New Roman"/>
          <w:lang w:eastAsia="en-AU"/>
        </w:rPr>
        <w:t xml:space="preserve">, and </w:t>
      </w:r>
      <w:r w:rsidR="001977FB" w:rsidRPr="008875E4">
        <w:rPr>
          <w:rFonts w:cs="Times New Roman"/>
          <w:lang w:eastAsia="en-AU"/>
        </w:rPr>
        <w:t xml:space="preserve">is </w:t>
      </w:r>
      <w:r w:rsidR="007829E9" w:rsidRPr="008875E4">
        <w:rPr>
          <w:rFonts w:cs="Times New Roman"/>
          <w:lang w:eastAsia="en-AU"/>
        </w:rPr>
        <w:t>discussed at forums,</w:t>
      </w:r>
      <w:r w:rsidRPr="008875E4">
        <w:rPr>
          <w:rFonts w:cs="Times New Roman"/>
          <w:lang w:eastAsia="en-AU"/>
        </w:rPr>
        <w:t xml:space="preserve"> so that they may review </w:t>
      </w:r>
      <w:r w:rsidR="00C41C83" w:rsidRPr="008875E4">
        <w:rPr>
          <w:rFonts w:cs="Times New Roman"/>
          <w:lang w:eastAsia="en-AU"/>
        </w:rPr>
        <w:t xml:space="preserve">and compare </w:t>
      </w:r>
      <w:r w:rsidRPr="008875E4">
        <w:rPr>
          <w:rFonts w:cs="Times New Roman"/>
          <w:lang w:eastAsia="en-AU"/>
        </w:rPr>
        <w:t xml:space="preserve">their operations for similar </w:t>
      </w:r>
      <w:r w:rsidR="007829E9" w:rsidRPr="008875E4">
        <w:rPr>
          <w:rFonts w:cs="Times New Roman"/>
          <w:lang w:eastAsia="en-AU"/>
        </w:rPr>
        <w:t>issues</w:t>
      </w:r>
      <w:r w:rsidRPr="008875E4">
        <w:rPr>
          <w:rFonts w:cs="Times New Roman"/>
          <w:lang w:eastAsia="en-AU"/>
        </w:rPr>
        <w:t>.</w:t>
      </w:r>
    </w:p>
    <w:p w14:paraId="216DDD54" w14:textId="77777777" w:rsidR="00FE4E2B" w:rsidRPr="008875E4" w:rsidRDefault="00FE4E2B" w:rsidP="00FE4E2B">
      <w:r w:rsidRPr="008875E4">
        <w:t xml:space="preserve">ARPANSA has </w:t>
      </w:r>
      <w:r w:rsidR="000F28C7" w:rsidRPr="008875E4">
        <w:t>established</w:t>
      </w:r>
      <w:r w:rsidRPr="008875E4">
        <w:t xml:space="preserve"> MOUs with other regulatory agencies, such as Comcare</w:t>
      </w:r>
      <w:r w:rsidR="000F28C7" w:rsidRPr="008875E4">
        <w:t xml:space="preserve"> and state and territory radiation regulators</w:t>
      </w:r>
      <w:r w:rsidRPr="008875E4">
        <w:t xml:space="preserve">. ARPANSA has been working with Comcare </w:t>
      </w:r>
      <w:r w:rsidR="000F28C7" w:rsidRPr="008875E4">
        <w:t xml:space="preserve">in matters of shared interests and regularly meets to discuss specific information on incidents and accidents and the outcomes of regulatory oversight generally. </w:t>
      </w:r>
      <w:r w:rsidRPr="008875E4">
        <w:t xml:space="preserve">This is a benefit to licence holders as there is a single clear message from both regulators without duplication of effort, while maintaining the independence of the regulators. </w:t>
      </w:r>
    </w:p>
    <w:p w14:paraId="0ED0A9EC" w14:textId="0DAD4CC6" w:rsidR="00347CA0" w:rsidRPr="008875E4" w:rsidRDefault="00347CA0" w:rsidP="00FE4E2B">
      <w:r w:rsidRPr="008875E4">
        <w:t>ARPANSA has introduced an improved system for on-boarding of regulatory staff that is designed to ensure that each has the necessary b</w:t>
      </w:r>
      <w:r w:rsidR="00C41C83" w:rsidRPr="008875E4">
        <w:t>aseline administrative and wide-</w:t>
      </w:r>
      <w:r w:rsidRPr="008875E4">
        <w:t>ranging technical knowledge to undertake inspections. Staff need to demonstrate this knowledge before they are appointed as inspectors.</w:t>
      </w:r>
    </w:p>
    <w:p w14:paraId="7613845E" w14:textId="77777777" w:rsidR="00F5034B" w:rsidRDefault="00F5034B" w:rsidP="00F5034B">
      <w:pPr>
        <w:pStyle w:val="Heading3"/>
      </w:pPr>
      <w:r>
        <w:t>Identified opportunities for improvement</w:t>
      </w:r>
    </w:p>
    <w:p w14:paraId="65CA0ED8" w14:textId="77777777" w:rsidR="00C75245" w:rsidRDefault="00C75245" w:rsidP="000C7998">
      <w:pPr>
        <w:pStyle w:val="Heading4"/>
        <w:rPr>
          <w:rFonts w:asciiTheme="minorHAnsi" w:hAnsiTheme="minorHAnsi"/>
          <w:iCs w:val="0"/>
          <w:color w:val="4E1A74"/>
        </w:rPr>
      </w:pPr>
      <w:r>
        <w:rPr>
          <w:rFonts w:asciiTheme="minorHAnsi" w:hAnsiTheme="minorHAnsi"/>
          <w:iCs w:val="0"/>
          <w:color w:val="4E1A74"/>
        </w:rPr>
        <w:t>Approach to leadership and management for safety</w:t>
      </w:r>
    </w:p>
    <w:p w14:paraId="13A868B0" w14:textId="38FC7BE3" w:rsidR="00C75245" w:rsidRPr="008875E4" w:rsidRDefault="00A75226" w:rsidP="00E7708B">
      <w:pPr>
        <w:spacing w:before="0"/>
      </w:pPr>
      <w:r w:rsidRPr="008875E4">
        <w:t>In 2012,</w:t>
      </w:r>
      <w:r w:rsidR="00E7708B" w:rsidRPr="008875E4">
        <w:t xml:space="preserve"> </w:t>
      </w:r>
      <w:r w:rsidR="00DC5F87" w:rsidRPr="008875E4">
        <w:t>ARPANSA adopted a</w:t>
      </w:r>
      <w:r w:rsidR="00C75245" w:rsidRPr="008875E4">
        <w:t xml:space="preserve"> holistic approach to safety that considers human and organisational aspects to safety alongside technical </w:t>
      </w:r>
      <w:r w:rsidR="00DB05CA" w:rsidRPr="008875E4">
        <w:t xml:space="preserve">factors. This </w:t>
      </w:r>
      <w:r w:rsidR="00C5556E" w:rsidRPr="008875E4">
        <w:t xml:space="preserve">approach </w:t>
      </w:r>
      <w:r w:rsidR="00DC5F87" w:rsidRPr="008875E4">
        <w:t>is consistent with international standards</w:t>
      </w:r>
      <w:r w:rsidR="00DB05CA" w:rsidRPr="008875E4">
        <w:t xml:space="preserve"> and is </w:t>
      </w:r>
      <w:r w:rsidR="00E7708B" w:rsidRPr="008875E4">
        <w:t xml:space="preserve">recognised as </w:t>
      </w:r>
      <w:r w:rsidR="0205D789" w:rsidRPr="008875E4">
        <w:t xml:space="preserve">an </w:t>
      </w:r>
      <w:r w:rsidRPr="008875E4">
        <w:t>effective approach in</w:t>
      </w:r>
      <w:r w:rsidR="1DF4A07B" w:rsidRPr="008875E4">
        <w:t xml:space="preserve"> addressing</w:t>
      </w:r>
      <w:r w:rsidR="00DB05CA" w:rsidRPr="008875E4">
        <w:t xml:space="preserve"> the underlying issues that </w:t>
      </w:r>
      <w:r w:rsidR="00E7708B" w:rsidRPr="008875E4">
        <w:t xml:space="preserve">are needed to </w:t>
      </w:r>
      <w:r w:rsidR="00DB05CA" w:rsidRPr="008875E4">
        <w:t>support safe operations</w:t>
      </w:r>
      <w:r w:rsidR="00C75245" w:rsidRPr="008875E4">
        <w:t xml:space="preserve">. </w:t>
      </w:r>
      <w:r w:rsidR="00DC5F87" w:rsidRPr="008875E4">
        <w:t xml:space="preserve">However, it was found that there are varying </w:t>
      </w:r>
      <w:r w:rsidR="00BA7EEF" w:rsidRPr="008875E4">
        <w:t>approaches and abilities in the regulatory</w:t>
      </w:r>
      <w:r w:rsidR="00DB05CA" w:rsidRPr="008875E4">
        <w:t xml:space="preserve"> team in the </w:t>
      </w:r>
      <w:r w:rsidR="00BA7EEF" w:rsidRPr="008875E4">
        <w:t>application of the human and organisational factors</w:t>
      </w:r>
      <w:r w:rsidR="00DB05CA" w:rsidRPr="008875E4">
        <w:t xml:space="preserve">. </w:t>
      </w:r>
      <w:r w:rsidR="00E7708B" w:rsidRPr="008875E4">
        <w:t>T</w:t>
      </w:r>
      <w:r w:rsidR="00DB05CA" w:rsidRPr="008875E4">
        <w:t xml:space="preserve">here </w:t>
      </w:r>
      <w:r w:rsidR="00E7708B" w:rsidRPr="008875E4">
        <w:t xml:space="preserve">was also </w:t>
      </w:r>
      <w:r w:rsidR="00DB05CA" w:rsidRPr="008875E4">
        <w:t xml:space="preserve">a range of opinions amongst the staff of licence holders with some suggesting that ARPANSA should deal with front line issues rather than higher level human and organisational factors. The assessment concluded that further </w:t>
      </w:r>
      <w:r w:rsidR="00E7708B" w:rsidRPr="008875E4">
        <w:t xml:space="preserve">work </w:t>
      </w:r>
      <w:r w:rsidRPr="008875E4">
        <w:t xml:space="preserve">is needed </w:t>
      </w:r>
      <w:r w:rsidR="00E7708B" w:rsidRPr="008875E4">
        <w:t>to improve the delivery of ARPANSA’s holistic approach to safety and to inform licen</w:t>
      </w:r>
      <w:r w:rsidR="001977FB" w:rsidRPr="008875E4">
        <w:t>s</w:t>
      </w:r>
      <w:r w:rsidR="00E7708B" w:rsidRPr="008875E4">
        <w:t>ed entities of its importance. It was noted that ARPANSA has recently employed additional specialist resources to this area.</w:t>
      </w:r>
    </w:p>
    <w:p w14:paraId="3EC4D0D9" w14:textId="77777777" w:rsidR="000C7998" w:rsidRPr="00347CA0" w:rsidRDefault="000C7998" w:rsidP="000C7998">
      <w:pPr>
        <w:pStyle w:val="Heading4"/>
        <w:rPr>
          <w:rFonts w:asciiTheme="minorHAnsi" w:hAnsiTheme="minorHAnsi"/>
          <w:iCs w:val="0"/>
          <w:color w:val="4E1A74"/>
        </w:rPr>
      </w:pPr>
      <w:r w:rsidRPr="00347CA0">
        <w:rPr>
          <w:rFonts w:asciiTheme="minorHAnsi" w:hAnsiTheme="minorHAnsi"/>
          <w:iCs w:val="0"/>
          <w:color w:val="4E1A74"/>
        </w:rPr>
        <w:t>Data management</w:t>
      </w:r>
    </w:p>
    <w:p w14:paraId="1F8CF56B" w14:textId="77777777" w:rsidR="000C7998" w:rsidRPr="008875E4" w:rsidRDefault="000C7998" w:rsidP="000C7998">
      <w:pPr>
        <w:spacing w:before="0"/>
        <w:rPr>
          <w:rFonts w:cs="Arial"/>
          <w:szCs w:val="24"/>
        </w:rPr>
      </w:pPr>
      <w:r w:rsidRPr="008875E4">
        <w:rPr>
          <w:rFonts w:cs="Arial"/>
          <w:szCs w:val="24"/>
        </w:rPr>
        <w:t>As identified under KPI1</w:t>
      </w:r>
      <w:r w:rsidR="000F28C7" w:rsidRPr="008875E4">
        <w:rPr>
          <w:rFonts w:cs="Arial"/>
          <w:szCs w:val="24"/>
        </w:rPr>
        <w:t xml:space="preserve"> and reported in previous sel</w:t>
      </w:r>
      <w:r w:rsidR="00C51DD3" w:rsidRPr="008875E4">
        <w:rPr>
          <w:rFonts w:cs="Arial"/>
          <w:szCs w:val="24"/>
        </w:rPr>
        <w:t>f</w:t>
      </w:r>
      <w:r w:rsidR="000F28C7" w:rsidRPr="008875E4">
        <w:rPr>
          <w:rFonts w:cs="Arial"/>
          <w:szCs w:val="24"/>
        </w:rPr>
        <w:t>-assessments</w:t>
      </w:r>
      <w:r w:rsidRPr="008875E4">
        <w:rPr>
          <w:rFonts w:cs="Arial"/>
          <w:szCs w:val="24"/>
        </w:rPr>
        <w:t xml:space="preserve">, </w:t>
      </w:r>
      <w:r w:rsidR="00281E4A" w:rsidRPr="008875E4">
        <w:rPr>
          <w:rFonts w:cs="Arial"/>
          <w:szCs w:val="24"/>
        </w:rPr>
        <w:t>d</w:t>
      </w:r>
      <w:r w:rsidRPr="008875E4">
        <w:rPr>
          <w:rFonts w:cs="Arial"/>
          <w:szCs w:val="24"/>
        </w:rPr>
        <w:t xml:space="preserve">ata </w:t>
      </w:r>
      <w:r w:rsidR="00C51DD3" w:rsidRPr="008875E4">
        <w:rPr>
          <w:rFonts w:cs="Arial"/>
          <w:szCs w:val="24"/>
        </w:rPr>
        <w:t>is</w:t>
      </w:r>
      <w:r w:rsidRPr="008875E4">
        <w:rPr>
          <w:rFonts w:cs="Arial"/>
          <w:szCs w:val="24"/>
        </w:rPr>
        <w:t xml:space="preserve"> fragmented across different sources and management tools. </w:t>
      </w:r>
      <w:r w:rsidR="00C51DD3" w:rsidRPr="008875E4">
        <w:rPr>
          <w:rFonts w:cs="Arial"/>
          <w:szCs w:val="24"/>
        </w:rPr>
        <w:t>A</w:t>
      </w:r>
      <w:r w:rsidRPr="008875E4">
        <w:rPr>
          <w:rFonts w:cs="Arial"/>
          <w:szCs w:val="24"/>
        </w:rPr>
        <w:t xml:space="preserve"> project to replace the </w:t>
      </w:r>
      <w:r w:rsidR="00C51DD3" w:rsidRPr="008875E4">
        <w:rPr>
          <w:rFonts w:cs="Arial"/>
          <w:szCs w:val="24"/>
        </w:rPr>
        <w:t xml:space="preserve">ARPANSA </w:t>
      </w:r>
      <w:r w:rsidRPr="008875E4">
        <w:rPr>
          <w:rFonts w:cs="Arial"/>
          <w:szCs w:val="24"/>
        </w:rPr>
        <w:t>platforms and systems</w:t>
      </w:r>
      <w:r w:rsidR="00281E4A" w:rsidRPr="008875E4">
        <w:rPr>
          <w:rFonts w:cs="Arial"/>
          <w:szCs w:val="24"/>
        </w:rPr>
        <w:t xml:space="preserve"> </w:t>
      </w:r>
      <w:r w:rsidR="00C51DD3" w:rsidRPr="008875E4">
        <w:rPr>
          <w:rFonts w:cs="Arial"/>
          <w:szCs w:val="24"/>
        </w:rPr>
        <w:t>framework is now underway but work on the regulatory administration aspects of this has not started.</w:t>
      </w:r>
    </w:p>
    <w:p w14:paraId="7DAFC283" w14:textId="77777777" w:rsidR="00561938" w:rsidRDefault="00561938"/>
    <w:p w14:paraId="5AC62814" w14:textId="77777777" w:rsidR="00561938" w:rsidRDefault="00561938" w:rsidP="00561938">
      <w:pPr>
        <w:pStyle w:val="Heading2"/>
      </w:pPr>
      <w:bookmarkStart w:id="56" w:name="_Toc12884004"/>
      <w:bookmarkStart w:id="57" w:name="_Toc23846611"/>
      <w:bookmarkStart w:id="58" w:name="_Toc58918583"/>
      <w:r w:rsidRPr="00110D4B">
        <w:t>KPI 5 - Regulators are open and transparent in their dealing</w:t>
      </w:r>
      <w:r>
        <w:t>s</w:t>
      </w:r>
      <w:r w:rsidRPr="00110D4B">
        <w:t xml:space="preserve"> with regulated entities</w:t>
      </w:r>
      <w:bookmarkEnd w:id="56"/>
      <w:bookmarkEnd w:id="57"/>
      <w:bookmarkEnd w:id="58"/>
    </w:p>
    <w:p w14:paraId="7EFC7748" w14:textId="77777777" w:rsidR="003B5567" w:rsidRDefault="003B5567" w:rsidP="003B5567">
      <w:pPr>
        <w:pStyle w:val="Heading3"/>
        <w:rPr>
          <w:lang w:eastAsia="en-AU"/>
        </w:rPr>
      </w:pPr>
      <w:r>
        <w:rPr>
          <w:lang w:eastAsia="en-AU"/>
        </w:rPr>
        <w:t>ARPANSA’s Objectives/Claims for KPI 5</w:t>
      </w:r>
    </w:p>
    <w:p w14:paraId="3678F433" w14:textId="77777777" w:rsidR="00B15317" w:rsidRPr="008875E4" w:rsidRDefault="00B15317" w:rsidP="00B15317">
      <w:pPr>
        <w:autoSpaceDE w:val="0"/>
        <w:autoSpaceDN w:val="0"/>
        <w:adjustRightInd w:val="0"/>
        <w:spacing w:after="120"/>
        <w:rPr>
          <w:rFonts w:cs="Times New Roman"/>
          <w:bCs/>
          <w:szCs w:val="24"/>
          <w:lang w:eastAsia="en-AU"/>
        </w:rPr>
      </w:pPr>
      <w:r w:rsidRPr="008875E4">
        <w:rPr>
          <w:rFonts w:cs="Times New Roman"/>
          <w:bCs/>
          <w:szCs w:val="24"/>
          <w:lang w:eastAsia="en-AU"/>
        </w:rPr>
        <w:t xml:space="preserve">ARPANSA </w:t>
      </w:r>
      <w:r w:rsidR="00FE7DE6" w:rsidRPr="008875E4">
        <w:rPr>
          <w:rFonts w:cs="Times New Roman"/>
          <w:bCs/>
          <w:szCs w:val="24"/>
          <w:lang w:eastAsia="en-AU"/>
        </w:rPr>
        <w:t>is</w:t>
      </w:r>
      <w:r w:rsidRPr="008875E4">
        <w:rPr>
          <w:rFonts w:cs="Times New Roman"/>
          <w:bCs/>
          <w:szCs w:val="24"/>
          <w:lang w:eastAsia="en-AU"/>
        </w:rPr>
        <w:t xml:space="preserve"> open and transparent in its approach to regulation and regulatory outcomes. This is important to promote consistent high standards of regulation, to </w:t>
      </w:r>
      <w:r w:rsidRPr="008875E4">
        <w:t>build and maintain an honest and respectful dialogue</w:t>
      </w:r>
      <w:r w:rsidRPr="008875E4">
        <w:rPr>
          <w:rFonts w:cs="Times New Roman"/>
          <w:bCs/>
          <w:szCs w:val="24"/>
          <w:lang w:eastAsia="en-AU"/>
        </w:rPr>
        <w:t xml:space="preserve"> with all licence holders</w:t>
      </w:r>
      <w:r w:rsidR="003B5567" w:rsidRPr="008875E4">
        <w:rPr>
          <w:rFonts w:cs="Times New Roman"/>
          <w:bCs/>
          <w:szCs w:val="24"/>
          <w:lang w:eastAsia="en-AU"/>
        </w:rPr>
        <w:t xml:space="preserve"> and to provide confidence to the public</w:t>
      </w:r>
      <w:r w:rsidRPr="008875E4">
        <w:rPr>
          <w:rFonts w:cs="Times New Roman"/>
          <w:bCs/>
          <w:szCs w:val="24"/>
          <w:lang w:eastAsia="en-AU"/>
        </w:rPr>
        <w:t xml:space="preserve">. </w:t>
      </w:r>
    </w:p>
    <w:p w14:paraId="593D29DC" w14:textId="7C3CE161" w:rsidR="00FE7DE6" w:rsidRPr="008875E4" w:rsidRDefault="00FE7DE6" w:rsidP="00FE7DE6">
      <w:pPr>
        <w:autoSpaceDE w:val="0"/>
        <w:autoSpaceDN w:val="0"/>
        <w:adjustRightInd w:val="0"/>
        <w:spacing w:after="120"/>
        <w:rPr>
          <w:rFonts w:cs="Times New Roman"/>
          <w:bCs/>
          <w:szCs w:val="24"/>
          <w:lang w:eastAsia="en-AU"/>
        </w:rPr>
      </w:pPr>
      <w:r w:rsidRPr="008875E4">
        <w:rPr>
          <w:rFonts w:cs="Times New Roman"/>
          <w:bCs/>
          <w:szCs w:val="24"/>
          <w:lang w:eastAsia="en-AU"/>
        </w:rPr>
        <w:t xml:space="preserve">ARPANSA’s website provides extensive information on how it operates its regulatory </w:t>
      </w:r>
      <w:r w:rsidR="00C41C83" w:rsidRPr="008875E4">
        <w:rPr>
          <w:rFonts w:cs="Times New Roman"/>
          <w:bCs/>
          <w:szCs w:val="24"/>
          <w:lang w:eastAsia="en-AU"/>
        </w:rPr>
        <w:t>activities</w:t>
      </w:r>
      <w:r w:rsidRPr="008875E4">
        <w:rPr>
          <w:rFonts w:cs="Times New Roman"/>
          <w:bCs/>
          <w:szCs w:val="24"/>
          <w:lang w:eastAsia="en-AU"/>
        </w:rPr>
        <w:t>. At a top level its publications include it</w:t>
      </w:r>
      <w:r w:rsidR="001977FB" w:rsidRPr="008875E4">
        <w:rPr>
          <w:rFonts w:cs="Times New Roman"/>
          <w:bCs/>
          <w:szCs w:val="24"/>
          <w:lang w:eastAsia="en-AU"/>
        </w:rPr>
        <w:t>s</w:t>
      </w:r>
      <w:r w:rsidRPr="008875E4">
        <w:rPr>
          <w:rFonts w:cs="Times New Roman"/>
          <w:bCs/>
          <w:szCs w:val="24"/>
          <w:lang w:eastAsia="en-AU"/>
        </w:rPr>
        <w:t xml:space="preserve"> </w:t>
      </w:r>
      <w:hyperlink r:id="rId38" w:history="1">
        <w:r w:rsidRPr="008875E4">
          <w:rPr>
            <w:rStyle w:val="Hyperlink"/>
            <w:rFonts w:cs="Times New Roman"/>
            <w:bCs/>
            <w:color w:val="4E1A74" w:themeColor="text2"/>
            <w:szCs w:val="24"/>
            <w:lang w:eastAsia="en-AU"/>
          </w:rPr>
          <w:t>Corporate Plan</w:t>
        </w:r>
      </w:hyperlink>
      <w:r w:rsidR="00C41C83" w:rsidRPr="008875E4">
        <w:rPr>
          <w:rStyle w:val="Hyperlink"/>
          <w:rFonts w:cs="Times New Roman"/>
          <w:bCs/>
          <w:color w:val="444444"/>
          <w:szCs w:val="24"/>
          <w:lang w:eastAsia="en-AU"/>
        </w:rPr>
        <w:t>,</w:t>
      </w:r>
      <w:r w:rsidRPr="008875E4">
        <w:rPr>
          <w:rFonts w:cs="Times New Roman"/>
          <w:bCs/>
          <w:szCs w:val="24"/>
          <w:lang w:eastAsia="en-AU"/>
        </w:rPr>
        <w:t xml:space="preserve"> </w:t>
      </w:r>
      <w:hyperlink r:id="rId39" w:history="1">
        <w:r w:rsidRPr="008875E4">
          <w:rPr>
            <w:rStyle w:val="Hyperlink"/>
            <w:rFonts w:cs="Times New Roman"/>
            <w:bCs/>
            <w:color w:val="4E1A74" w:themeColor="text2"/>
            <w:szCs w:val="24"/>
            <w:lang w:eastAsia="en-AU"/>
          </w:rPr>
          <w:t>Annual Report</w:t>
        </w:r>
      </w:hyperlink>
      <w:r w:rsidR="00C41C83" w:rsidRPr="008875E4">
        <w:rPr>
          <w:rFonts w:cs="Times New Roman"/>
          <w:bCs/>
          <w:szCs w:val="24"/>
          <w:lang w:eastAsia="en-AU"/>
        </w:rPr>
        <w:t xml:space="preserve"> and</w:t>
      </w:r>
      <w:r w:rsidRPr="008875E4">
        <w:rPr>
          <w:rFonts w:cs="Times New Roman"/>
          <w:bCs/>
          <w:szCs w:val="24"/>
          <w:lang w:eastAsia="en-AU"/>
        </w:rPr>
        <w:t xml:space="preserve"> </w:t>
      </w:r>
      <w:hyperlink r:id="rId40" w:history="1">
        <w:r w:rsidR="00C41C83" w:rsidRPr="008875E4">
          <w:rPr>
            <w:rStyle w:val="Hyperlink"/>
            <w:rFonts w:cs="Times New Roman"/>
            <w:bCs/>
            <w:color w:val="4E1A74" w:themeColor="text2"/>
            <w:szCs w:val="24"/>
            <w:lang w:eastAsia="en-AU"/>
          </w:rPr>
          <w:t>Regulatory Activities Policy</w:t>
        </w:r>
      </w:hyperlink>
      <w:r w:rsidR="00C41C83" w:rsidRPr="008875E4">
        <w:rPr>
          <w:rFonts w:cs="Times New Roman"/>
          <w:bCs/>
          <w:szCs w:val="24"/>
          <w:lang w:eastAsia="en-AU"/>
        </w:rPr>
        <w:t xml:space="preserve">. </w:t>
      </w:r>
      <w:r w:rsidRPr="008875E4">
        <w:rPr>
          <w:rFonts w:cs="Times New Roman"/>
          <w:bCs/>
          <w:szCs w:val="24"/>
          <w:lang w:eastAsia="en-AU"/>
        </w:rPr>
        <w:t xml:space="preserve">Published information on its regulatory processes includes its main </w:t>
      </w:r>
      <w:hyperlink r:id="rId41" w:history="1">
        <w:r w:rsidRPr="008875E4">
          <w:rPr>
            <w:rStyle w:val="Hyperlink"/>
            <w:rFonts w:cs="Times New Roman"/>
            <w:bCs/>
            <w:color w:val="4E1A74" w:themeColor="text2"/>
            <w:szCs w:val="24"/>
            <w:lang w:eastAsia="en-AU"/>
          </w:rPr>
          <w:t>operating manuals</w:t>
        </w:r>
      </w:hyperlink>
      <w:r w:rsidRPr="008875E4">
        <w:rPr>
          <w:rFonts w:cs="Times New Roman"/>
          <w:bCs/>
          <w:szCs w:val="24"/>
          <w:lang w:eastAsia="en-AU"/>
        </w:rPr>
        <w:t xml:space="preserve"> (Licensing and Assessment, Inspection and Compliance and Enforce</w:t>
      </w:r>
      <w:r w:rsidRPr="008875E4">
        <w:rPr>
          <w:rFonts w:cs="Times New Roman"/>
          <w:bCs/>
          <w:szCs w:val="24"/>
          <w:lang w:eastAsia="en-AU"/>
        </w:rPr>
        <w:lastRenderedPageBreak/>
        <w:t>ment</w:t>
      </w:r>
      <w:r w:rsidR="00E93F95" w:rsidRPr="008875E4">
        <w:rPr>
          <w:rFonts w:cs="Times New Roman"/>
          <w:bCs/>
          <w:szCs w:val="24"/>
          <w:lang w:eastAsia="en-AU"/>
        </w:rPr>
        <w:t>)</w:t>
      </w:r>
      <w:r w:rsidRPr="008875E4">
        <w:rPr>
          <w:rFonts w:cs="Times New Roman"/>
          <w:bCs/>
          <w:szCs w:val="24"/>
          <w:lang w:eastAsia="en-AU"/>
        </w:rPr>
        <w:t>.</w:t>
      </w:r>
      <w:r w:rsidR="00E93F95" w:rsidRPr="008875E4">
        <w:rPr>
          <w:rFonts w:cs="Times New Roman"/>
          <w:bCs/>
          <w:szCs w:val="24"/>
          <w:lang w:eastAsia="en-AU"/>
        </w:rPr>
        <w:t xml:space="preserve"> What ARPANSA looks for during inspections is described in its </w:t>
      </w:r>
      <w:hyperlink r:id="rId42" w:history="1">
        <w:r w:rsidR="00E93F95" w:rsidRPr="008875E4">
          <w:rPr>
            <w:rStyle w:val="Hyperlink"/>
            <w:rFonts w:cs="Times New Roman"/>
            <w:bCs/>
            <w:color w:val="4E1A74" w:themeColor="text2"/>
            <w:szCs w:val="24"/>
            <w:lang w:eastAsia="en-AU"/>
          </w:rPr>
          <w:t>Performance Objectives and Criteria</w:t>
        </w:r>
      </w:hyperlink>
      <w:r w:rsidR="00E93F95" w:rsidRPr="008875E4">
        <w:rPr>
          <w:rFonts w:cs="Times New Roman"/>
          <w:bCs/>
          <w:szCs w:val="24"/>
          <w:lang w:eastAsia="en-AU"/>
        </w:rPr>
        <w:t xml:space="preserve"> and information needed for any applications and safety standards is provided on its </w:t>
      </w:r>
      <w:hyperlink r:id="rId43" w:history="1">
        <w:r w:rsidR="00E93F95" w:rsidRPr="008875E4">
          <w:rPr>
            <w:rStyle w:val="Hyperlink"/>
            <w:rFonts w:cs="Times New Roman"/>
            <w:bCs/>
            <w:color w:val="4E1A74" w:themeColor="text2"/>
            <w:szCs w:val="24"/>
            <w:lang w:eastAsia="en-AU"/>
          </w:rPr>
          <w:t>Regulatory Guides</w:t>
        </w:r>
      </w:hyperlink>
      <w:r w:rsidR="00E93F95" w:rsidRPr="008875E4">
        <w:rPr>
          <w:rFonts w:cs="Times New Roman"/>
          <w:bCs/>
          <w:szCs w:val="24"/>
          <w:lang w:eastAsia="en-AU"/>
        </w:rPr>
        <w:t xml:space="preserve"> page. These guides are supported by </w:t>
      </w:r>
      <w:r w:rsidR="001977FB" w:rsidRPr="008875E4">
        <w:rPr>
          <w:rFonts w:cs="Times New Roman"/>
          <w:bCs/>
          <w:szCs w:val="24"/>
          <w:lang w:eastAsia="en-AU"/>
        </w:rPr>
        <w:t>p</w:t>
      </w:r>
      <w:r w:rsidR="00A9344B" w:rsidRPr="008875E4">
        <w:rPr>
          <w:rFonts w:cs="Times New Roman"/>
          <w:bCs/>
          <w:szCs w:val="24"/>
          <w:lang w:eastAsia="en-AU"/>
        </w:rPr>
        <w:t xml:space="preserve">ublished </w:t>
      </w:r>
      <w:hyperlink r:id="rId44" w:history="1">
        <w:r w:rsidR="001977FB" w:rsidRPr="008875E4">
          <w:rPr>
            <w:rStyle w:val="Hyperlink"/>
            <w:rFonts w:cs="Times New Roman"/>
            <w:bCs/>
            <w:color w:val="4E1A74" w:themeColor="text2"/>
            <w:szCs w:val="24"/>
            <w:lang w:eastAsia="en-AU"/>
          </w:rPr>
          <w:t>n</w:t>
        </w:r>
        <w:r w:rsidR="00E93F95" w:rsidRPr="008875E4">
          <w:rPr>
            <w:rStyle w:val="Hyperlink"/>
            <w:rFonts w:cs="Times New Roman"/>
            <w:bCs/>
            <w:color w:val="4E1A74" w:themeColor="text2"/>
            <w:szCs w:val="24"/>
            <w:lang w:eastAsia="en-AU"/>
          </w:rPr>
          <w:t xml:space="preserve">ational </w:t>
        </w:r>
        <w:r w:rsidR="001977FB" w:rsidRPr="008875E4">
          <w:rPr>
            <w:rStyle w:val="Hyperlink"/>
            <w:rFonts w:cs="Times New Roman"/>
            <w:bCs/>
            <w:color w:val="4E1A74" w:themeColor="text2"/>
            <w:szCs w:val="24"/>
            <w:lang w:eastAsia="en-AU"/>
          </w:rPr>
          <w:t>s</w:t>
        </w:r>
        <w:r w:rsidR="00E93F95" w:rsidRPr="008875E4">
          <w:rPr>
            <w:rStyle w:val="Hyperlink"/>
            <w:rFonts w:cs="Times New Roman"/>
            <w:bCs/>
            <w:color w:val="4E1A74" w:themeColor="text2"/>
            <w:szCs w:val="24"/>
            <w:lang w:eastAsia="en-AU"/>
          </w:rPr>
          <w:t xml:space="preserve">afety </w:t>
        </w:r>
        <w:r w:rsidR="001977FB" w:rsidRPr="008875E4">
          <w:rPr>
            <w:rStyle w:val="Hyperlink"/>
            <w:rFonts w:cs="Times New Roman"/>
            <w:bCs/>
            <w:color w:val="4E1A74" w:themeColor="text2"/>
            <w:szCs w:val="24"/>
            <w:lang w:eastAsia="en-AU"/>
          </w:rPr>
          <w:t>c</w:t>
        </w:r>
        <w:r w:rsidR="00E93F95" w:rsidRPr="008875E4">
          <w:rPr>
            <w:rStyle w:val="Hyperlink"/>
            <w:rFonts w:cs="Times New Roman"/>
            <w:bCs/>
            <w:color w:val="4E1A74" w:themeColor="text2"/>
            <w:szCs w:val="24"/>
            <w:lang w:eastAsia="en-AU"/>
          </w:rPr>
          <w:t xml:space="preserve">odes and </w:t>
        </w:r>
        <w:r w:rsidR="001977FB" w:rsidRPr="008875E4">
          <w:rPr>
            <w:rStyle w:val="Hyperlink"/>
            <w:rFonts w:cs="Times New Roman"/>
            <w:bCs/>
            <w:color w:val="4E1A74" w:themeColor="text2"/>
            <w:szCs w:val="24"/>
            <w:lang w:eastAsia="en-AU"/>
          </w:rPr>
          <w:t>s</w:t>
        </w:r>
        <w:r w:rsidR="00E93F95" w:rsidRPr="008875E4">
          <w:rPr>
            <w:rStyle w:val="Hyperlink"/>
            <w:rFonts w:cs="Times New Roman"/>
            <w:bCs/>
            <w:color w:val="4E1A74" w:themeColor="text2"/>
            <w:szCs w:val="24"/>
            <w:lang w:eastAsia="en-AU"/>
          </w:rPr>
          <w:t>tandards</w:t>
        </w:r>
      </w:hyperlink>
      <w:r w:rsidR="00E93F95" w:rsidRPr="008875E4">
        <w:rPr>
          <w:rFonts w:cs="Times New Roman"/>
          <w:bCs/>
          <w:szCs w:val="24"/>
          <w:lang w:eastAsia="en-AU"/>
        </w:rPr>
        <w:t xml:space="preserve"> </w:t>
      </w:r>
      <w:r w:rsidR="00A9344B" w:rsidRPr="008875E4">
        <w:rPr>
          <w:rFonts w:cs="Times New Roman"/>
          <w:bCs/>
          <w:szCs w:val="24"/>
          <w:lang w:eastAsia="en-AU"/>
        </w:rPr>
        <w:t xml:space="preserve">and </w:t>
      </w:r>
      <w:hyperlink r:id="rId45" w:history="1">
        <w:r w:rsidR="001977FB" w:rsidRPr="008875E4">
          <w:rPr>
            <w:rStyle w:val="Hyperlink"/>
            <w:rFonts w:cs="Times New Roman"/>
            <w:bCs/>
            <w:color w:val="4E1A74" w:themeColor="text2"/>
            <w:szCs w:val="24"/>
            <w:lang w:eastAsia="en-AU"/>
          </w:rPr>
          <w:t>i</w:t>
        </w:r>
        <w:r w:rsidR="00556B2B" w:rsidRPr="008875E4">
          <w:rPr>
            <w:rStyle w:val="Hyperlink"/>
            <w:rFonts w:cs="Times New Roman"/>
            <w:bCs/>
            <w:color w:val="4E1A74" w:themeColor="text2"/>
            <w:szCs w:val="24"/>
            <w:lang w:eastAsia="en-AU"/>
          </w:rPr>
          <w:t>nternational safety standards</w:t>
        </w:r>
      </w:hyperlink>
      <w:r w:rsidR="00556B2B" w:rsidRPr="008875E4">
        <w:rPr>
          <w:rFonts w:cs="Times New Roman"/>
          <w:bCs/>
          <w:szCs w:val="24"/>
          <w:lang w:eastAsia="en-AU"/>
        </w:rPr>
        <w:t>. Any new or significantly amended regulatory guidance is subject to consultation with licence holders before publication.</w:t>
      </w:r>
    </w:p>
    <w:p w14:paraId="1A7BB4E4" w14:textId="77777777" w:rsidR="00B15317" w:rsidRPr="008875E4" w:rsidRDefault="00B15317" w:rsidP="00556B2B">
      <w:pPr>
        <w:autoSpaceDE w:val="0"/>
        <w:autoSpaceDN w:val="0"/>
        <w:adjustRightInd w:val="0"/>
        <w:spacing w:after="120"/>
        <w:rPr>
          <w:rFonts w:cs="Times New Roman"/>
          <w:lang w:eastAsia="en-AU"/>
        </w:rPr>
      </w:pPr>
      <w:r w:rsidRPr="008875E4">
        <w:rPr>
          <w:rFonts w:cs="Times New Roman"/>
          <w:bCs/>
          <w:szCs w:val="24"/>
          <w:lang w:eastAsia="en-AU"/>
        </w:rPr>
        <w:t xml:space="preserve">ARPANSA publishes its </w:t>
      </w:r>
      <w:hyperlink r:id="rId46" w:history="1">
        <w:r w:rsidRPr="008875E4">
          <w:rPr>
            <w:rStyle w:val="Hyperlink"/>
            <w:rFonts w:cs="Times New Roman"/>
            <w:color w:val="4E1A74" w:themeColor="text2"/>
            <w:lang w:eastAsia="en-AU"/>
          </w:rPr>
          <w:t>inspection reports</w:t>
        </w:r>
      </w:hyperlink>
      <w:r w:rsidRPr="008875E4">
        <w:rPr>
          <w:rFonts w:cs="Times New Roman"/>
          <w:bCs/>
          <w:szCs w:val="24"/>
          <w:lang w:eastAsia="en-AU"/>
        </w:rPr>
        <w:t>, except w</w:t>
      </w:r>
      <w:r w:rsidR="10D6EBE1" w:rsidRPr="008875E4">
        <w:rPr>
          <w:rFonts w:cs="Times New Roman"/>
          <w:bCs/>
          <w:szCs w:val="24"/>
          <w:lang w:eastAsia="en-AU"/>
        </w:rPr>
        <w:t>h</w:t>
      </w:r>
      <w:r w:rsidRPr="008875E4">
        <w:rPr>
          <w:rFonts w:cs="Times New Roman"/>
          <w:bCs/>
          <w:szCs w:val="24"/>
          <w:lang w:eastAsia="en-AU"/>
        </w:rPr>
        <w:t xml:space="preserve">ere they are redacted or withheld for security reasons. </w:t>
      </w:r>
      <w:r w:rsidR="000B4B3F" w:rsidRPr="008875E4">
        <w:rPr>
          <w:rFonts w:cs="Times New Roman"/>
          <w:bCs/>
          <w:szCs w:val="24"/>
          <w:lang w:eastAsia="en-AU"/>
        </w:rPr>
        <w:t>It also publishes a range of information on major applications and the basis for major decisions.</w:t>
      </w:r>
    </w:p>
    <w:p w14:paraId="16D74BBF" w14:textId="77777777" w:rsidR="00726CEF" w:rsidRDefault="00726CEF">
      <w:pPr>
        <w:rPr>
          <w:rFonts w:cs="Times New Roman"/>
          <w:bCs/>
          <w:szCs w:val="24"/>
          <w:lang w:eastAsia="en-AU"/>
        </w:rPr>
      </w:pPr>
    </w:p>
    <w:tbl>
      <w:tblPr>
        <w:tblStyle w:val="GenericARPANSA4"/>
        <w:tblW w:w="5046" w:type="pct"/>
        <w:tblLayout w:type="fixed"/>
        <w:tblLook w:val="06A0" w:firstRow="1" w:lastRow="0" w:firstColumn="1" w:lastColumn="0" w:noHBand="1" w:noVBand="1"/>
        <w:tblDescription w:val="This table contains 2 heading columns, 1. KPIs/Measures/Metrics, 2. Evidence (Performance in  2016-17). Column 2 includes a self-assessed rating against KPI 5."/>
      </w:tblPr>
      <w:tblGrid>
        <w:gridCol w:w="4859"/>
        <w:gridCol w:w="4858"/>
      </w:tblGrid>
      <w:tr w:rsidR="00561938" w:rsidRPr="00482B19" w14:paraId="6207F0AC" w14:textId="77777777" w:rsidTr="00B36CB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pct"/>
          </w:tcPr>
          <w:p w14:paraId="5C81ABB6" w14:textId="77777777" w:rsidR="003B4D69" w:rsidRPr="00482B19" w:rsidRDefault="003B4D69" w:rsidP="00482B19">
            <w:pPr>
              <w:pStyle w:val="Heading3"/>
              <w:jc w:val="left"/>
              <w:outlineLvl w:val="2"/>
              <w:rPr>
                <w:b/>
                <w:i w:val="0"/>
                <w:color w:val="FFFFFF" w:themeColor="background1"/>
                <w:sz w:val="22"/>
              </w:rPr>
            </w:pPr>
            <w:r w:rsidRPr="00482B19">
              <w:rPr>
                <w:b/>
                <w:i w:val="0"/>
                <w:color w:val="FFFFFF" w:themeColor="background1"/>
                <w:sz w:val="22"/>
              </w:rPr>
              <w:t>Measures/</w:t>
            </w:r>
            <w:r w:rsidR="008B47DE">
              <w:rPr>
                <w:b/>
                <w:i w:val="0"/>
                <w:color w:val="FFFFFF" w:themeColor="background1"/>
                <w:sz w:val="22"/>
              </w:rPr>
              <w:t>m</w:t>
            </w:r>
            <w:r w:rsidRPr="00482B19">
              <w:rPr>
                <w:b/>
                <w:i w:val="0"/>
                <w:color w:val="FFFFFF" w:themeColor="background1"/>
                <w:sz w:val="22"/>
              </w:rPr>
              <w:t>etrics</w:t>
            </w:r>
          </w:p>
        </w:tc>
        <w:tc>
          <w:tcPr>
            <w:tcW w:w="0" w:type="pct"/>
          </w:tcPr>
          <w:p w14:paraId="75A55056" w14:textId="70A2E71A" w:rsidR="003B4D69" w:rsidRPr="00482B19" w:rsidRDefault="003B4D69" w:rsidP="008B47DE">
            <w:pPr>
              <w:pStyle w:val="Heading3"/>
              <w:jc w:val="left"/>
              <w:outlineLvl w:val="2"/>
              <w:cnfStyle w:val="100000000000" w:firstRow="1" w:lastRow="0" w:firstColumn="0" w:lastColumn="0" w:oddVBand="0" w:evenVBand="0" w:oddHBand="0" w:evenHBand="0" w:firstRowFirstColumn="0" w:firstRowLastColumn="0" w:lastRowFirstColumn="0" w:lastRowLastColumn="0"/>
              <w:rPr>
                <w:b/>
                <w:i w:val="0"/>
                <w:color w:val="FFFFFF" w:themeColor="background1"/>
                <w:sz w:val="22"/>
              </w:rPr>
            </w:pPr>
            <w:r w:rsidRPr="00482B19">
              <w:rPr>
                <w:b/>
                <w:i w:val="0"/>
                <w:color w:val="FFFFFF" w:themeColor="background1"/>
                <w:sz w:val="22"/>
              </w:rPr>
              <w:t>Evidence (</w:t>
            </w:r>
            <w:r w:rsidR="008B47DE">
              <w:rPr>
                <w:b/>
                <w:i w:val="0"/>
                <w:color w:val="FFFFFF" w:themeColor="background1"/>
                <w:sz w:val="22"/>
              </w:rPr>
              <w:t>p</w:t>
            </w:r>
            <w:r w:rsidR="00D02FB8">
              <w:rPr>
                <w:b/>
                <w:i w:val="0"/>
                <w:color w:val="FFFFFF" w:themeColor="background1"/>
                <w:sz w:val="22"/>
              </w:rPr>
              <w:t>erformance in 2019</w:t>
            </w:r>
            <w:r w:rsidR="008B47DE">
              <w:rPr>
                <w:b/>
                <w:i w:val="0"/>
                <w:color w:val="FFFFFF" w:themeColor="background1"/>
                <w:sz w:val="22"/>
              </w:rPr>
              <w:t>–</w:t>
            </w:r>
            <w:r w:rsidR="00D02FB8">
              <w:rPr>
                <w:b/>
                <w:i w:val="0"/>
                <w:color w:val="FFFFFF" w:themeColor="background1"/>
                <w:sz w:val="22"/>
              </w:rPr>
              <w:t>20</w:t>
            </w:r>
            <w:r w:rsidRPr="00482B19">
              <w:rPr>
                <w:b/>
                <w:i w:val="0"/>
                <w:color w:val="FFFFFF" w:themeColor="background1"/>
                <w:sz w:val="22"/>
              </w:rPr>
              <w:t>)</w:t>
            </w:r>
          </w:p>
        </w:tc>
      </w:tr>
      <w:tr w:rsidR="003B4D69" w:rsidRPr="00482B19" w14:paraId="4B957677" w14:textId="77777777" w:rsidTr="00B36CB1">
        <w:trPr>
          <w:cantSplit/>
          <w:trHeight w:val="2242"/>
        </w:trPr>
        <w:tc>
          <w:tcPr>
            <w:cnfStyle w:val="001000000000" w:firstRow="0" w:lastRow="0" w:firstColumn="1" w:lastColumn="0" w:oddVBand="0" w:evenVBand="0" w:oddHBand="0" w:evenHBand="0" w:firstRowFirstColumn="0" w:firstRowLastColumn="0" w:lastRowFirstColumn="0" w:lastRowLastColumn="0"/>
            <w:tcW w:w="0" w:type="pct"/>
            <w:vAlign w:val="top"/>
          </w:tcPr>
          <w:p w14:paraId="65A8D305" w14:textId="77777777" w:rsidR="003B4D69" w:rsidRPr="008875E4" w:rsidRDefault="00B47516" w:rsidP="00482B19">
            <w:pPr>
              <w:pStyle w:val="Tabletext"/>
              <w:jc w:val="left"/>
            </w:pPr>
            <w:r w:rsidRPr="008875E4">
              <w:t xml:space="preserve">PI </w:t>
            </w:r>
            <w:r w:rsidR="6F9414C3" w:rsidRPr="008875E4">
              <w:t>5.1 ARPANSA’s risk framework, the basis for regulatory decisions, and the outcomes of compliance monitoring are published on the web.</w:t>
            </w:r>
          </w:p>
          <w:p w14:paraId="18B44D2C" w14:textId="77777777" w:rsidR="003B4D69" w:rsidRPr="008875E4" w:rsidRDefault="6F9414C3" w:rsidP="00427228">
            <w:pPr>
              <w:pStyle w:val="Tabletext"/>
              <w:spacing w:before="120"/>
              <w:jc w:val="left"/>
              <w:rPr>
                <w:b w:val="0"/>
              </w:rPr>
            </w:pPr>
            <w:r w:rsidRPr="008875E4">
              <w:rPr>
                <w:b w:val="0"/>
              </w:rPr>
              <w:t>To provide confidence to regulated entities and the wider community, ARPANSA publishes a range of reports and information on how it goes about its business. This information includes, whenever possible, the prompt publication of inspection reports and the ‘statement of reasons’ for any significant licensing decisions. Information relating to ARPANSA’s approach to risk and many of the processes used to manage the regulatory business are also published. These communication practices are part of ARPANSA’s no-surprise, evidence</w:t>
            </w:r>
            <w:r w:rsidR="005702ED" w:rsidRPr="008875E4">
              <w:rPr>
                <w:b w:val="0"/>
              </w:rPr>
              <w:t>-</w:t>
            </w:r>
            <w:r w:rsidRPr="008875E4">
              <w:rPr>
                <w:b w:val="0"/>
              </w:rPr>
              <w:t>based approach to regulation that provide</w:t>
            </w:r>
            <w:r w:rsidR="005702ED" w:rsidRPr="008875E4">
              <w:rPr>
                <w:b w:val="0"/>
              </w:rPr>
              <w:t>s</w:t>
            </w:r>
            <w:r w:rsidRPr="008875E4">
              <w:rPr>
                <w:b w:val="0"/>
              </w:rPr>
              <w:t xml:space="preserve"> trust from licen</w:t>
            </w:r>
            <w:r w:rsidR="005702ED" w:rsidRPr="008875E4">
              <w:rPr>
                <w:b w:val="0"/>
              </w:rPr>
              <w:t>s</w:t>
            </w:r>
            <w:r w:rsidRPr="008875E4">
              <w:rPr>
                <w:b w:val="0"/>
              </w:rPr>
              <w:t>ed entities and the wider community.</w:t>
            </w:r>
          </w:p>
          <w:p w14:paraId="5801491B" w14:textId="77777777" w:rsidR="003B4D69" w:rsidRPr="008875E4" w:rsidRDefault="6F9414C3" w:rsidP="00482B19">
            <w:pPr>
              <w:pStyle w:val="Tabletext"/>
              <w:jc w:val="left"/>
              <w:rPr>
                <w:b w:val="0"/>
              </w:rPr>
            </w:pPr>
            <w:r w:rsidRPr="008875E4">
              <w:rPr>
                <w:b w:val="0"/>
              </w:rPr>
              <w:t>Appropriate feedback from a range of interested parties requires transparency in the regulatory decision framework and decision making. ARPANSA will use its website as the primary mechanism to improve transparency [Qualitative].</w:t>
            </w:r>
          </w:p>
        </w:tc>
        <w:tc>
          <w:tcPr>
            <w:tcW w:w="0" w:type="pct"/>
            <w:vAlign w:val="top"/>
          </w:tcPr>
          <w:p w14:paraId="445E6C85" w14:textId="77777777" w:rsidR="008C2100" w:rsidRPr="008875E4" w:rsidRDefault="009E3FCA" w:rsidP="00482B19">
            <w:pPr>
              <w:pStyle w:val="Tabletext"/>
              <w:jc w:val="left"/>
              <w:cnfStyle w:val="000000000000" w:firstRow="0" w:lastRow="0" w:firstColumn="0" w:lastColumn="0" w:oddVBand="0" w:evenVBand="0" w:oddHBand="0" w:evenHBand="0" w:firstRowFirstColumn="0" w:firstRowLastColumn="0" w:lastRowFirstColumn="0" w:lastRowLastColumn="0"/>
              <w:rPr>
                <w:b/>
              </w:rPr>
            </w:pPr>
            <w:r w:rsidRPr="008875E4">
              <w:rPr>
                <w:b/>
              </w:rPr>
              <w:t xml:space="preserve">Target </w:t>
            </w:r>
            <w:r w:rsidR="008B47DE" w:rsidRPr="008875E4">
              <w:rPr>
                <w:b/>
              </w:rPr>
              <w:t>met</w:t>
            </w:r>
          </w:p>
          <w:p w14:paraId="757610BE" w14:textId="77777777" w:rsidR="00B47748" w:rsidRPr="008875E4" w:rsidRDefault="00B47748" w:rsidP="00482B19">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8875E4">
              <w:rPr>
                <w:rFonts w:ascii="Calibri" w:hAnsi="Calibri"/>
              </w:rPr>
              <w:t xml:space="preserve">A total of </w:t>
            </w:r>
            <w:r w:rsidR="002645DB" w:rsidRPr="008875E4">
              <w:rPr>
                <w:rFonts w:ascii="Calibri" w:hAnsi="Calibri"/>
              </w:rPr>
              <w:t>34</w:t>
            </w:r>
            <w:r w:rsidRPr="008875E4">
              <w:rPr>
                <w:rFonts w:ascii="Calibri" w:hAnsi="Calibri"/>
              </w:rPr>
              <w:t xml:space="preserve"> </w:t>
            </w:r>
            <w:hyperlink r:id="rId47" w:history="1">
              <w:r w:rsidRPr="008875E4">
                <w:rPr>
                  <w:rStyle w:val="Hyperlink"/>
                  <w:rFonts w:ascii="Calibri" w:hAnsi="Calibri"/>
                  <w:color w:val="4E1A74" w:themeColor="text2"/>
                </w:rPr>
                <w:t>inspection</w:t>
              </w:r>
              <w:r w:rsidR="008132F2" w:rsidRPr="008875E4">
                <w:rPr>
                  <w:rStyle w:val="Hyperlink"/>
                  <w:rFonts w:ascii="Calibri" w:hAnsi="Calibri"/>
                  <w:color w:val="4E1A74" w:themeColor="text2"/>
                </w:rPr>
                <w:t xml:space="preserve"> report</w:t>
              </w:r>
              <w:r w:rsidRPr="008875E4">
                <w:rPr>
                  <w:rStyle w:val="Hyperlink"/>
                  <w:rFonts w:ascii="Calibri" w:hAnsi="Calibri"/>
                  <w:color w:val="4E1A74" w:themeColor="text2"/>
                </w:rPr>
                <w:t>s</w:t>
              </w:r>
            </w:hyperlink>
            <w:r w:rsidRPr="008875E4">
              <w:rPr>
                <w:rFonts w:ascii="Calibri" w:hAnsi="Calibri"/>
              </w:rPr>
              <w:t xml:space="preserve"> </w:t>
            </w:r>
            <w:r w:rsidR="002B03D7" w:rsidRPr="008875E4">
              <w:rPr>
                <w:rFonts w:ascii="Calibri" w:hAnsi="Calibri"/>
              </w:rPr>
              <w:t>were</w:t>
            </w:r>
            <w:r w:rsidRPr="008875E4">
              <w:rPr>
                <w:rFonts w:ascii="Calibri" w:hAnsi="Calibri"/>
              </w:rPr>
              <w:t xml:space="preserve"> posted this FY</w:t>
            </w:r>
            <w:r w:rsidR="0021740F" w:rsidRPr="008875E4">
              <w:rPr>
                <w:rFonts w:ascii="Calibri" w:hAnsi="Calibri"/>
              </w:rPr>
              <w:t>, as of Ju</w:t>
            </w:r>
            <w:r w:rsidR="002645DB" w:rsidRPr="008875E4">
              <w:rPr>
                <w:rFonts w:ascii="Calibri" w:hAnsi="Calibri"/>
              </w:rPr>
              <w:t>ly 2020</w:t>
            </w:r>
            <w:r w:rsidRPr="008875E4">
              <w:rPr>
                <w:rFonts w:ascii="Calibri" w:hAnsi="Calibri"/>
              </w:rPr>
              <w:t>.</w:t>
            </w:r>
          </w:p>
          <w:p w14:paraId="4D6D2E7A" w14:textId="77777777" w:rsidR="008C2100" w:rsidRPr="008875E4" w:rsidRDefault="00B47748" w:rsidP="00482B19">
            <w:pPr>
              <w:pStyle w:val="Tabletext"/>
              <w:jc w:val="left"/>
              <w:cnfStyle w:val="000000000000" w:firstRow="0" w:lastRow="0" w:firstColumn="0" w:lastColumn="0" w:oddVBand="0" w:evenVBand="0" w:oddHBand="0" w:evenHBand="0" w:firstRowFirstColumn="0" w:firstRowLastColumn="0" w:lastRowFirstColumn="0" w:lastRowLastColumn="0"/>
            </w:pPr>
            <w:r w:rsidRPr="008875E4">
              <w:rPr>
                <w:rFonts w:ascii="Calibri" w:hAnsi="Calibri"/>
              </w:rPr>
              <w:t>Information is maintained on the website including updates to webpages and reporting on compliance.</w:t>
            </w:r>
            <w:r w:rsidR="0021740F" w:rsidRPr="008875E4">
              <w:t xml:space="preserve"> </w:t>
            </w:r>
            <w:r w:rsidR="008C2100" w:rsidRPr="008875E4">
              <w:t>Publications in this period include:</w:t>
            </w:r>
          </w:p>
          <w:p w14:paraId="709CD60F" w14:textId="77777777" w:rsidR="008C2100" w:rsidRPr="008875E4" w:rsidRDefault="00E8572F" w:rsidP="00482B19">
            <w:pPr>
              <w:pStyle w:val="Tabletext"/>
              <w:numPr>
                <w:ilvl w:val="0"/>
                <w:numId w:val="23"/>
              </w:numPr>
              <w:jc w:val="left"/>
              <w:cnfStyle w:val="000000000000" w:firstRow="0" w:lastRow="0" w:firstColumn="0" w:lastColumn="0" w:oddVBand="0" w:evenVBand="0" w:oddHBand="0" w:evenHBand="0" w:firstRowFirstColumn="0" w:firstRowLastColumn="0" w:lastRowFirstColumn="0" w:lastRowLastColumn="0"/>
            </w:pPr>
            <w:hyperlink r:id="rId48" w:history="1">
              <w:r w:rsidR="008C2100" w:rsidRPr="008875E4">
                <w:rPr>
                  <w:rStyle w:val="Hyperlink"/>
                  <w:color w:val="4E1A74" w:themeColor="text2"/>
                </w:rPr>
                <w:t>Statement of Reasons</w:t>
              </w:r>
            </w:hyperlink>
            <w:r w:rsidR="008C2100" w:rsidRPr="008875E4">
              <w:t xml:space="preserve"> for </w:t>
            </w:r>
            <w:r w:rsidR="00C5307C" w:rsidRPr="008875E4">
              <w:t xml:space="preserve">an amendment to the </w:t>
            </w:r>
            <w:r w:rsidR="008C2100" w:rsidRPr="008875E4">
              <w:t>ANM</w:t>
            </w:r>
            <w:r w:rsidR="00950814" w:rsidRPr="008875E4">
              <w:t xml:space="preserve"> </w:t>
            </w:r>
            <w:r w:rsidR="00C5307C" w:rsidRPr="008875E4">
              <w:t xml:space="preserve">facility authorising it to return to normal operations. </w:t>
            </w:r>
          </w:p>
          <w:p w14:paraId="4BCCF230" w14:textId="77777777" w:rsidR="008C2C4D" w:rsidRPr="008875E4" w:rsidRDefault="003319F1" w:rsidP="00482B19">
            <w:pPr>
              <w:pStyle w:val="Tabletext"/>
              <w:numPr>
                <w:ilvl w:val="0"/>
                <w:numId w:val="23"/>
              </w:numPr>
              <w:jc w:val="left"/>
              <w:cnfStyle w:val="000000000000" w:firstRow="0" w:lastRow="0" w:firstColumn="0" w:lastColumn="0" w:oddVBand="0" w:evenVBand="0" w:oddHBand="0" w:evenHBand="0" w:firstRowFirstColumn="0" w:firstRowLastColumn="0" w:lastRowFirstColumn="0" w:lastRowLastColumn="0"/>
            </w:pPr>
            <w:r w:rsidRPr="008875E4">
              <w:t xml:space="preserve">ARPANSA approves </w:t>
            </w:r>
            <w:hyperlink r:id="rId49" w:history="1">
              <w:r w:rsidRPr="008875E4">
                <w:rPr>
                  <w:rStyle w:val="Hyperlink"/>
                  <w:color w:val="4E1A74" w:themeColor="text2"/>
                </w:rPr>
                <w:t>ANSTO implementation plan</w:t>
              </w:r>
            </w:hyperlink>
            <w:r w:rsidRPr="008875E4">
              <w:t xml:space="preserve"> following safety review</w:t>
            </w:r>
          </w:p>
          <w:p w14:paraId="1073F548" w14:textId="77777777" w:rsidR="003319F1" w:rsidRPr="00A811CA" w:rsidRDefault="003319F1" w:rsidP="003319F1">
            <w:pPr>
              <w:pStyle w:val="Tabletext"/>
              <w:jc w:val="left"/>
              <w:cnfStyle w:val="000000000000" w:firstRow="0" w:lastRow="0" w:firstColumn="0" w:lastColumn="0" w:oddVBand="0" w:evenVBand="0" w:oddHBand="0" w:evenHBand="0" w:firstRowFirstColumn="0" w:firstRowLastColumn="0" w:lastRowFirstColumn="0" w:lastRowLastColumn="0"/>
              <w:rPr>
                <w:color w:val="auto"/>
              </w:rPr>
            </w:pPr>
            <w:r w:rsidRPr="008875E4">
              <w:t xml:space="preserve">ARPANSA also provides information on regulatory actions in its </w:t>
            </w:r>
            <w:hyperlink r:id="rId50" w:history="1">
              <w:r w:rsidRPr="008875E4">
                <w:rPr>
                  <w:rStyle w:val="Hyperlink"/>
                  <w:color w:val="4E1A74" w:themeColor="text2"/>
                </w:rPr>
                <w:t>quarterly</w:t>
              </w:r>
            </w:hyperlink>
            <w:r w:rsidRPr="008875E4">
              <w:t xml:space="preserve"> and </w:t>
            </w:r>
            <w:hyperlink r:id="rId51" w:history="1">
              <w:r w:rsidRPr="008875E4">
                <w:rPr>
                  <w:rStyle w:val="Hyperlink"/>
                  <w:color w:val="4E1A74" w:themeColor="text2"/>
                </w:rPr>
                <w:t>annual</w:t>
              </w:r>
            </w:hyperlink>
            <w:r w:rsidRPr="008875E4">
              <w:t xml:space="preserve"> reports which are also published on its website</w:t>
            </w:r>
          </w:p>
        </w:tc>
      </w:tr>
      <w:tr w:rsidR="003B4D69" w:rsidRPr="00482B19" w14:paraId="6AC7FAE9" w14:textId="77777777" w:rsidTr="00B36CB1">
        <w:trPr>
          <w:cantSplit/>
          <w:trHeight w:val="2243"/>
        </w:trPr>
        <w:tc>
          <w:tcPr>
            <w:cnfStyle w:val="001000000000" w:firstRow="0" w:lastRow="0" w:firstColumn="1" w:lastColumn="0" w:oddVBand="0" w:evenVBand="0" w:oddHBand="0" w:evenHBand="0" w:firstRowFirstColumn="0" w:firstRowLastColumn="0" w:lastRowFirstColumn="0" w:lastRowLastColumn="0"/>
            <w:tcW w:w="0" w:type="pct"/>
            <w:tcBorders>
              <w:bottom w:val="single" w:sz="18" w:space="0" w:color="auto"/>
            </w:tcBorders>
            <w:vAlign w:val="top"/>
          </w:tcPr>
          <w:p w14:paraId="3FEE8C9F" w14:textId="77777777" w:rsidR="003B4D69" w:rsidRPr="008875E4" w:rsidRDefault="6F9414C3" w:rsidP="00482B19">
            <w:pPr>
              <w:pStyle w:val="Tabletext"/>
              <w:jc w:val="left"/>
            </w:pPr>
            <w:r w:rsidRPr="008875E4">
              <w:t>5.2 Stakeholders, including the public, are consulted on the development of codes and guidance publications.</w:t>
            </w:r>
          </w:p>
          <w:p w14:paraId="3D957DFD" w14:textId="77777777" w:rsidR="003B4D69" w:rsidRPr="008875E4" w:rsidRDefault="6F9414C3" w:rsidP="00427228">
            <w:pPr>
              <w:pStyle w:val="Tabletext"/>
              <w:spacing w:before="120"/>
              <w:jc w:val="left"/>
              <w:rPr>
                <w:b w:val="0"/>
              </w:rPr>
            </w:pPr>
            <w:r w:rsidRPr="008875E4">
              <w:rPr>
                <w:b w:val="0"/>
              </w:rPr>
              <w:t>ARPANSA publishes guides, codes and standards on a range of regulatory topics which set out expectations for ARPANSA’s licence holder with respect to safety of sources and facilities. This includes national documents such as the Regulatory Protection Series and local documents such as Regulatory guides. These documents typically reflect international best practice. ARPANSA will consult with licence holders for feedback on the development or significant amendment of guides and codes so as to improve transparency in regulation and support continuous improvement [Quantitative].</w:t>
            </w:r>
          </w:p>
          <w:p w14:paraId="2B0F1EAA" w14:textId="77777777" w:rsidR="003B4D69" w:rsidRPr="008875E4" w:rsidRDefault="003B4D69" w:rsidP="00482B19">
            <w:pPr>
              <w:pStyle w:val="Tabletext"/>
              <w:jc w:val="left"/>
            </w:pPr>
          </w:p>
        </w:tc>
        <w:tc>
          <w:tcPr>
            <w:tcW w:w="0" w:type="pct"/>
            <w:tcBorders>
              <w:bottom w:val="single" w:sz="18" w:space="0" w:color="auto"/>
            </w:tcBorders>
            <w:vAlign w:val="top"/>
          </w:tcPr>
          <w:p w14:paraId="7E182BBB" w14:textId="77777777" w:rsidR="009E3FCA" w:rsidRPr="008875E4" w:rsidRDefault="009E3FCA" w:rsidP="00482B19">
            <w:pPr>
              <w:pStyle w:val="Tabletext"/>
              <w:spacing w:before="120"/>
              <w:jc w:val="left"/>
              <w:cnfStyle w:val="000000000000" w:firstRow="0" w:lastRow="0" w:firstColumn="0" w:lastColumn="0" w:oddVBand="0" w:evenVBand="0" w:oddHBand="0" w:evenHBand="0" w:firstRowFirstColumn="0" w:firstRowLastColumn="0" w:lastRowFirstColumn="0" w:lastRowLastColumn="0"/>
              <w:rPr>
                <w:b/>
              </w:rPr>
            </w:pPr>
            <w:r w:rsidRPr="008875E4">
              <w:rPr>
                <w:b/>
              </w:rPr>
              <w:t xml:space="preserve">Target </w:t>
            </w:r>
            <w:r w:rsidR="003E3909" w:rsidRPr="008875E4">
              <w:rPr>
                <w:b/>
              </w:rPr>
              <w:t>met</w:t>
            </w:r>
          </w:p>
          <w:p w14:paraId="0052AC2F" w14:textId="2DE8386F" w:rsidR="00D966EE" w:rsidRPr="008875E4" w:rsidRDefault="00D966EE" w:rsidP="00482B19">
            <w:pPr>
              <w:pStyle w:val="Tabletext"/>
              <w:spacing w:before="12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rPr>
              <w:t>ARPANSA consulted with licence holders for feedback on the development or significant amendment of guides and codes to improve transparency in regulation and support continuous improvement</w:t>
            </w:r>
            <w:r w:rsidR="00FA0120" w:rsidRPr="008875E4">
              <w:rPr>
                <w:rFonts w:ascii="Calibri" w:hAnsi="Calibri"/>
              </w:rPr>
              <w:t>. National Codes and Standards are available for wide consultation on ARPANSA</w:t>
            </w:r>
            <w:r w:rsidR="008875E4">
              <w:rPr>
                <w:rFonts w:ascii="Calibri" w:hAnsi="Calibri"/>
              </w:rPr>
              <w:t>’s ‘</w:t>
            </w:r>
            <w:hyperlink r:id="rId52" w:history="1">
              <w:r w:rsidR="004C2F1E" w:rsidRPr="008875E4">
                <w:rPr>
                  <w:rStyle w:val="Hyperlink"/>
                  <w:rFonts w:ascii="Calibri" w:hAnsi="Calibri"/>
                  <w:color w:val="4E1A74" w:themeColor="text2"/>
                </w:rPr>
                <w:t>have your say</w:t>
              </w:r>
            </w:hyperlink>
            <w:r w:rsidR="008875E4">
              <w:t>’</w:t>
            </w:r>
            <w:r w:rsidR="004C2F1E" w:rsidRPr="008875E4">
              <w:rPr>
                <w:rFonts w:ascii="Calibri" w:hAnsi="Calibri"/>
              </w:rPr>
              <w:t xml:space="preserve"> webpage. Consultation on regulatory guides for licence holders are sometimes targeted to licence holders only</w:t>
            </w:r>
            <w:r w:rsidRPr="008875E4">
              <w:rPr>
                <w:rFonts w:ascii="Calibri" w:hAnsi="Calibri"/>
              </w:rPr>
              <w:t>.</w:t>
            </w:r>
            <w:r w:rsidR="00C1716C" w:rsidRPr="008875E4">
              <w:rPr>
                <w:rFonts w:ascii="Calibri" w:hAnsi="Calibri"/>
              </w:rPr>
              <w:t xml:space="preserve"> </w:t>
            </w:r>
          </w:p>
          <w:p w14:paraId="7F06BBEA" w14:textId="481B417C" w:rsidR="00F6428B" w:rsidRPr="008875E4" w:rsidRDefault="00F6428B" w:rsidP="00B36CB1">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rPr>
              <w:t>Documents undergoing consultation, or finalised after consultation during 2019-20 included</w:t>
            </w:r>
            <w:r w:rsidR="00D966EE" w:rsidRPr="008875E4">
              <w:rPr>
                <w:rFonts w:ascii="Calibri" w:hAnsi="Calibri"/>
              </w:rPr>
              <w:t xml:space="preserve">: </w:t>
            </w:r>
          </w:p>
          <w:p w14:paraId="7C9DCDF2" w14:textId="1FD665A9" w:rsidR="002532BF" w:rsidRPr="008875E4" w:rsidRDefault="002532BF" w:rsidP="00482B19">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i/>
              </w:rPr>
              <w:t>Radiation Protection Standard: Maximum Exposure Levels to Radiofrequency Fields</w:t>
            </w:r>
          </w:p>
          <w:p w14:paraId="4CF2B89F" w14:textId="77777777" w:rsidR="00D966EE" w:rsidRPr="008875E4" w:rsidRDefault="0021740F" w:rsidP="00482B19">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i/>
              </w:rPr>
              <w:t xml:space="preserve">Code of Radiation Protection </w:t>
            </w:r>
            <w:r w:rsidR="002532BF" w:rsidRPr="008875E4">
              <w:rPr>
                <w:rFonts w:ascii="Calibri" w:hAnsi="Calibri"/>
                <w:i/>
              </w:rPr>
              <w:t>In Planned Exposure Situations. (RPS-C-1)</w:t>
            </w:r>
            <w:r w:rsidR="00D966EE" w:rsidRPr="008875E4">
              <w:rPr>
                <w:rFonts w:ascii="Calibri" w:hAnsi="Calibri"/>
              </w:rPr>
              <w:t xml:space="preserve"> </w:t>
            </w:r>
          </w:p>
          <w:p w14:paraId="4CEE3DDC" w14:textId="44A57E8C" w:rsidR="003B4D69" w:rsidRPr="00F6428B" w:rsidRDefault="00FA0120" w:rsidP="00F6428B">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8875E4">
              <w:rPr>
                <w:rFonts w:ascii="Calibri" w:hAnsi="Calibri"/>
                <w:i/>
              </w:rPr>
              <w:t>Regulatory Guide: Safety Analysis Report for Controlled Facilities</w:t>
            </w:r>
          </w:p>
        </w:tc>
      </w:tr>
      <w:tr w:rsidR="00482B19" w:rsidRPr="00482B19" w14:paraId="14043AC3" w14:textId="77777777" w:rsidTr="00B36CB1">
        <w:trPr>
          <w:cantSplit/>
        </w:trPr>
        <w:tc>
          <w:tcPr>
            <w:cnfStyle w:val="001000000000" w:firstRow="0" w:lastRow="0" w:firstColumn="1" w:lastColumn="0" w:oddVBand="0" w:evenVBand="0" w:oddHBand="0" w:evenHBand="0" w:firstRowFirstColumn="0" w:firstRowLastColumn="0" w:lastRowFirstColumn="0" w:lastRowLastColumn="0"/>
            <w:tcW w:w="0" w:type="pct"/>
            <w:gridSpan w:val="2"/>
            <w:tcBorders>
              <w:bottom w:val="single" w:sz="18" w:space="0" w:color="auto"/>
            </w:tcBorders>
            <w:shd w:val="clear" w:color="auto" w:fill="CDF1CD" w:themeFill="accent2" w:themeFillTint="33"/>
            <w:vAlign w:val="top"/>
          </w:tcPr>
          <w:p w14:paraId="14F19C42" w14:textId="77777777" w:rsidR="00482B19" w:rsidRPr="00482B19" w:rsidRDefault="00482B19" w:rsidP="009322D5">
            <w:pPr>
              <w:spacing w:before="60"/>
              <w:jc w:val="left"/>
            </w:pPr>
            <w:r w:rsidRPr="00482B19">
              <w:rPr>
                <w:b w:val="0"/>
              </w:rPr>
              <w:t xml:space="preserve">Self-assessed rating: </w:t>
            </w:r>
            <w:r w:rsidR="009322D5">
              <w:t>Met</w:t>
            </w:r>
          </w:p>
        </w:tc>
      </w:tr>
    </w:tbl>
    <w:p w14:paraId="014F19D2" w14:textId="77777777" w:rsidR="00F5034B" w:rsidRDefault="00F5034B" w:rsidP="00F5034B">
      <w:pPr>
        <w:pStyle w:val="Heading3"/>
      </w:pPr>
      <w:r>
        <w:t>Further evidence considered</w:t>
      </w:r>
    </w:p>
    <w:p w14:paraId="529E2BA2" w14:textId="7D5F6C54" w:rsidR="00961061" w:rsidRPr="008875E4" w:rsidRDefault="004C2F1E" w:rsidP="00961061">
      <w:r w:rsidRPr="008875E4">
        <w:t xml:space="preserve">All regulatory decisions include a statement to explain, to licence applicants/holders, the basis for any decision made regarding them. Significant applications and regulatory decisions that normally concern major nuclear facilities are published on the ARPANSA website. ARPANSA consults with the applicant or licence holder where </w:t>
      </w:r>
      <w:r w:rsidR="009557E9" w:rsidRPr="008875E4">
        <w:t>it is unable to authorise an activity or where conditions on the activity are imposed</w:t>
      </w:r>
      <w:r w:rsidRPr="008875E4">
        <w:t>.</w:t>
      </w:r>
    </w:p>
    <w:p w14:paraId="18FCD559" w14:textId="19ECD587" w:rsidR="00237F5C" w:rsidRPr="008875E4" w:rsidRDefault="00237F5C" w:rsidP="00961061">
      <w:pPr>
        <w:rPr>
          <w:lang w:eastAsia="en-AU"/>
        </w:rPr>
      </w:pPr>
      <w:r w:rsidRPr="008875E4">
        <w:t>ARPANSA has initiated a review of the scope and depth of its regulatory guidance to licence holders that will include consultation.</w:t>
      </w:r>
      <w:r w:rsidR="009067D5">
        <w:t xml:space="preserve"> </w:t>
      </w:r>
      <w:r w:rsidRPr="008875E4">
        <w:t xml:space="preserve">The objectives of the review are </w:t>
      </w:r>
      <w:r w:rsidR="009557E9" w:rsidRPr="008875E4">
        <w:t xml:space="preserve">to </w:t>
      </w:r>
      <w:r w:rsidR="00C224FC" w:rsidRPr="008875E4">
        <w:t>support</w:t>
      </w:r>
      <w:r w:rsidR="009557E9" w:rsidRPr="008875E4">
        <w:t xml:space="preserve"> and enhance</w:t>
      </w:r>
      <w:r w:rsidR="00C224FC" w:rsidRPr="008875E4">
        <w:t xml:space="preserve"> safety performance by </w:t>
      </w:r>
      <w:r w:rsidRPr="008875E4">
        <w:t>identif</w:t>
      </w:r>
      <w:r w:rsidR="00C224FC" w:rsidRPr="008875E4">
        <w:t>ying and filling</w:t>
      </w:r>
      <w:r w:rsidRPr="008875E4">
        <w:t xml:space="preserve"> any gaps in </w:t>
      </w:r>
      <w:r w:rsidR="009557E9" w:rsidRPr="008875E4">
        <w:t>current</w:t>
      </w:r>
      <w:r w:rsidRPr="008875E4">
        <w:t xml:space="preserve"> guidance and to </w:t>
      </w:r>
      <w:r w:rsidR="00C224FC" w:rsidRPr="008875E4">
        <w:t xml:space="preserve">assist in the development of plans and arrangements </w:t>
      </w:r>
      <w:r w:rsidR="009557E9" w:rsidRPr="008875E4">
        <w:t xml:space="preserve">for managing safety </w:t>
      </w:r>
      <w:r w:rsidR="00C224FC" w:rsidRPr="008875E4">
        <w:t xml:space="preserve">by clearly explaining ARPANSA’s expectations and </w:t>
      </w:r>
      <w:r w:rsidRPr="008875E4">
        <w:t>how ARPANSA arrives at its decisions.</w:t>
      </w:r>
    </w:p>
    <w:p w14:paraId="36918110" w14:textId="77777777" w:rsidR="00F5034B" w:rsidRDefault="00F5034B" w:rsidP="00F5034B">
      <w:pPr>
        <w:pStyle w:val="Heading3"/>
      </w:pPr>
      <w:r>
        <w:lastRenderedPageBreak/>
        <w:t>Identified opportunities for improvement</w:t>
      </w:r>
    </w:p>
    <w:p w14:paraId="07111277" w14:textId="77777777" w:rsidR="00B47516" w:rsidRPr="00C224FC" w:rsidRDefault="00D0213A" w:rsidP="00B47516">
      <w:pPr>
        <w:pStyle w:val="Heading4"/>
        <w:rPr>
          <w:rFonts w:asciiTheme="minorHAnsi" w:hAnsiTheme="minorHAnsi"/>
          <w:iCs w:val="0"/>
          <w:color w:val="4E1A74"/>
          <w:lang w:eastAsia="en-AU"/>
        </w:rPr>
      </w:pPr>
      <w:r w:rsidRPr="00C224FC">
        <w:rPr>
          <w:rFonts w:asciiTheme="minorHAnsi" w:hAnsiTheme="minorHAnsi"/>
          <w:iCs w:val="0"/>
          <w:color w:val="4E1A74"/>
          <w:lang w:eastAsia="en-AU"/>
        </w:rPr>
        <w:t>W</w:t>
      </w:r>
      <w:r w:rsidR="00B47516" w:rsidRPr="00C224FC">
        <w:rPr>
          <w:rFonts w:asciiTheme="minorHAnsi" w:hAnsiTheme="minorHAnsi"/>
          <w:iCs w:val="0"/>
          <w:color w:val="4E1A74"/>
          <w:lang w:eastAsia="en-AU"/>
        </w:rPr>
        <w:t>ebsite content</w:t>
      </w:r>
    </w:p>
    <w:p w14:paraId="34FE15EE" w14:textId="7A48DFD8" w:rsidR="00977357" w:rsidRPr="008875E4" w:rsidRDefault="00B00ADE" w:rsidP="0030652D">
      <w:pPr>
        <w:spacing w:before="0"/>
      </w:pPr>
      <w:r w:rsidRPr="008875E4">
        <w:t xml:space="preserve">ARPANSA posts a large amount of information on its website including information on applications and inspections. It was reported </w:t>
      </w:r>
      <w:r w:rsidR="00B36CB1" w:rsidRPr="008875E4">
        <w:t xml:space="preserve">by staff and licence holders </w:t>
      </w:r>
      <w:r w:rsidRPr="008875E4">
        <w:t>that the search engine on the website is effective when people know what they are looking for.</w:t>
      </w:r>
      <w:r w:rsidR="009067D5">
        <w:t xml:space="preserve"> </w:t>
      </w:r>
      <w:r w:rsidR="002B6920" w:rsidRPr="008875E4">
        <w:t xml:space="preserve">Feedback suggests that the </w:t>
      </w:r>
      <w:r w:rsidR="0080457D" w:rsidRPr="008875E4">
        <w:t xml:space="preserve">structure and hierarchy of the regulatory </w:t>
      </w:r>
      <w:r w:rsidRPr="008875E4">
        <w:t>webpage</w:t>
      </w:r>
      <w:r w:rsidR="0080457D" w:rsidRPr="008875E4">
        <w:t>s</w:t>
      </w:r>
      <w:r w:rsidRPr="008875E4">
        <w:t xml:space="preserve"> </w:t>
      </w:r>
      <w:r w:rsidR="000877F6" w:rsidRPr="008875E4">
        <w:t>is</w:t>
      </w:r>
      <w:r w:rsidRPr="008875E4">
        <w:t xml:space="preserve"> not intuitive </w:t>
      </w:r>
      <w:r w:rsidR="0080457D" w:rsidRPr="008875E4">
        <w:t>and is confusing. As a result information and regulatory guidance can be difficult to find</w:t>
      </w:r>
      <w:r w:rsidRPr="008875E4">
        <w:t>. An example i</w:t>
      </w:r>
      <w:r w:rsidR="000877F6" w:rsidRPr="008875E4">
        <w:t>s</w:t>
      </w:r>
      <w:r w:rsidRPr="008875E4">
        <w:t xml:space="preserve"> the </w:t>
      </w:r>
      <w:r w:rsidR="00A3677F" w:rsidRPr="008875E4">
        <w:t xml:space="preserve">regulatory guides for which there is no link from the regulatory publications page or the information for licence </w:t>
      </w:r>
      <w:r w:rsidR="000877F6" w:rsidRPr="008875E4">
        <w:t>applicant’s</w:t>
      </w:r>
      <w:r w:rsidR="00A3677F" w:rsidRPr="008875E4">
        <w:t xml:space="preserve"> page.</w:t>
      </w:r>
    </w:p>
    <w:p w14:paraId="129C15DE" w14:textId="77777777" w:rsidR="00977357" w:rsidRDefault="00977357" w:rsidP="0030652D">
      <w:pPr>
        <w:spacing w:before="0"/>
        <w:rPr>
          <w:color w:val="C00000"/>
        </w:rPr>
      </w:pPr>
    </w:p>
    <w:p w14:paraId="08FFA74A" w14:textId="77777777" w:rsidR="00561938" w:rsidRPr="00B47516" w:rsidRDefault="00561938"/>
    <w:p w14:paraId="52C179DA" w14:textId="77777777" w:rsidR="00561938" w:rsidRDefault="00561938" w:rsidP="00561938">
      <w:pPr>
        <w:pStyle w:val="Heading2"/>
      </w:pPr>
      <w:bookmarkStart w:id="59" w:name="_Toc23846612"/>
      <w:bookmarkStart w:id="60" w:name="_Toc58918584"/>
      <w:r>
        <w:t>KPI 6 - Regulators actively contribute to the continuous improvement of regulatory</w:t>
      </w:r>
      <w:r w:rsidR="6A5A8808">
        <w:t xml:space="preserve"> frameworks</w:t>
      </w:r>
      <w:bookmarkEnd w:id="59"/>
      <w:bookmarkEnd w:id="60"/>
    </w:p>
    <w:p w14:paraId="636C9455" w14:textId="77777777" w:rsidR="00C224FC" w:rsidRDefault="00C224FC" w:rsidP="00C224FC">
      <w:pPr>
        <w:pStyle w:val="Heading3"/>
        <w:rPr>
          <w:lang w:eastAsia="en-AU"/>
        </w:rPr>
      </w:pPr>
      <w:r>
        <w:rPr>
          <w:lang w:eastAsia="en-AU"/>
        </w:rPr>
        <w:t>ARPANSA’s Objectives/Claims for KPI 6</w:t>
      </w:r>
    </w:p>
    <w:p w14:paraId="57836F8C" w14:textId="77777777" w:rsidR="002C369D" w:rsidRPr="008875E4" w:rsidRDefault="002C369D" w:rsidP="00C73950">
      <w:pPr>
        <w:rPr>
          <w:rFonts w:cs="Times New Roman"/>
          <w:bCs/>
          <w:szCs w:val="24"/>
          <w:lang w:eastAsia="en-AU"/>
        </w:rPr>
      </w:pPr>
      <w:r w:rsidRPr="008875E4">
        <w:rPr>
          <w:rFonts w:cs="Times New Roman"/>
          <w:bCs/>
          <w:szCs w:val="24"/>
          <w:lang w:eastAsia="en-AU"/>
        </w:rPr>
        <w:t xml:space="preserve">ARPANSA strives to be adaptable to meet the needs of the community and regulated entities, assuring compliance with the Act and Regulations and high levels of nuclear safety and radiation protection. </w:t>
      </w:r>
    </w:p>
    <w:p w14:paraId="685B3290" w14:textId="77777777" w:rsidR="00C73950" w:rsidRPr="008875E4" w:rsidRDefault="002C369D" w:rsidP="00C73950">
      <w:r w:rsidRPr="008875E4">
        <w:rPr>
          <w:rFonts w:cs="Times New Roman"/>
          <w:bCs/>
          <w:szCs w:val="24"/>
          <w:lang w:eastAsia="en-AU"/>
        </w:rPr>
        <w:t>A program of continuous improvement is recognised as being important to building a resilient regulator that know</w:t>
      </w:r>
      <w:r w:rsidR="00927F84" w:rsidRPr="008875E4">
        <w:rPr>
          <w:rFonts w:cs="Times New Roman"/>
          <w:bCs/>
          <w:szCs w:val="24"/>
          <w:lang w:eastAsia="en-AU"/>
        </w:rPr>
        <w:t>s</w:t>
      </w:r>
      <w:r w:rsidRPr="008875E4">
        <w:rPr>
          <w:rFonts w:cs="Times New Roman"/>
          <w:bCs/>
          <w:szCs w:val="24"/>
          <w:lang w:eastAsia="en-AU"/>
        </w:rPr>
        <w:t xml:space="preserve"> what to expect, monitor</w:t>
      </w:r>
      <w:r w:rsidR="00927F84" w:rsidRPr="008875E4">
        <w:rPr>
          <w:rFonts w:cs="Times New Roman"/>
          <w:bCs/>
          <w:szCs w:val="24"/>
          <w:lang w:eastAsia="en-AU"/>
        </w:rPr>
        <w:t>s</w:t>
      </w:r>
      <w:r w:rsidRPr="008875E4">
        <w:rPr>
          <w:rFonts w:cs="Times New Roman"/>
          <w:bCs/>
          <w:szCs w:val="24"/>
          <w:lang w:eastAsia="en-AU"/>
        </w:rPr>
        <w:t xml:space="preserve"> its regulatory environment, adapt</w:t>
      </w:r>
      <w:r w:rsidR="00927F84" w:rsidRPr="008875E4">
        <w:rPr>
          <w:rFonts w:cs="Times New Roman"/>
          <w:bCs/>
          <w:szCs w:val="24"/>
          <w:lang w:eastAsia="en-AU"/>
        </w:rPr>
        <w:t>s</w:t>
      </w:r>
      <w:r w:rsidRPr="008875E4">
        <w:rPr>
          <w:rFonts w:cs="Times New Roman"/>
          <w:bCs/>
          <w:szCs w:val="24"/>
          <w:lang w:eastAsia="en-AU"/>
        </w:rPr>
        <w:t xml:space="preserve"> to challenges, and learn</w:t>
      </w:r>
      <w:r w:rsidR="00927F84" w:rsidRPr="008875E4">
        <w:rPr>
          <w:rFonts w:cs="Times New Roman"/>
          <w:bCs/>
          <w:szCs w:val="24"/>
          <w:lang w:eastAsia="en-AU"/>
        </w:rPr>
        <w:t>s</w:t>
      </w:r>
      <w:r w:rsidRPr="008875E4">
        <w:rPr>
          <w:rFonts w:cs="Times New Roman"/>
          <w:bCs/>
          <w:szCs w:val="24"/>
          <w:lang w:eastAsia="en-AU"/>
        </w:rPr>
        <w:t xml:space="preserve"> from experience.</w:t>
      </w:r>
    </w:p>
    <w:p w14:paraId="0DAF9CF3" w14:textId="26D397F9" w:rsidR="004C7D75" w:rsidRPr="008875E4" w:rsidRDefault="002C369D" w:rsidP="002C369D">
      <w:pPr>
        <w:autoSpaceDE w:val="0"/>
        <w:autoSpaceDN w:val="0"/>
        <w:adjustRightInd w:val="0"/>
        <w:spacing w:after="120"/>
        <w:rPr>
          <w:rFonts w:cs="Times New Roman"/>
          <w:bCs/>
          <w:szCs w:val="24"/>
          <w:lang w:eastAsia="en-AU"/>
        </w:rPr>
      </w:pPr>
      <w:r w:rsidRPr="008875E4">
        <w:rPr>
          <w:rFonts w:cs="Times New Roman"/>
          <w:bCs/>
          <w:szCs w:val="24"/>
          <w:lang w:eastAsia="en-AU"/>
        </w:rPr>
        <w:t xml:space="preserve">The regulatory framework is reviewed, and potential improvements identified, via various methods. This includes this self-assessment, internal audits, stakeholder forums, periodic reviews of the regulatory management system, stakeholder feedback surveys, </w:t>
      </w:r>
      <w:r w:rsidR="009557E9" w:rsidRPr="008875E4">
        <w:rPr>
          <w:rFonts w:cs="Times New Roman"/>
          <w:bCs/>
          <w:szCs w:val="24"/>
          <w:lang w:eastAsia="en-AU"/>
        </w:rPr>
        <w:t xml:space="preserve">safety culture self-assessments, </w:t>
      </w:r>
      <w:r w:rsidRPr="008875E4">
        <w:rPr>
          <w:rFonts w:cs="Times New Roman"/>
          <w:bCs/>
          <w:szCs w:val="24"/>
          <w:lang w:eastAsia="en-AU"/>
        </w:rPr>
        <w:t>external audits and peer review missions.</w:t>
      </w:r>
      <w:r w:rsidR="004C7D75" w:rsidRPr="008875E4">
        <w:rPr>
          <w:rFonts w:cs="Times New Roman"/>
          <w:bCs/>
          <w:szCs w:val="24"/>
          <w:lang w:eastAsia="en-AU"/>
        </w:rPr>
        <w:t xml:space="preserve"> </w:t>
      </w:r>
      <w:r w:rsidR="004C7D75" w:rsidRPr="008875E4">
        <w:t xml:space="preserve">A list of potential improvements including all areas for improvement from reviews is maintained and updated such as when an action is closed following </w:t>
      </w:r>
      <w:r w:rsidR="00B36CB1" w:rsidRPr="008875E4">
        <w:t xml:space="preserve">satisfactory </w:t>
      </w:r>
      <w:r w:rsidR="004C7D75" w:rsidRPr="008875E4">
        <w:t>completion.</w:t>
      </w:r>
    </w:p>
    <w:tbl>
      <w:tblPr>
        <w:tblStyle w:val="GenericARPANSA4"/>
        <w:tblW w:w="5046" w:type="pct"/>
        <w:tblLayout w:type="fixed"/>
        <w:tblLook w:val="06A0" w:firstRow="1" w:lastRow="0" w:firstColumn="1" w:lastColumn="0" w:noHBand="1" w:noVBand="1"/>
        <w:tblDescription w:val="This table contains 2 heading columns, 1. KPIs/Measures/Metrics, 2. Evidence (Performance in  2016-17). Column 2 includes a self-assessed rating against KPI 5."/>
      </w:tblPr>
      <w:tblGrid>
        <w:gridCol w:w="4859"/>
        <w:gridCol w:w="4858"/>
      </w:tblGrid>
      <w:tr w:rsidR="00C73950" w:rsidRPr="00B37D36" w14:paraId="58B2B956" w14:textId="77777777" w:rsidTr="00B36CB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pct"/>
          </w:tcPr>
          <w:p w14:paraId="2524D991" w14:textId="77777777" w:rsidR="00C73950" w:rsidRPr="00B37D36" w:rsidRDefault="00C73950" w:rsidP="00A15B0E">
            <w:pPr>
              <w:pStyle w:val="Heading3"/>
              <w:jc w:val="left"/>
              <w:outlineLvl w:val="2"/>
              <w:rPr>
                <w:b/>
                <w:i w:val="0"/>
                <w:color w:val="FFFFFF" w:themeColor="background1"/>
                <w:sz w:val="22"/>
              </w:rPr>
            </w:pPr>
            <w:r w:rsidRPr="00B37D36">
              <w:rPr>
                <w:b/>
                <w:i w:val="0"/>
                <w:color w:val="FFFFFF" w:themeColor="background1"/>
                <w:sz w:val="22"/>
              </w:rPr>
              <w:t>Measures/</w:t>
            </w:r>
            <w:r w:rsidR="00A15B0E">
              <w:rPr>
                <w:b/>
                <w:i w:val="0"/>
                <w:color w:val="FFFFFF" w:themeColor="background1"/>
                <w:sz w:val="22"/>
              </w:rPr>
              <w:t>m</w:t>
            </w:r>
            <w:r w:rsidR="00A15B0E" w:rsidRPr="00B37D36">
              <w:rPr>
                <w:b/>
                <w:i w:val="0"/>
                <w:color w:val="FFFFFF" w:themeColor="background1"/>
                <w:sz w:val="22"/>
              </w:rPr>
              <w:t>etrics</w:t>
            </w:r>
          </w:p>
        </w:tc>
        <w:tc>
          <w:tcPr>
            <w:tcW w:w="0" w:type="pct"/>
          </w:tcPr>
          <w:p w14:paraId="11BB4780" w14:textId="616B404E" w:rsidR="00C73950" w:rsidRPr="00B37D36" w:rsidRDefault="007A5F0A" w:rsidP="00A15B0E">
            <w:pPr>
              <w:pStyle w:val="Heading3"/>
              <w:jc w:val="left"/>
              <w:outlineLvl w:val="2"/>
              <w:cnfStyle w:val="100000000000" w:firstRow="1" w:lastRow="0" w:firstColumn="0" w:lastColumn="0" w:oddVBand="0" w:evenVBand="0" w:oddHBand="0" w:evenHBand="0" w:firstRowFirstColumn="0" w:firstRowLastColumn="0" w:lastRowFirstColumn="0" w:lastRowLastColumn="0"/>
              <w:rPr>
                <w:b/>
                <w:i w:val="0"/>
                <w:color w:val="FFFFFF" w:themeColor="background1"/>
                <w:sz w:val="22"/>
              </w:rPr>
            </w:pPr>
            <w:r w:rsidRPr="00B37D36">
              <w:rPr>
                <w:b/>
                <w:i w:val="0"/>
                <w:color w:val="FFFFFF" w:themeColor="background1"/>
                <w:sz w:val="22"/>
              </w:rPr>
              <w:t>Evidence (</w:t>
            </w:r>
            <w:r w:rsidR="00A15B0E">
              <w:rPr>
                <w:b/>
                <w:i w:val="0"/>
                <w:color w:val="FFFFFF" w:themeColor="background1"/>
                <w:sz w:val="22"/>
              </w:rPr>
              <w:t>p</w:t>
            </w:r>
            <w:r w:rsidR="00D02FB8">
              <w:rPr>
                <w:b/>
                <w:i w:val="0"/>
                <w:color w:val="FFFFFF" w:themeColor="background1"/>
                <w:sz w:val="22"/>
              </w:rPr>
              <w:t>erformance in 2019</w:t>
            </w:r>
            <w:r w:rsidR="00A15B0E">
              <w:rPr>
                <w:b/>
                <w:i w:val="0"/>
                <w:color w:val="FFFFFF" w:themeColor="background1"/>
                <w:sz w:val="22"/>
              </w:rPr>
              <w:t>–</w:t>
            </w:r>
            <w:r w:rsidR="00D02FB8">
              <w:rPr>
                <w:b/>
                <w:i w:val="0"/>
                <w:color w:val="FFFFFF" w:themeColor="background1"/>
                <w:sz w:val="22"/>
              </w:rPr>
              <w:t>20</w:t>
            </w:r>
            <w:r w:rsidR="00C73950" w:rsidRPr="00B37D36">
              <w:rPr>
                <w:b/>
                <w:i w:val="0"/>
                <w:color w:val="FFFFFF" w:themeColor="background1"/>
                <w:sz w:val="22"/>
              </w:rPr>
              <w:t>)</w:t>
            </w:r>
          </w:p>
        </w:tc>
      </w:tr>
      <w:tr w:rsidR="00C73950" w:rsidRPr="00B37D36" w14:paraId="15269A5F" w14:textId="77777777" w:rsidTr="00B36CB1">
        <w:trPr>
          <w:trHeight w:val="2242"/>
        </w:trPr>
        <w:tc>
          <w:tcPr>
            <w:cnfStyle w:val="001000000000" w:firstRow="0" w:lastRow="0" w:firstColumn="1" w:lastColumn="0" w:oddVBand="0" w:evenVBand="0" w:oddHBand="0" w:evenHBand="0" w:firstRowFirstColumn="0" w:firstRowLastColumn="0" w:lastRowFirstColumn="0" w:lastRowLastColumn="0"/>
            <w:tcW w:w="0" w:type="pct"/>
            <w:vAlign w:val="top"/>
          </w:tcPr>
          <w:p w14:paraId="5B7D0F27" w14:textId="77777777" w:rsidR="00C73950" w:rsidRPr="008875E4" w:rsidRDefault="00C73950" w:rsidP="00B37D36">
            <w:pPr>
              <w:pStyle w:val="Tabletext"/>
              <w:jc w:val="left"/>
            </w:pPr>
            <w:r w:rsidRPr="008875E4">
              <w:t>PI 6.1 Feedback from licence holders is encouraged and feedback received is positive, constructive and drives improvement.</w:t>
            </w:r>
          </w:p>
          <w:p w14:paraId="67BB2F1F" w14:textId="77777777" w:rsidR="00C73950" w:rsidRPr="008875E4" w:rsidRDefault="00C73950" w:rsidP="00427228">
            <w:pPr>
              <w:pStyle w:val="Tabletext"/>
              <w:spacing w:before="120"/>
              <w:jc w:val="left"/>
              <w:rPr>
                <w:b w:val="0"/>
              </w:rPr>
            </w:pPr>
            <w:r w:rsidRPr="008875E4">
              <w:rPr>
                <w:b w:val="0"/>
              </w:rPr>
              <w:t>Soon after the completion of an inspection, licence application, change request (</w:t>
            </w:r>
            <w:r w:rsidR="00004834" w:rsidRPr="008875E4">
              <w:rPr>
                <w:b w:val="0"/>
              </w:rPr>
              <w:t>section 63 of the Regulations</w:t>
            </w:r>
            <w:r w:rsidRPr="008875E4">
              <w:rPr>
                <w:b w:val="0"/>
              </w:rPr>
              <w:t xml:space="preserve">) or construction request </w:t>
            </w:r>
            <w:r w:rsidR="00004834" w:rsidRPr="008875E4">
              <w:rPr>
                <w:b w:val="0"/>
              </w:rPr>
              <w:t xml:space="preserve">for an item important for safety </w:t>
            </w:r>
            <w:r w:rsidRPr="008875E4">
              <w:rPr>
                <w:b w:val="0"/>
              </w:rPr>
              <w:t>(</w:t>
            </w:r>
            <w:r w:rsidR="00004834" w:rsidRPr="008875E4">
              <w:rPr>
                <w:b w:val="0"/>
              </w:rPr>
              <w:t>section 66 of the Regulations</w:t>
            </w:r>
            <w:r w:rsidRPr="008875E4">
              <w:rPr>
                <w:b w:val="0"/>
              </w:rPr>
              <w:t>), the Office of the CEO will administer a survey independent of the Regulatory Services Branch, to ask for feedback on the service provided. The options for response from the licence holder range from ‘strongly agree’ to ‘strongly disagree’.</w:t>
            </w:r>
          </w:p>
          <w:p w14:paraId="130B9DF1" w14:textId="77777777" w:rsidR="00C73950" w:rsidRPr="008875E4" w:rsidRDefault="00C73950" w:rsidP="00B37D36">
            <w:pPr>
              <w:pStyle w:val="Tabletext"/>
              <w:jc w:val="left"/>
              <w:rPr>
                <w:b w:val="0"/>
              </w:rPr>
            </w:pPr>
            <w:r w:rsidRPr="008875E4">
              <w:rPr>
                <w:b w:val="0"/>
              </w:rPr>
              <w:t xml:space="preserve">A survey score is used to trend ARPANSA’s performance [Quantitative]. </w:t>
            </w:r>
          </w:p>
          <w:p w14:paraId="3FB6ECAF" w14:textId="77777777" w:rsidR="00C73950" w:rsidRPr="008400B2" w:rsidRDefault="00C73950" w:rsidP="00B37D36">
            <w:pPr>
              <w:pStyle w:val="Tabletext"/>
              <w:jc w:val="left"/>
              <w:rPr>
                <w:color w:val="auto"/>
              </w:rPr>
            </w:pPr>
            <w:r w:rsidRPr="008875E4">
              <w:rPr>
                <w:b w:val="0"/>
              </w:rPr>
              <w:t xml:space="preserve">The survey format provides the opportunity to add specific comments on the service provided. Feedback is an opportunity to identify improvements and enhance consistency of good practices. ARPANSA will analyse results to help gauge how effective regulatory staff </w:t>
            </w:r>
            <w:r w:rsidR="00004834" w:rsidRPr="008875E4">
              <w:rPr>
                <w:b w:val="0"/>
              </w:rPr>
              <w:t>are</w:t>
            </w:r>
            <w:r w:rsidRPr="008875E4">
              <w:rPr>
                <w:b w:val="0"/>
              </w:rPr>
              <w:t xml:space="preserve"> in putting the six KPIs into practice [Qualitative].</w:t>
            </w:r>
          </w:p>
        </w:tc>
        <w:tc>
          <w:tcPr>
            <w:tcW w:w="0" w:type="pct"/>
            <w:vAlign w:val="top"/>
          </w:tcPr>
          <w:p w14:paraId="67A2D003" w14:textId="77777777" w:rsidR="00F72BB7" w:rsidRPr="00841795" w:rsidRDefault="00CA3D8B" w:rsidP="00B37D36">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b/>
                <w:color w:val="4E1A74" w:themeColor="text2"/>
              </w:rPr>
            </w:pPr>
            <w:r w:rsidRPr="00841795">
              <w:rPr>
                <w:rFonts w:ascii="Calibri" w:hAnsi="Calibri"/>
                <w:b/>
                <w:color w:val="4E1A74" w:themeColor="text2"/>
              </w:rPr>
              <w:t>Substan</w:t>
            </w:r>
            <w:r w:rsidR="00CF44AD" w:rsidRPr="00841795">
              <w:rPr>
                <w:rFonts w:ascii="Calibri" w:hAnsi="Calibri"/>
                <w:b/>
                <w:color w:val="4E1A74" w:themeColor="text2"/>
              </w:rPr>
              <w:t>tially</w:t>
            </w:r>
            <w:r w:rsidR="00B37D36" w:rsidRPr="00841795">
              <w:rPr>
                <w:rFonts w:ascii="Calibri" w:hAnsi="Calibri"/>
                <w:b/>
                <w:color w:val="4E1A74" w:themeColor="text2"/>
              </w:rPr>
              <w:t xml:space="preserve"> </w:t>
            </w:r>
            <w:r w:rsidR="00A15B0E" w:rsidRPr="00841795">
              <w:rPr>
                <w:rFonts w:ascii="Calibri" w:hAnsi="Calibri"/>
                <w:b/>
                <w:color w:val="4E1A74" w:themeColor="text2"/>
              </w:rPr>
              <w:t>m</w:t>
            </w:r>
            <w:r w:rsidR="00B37D36" w:rsidRPr="00841795">
              <w:rPr>
                <w:rFonts w:ascii="Calibri" w:hAnsi="Calibri"/>
                <w:b/>
                <w:color w:val="4E1A74" w:themeColor="text2"/>
              </w:rPr>
              <w:t>et</w:t>
            </w:r>
          </w:p>
          <w:p w14:paraId="6C12E625" w14:textId="77777777" w:rsidR="00B47748" w:rsidRPr="008875E4" w:rsidRDefault="00CF6219" w:rsidP="00427228">
            <w:pPr>
              <w:pStyle w:val="Tabletext"/>
              <w:spacing w:before="12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rPr>
                <w:rFonts w:ascii="Calibri" w:hAnsi="Calibri"/>
              </w:rPr>
              <w:t xml:space="preserve">A total of </w:t>
            </w:r>
            <w:r w:rsidR="008E6B17" w:rsidRPr="008875E4">
              <w:rPr>
                <w:rFonts w:ascii="Calibri" w:hAnsi="Calibri"/>
              </w:rPr>
              <w:t>47</w:t>
            </w:r>
            <w:r w:rsidR="00B47748" w:rsidRPr="008875E4">
              <w:rPr>
                <w:rFonts w:ascii="Calibri" w:hAnsi="Calibri"/>
              </w:rPr>
              <w:t xml:space="preserve"> </w:t>
            </w:r>
            <w:r w:rsidRPr="008875E4">
              <w:rPr>
                <w:rFonts w:ascii="Calibri" w:hAnsi="Calibri"/>
              </w:rPr>
              <w:t>p</w:t>
            </w:r>
            <w:r w:rsidR="00B47748" w:rsidRPr="008875E4">
              <w:rPr>
                <w:rFonts w:ascii="Calibri" w:hAnsi="Calibri"/>
              </w:rPr>
              <w:t>ost</w:t>
            </w:r>
            <w:r w:rsidR="00530364" w:rsidRPr="008875E4">
              <w:rPr>
                <w:rFonts w:ascii="Calibri" w:hAnsi="Calibri"/>
              </w:rPr>
              <w:t>-</w:t>
            </w:r>
            <w:r w:rsidR="00B47748" w:rsidRPr="008875E4">
              <w:rPr>
                <w:rFonts w:ascii="Calibri" w:hAnsi="Calibri"/>
              </w:rPr>
              <w:t xml:space="preserve">inspection surveys were received, with an average overall satisfaction score of </w:t>
            </w:r>
            <w:r w:rsidR="008E6B17" w:rsidRPr="008875E4">
              <w:rPr>
                <w:rFonts w:ascii="Calibri" w:hAnsi="Calibri"/>
              </w:rPr>
              <w:t>94</w:t>
            </w:r>
            <w:r w:rsidR="00B47748" w:rsidRPr="008875E4">
              <w:rPr>
                <w:rFonts w:ascii="Calibri" w:hAnsi="Calibri"/>
              </w:rPr>
              <w:t>%</w:t>
            </w:r>
            <w:r w:rsidR="00F72BB7" w:rsidRPr="008875E4">
              <w:rPr>
                <w:rFonts w:ascii="Calibri" w:hAnsi="Calibri"/>
              </w:rPr>
              <w:t>.</w:t>
            </w:r>
            <w:r w:rsidR="00413FA6" w:rsidRPr="008875E4">
              <w:rPr>
                <w:rFonts w:ascii="Calibri" w:eastAsia="Calibri" w:hAnsi="Calibri" w:cs="Calibri"/>
              </w:rPr>
              <w:t xml:space="preserve"> This is </w:t>
            </w:r>
            <w:r w:rsidR="008E6B17" w:rsidRPr="008875E4">
              <w:rPr>
                <w:rFonts w:ascii="Calibri" w:eastAsia="Calibri" w:hAnsi="Calibri" w:cs="Calibri"/>
              </w:rPr>
              <w:t>marginally higher than previous years that averaged 87%</w:t>
            </w:r>
            <w:r w:rsidR="00413FA6" w:rsidRPr="008875E4">
              <w:rPr>
                <w:rFonts w:ascii="Calibri" w:eastAsia="Calibri" w:hAnsi="Calibri" w:cs="Calibri"/>
              </w:rPr>
              <w:t>.</w:t>
            </w:r>
          </w:p>
          <w:p w14:paraId="2082116A" w14:textId="77777777" w:rsidR="00C73950" w:rsidRPr="008875E4" w:rsidRDefault="00CF44AD" w:rsidP="001511BD">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t>Three</w:t>
            </w:r>
            <w:r w:rsidR="00F72BB7" w:rsidRPr="008875E4">
              <w:t xml:space="preserve"> post</w:t>
            </w:r>
            <w:r w:rsidR="00582A92" w:rsidRPr="008875E4">
              <w:t>-</w:t>
            </w:r>
            <w:r w:rsidR="00F72BB7" w:rsidRPr="008875E4">
              <w:t>assessment surveys were received</w:t>
            </w:r>
            <w:r w:rsidR="00F72BB7" w:rsidRPr="008875E4">
              <w:rPr>
                <w:rFonts w:ascii="Calibri" w:hAnsi="Calibri"/>
              </w:rPr>
              <w:t>, with an average overall satisfaction score of</w:t>
            </w:r>
            <w:r w:rsidR="00F72BB7" w:rsidRPr="008875E4">
              <w:t xml:space="preserve"> </w:t>
            </w:r>
            <w:r w:rsidRPr="008875E4">
              <w:t>75</w:t>
            </w:r>
            <w:r w:rsidR="00F72BB7" w:rsidRPr="008875E4">
              <w:t>%</w:t>
            </w:r>
            <w:r w:rsidRPr="008875E4">
              <w:t xml:space="preserve"> compared with 83% in the previous year</w:t>
            </w:r>
            <w:r w:rsidR="00F72BB7" w:rsidRPr="008875E4">
              <w:t>.</w:t>
            </w:r>
            <w:r w:rsidR="00B74605" w:rsidRPr="008875E4">
              <w:t xml:space="preserve"> </w:t>
            </w:r>
            <w:r w:rsidR="00F72BB7" w:rsidRPr="008875E4">
              <w:rPr>
                <w:rFonts w:ascii="Calibri" w:hAnsi="Calibri"/>
              </w:rPr>
              <w:t xml:space="preserve">The comments are also analysed for improvement opportunities. </w:t>
            </w:r>
            <w:r w:rsidR="00B47748" w:rsidRPr="008875E4">
              <w:rPr>
                <w:rFonts w:ascii="Calibri" w:hAnsi="Calibri"/>
              </w:rPr>
              <w:t>The</w:t>
            </w:r>
            <w:r w:rsidR="005745AE" w:rsidRPr="008875E4">
              <w:rPr>
                <w:rFonts w:ascii="Calibri" w:hAnsi="Calibri"/>
              </w:rPr>
              <w:t xml:space="preserve"> </w:t>
            </w:r>
            <w:r w:rsidR="007C61D7" w:rsidRPr="008875E4">
              <w:rPr>
                <w:rFonts w:ascii="Calibri" w:hAnsi="Calibri"/>
              </w:rPr>
              <w:t>comments</w:t>
            </w:r>
            <w:r w:rsidR="005745AE" w:rsidRPr="008875E4">
              <w:rPr>
                <w:rFonts w:ascii="Calibri" w:hAnsi="Calibri"/>
              </w:rPr>
              <w:t xml:space="preserve"> received</w:t>
            </w:r>
            <w:r w:rsidR="00B47748" w:rsidRPr="008875E4">
              <w:rPr>
                <w:rFonts w:ascii="Calibri" w:hAnsi="Calibri"/>
              </w:rPr>
              <w:t xml:space="preserve"> </w:t>
            </w:r>
            <w:r w:rsidR="007C61D7" w:rsidRPr="008875E4">
              <w:rPr>
                <w:rFonts w:ascii="Calibri" w:hAnsi="Calibri"/>
              </w:rPr>
              <w:t>indicate</w:t>
            </w:r>
            <w:r w:rsidR="005745AE" w:rsidRPr="008875E4">
              <w:rPr>
                <w:rFonts w:ascii="Calibri" w:hAnsi="Calibri"/>
              </w:rPr>
              <w:t xml:space="preserve"> </w:t>
            </w:r>
            <w:r w:rsidR="00927F84" w:rsidRPr="008875E4">
              <w:rPr>
                <w:rFonts w:ascii="Calibri" w:eastAsia="Calibri" w:hAnsi="Calibri" w:cs="Calibri"/>
              </w:rPr>
              <w:t>a</w:t>
            </w:r>
            <w:r w:rsidR="007C61D7" w:rsidRPr="008875E4">
              <w:rPr>
                <w:rFonts w:ascii="Calibri" w:eastAsia="Calibri" w:hAnsi="Calibri" w:cs="Calibri"/>
              </w:rPr>
              <w:t>n</w:t>
            </w:r>
            <w:r w:rsidR="007C61D7" w:rsidRPr="008875E4">
              <w:rPr>
                <w:rFonts w:ascii="Calibri" w:hAnsi="Calibri"/>
              </w:rPr>
              <w:t xml:space="preserve"> overall </w:t>
            </w:r>
            <w:r w:rsidR="00B47748" w:rsidRPr="008875E4">
              <w:rPr>
                <w:rFonts w:ascii="Calibri" w:hAnsi="Calibri"/>
              </w:rPr>
              <w:t xml:space="preserve">positive </w:t>
            </w:r>
            <w:r w:rsidR="005745AE" w:rsidRPr="008875E4">
              <w:rPr>
                <w:rFonts w:ascii="Calibri" w:hAnsi="Calibri"/>
              </w:rPr>
              <w:t xml:space="preserve">perception </w:t>
            </w:r>
            <w:r w:rsidR="00B47748" w:rsidRPr="008875E4">
              <w:rPr>
                <w:rFonts w:ascii="Calibri" w:hAnsi="Calibri"/>
              </w:rPr>
              <w:t xml:space="preserve">of the delivery of regulatory </w:t>
            </w:r>
            <w:r w:rsidR="00B47748" w:rsidRPr="008875E4">
              <w:rPr>
                <w:rFonts w:ascii="Calibri" w:eastAsia="Calibri" w:hAnsi="Calibri" w:cs="Calibri"/>
              </w:rPr>
              <w:t>service</w:t>
            </w:r>
            <w:r w:rsidR="00927F84" w:rsidRPr="008875E4">
              <w:rPr>
                <w:rFonts w:ascii="Calibri" w:eastAsia="Calibri" w:hAnsi="Calibri" w:cs="Calibri"/>
              </w:rPr>
              <w:t>s</w:t>
            </w:r>
            <w:r w:rsidR="007006FD" w:rsidRPr="008875E4">
              <w:rPr>
                <w:rFonts w:ascii="Calibri" w:eastAsia="Calibri" w:hAnsi="Calibri" w:cs="Calibri"/>
              </w:rPr>
              <w:t xml:space="preserve">, however, an audit of approvals found that the request to participate in the post inspection survey had not been issued in </w:t>
            </w:r>
            <w:r w:rsidR="001511BD" w:rsidRPr="008875E4">
              <w:rPr>
                <w:rFonts w:ascii="Calibri" w:eastAsia="Calibri" w:hAnsi="Calibri" w:cs="Calibri"/>
              </w:rPr>
              <w:t>seven of</w:t>
            </w:r>
            <w:r w:rsidR="007006FD" w:rsidRPr="008875E4">
              <w:rPr>
                <w:rFonts w:ascii="Calibri" w:eastAsia="Calibri" w:hAnsi="Calibri" w:cs="Calibri"/>
              </w:rPr>
              <w:t xml:space="preserve"> the </w:t>
            </w:r>
            <w:r w:rsidR="003A076A" w:rsidRPr="008875E4">
              <w:rPr>
                <w:rFonts w:ascii="Calibri" w:eastAsia="Calibri" w:hAnsi="Calibri" w:cs="Calibri"/>
              </w:rPr>
              <w:t xml:space="preserve">18 </w:t>
            </w:r>
            <w:r w:rsidR="007006FD" w:rsidRPr="008875E4">
              <w:rPr>
                <w:rFonts w:ascii="Calibri" w:eastAsia="Calibri" w:hAnsi="Calibri" w:cs="Calibri"/>
              </w:rPr>
              <w:t>approvals</w:t>
            </w:r>
            <w:r w:rsidR="00B47748" w:rsidRPr="008875E4">
              <w:rPr>
                <w:rFonts w:ascii="Calibri" w:hAnsi="Calibri"/>
              </w:rPr>
              <w:t>.</w:t>
            </w:r>
          </w:p>
          <w:p w14:paraId="2C13F83A" w14:textId="66C108FF" w:rsidR="00893996" w:rsidRPr="00CF44AD" w:rsidRDefault="00893996" w:rsidP="00893996">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color w:val="C00000"/>
              </w:rPr>
            </w:pPr>
            <w:r w:rsidRPr="008875E4">
              <w:rPr>
                <w:rFonts w:ascii="Calibri" w:hAnsi="Calibri"/>
              </w:rPr>
              <w:t>ARPANSA lacks an effective mechanism to collect feedback from other licence holder interactions such as telephone calls or meetings including inspection exit meetings.</w:t>
            </w:r>
            <w:r w:rsidR="007725A5" w:rsidRPr="008875E4">
              <w:rPr>
                <w:rFonts w:ascii="Calibri" w:hAnsi="Calibri"/>
              </w:rPr>
              <w:t xml:space="preserve"> This is an </w:t>
            </w:r>
            <w:r w:rsidR="002459B5" w:rsidRPr="008875E4">
              <w:rPr>
                <w:rFonts w:ascii="Calibri" w:hAnsi="Calibri"/>
              </w:rPr>
              <w:t>opportunity</w:t>
            </w:r>
            <w:r w:rsidR="007725A5" w:rsidRPr="008875E4">
              <w:rPr>
                <w:rFonts w:ascii="Calibri" w:hAnsi="Calibri"/>
              </w:rPr>
              <w:t xml:space="preserve"> for improvement and the reason that this measure is only substantially met.</w:t>
            </w:r>
          </w:p>
        </w:tc>
      </w:tr>
      <w:tr w:rsidR="00C73950" w:rsidRPr="00B37D36" w14:paraId="6108E7DF" w14:textId="77777777" w:rsidTr="00B36CB1">
        <w:trPr>
          <w:cantSplit/>
          <w:trHeight w:val="2243"/>
        </w:trPr>
        <w:tc>
          <w:tcPr>
            <w:cnfStyle w:val="001000000000" w:firstRow="0" w:lastRow="0" w:firstColumn="1" w:lastColumn="0" w:oddVBand="0" w:evenVBand="0" w:oddHBand="0" w:evenHBand="0" w:firstRowFirstColumn="0" w:firstRowLastColumn="0" w:lastRowFirstColumn="0" w:lastRowLastColumn="0"/>
            <w:tcW w:w="0" w:type="pct"/>
            <w:vAlign w:val="top"/>
          </w:tcPr>
          <w:p w14:paraId="04FCE510" w14:textId="77777777" w:rsidR="00C73950" w:rsidRPr="008875E4" w:rsidRDefault="00C73950" w:rsidP="00104B1D">
            <w:pPr>
              <w:spacing w:before="60"/>
              <w:jc w:val="left"/>
              <w:rPr>
                <w:b w:val="0"/>
              </w:rPr>
            </w:pPr>
            <w:r w:rsidRPr="008875E4">
              <w:t xml:space="preserve">PI 6.2 - Improvements identified through internal or external reviews, self-assessment or feedback, are implemented effectively. </w:t>
            </w:r>
          </w:p>
          <w:p w14:paraId="74EC5347" w14:textId="77777777" w:rsidR="00C73950" w:rsidRPr="008875E4" w:rsidRDefault="00C73950" w:rsidP="00104B1D">
            <w:pPr>
              <w:spacing w:before="120"/>
              <w:jc w:val="left"/>
              <w:rPr>
                <w:b w:val="0"/>
              </w:rPr>
            </w:pPr>
            <w:r w:rsidRPr="008875E4">
              <w:rPr>
                <w:b w:val="0"/>
              </w:rPr>
              <w:t xml:space="preserve">Areas for improvement in the regulatory framework can be identified via various routes such as annual self-assessments. Additional opportunities include internal procedure and policy reviews as part of the Regulatory Services Branch Quality Management System, staff suggestions, external audits of </w:t>
            </w:r>
            <w:r w:rsidRPr="008875E4">
              <w:rPr>
                <w:b w:val="0"/>
              </w:rPr>
              <w:lastRenderedPageBreak/>
              <w:t xml:space="preserve">ARPANSA including international peer review missions, and stakeholder feedback from surveys and licence holder forums. </w:t>
            </w:r>
          </w:p>
          <w:p w14:paraId="2943BB0A" w14:textId="77777777" w:rsidR="00C73950" w:rsidRPr="008875E4" w:rsidRDefault="00C73950" w:rsidP="00BA1292">
            <w:pPr>
              <w:pStyle w:val="Tabletext"/>
              <w:jc w:val="left"/>
            </w:pPr>
            <w:r w:rsidRPr="008875E4">
              <w:rPr>
                <w:b w:val="0"/>
              </w:rPr>
              <w:t>The number of regulatory improvements identified and implemented will measure ARPANSA’s actions to continuously improve the regulatory framework [Quantitative].</w:t>
            </w:r>
          </w:p>
        </w:tc>
        <w:tc>
          <w:tcPr>
            <w:tcW w:w="0" w:type="pct"/>
            <w:vAlign w:val="top"/>
          </w:tcPr>
          <w:p w14:paraId="266B2602" w14:textId="77777777" w:rsidR="00C73950" w:rsidRPr="008875E4" w:rsidRDefault="00F72BB7" w:rsidP="00BA1292">
            <w:pPr>
              <w:pStyle w:val="Tabletext"/>
              <w:jc w:val="left"/>
              <w:cnfStyle w:val="000000000000" w:firstRow="0" w:lastRow="0" w:firstColumn="0" w:lastColumn="0" w:oddVBand="0" w:evenVBand="0" w:oddHBand="0" w:evenHBand="0" w:firstRowFirstColumn="0" w:firstRowLastColumn="0" w:lastRowFirstColumn="0" w:lastRowLastColumn="0"/>
              <w:rPr>
                <w:b/>
              </w:rPr>
            </w:pPr>
            <w:r w:rsidRPr="008875E4">
              <w:rPr>
                <w:b/>
              </w:rPr>
              <w:lastRenderedPageBreak/>
              <w:t xml:space="preserve">Target </w:t>
            </w:r>
            <w:r w:rsidR="00604C74" w:rsidRPr="008875E4">
              <w:rPr>
                <w:b/>
              </w:rPr>
              <w:t>met</w:t>
            </w:r>
          </w:p>
          <w:p w14:paraId="779DD71E" w14:textId="77777777" w:rsidR="00B90E51" w:rsidRPr="008875E4" w:rsidRDefault="004C7D75" w:rsidP="00BA1292">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8875E4">
              <w:t xml:space="preserve">A list of potential improvements is maintained and updated as actions are completed. </w:t>
            </w:r>
            <w:r w:rsidR="00B90E51" w:rsidRPr="008875E4">
              <w:t>Improvements implemented this financial year included:</w:t>
            </w:r>
          </w:p>
          <w:p w14:paraId="7D52832B" w14:textId="77777777" w:rsidR="00B90E51" w:rsidRPr="008875E4" w:rsidRDefault="007006FD"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rsidRPr="008875E4">
              <w:t>Introduction of a data dashboard to assist</w:t>
            </w:r>
            <w:r w:rsidR="00CA3D8B" w:rsidRPr="008875E4">
              <w:t xml:space="preserve"> </w:t>
            </w:r>
            <w:r w:rsidRPr="008875E4">
              <w:t>in the management of regulatory oversight</w:t>
            </w:r>
          </w:p>
          <w:p w14:paraId="617F10C4" w14:textId="18F859EE" w:rsidR="00B90E51" w:rsidRPr="008875E4" w:rsidRDefault="007006FD"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rsidRPr="008875E4">
              <w:t>Introduct</w:t>
            </w:r>
            <w:r w:rsidR="008E5A1B" w:rsidRPr="008875E4">
              <w:t>ion of a new form for laser safety for us</w:t>
            </w:r>
            <w:r w:rsidR="009557E9" w:rsidRPr="008875E4">
              <w:t>e</w:t>
            </w:r>
            <w:r w:rsidR="008E5A1B" w:rsidRPr="008875E4">
              <w:t xml:space="preserve"> in ARPANSA developed safety assessment tools. These </w:t>
            </w:r>
            <w:r w:rsidR="008E5A1B" w:rsidRPr="008875E4">
              <w:lastRenderedPageBreak/>
              <w:t>allow licence holders to assess their own compliance. Further forms will be progressively added to cover other controlled activities</w:t>
            </w:r>
          </w:p>
          <w:p w14:paraId="62B30AB0" w14:textId="394BAF9F" w:rsidR="008E5A1B" w:rsidRPr="008875E4" w:rsidRDefault="008E5A1B"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rsidRPr="008875E4">
              <w:t>The formulisation of arra</w:t>
            </w:r>
            <w:r w:rsidR="00CA3D8B" w:rsidRPr="008875E4">
              <w:t xml:space="preserve">ngements for independent oversight of </w:t>
            </w:r>
            <w:r w:rsidR="003C2AD0" w:rsidRPr="008875E4">
              <w:t xml:space="preserve">ARPANSA’s </w:t>
            </w:r>
            <w:r w:rsidR="00CA3D8B" w:rsidRPr="008875E4">
              <w:t>regulat</w:t>
            </w:r>
            <w:r w:rsidR="003C2AD0" w:rsidRPr="008875E4">
              <w:t xml:space="preserve">ion of its own licenced (under the ARPANS Act) </w:t>
            </w:r>
            <w:r w:rsidR="00CA3D8B" w:rsidRPr="008875E4">
              <w:t>activities (to address issues of conflict of interest)</w:t>
            </w:r>
          </w:p>
          <w:p w14:paraId="09ADF9D4" w14:textId="6D12A5BC" w:rsidR="00E62465" w:rsidRPr="008875E4" w:rsidRDefault="00E62465"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rsidRPr="008875E4">
              <w:t>Actions resulting from the 2018 IAEA IRRS review (</w:t>
            </w:r>
            <w:r w:rsidR="003C2AD0" w:rsidRPr="008875E4">
              <w:t>s</w:t>
            </w:r>
            <w:r w:rsidRPr="008875E4">
              <w:t>ee below)</w:t>
            </w:r>
          </w:p>
          <w:p w14:paraId="7255DF1A" w14:textId="77777777" w:rsidR="00F72BB7" w:rsidRPr="008875E4" w:rsidRDefault="00B90E51" w:rsidP="00BA1292">
            <w:pPr>
              <w:pStyle w:val="Tabletext"/>
              <w:jc w:val="left"/>
              <w:cnfStyle w:val="000000000000" w:firstRow="0" w:lastRow="0" w:firstColumn="0" w:lastColumn="0" w:oddVBand="0" w:evenVBand="0" w:oddHBand="0" w:evenHBand="0" w:firstRowFirstColumn="0" w:firstRowLastColumn="0" w:lastRowFirstColumn="0" w:lastRowLastColumn="0"/>
            </w:pPr>
            <w:r w:rsidRPr="008875E4">
              <w:t>R</w:t>
            </w:r>
            <w:r w:rsidR="00F72BB7" w:rsidRPr="008875E4">
              <w:t xml:space="preserve">eviews </w:t>
            </w:r>
            <w:r w:rsidRPr="008875E4">
              <w:t xml:space="preserve">in this period </w:t>
            </w:r>
            <w:r w:rsidR="00F72BB7" w:rsidRPr="008875E4">
              <w:t>have included:</w:t>
            </w:r>
          </w:p>
          <w:p w14:paraId="635CE546" w14:textId="5FA6E016" w:rsidR="00CA3D8B" w:rsidRPr="008875E4" w:rsidRDefault="00AB1C33" w:rsidP="00CA3D8B">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rsidRPr="008875E4">
              <w:t>a</w:t>
            </w:r>
            <w:r w:rsidR="00F72BB7" w:rsidRPr="008875E4">
              <w:t xml:space="preserve"> </w:t>
            </w:r>
            <w:r w:rsidR="003C2AD0" w:rsidRPr="008875E4">
              <w:t>whole-of-</w:t>
            </w:r>
            <w:r w:rsidR="007006FD" w:rsidRPr="008875E4">
              <w:t>agency safety culture assessment</w:t>
            </w:r>
          </w:p>
          <w:p w14:paraId="7DD49FF1" w14:textId="6621EBE8" w:rsidR="00F72BB7" w:rsidRPr="008875E4" w:rsidRDefault="003C2AD0" w:rsidP="003C2AD0">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rsidRPr="008875E4">
              <w:t>a</w:t>
            </w:r>
            <w:r w:rsidR="008E5A1B" w:rsidRPr="008875E4">
              <w:t xml:space="preserve"> review of the scope and depth o</w:t>
            </w:r>
            <w:r w:rsidRPr="008875E4">
              <w:t>f</w:t>
            </w:r>
            <w:r w:rsidR="008E5A1B" w:rsidRPr="008875E4">
              <w:t xml:space="preserve"> regulatory guidance (ongoing)</w:t>
            </w:r>
          </w:p>
        </w:tc>
      </w:tr>
      <w:tr w:rsidR="00C73950" w:rsidRPr="00B37D36" w14:paraId="18590979" w14:textId="77777777" w:rsidTr="00B36CB1">
        <w:trPr>
          <w:trHeight w:val="2243"/>
        </w:trPr>
        <w:tc>
          <w:tcPr>
            <w:cnfStyle w:val="001000000000" w:firstRow="0" w:lastRow="0" w:firstColumn="1" w:lastColumn="0" w:oddVBand="0" w:evenVBand="0" w:oddHBand="0" w:evenHBand="0" w:firstRowFirstColumn="0" w:firstRowLastColumn="0" w:lastRowFirstColumn="0" w:lastRowLastColumn="0"/>
            <w:tcW w:w="0" w:type="pct"/>
            <w:tcBorders>
              <w:bottom w:val="single" w:sz="18" w:space="0" w:color="auto"/>
            </w:tcBorders>
            <w:vAlign w:val="top"/>
          </w:tcPr>
          <w:p w14:paraId="2DB431A7" w14:textId="77777777" w:rsidR="00C73950" w:rsidRPr="008875E4" w:rsidRDefault="00C73950" w:rsidP="00BA1292">
            <w:pPr>
              <w:jc w:val="left"/>
            </w:pPr>
            <w:r w:rsidRPr="008875E4">
              <w:lastRenderedPageBreak/>
              <w:t>PI 6.3 - Promote the use of international best practice across Australia.</w:t>
            </w:r>
          </w:p>
          <w:p w14:paraId="74E18CC3" w14:textId="77777777" w:rsidR="00C73950" w:rsidRPr="008875E4" w:rsidRDefault="00C73950" w:rsidP="00104B1D">
            <w:pPr>
              <w:spacing w:before="120"/>
              <w:jc w:val="left"/>
              <w:rPr>
                <w:b w:val="0"/>
              </w:rPr>
            </w:pPr>
            <w:r w:rsidRPr="008875E4">
              <w:rPr>
                <w:b w:val="0"/>
              </w:rPr>
              <w:t>ARPANSA’s regulatory activities should meet national and international standards of good practice. To achieve this, ARPANSA will co-operate with national and international bodies in the development of best practice radiation regulation including in the development of international standards and recommendations [Qualitative].</w:t>
            </w:r>
          </w:p>
        </w:tc>
        <w:tc>
          <w:tcPr>
            <w:tcW w:w="0" w:type="pct"/>
            <w:tcBorders>
              <w:bottom w:val="single" w:sz="18" w:space="0" w:color="auto"/>
            </w:tcBorders>
            <w:vAlign w:val="top"/>
          </w:tcPr>
          <w:p w14:paraId="0BE1FE6B" w14:textId="77777777" w:rsidR="00D966EE" w:rsidRPr="008875E4" w:rsidRDefault="00D966EE" w:rsidP="00BA1292">
            <w:pPr>
              <w:pStyle w:val="Tabletext"/>
              <w:jc w:val="left"/>
              <w:cnfStyle w:val="000000000000" w:firstRow="0" w:lastRow="0" w:firstColumn="0" w:lastColumn="0" w:oddVBand="0" w:evenVBand="0" w:oddHBand="0" w:evenHBand="0" w:firstRowFirstColumn="0" w:firstRowLastColumn="0" w:lastRowFirstColumn="0" w:lastRowLastColumn="0"/>
              <w:rPr>
                <w:b/>
              </w:rPr>
            </w:pPr>
            <w:r w:rsidRPr="008875E4">
              <w:rPr>
                <w:b/>
              </w:rPr>
              <w:t xml:space="preserve">Target </w:t>
            </w:r>
            <w:r w:rsidR="00BB3B54" w:rsidRPr="008875E4">
              <w:rPr>
                <w:b/>
              </w:rPr>
              <w:t>m</w:t>
            </w:r>
            <w:r w:rsidRPr="008875E4">
              <w:rPr>
                <w:b/>
              </w:rPr>
              <w:t>et</w:t>
            </w:r>
          </w:p>
          <w:p w14:paraId="77E9FFCC" w14:textId="420AC383" w:rsidR="00C73950" w:rsidRPr="008875E4" w:rsidRDefault="00B90E51" w:rsidP="00104B1D">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8875E4">
              <w:t xml:space="preserve">ARPANSA demonstrated strong international engagement including </w:t>
            </w:r>
            <w:r w:rsidR="003C2AD0" w:rsidRPr="008875E4">
              <w:t>liaising</w:t>
            </w:r>
            <w:r w:rsidRPr="008875E4">
              <w:t xml:space="preserve"> with </w:t>
            </w:r>
            <w:r w:rsidR="00D966EE" w:rsidRPr="008875E4">
              <w:t xml:space="preserve">international regulators, IAEA </w:t>
            </w:r>
            <w:r w:rsidR="003C2AD0" w:rsidRPr="008875E4">
              <w:t xml:space="preserve">safety </w:t>
            </w:r>
            <w:r w:rsidR="00D966EE" w:rsidRPr="008875E4">
              <w:t>standards committees, and participation in IRRS missions.</w:t>
            </w:r>
            <w:r w:rsidR="00CA3D8B" w:rsidRPr="008875E4">
              <w:t xml:space="preserve"> During the COVID-19 pandemic this work has continued where possible by remote methods.</w:t>
            </w:r>
          </w:p>
          <w:p w14:paraId="67072666" w14:textId="0BA88AD2" w:rsidR="00D966EE" w:rsidRPr="008875E4" w:rsidRDefault="00D966EE" w:rsidP="00592355">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8875E4">
              <w:t xml:space="preserve">ARPANSA promoted best practice across Australia through </w:t>
            </w:r>
            <w:r w:rsidR="002052E6" w:rsidRPr="008875E4">
              <w:t xml:space="preserve">the Radiation Health Committee and </w:t>
            </w:r>
            <w:r w:rsidRPr="008875E4">
              <w:t xml:space="preserve">initiatives such as </w:t>
            </w:r>
            <w:r w:rsidR="00433B58" w:rsidRPr="008875E4">
              <w:t xml:space="preserve">the </w:t>
            </w:r>
            <w:r w:rsidRPr="008875E4">
              <w:t xml:space="preserve">Radiation </w:t>
            </w:r>
            <w:r w:rsidR="00592355" w:rsidRPr="008875E4">
              <w:t>Protection</w:t>
            </w:r>
            <w:r w:rsidRPr="008875E4">
              <w:t xml:space="preserve"> Network</w:t>
            </w:r>
            <w:r w:rsidR="003C2AD0" w:rsidRPr="008875E4">
              <w:t xml:space="preserve"> (formerly names Radiation Regulators Network but renamed to illustrate that the network could be accessed by non-regulatory organisations)</w:t>
            </w:r>
            <w:r w:rsidRPr="008875E4">
              <w:t xml:space="preserve">, </w:t>
            </w:r>
            <w:r w:rsidR="00433B58" w:rsidRPr="008875E4">
              <w:t xml:space="preserve">the </w:t>
            </w:r>
            <w:r w:rsidR="0046213C" w:rsidRPr="008875E4">
              <w:t xml:space="preserve">Australian National </w:t>
            </w:r>
            <w:r w:rsidR="00433B58" w:rsidRPr="008875E4">
              <w:t xml:space="preserve">Radiation </w:t>
            </w:r>
            <w:r w:rsidR="0046213C" w:rsidRPr="008875E4">
              <w:t xml:space="preserve">Dose Register, </w:t>
            </w:r>
            <w:r w:rsidR="00433B58" w:rsidRPr="008875E4">
              <w:t xml:space="preserve">the Australian Radiation Incident Register </w:t>
            </w:r>
            <w:r w:rsidRPr="008875E4">
              <w:t xml:space="preserve">and working collaboratively with </w:t>
            </w:r>
            <w:r w:rsidR="00780930" w:rsidRPr="008875E4">
              <w:t>the Environmental Health Standing Committee (enHealth), comprising senior health officials from all Australian jurisdictions and reporting to the Australian Health Protection Principal Committee (AHPPC)</w:t>
            </w:r>
            <w:r w:rsidRPr="008875E4">
              <w:t>.</w:t>
            </w:r>
          </w:p>
        </w:tc>
      </w:tr>
      <w:tr w:rsidR="00BA1292" w:rsidRPr="00B37D36" w14:paraId="1B956DD1" w14:textId="77777777" w:rsidTr="00B36CB1">
        <w:trPr>
          <w:cantSplit/>
        </w:trPr>
        <w:tc>
          <w:tcPr>
            <w:cnfStyle w:val="001000000000" w:firstRow="0" w:lastRow="0" w:firstColumn="1" w:lastColumn="0" w:oddVBand="0" w:evenVBand="0" w:oddHBand="0" w:evenHBand="0" w:firstRowFirstColumn="0" w:firstRowLastColumn="0" w:lastRowFirstColumn="0" w:lastRowLastColumn="0"/>
            <w:tcW w:w="0" w:type="pct"/>
            <w:gridSpan w:val="2"/>
            <w:tcBorders>
              <w:bottom w:val="single" w:sz="18" w:space="0" w:color="auto"/>
            </w:tcBorders>
            <w:shd w:val="clear" w:color="auto" w:fill="E3CCF4" w:themeFill="accent1"/>
            <w:vAlign w:val="top"/>
          </w:tcPr>
          <w:p w14:paraId="2ACD2872" w14:textId="77777777" w:rsidR="00BA1292" w:rsidRPr="00BA1292" w:rsidRDefault="00BA1292" w:rsidP="00CA3D8B">
            <w:pPr>
              <w:spacing w:before="60"/>
              <w:jc w:val="left"/>
            </w:pPr>
            <w:r w:rsidRPr="00BA1292">
              <w:rPr>
                <w:b w:val="0"/>
              </w:rPr>
              <w:t>Self-assessed rating:</w:t>
            </w:r>
            <w:r>
              <w:t xml:space="preserve"> </w:t>
            </w:r>
            <w:r w:rsidR="00CA3D8B">
              <w:t>Substantially met</w:t>
            </w:r>
          </w:p>
        </w:tc>
      </w:tr>
    </w:tbl>
    <w:p w14:paraId="4EA29A94" w14:textId="77777777" w:rsidR="000014D7" w:rsidRDefault="000014D7" w:rsidP="00F5034B">
      <w:pPr>
        <w:pStyle w:val="Heading3"/>
      </w:pPr>
    </w:p>
    <w:p w14:paraId="4F110DAF" w14:textId="77777777" w:rsidR="00F5034B" w:rsidRDefault="00F5034B" w:rsidP="00F5034B">
      <w:pPr>
        <w:pStyle w:val="Heading3"/>
      </w:pPr>
      <w:r>
        <w:t>Further evidence considered</w:t>
      </w:r>
    </w:p>
    <w:p w14:paraId="5C46DE52" w14:textId="404888F2" w:rsidR="0093148D" w:rsidRPr="008875E4" w:rsidRDefault="0034657C">
      <w:pPr>
        <w:rPr>
          <w:rFonts w:cs="Times New Roman"/>
          <w:lang w:eastAsia="en-AU"/>
        </w:rPr>
      </w:pPr>
      <w:r w:rsidRPr="008875E4">
        <w:rPr>
          <w:rFonts w:cs="Times New Roman"/>
          <w:lang w:eastAsia="en-AU"/>
        </w:rPr>
        <w:t xml:space="preserve">ARPANSA has </w:t>
      </w:r>
      <w:r w:rsidR="00B90E51" w:rsidRPr="008875E4">
        <w:rPr>
          <w:rFonts w:cs="Times New Roman"/>
          <w:lang w:eastAsia="en-AU"/>
        </w:rPr>
        <w:t>strong</w:t>
      </w:r>
      <w:r w:rsidRPr="008875E4">
        <w:rPr>
          <w:rFonts w:cs="Times New Roman"/>
          <w:lang w:eastAsia="en-AU"/>
        </w:rPr>
        <w:t xml:space="preserve"> international engagement</w:t>
      </w:r>
      <w:r w:rsidR="00EC4E68" w:rsidRPr="008875E4">
        <w:rPr>
          <w:rFonts w:cs="Times New Roman"/>
          <w:lang w:eastAsia="en-AU"/>
        </w:rPr>
        <w:t>, both regionally and further afield</w:t>
      </w:r>
      <w:r w:rsidR="00E83DE0" w:rsidRPr="008875E4">
        <w:rPr>
          <w:rFonts w:cs="Times New Roman"/>
          <w:lang w:eastAsia="en-AU"/>
        </w:rPr>
        <w:t xml:space="preserve"> that informs its approach to its own licence holders</w:t>
      </w:r>
      <w:r w:rsidR="00EC4E68" w:rsidRPr="008875E4">
        <w:rPr>
          <w:rFonts w:cs="Times New Roman"/>
          <w:lang w:eastAsia="en-AU"/>
        </w:rPr>
        <w:t xml:space="preserve">. </w:t>
      </w:r>
      <w:r w:rsidRPr="008875E4">
        <w:rPr>
          <w:rFonts w:cs="Times New Roman"/>
          <w:lang w:eastAsia="en-AU"/>
        </w:rPr>
        <w:t xml:space="preserve">ARPANSA participates in IAEA safety </w:t>
      </w:r>
      <w:r w:rsidR="00EC4E68" w:rsidRPr="008875E4">
        <w:rPr>
          <w:rFonts w:cs="Times New Roman"/>
          <w:lang w:eastAsia="en-AU"/>
        </w:rPr>
        <w:t xml:space="preserve">standard </w:t>
      </w:r>
      <w:r w:rsidRPr="008875E4">
        <w:rPr>
          <w:rFonts w:cs="Times New Roman"/>
          <w:lang w:eastAsia="en-AU"/>
        </w:rPr>
        <w:t xml:space="preserve">committees </w:t>
      </w:r>
      <w:r w:rsidR="003C2AD0" w:rsidRPr="008875E4">
        <w:rPr>
          <w:rFonts w:cs="Times New Roman"/>
          <w:lang w:eastAsia="en-AU"/>
        </w:rPr>
        <w:t xml:space="preserve">as well as in the Commission on Safety Standards, </w:t>
      </w:r>
      <w:r w:rsidR="00EC4E68" w:rsidRPr="008875E4">
        <w:rPr>
          <w:rFonts w:cs="Times New Roman"/>
          <w:lang w:eastAsia="en-AU"/>
        </w:rPr>
        <w:t xml:space="preserve">which helps to ensure that standards address Australian needs. </w:t>
      </w:r>
      <w:r w:rsidR="009C542F" w:rsidRPr="008875E4">
        <w:rPr>
          <w:rFonts w:cs="Times New Roman"/>
          <w:lang w:eastAsia="en-AU"/>
        </w:rPr>
        <w:t xml:space="preserve">ARPANSA staff are well regarded with many having senior </w:t>
      </w:r>
      <w:r w:rsidR="003C2AD0" w:rsidRPr="008875E4">
        <w:rPr>
          <w:rFonts w:cs="Times New Roman"/>
          <w:lang w:eastAsia="en-AU"/>
        </w:rPr>
        <w:t xml:space="preserve">roles in international forums for safety and risk </w:t>
      </w:r>
      <w:r w:rsidR="00D30166" w:rsidRPr="008875E4">
        <w:rPr>
          <w:rFonts w:cs="Times New Roman"/>
          <w:lang w:eastAsia="en-AU"/>
        </w:rPr>
        <w:t>assessments and</w:t>
      </w:r>
      <w:r w:rsidR="009C542F" w:rsidRPr="008875E4">
        <w:rPr>
          <w:rFonts w:cs="Times New Roman"/>
          <w:lang w:eastAsia="en-AU"/>
        </w:rPr>
        <w:t xml:space="preserve"> </w:t>
      </w:r>
      <w:r w:rsidR="002459B5" w:rsidRPr="008875E4">
        <w:rPr>
          <w:rFonts w:cs="Times New Roman"/>
          <w:lang w:eastAsia="en-AU"/>
        </w:rPr>
        <w:t xml:space="preserve">are </w:t>
      </w:r>
      <w:r w:rsidR="003C2AD0" w:rsidRPr="008875E4">
        <w:rPr>
          <w:rFonts w:cs="Times New Roman"/>
          <w:lang w:eastAsia="en-AU"/>
        </w:rPr>
        <w:t xml:space="preserve">requested </w:t>
      </w:r>
      <w:r w:rsidR="009C542F" w:rsidRPr="008875E4">
        <w:rPr>
          <w:rFonts w:cs="Times New Roman"/>
          <w:lang w:eastAsia="en-AU"/>
        </w:rPr>
        <w:t xml:space="preserve">to support IAEA missions and consultancy groups. </w:t>
      </w:r>
      <w:r w:rsidR="00F25E1F" w:rsidRPr="008875E4">
        <w:rPr>
          <w:rFonts w:cs="Times New Roman"/>
          <w:lang w:eastAsia="en-AU"/>
        </w:rPr>
        <w:t xml:space="preserve">Some international engagement has been curtailed in this year due to travel restrictions </w:t>
      </w:r>
      <w:r w:rsidR="00E83DE0" w:rsidRPr="008875E4">
        <w:rPr>
          <w:rFonts w:cs="Times New Roman"/>
          <w:lang w:eastAsia="en-AU"/>
        </w:rPr>
        <w:t>arising from</w:t>
      </w:r>
      <w:r w:rsidR="00F25E1F" w:rsidRPr="008875E4">
        <w:rPr>
          <w:rFonts w:cs="Times New Roman"/>
          <w:lang w:eastAsia="en-AU"/>
        </w:rPr>
        <w:t xml:space="preserve"> the COVID-19 pandemic. However, ARPANSA has continued to be </w:t>
      </w:r>
      <w:r w:rsidR="0093148D" w:rsidRPr="008875E4">
        <w:rPr>
          <w:rFonts w:cs="Times New Roman"/>
          <w:lang w:eastAsia="en-AU"/>
        </w:rPr>
        <w:t>actively</w:t>
      </w:r>
      <w:r w:rsidR="00F25E1F" w:rsidRPr="008875E4">
        <w:rPr>
          <w:rFonts w:cs="Times New Roman"/>
          <w:lang w:eastAsia="en-AU"/>
        </w:rPr>
        <w:t xml:space="preserve"> </w:t>
      </w:r>
      <w:r w:rsidR="0093148D" w:rsidRPr="008875E4">
        <w:rPr>
          <w:rFonts w:cs="Times New Roman"/>
          <w:lang w:eastAsia="en-AU"/>
        </w:rPr>
        <w:t xml:space="preserve">engaged by video or other methods where possible. </w:t>
      </w:r>
      <w:r w:rsidR="00AB7390" w:rsidRPr="008875E4">
        <w:rPr>
          <w:rFonts w:cs="Times New Roman"/>
          <w:lang w:eastAsia="en-AU"/>
        </w:rPr>
        <w:t xml:space="preserve">Activities </w:t>
      </w:r>
      <w:r w:rsidR="00E83DE0" w:rsidRPr="008875E4">
        <w:rPr>
          <w:rFonts w:cs="Times New Roman"/>
          <w:lang w:eastAsia="en-AU"/>
        </w:rPr>
        <w:t xml:space="preserve">this year </w:t>
      </w:r>
      <w:r w:rsidR="00AB7390" w:rsidRPr="008875E4">
        <w:rPr>
          <w:rFonts w:cs="Times New Roman"/>
          <w:lang w:eastAsia="en-AU"/>
        </w:rPr>
        <w:t xml:space="preserve">have included </w:t>
      </w:r>
      <w:r w:rsidR="0093148D" w:rsidRPr="008875E4">
        <w:rPr>
          <w:rFonts w:cs="Times New Roman"/>
          <w:lang w:eastAsia="en-AU"/>
        </w:rPr>
        <w:t xml:space="preserve">hosting an IAEA regional workshop on regulatory management systems, </w:t>
      </w:r>
      <w:r w:rsidR="00E83DE0" w:rsidRPr="008875E4">
        <w:rPr>
          <w:rFonts w:cs="Times New Roman"/>
          <w:lang w:eastAsia="en-AU"/>
        </w:rPr>
        <w:t>supporting an</w:t>
      </w:r>
      <w:r w:rsidR="0093148D" w:rsidRPr="008875E4">
        <w:rPr>
          <w:rFonts w:cs="Times New Roman"/>
          <w:lang w:eastAsia="en-AU"/>
        </w:rPr>
        <w:t xml:space="preserve"> IAEA mission to the Philippines on the regulations for research reactors, </w:t>
      </w:r>
      <w:r w:rsidR="00592355" w:rsidRPr="008875E4">
        <w:rPr>
          <w:rFonts w:cs="Times New Roman"/>
          <w:lang w:eastAsia="en-AU"/>
        </w:rPr>
        <w:t xml:space="preserve">supporting an IAEA IRRS mission to Norway, </w:t>
      </w:r>
      <w:r w:rsidR="00E83DE0" w:rsidRPr="008875E4">
        <w:rPr>
          <w:rFonts w:cs="Times New Roman"/>
          <w:lang w:eastAsia="en-AU"/>
        </w:rPr>
        <w:t xml:space="preserve">attendance of </w:t>
      </w:r>
      <w:r w:rsidR="0093148D" w:rsidRPr="008875E4">
        <w:rPr>
          <w:rFonts w:cs="Times New Roman"/>
          <w:lang w:eastAsia="en-AU"/>
        </w:rPr>
        <w:t xml:space="preserve">various IAEA safety standards meetings and technical meetings and meetings with the </w:t>
      </w:r>
      <w:r w:rsidR="009A7807" w:rsidRPr="008875E4">
        <w:rPr>
          <w:rFonts w:cs="Times New Roman"/>
          <w:lang w:eastAsia="en-AU"/>
        </w:rPr>
        <w:t>Dutch regulator</w:t>
      </w:r>
      <w:r w:rsidRPr="008875E4">
        <w:rPr>
          <w:rFonts w:cs="Times New Roman"/>
          <w:lang w:eastAsia="en-AU"/>
        </w:rPr>
        <w:t xml:space="preserve"> </w:t>
      </w:r>
      <w:r w:rsidR="009A7807" w:rsidRPr="008875E4">
        <w:rPr>
          <w:rFonts w:cs="Times New Roman"/>
          <w:lang w:eastAsia="en-AU"/>
        </w:rPr>
        <w:t>(AN</w:t>
      </w:r>
      <w:r w:rsidR="000036EA" w:rsidRPr="008875E4">
        <w:rPr>
          <w:rFonts w:cs="Times New Roman"/>
          <w:lang w:eastAsia="en-AU"/>
        </w:rPr>
        <w:t>VS</w:t>
      </w:r>
      <w:r w:rsidR="009A7807" w:rsidRPr="008875E4">
        <w:rPr>
          <w:rFonts w:cs="Times New Roman"/>
          <w:lang w:eastAsia="en-AU"/>
        </w:rPr>
        <w:t>)</w:t>
      </w:r>
      <w:r w:rsidR="0093148D" w:rsidRPr="008875E4">
        <w:rPr>
          <w:rFonts w:cs="Times New Roman"/>
          <w:lang w:eastAsia="en-AU"/>
        </w:rPr>
        <w:t xml:space="preserve"> regarding regul</w:t>
      </w:r>
      <w:r w:rsidR="00E83DE0" w:rsidRPr="008875E4">
        <w:rPr>
          <w:rFonts w:cs="Times New Roman"/>
          <w:lang w:eastAsia="en-AU"/>
        </w:rPr>
        <w:t>ation of</w:t>
      </w:r>
      <w:r w:rsidR="0093148D" w:rsidRPr="008875E4">
        <w:rPr>
          <w:rFonts w:cs="Times New Roman"/>
          <w:lang w:eastAsia="en-AU"/>
        </w:rPr>
        <w:t xml:space="preserve"> construction of a new research reactor.</w:t>
      </w:r>
      <w:r w:rsidR="00560BBB" w:rsidRPr="008875E4">
        <w:rPr>
          <w:rFonts w:cs="Times New Roman"/>
          <w:lang w:eastAsia="en-AU"/>
        </w:rPr>
        <w:t xml:space="preserve"> ARPANSA also has nine bi-lateral agreements for information and resource sharing with international radiation protection and nuclear safety regulators.</w:t>
      </w:r>
      <w:r w:rsidR="00D130E5" w:rsidRPr="008875E4">
        <w:rPr>
          <w:rFonts w:cs="Times New Roman"/>
          <w:lang w:eastAsia="en-AU"/>
        </w:rPr>
        <w:t xml:space="preserve"> </w:t>
      </w:r>
      <w:r w:rsidR="003C2AD0" w:rsidRPr="008875E4">
        <w:rPr>
          <w:rFonts w:cs="Times New Roman"/>
          <w:lang w:eastAsia="en-AU"/>
        </w:rPr>
        <w:t xml:space="preserve">The CEO of ARPANSA led the follow-up mission to Indonesia and was the Deputy Team Leader for the follow-up mission to Japan. </w:t>
      </w:r>
      <w:r w:rsidR="00D130E5" w:rsidRPr="008875E4">
        <w:rPr>
          <w:rFonts w:cs="Times New Roman"/>
          <w:lang w:eastAsia="en-AU"/>
        </w:rPr>
        <w:t>ARPANSA was asked and undertook an Inspection of the New Zealand Institute of Environmental Science and Research.</w:t>
      </w:r>
    </w:p>
    <w:p w14:paraId="2337A886" w14:textId="5549C511" w:rsidR="003C2AD0" w:rsidRPr="008875E4" w:rsidRDefault="003C2AD0">
      <w:pPr>
        <w:rPr>
          <w:rFonts w:cs="Times New Roman"/>
          <w:lang w:eastAsia="en-AU"/>
        </w:rPr>
      </w:pPr>
      <w:r w:rsidRPr="008875E4">
        <w:rPr>
          <w:rFonts w:cs="Times New Roman"/>
          <w:lang w:eastAsia="en-AU"/>
        </w:rPr>
        <w:t>ARPANSA co-hosted, with the Australian Radiation Protection Society (ARPS), the fifth International Symposium on the System of Radiological Protection, in October 2019 in Adelaide. The Symposium attracted over 400 radiation protection specialists from around the world.</w:t>
      </w:r>
    </w:p>
    <w:p w14:paraId="25CBD146" w14:textId="750F5BDD" w:rsidR="00E96F5F" w:rsidRPr="008875E4" w:rsidRDefault="008B0DBA" w:rsidP="00E96F5F">
      <w:r w:rsidRPr="008875E4">
        <w:lastRenderedPageBreak/>
        <w:t>ARPANSA also promotes national uniformity of radiation regulation through the Radiation Health Committee</w:t>
      </w:r>
      <w:r w:rsidR="00E83DE0" w:rsidRPr="008875E4">
        <w:t xml:space="preserve"> and the </w:t>
      </w:r>
      <w:r w:rsidRPr="008875E4">
        <w:t xml:space="preserve">Radiation </w:t>
      </w:r>
      <w:r w:rsidR="00592355" w:rsidRPr="008875E4">
        <w:t>Protection Network (RP</w:t>
      </w:r>
      <w:r w:rsidRPr="008875E4">
        <w:t>N).</w:t>
      </w:r>
      <w:r w:rsidR="009A7807" w:rsidRPr="008875E4">
        <w:t xml:space="preserve"> Nationally uniform requirements can significantly reduce regulatory burden on persons working in more than one jurisdiction. </w:t>
      </w:r>
      <w:r w:rsidR="00560BBB" w:rsidRPr="008875E4">
        <w:t xml:space="preserve">To strengthen cooperation between ARPANSA and other radiation regulators </w:t>
      </w:r>
      <w:r w:rsidR="00D130E5" w:rsidRPr="008875E4">
        <w:t xml:space="preserve">MOUs have been signed or are currently being finalised </w:t>
      </w:r>
      <w:r w:rsidR="008142B1" w:rsidRPr="008875E4">
        <w:t>with environmental protection or health authorities in New South Wales, South Australia and</w:t>
      </w:r>
      <w:r w:rsidR="00D130E5" w:rsidRPr="008875E4">
        <w:t xml:space="preserve"> Tasmania</w:t>
      </w:r>
      <w:r w:rsidR="008142B1" w:rsidRPr="008875E4">
        <w:t>.</w:t>
      </w:r>
    </w:p>
    <w:p w14:paraId="172829F9" w14:textId="4FC0C2D5" w:rsidR="007C018D" w:rsidRPr="008875E4" w:rsidRDefault="007C018D" w:rsidP="00F72BB7">
      <w:pPr>
        <w:spacing w:after="120"/>
        <w:rPr>
          <w:rFonts w:cs="Times New Roman"/>
          <w:bCs/>
          <w:szCs w:val="24"/>
          <w:lang w:eastAsia="en-AU"/>
        </w:rPr>
      </w:pPr>
      <w:r w:rsidRPr="008875E4">
        <w:rPr>
          <w:rFonts w:cs="Times New Roman"/>
          <w:bCs/>
          <w:szCs w:val="24"/>
          <w:lang w:eastAsia="en-AU"/>
        </w:rPr>
        <w:t xml:space="preserve">ARPANSA has introduced a series of informal </w:t>
      </w:r>
      <w:r w:rsidR="008142B1" w:rsidRPr="008875E4">
        <w:rPr>
          <w:rFonts w:cs="Times New Roman"/>
          <w:bCs/>
          <w:szCs w:val="24"/>
          <w:lang w:eastAsia="en-AU"/>
        </w:rPr>
        <w:t xml:space="preserve">internal </w:t>
      </w:r>
      <w:r w:rsidRPr="008875E4">
        <w:rPr>
          <w:rFonts w:cs="Times New Roman"/>
          <w:bCs/>
          <w:szCs w:val="24"/>
          <w:lang w:eastAsia="en-AU"/>
        </w:rPr>
        <w:t xml:space="preserve">communication measures including </w:t>
      </w:r>
      <w:r w:rsidR="00D966EE" w:rsidRPr="008875E4">
        <w:rPr>
          <w:rFonts w:cs="Times New Roman"/>
          <w:bCs/>
          <w:szCs w:val="24"/>
          <w:lang w:eastAsia="en-AU"/>
        </w:rPr>
        <w:t>‘</w:t>
      </w:r>
      <w:r w:rsidRPr="008875E4">
        <w:rPr>
          <w:rFonts w:cs="Times New Roman"/>
          <w:bCs/>
          <w:szCs w:val="24"/>
          <w:lang w:eastAsia="en-AU"/>
        </w:rPr>
        <w:t>morning tea information sessions</w:t>
      </w:r>
      <w:r w:rsidR="00D966EE" w:rsidRPr="008875E4">
        <w:rPr>
          <w:rFonts w:cs="Times New Roman"/>
          <w:bCs/>
          <w:szCs w:val="24"/>
          <w:lang w:eastAsia="en-AU"/>
        </w:rPr>
        <w:t>’</w:t>
      </w:r>
      <w:r w:rsidRPr="008875E4">
        <w:rPr>
          <w:rFonts w:cs="Times New Roman"/>
          <w:bCs/>
          <w:szCs w:val="24"/>
          <w:lang w:eastAsia="en-AU"/>
        </w:rPr>
        <w:t xml:space="preserve">, where an officer provides updates on recent regulatory and international matters. </w:t>
      </w:r>
      <w:r w:rsidR="00E62465" w:rsidRPr="008875E4">
        <w:rPr>
          <w:rFonts w:cs="Times New Roman"/>
          <w:bCs/>
          <w:szCs w:val="24"/>
          <w:lang w:eastAsia="en-AU"/>
        </w:rPr>
        <w:t>This is aimed at sharing information within the regulatory team to raise awareness of broad issues and approaches and support a consistent regulatory service.</w:t>
      </w:r>
      <w:r w:rsidRPr="008875E4">
        <w:rPr>
          <w:rFonts w:cs="Times New Roman"/>
          <w:bCs/>
          <w:szCs w:val="24"/>
          <w:lang w:eastAsia="en-AU"/>
        </w:rPr>
        <w:t xml:space="preserve"> </w:t>
      </w:r>
    </w:p>
    <w:p w14:paraId="7ADEEA21" w14:textId="77777777" w:rsidR="00C91E9F" w:rsidRPr="008875E4" w:rsidRDefault="00A84B41" w:rsidP="00F72BB7">
      <w:pPr>
        <w:spacing w:after="120"/>
        <w:rPr>
          <w:rFonts w:cstheme="minorHAnsi"/>
          <w:bCs/>
          <w:szCs w:val="24"/>
          <w:lang w:eastAsia="en-AU"/>
        </w:rPr>
      </w:pPr>
      <w:r w:rsidRPr="008875E4">
        <w:rPr>
          <w:rFonts w:cstheme="minorHAnsi"/>
          <w:bCs/>
          <w:szCs w:val="24"/>
          <w:lang w:eastAsia="en-AU"/>
        </w:rPr>
        <w:t>ARPANSA’s on-line learning platform is being upgraded to allow ARPANSA to create bespoke annual training programs.</w:t>
      </w:r>
    </w:p>
    <w:p w14:paraId="54C8E86D" w14:textId="77777777" w:rsidR="00A84B41" w:rsidRPr="008875E4" w:rsidRDefault="00A84B41" w:rsidP="00F72BB7">
      <w:pPr>
        <w:spacing w:after="120"/>
        <w:rPr>
          <w:rFonts w:cstheme="minorHAnsi"/>
          <w:bCs/>
          <w:szCs w:val="24"/>
          <w:lang w:eastAsia="en-AU"/>
        </w:rPr>
      </w:pPr>
      <w:r w:rsidRPr="008875E4">
        <w:rPr>
          <w:rFonts w:cstheme="minorHAnsi"/>
          <w:bCs/>
          <w:szCs w:val="24"/>
          <w:lang w:eastAsia="en-AU"/>
        </w:rPr>
        <w:t xml:space="preserve">A comprehensive review of regulatory guidance is being undertaken to determine whether the current guidance is optimised for current and future needs. ARPANSA also continues to conduct individual review and updates to its existing guidance. </w:t>
      </w:r>
    </w:p>
    <w:p w14:paraId="3A8981ED" w14:textId="77777777" w:rsidR="000014D7" w:rsidRPr="008875E4" w:rsidRDefault="004D280E" w:rsidP="009824CD">
      <w:pPr>
        <w:spacing w:after="120"/>
        <w:rPr>
          <w:rFonts w:cs="Times New Roman"/>
          <w:bCs/>
          <w:szCs w:val="24"/>
          <w:lang w:eastAsia="en-AU"/>
        </w:rPr>
      </w:pPr>
      <w:r w:rsidRPr="008875E4">
        <w:rPr>
          <w:rFonts w:cstheme="minorHAnsi"/>
          <w:bCs/>
          <w:szCs w:val="24"/>
          <w:lang w:eastAsia="en-AU"/>
        </w:rPr>
        <w:t xml:space="preserve">Of ten recommendations relating to ARPANSA’s regulatory service from the November 2018 IRRS mission three have been closed and work is progressing on seven. </w:t>
      </w:r>
    </w:p>
    <w:p w14:paraId="6402EC81" w14:textId="1837AF47" w:rsidR="54D379D8" w:rsidRPr="00F9517A" w:rsidRDefault="00F5034B" w:rsidP="00F9517A">
      <w:pPr>
        <w:pStyle w:val="Heading3"/>
        <w:rPr>
          <w:lang w:eastAsia="en-AU"/>
        </w:rPr>
      </w:pPr>
      <w:r>
        <w:t xml:space="preserve">Strengths </w:t>
      </w:r>
      <w:r w:rsidR="6B94E277" w:rsidRPr="00F9517A">
        <w:rPr>
          <w:lang w:eastAsia="en-AU"/>
        </w:rPr>
        <w:t xml:space="preserve">Open </w:t>
      </w:r>
      <w:r w:rsidR="751EDE16" w:rsidRPr="00F9517A">
        <w:rPr>
          <w:lang w:eastAsia="en-AU"/>
        </w:rPr>
        <w:t xml:space="preserve">and transparent </w:t>
      </w:r>
      <w:r w:rsidR="6B94E277" w:rsidRPr="00F9517A">
        <w:rPr>
          <w:lang w:eastAsia="en-AU"/>
        </w:rPr>
        <w:t>review of performance</w:t>
      </w:r>
    </w:p>
    <w:p w14:paraId="5F37ED2C" w14:textId="421F3D28" w:rsidR="00E96F5F" w:rsidRPr="008875E4" w:rsidRDefault="009939BD" w:rsidP="00F9517A">
      <w:pPr>
        <w:spacing w:before="0"/>
      </w:pPr>
      <w:r w:rsidRPr="008875E4">
        <w:t xml:space="preserve">ARPANSA </w:t>
      </w:r>
      <w:r w:rsidR="00F9517A" w:rsidRPr="008875E4">
        <w:t xml:space="preserve">is committed to the continuous review and improvement of its regulatory service. ARPANSA subjects itself to internal and external scrutiny and has a culture of self-reflection that leads to regular improvements to its regulatory service. </w:t>
      </w:r>
    </w:p>
    <w:p w14:paraId="7F92A8CB" w14:textId="77777777" w:rsidR="009939BD" w:rsidRPr="009824CD" w:rsidRDefault="00F9517A" w:rsidP="00F9517A">
      <w:pPr>
        <w:pStyle w:val="Heading3"/>
        <w:rPr>
          <w:sz w:val="22"/>
          <w:lang w:eastAsia="en-AU"/>
        </w:rPr>
      </w:pPr>
      <w:r w:rsidRPr="009824CD">
        <w:rPr>
          <w:sz w:val="22"/>
          <w:lang w:eastAsia="en-AU"/>
        </w:rPr>
        <w:t>International Engagement</w:t>
      </w:r>
    </w:p>
    <w:p w14:paraId="38625E98" w14:textId="67F40F48" w:rsidR="009939BD" w:rsidRPr="008875E4" w:rsidRDefault="00F9517A" w:rsidP="009824CD">
      <w:pPr>
        <w:spacing w:before="0"/>
      </w:pPr>
      <w:r w:rsidRPr="008875E4">
        <w:t xml:space="preserve">ARPANSA is </w:t>
      </w:r>
      <w:r w:rsidR="004D280E" w:rsidRPr="008875E4">
        <w:t>actively engaged internationally.</w:t>
      </w:r>
      <w:r w:rsidR="009067D5">
        <w:t xml:space="preserve"> </w:t>
      </w:r>
      <w:r w:rsidR="004D280E" w:rsidRPr="008875E4">
        <w:t xml:space="preserve">The engagement helps to ensure that ARPANSA’s interests are represented in standards development and informs its regulatory approach and the safety standards it expects of licence holders. </w:t>
      </w:r>
    </w:p>
    <w:p w14:paraId="30D3C7F5" w14:textId="77777777" w:rsidR="00F5034B" w:rsidRDefault="00F5034B" w:rsidP="00F5034B">
      <w:pPr>
        <w:pStyle w:val="Heading3"/>
      </w:pPr>
      <w:r>
        <w:t>Identified opportunities for improvement</w:t>
      </w:r>
    </w:p>
    <w:p w14:paraId="47AADA92" w14:textId="77777777" w:rsidR="008400B2" w:rsidRPr="009824CD" w:rsidRDefault="008400B2" w:rsidP="008400B2">
      <w:pPr>
        <w:pStyle w:val="Heading3"/>
        <w:rPr>
          <w:sz w:val="22"/>
          <w:lang w:eastAsia="en-AU"/>
        </w:rPr>
      </w:pPr>
      <w:r w:rsidRPr="009824CD">
        <w:rPr>
          <w:sz w:val="22"/>
          <w:lang w:eastAsia="en-AU"/>
        </w:rPr>
        <w:t xml:space="preserve">Inspection </w:t>
      </w:r>
      <w:r w:rsidR="009824CD" w:rsidRPr="009824CD">
        <w:rPr>
          <w:sz w:val="22"/>
          <w:lang w:eastAsia="en-AU"/>
        </w:rPr>
        <w:t xml:space="preserve">and Assessment </w:t>
      </w:r>
      <w:r w:rsidRPr="009824CD">
        <w:rPr>
          <w:sz w:val="22"/>
          <w:lang w:eastAsia="en-AU"/>
        </w:rPr>
        <w:t>Feedback</w:t>
      </w:r>
    </w:p>
    <w:p w14:paraId="008FE158" w14:textId="6505F7B2" w:rsidR="008400B2" w:rsidRPr="008875E4" w:rsidRDefault="008400B2" w:rsidP="008400B2">
      <w:pPr>
        <w:spacing w:before="0"/>
        <w:rPr>
          <w:lang w:eastAsia="en-AU"/>
        </w:rPr>
      </w:pPr>
      <w:r w:rsidRPr="008875E4">
        <w:rPr>
          <w:lang w:eastAsia="en-AU"/>
        </w:rPr>
        <w:t xml:space="preserve">At completion, an inspection feedback survey is issued to the main licence holder participants with the objective of gauging the level of service provided by ARPANSA and identifying and driving improvements. ARPANSA has not been successful at increasing the response rate from post inspection surveys which for this reporting period averaged just one response per inspection. </w:t>
      </w:r>
      <w:r w:rsidR="009824CD" w:rsidRPr="008875E4">
        <w:rPr>
          <w:lang w:eastAsia="en-AU"/>
        </w:rPr>
        <w:t xml:space="preserve">The feedback rate for assessments is also poor but it is partly attributed to </w:t>
      </w:r>
      <w:r w:rsidR="00A75226" w:rsidRPr="008875E4">
        <w:rPr>
          <w:lang w:eastAsia="en-AU"/>
        </w:rPr>
        <w:t>ARPANSA assessors</w:t>
      </w:r>
      <w:r w:rsidR="009824CD" w:rsidRPr="008875E4">
        <w:rPr>
          <w:lang w:eastAsia="en-AU"/>
        </w:rPr>
        <w:t xml:space="preserve"> not sending the feedback survey </w:t>
      </w:r>
      <w:r w:rsidR="006A3092" w:rsidRPr="008875E4">
        <w:rPr>
          <w:lang w:eastAsia="en-AU"/>
        </w:rPr>
        <w:t xml:space="preserve">request </w:t>
      </w:r>
      <w:r w:rsidR="009824CD" w:rsidRPr="008875E4">
        <w:rPr>
          <w:lang w:eastAsia="en-AU"/>
        </w:rPr>
        <w:t xml:space="preserve">to licence holders. </w:t>
      </w:r>
      <w:r w:rsidRPr="008875E4">
        <w:rPr>
          <w:lang w:eastAsia="en-AU"/>
        </w:rPr>
        <w:t>Consideration should be given into utilising alternative feedback such as telephone calls or recording of feedback during inspection exit meetings</w:t>
      </w:r>
      <w:r w:rsidR="008875E4" w:rsidRPr="008875E4">
        <w:rPr>
          <w:lang w:eastAsia="en-AU"/>
        </w:rPr>
        <w:t>.</w:t>
      </w:r>
    </w:p>
    <w:p w14:paraId="2AC49954" w14:textId="77777777" w:rsidR="008400B2" w:rsidRDefault="008400B2">
      <w:pPr>
        <w:pStyle w:val="Heading4"/>
        <w:rPr>
          <w:color w:val="C00000"/>
        </w:rPr>
      </w:pPr>
    </w:p>
    <w:p w14:paraId="533AF35F" w14:textId="77777777" w:rsidR="005B20A0" w:rsidRPr="005A3320" w:rsidRDefault="003B4D69" w:rsidP="005A3320">
      <w:pPr>
        <w:pStyle w:val="Heading1"/>
        <w:spacing w:before="0"/>
      </w:pPr>
      <w:bookmarkStart w:id="61" w:name="_Toc12884006"/>
      <w:bookmarkStart w:id="62" w:name="_Toc23846613"/>
      <w:bookmarkStart w:id="63" w:name="_Toc58918585"/>
      <w:r w:rsidRPr="008308B9">
        <w:lastRenderedPageBreak/>
        <w:t>Concluding remarks</w:t>
      </w:r>
      <w:bookmarkEnd w:id="61"/>
      <w:bookmarkEnd w:id="62"/>
      <w:bookmarkEnd w:id="63"/>
    </w:p>
    <w:p w14:paraId="17977046" w14:textId="74FE572D" w:rsidR="00401735" w:rsidRPr="008875E4" w:rsidRDefault="00513B24" w:rsidP="00401735">
      <w:pPr>
        <w:autoSpaceDE w:val="0"/>
        <w:autoSpaceDN w:val="0"/>
        <w:adjustRightInd w:val="0"/>
        <w:spacing w:after="120"/>
        <w:rPr>
          <w:rFonts w:cs="Times New Roman"/>
          <w:bCs/>
          <w:szCs w:val="24"/>
          <w:lang w:eastAsia="en-AU"/>
        </w:rPr>
      </w:pPr>
      <w:r w:rsidRPr="008875E4">
        <w:t xml:space="preserve">This was ARPANSA’s </w:t>
      </w:r>
      <w:r w:rsidR="008603B3" w:rsidRPr="008875E4">
        <w:t>fifth</w:t>
      </w:r>
      <w:r w:rsidRPr="008875E4">
        <w:t xml:space="preserve"> </w:t>
      </w:r>
      <w:r w:rsidR="008603B3" w:rsidRPr="008875E4">
        <w:t xml:space="preserve">annual </w:t>
      </w:r>
      <w:r w:rsidRPr="008875E4">
        <w:t>self-assessment performed under the</w:t>
      </w:r>
      <w:r w:rsidR="008C3E0D" w:rsidRPr="008875E4">
        <w:t xml:space="preserve"> Australian</w:t>
      </w:r>
      <w:r w:rsidRPr="008875E4">
        <w:t xml:space="preserve"> Government Regulator Performance Framework</w:t>
      </w:r>
      <w:r w:rsidR="008603B3" w:rsidRPr="008875E4">
        <w:t xml:space="preserve"> (RPF)</w:t>
      </w:r>
      <w:r w:rsidRPr="008875E4">
        <w:t>.</w:t>
      </w:r>
      <w:r w:rsidR="009067D5">
        <w:t xml:space="preserve"> </w:t>
      </w:r>
      <w:r w:rsidR="00401735" w:rsidRPr="008875E4">
        <w:t>The</w:t>
      </w:r>
      <w:r w:rsidR="00401735" w:rsidRPr="008875E4">
        <w:rPr>
          <w:rFonts w:cs="Times New Roman"/>
          <w:bCs/>
          <w:szCs w:val="24"/>
          <w:lang w:eastAsia="en-AU"/>
        </w:rPr>
        <w:t xml:space="preserve"> Regulator Performance Framework provides a lens through which important elements of ARPANSA’s regulatory service can be viewed. ARPANSA uses the RPF to help it determine its efficiency and effectiveness in meeting </w:t>
      </w:r>
      <w:r w:rsidR="00474109" w:rsidRPr="008875E4">
        <w:rPr>
          <w:rFonts w:cs="Times New Roman"/>
          <w:bCs/>
          <w:szCs w:val="24"/>
          <w:lang w:eastAsia="en-AU"/>
        </w:rPr>
        <w:t xml:space="preserve">its core mission of protecting people and the environment from the harmful effects of radiation. </w:t>
      </w:r>
      <w:r w:rsidR="00401735" w:rsidRPr="008875E4">
        <w:rPr>
          <w:rFonts w:cs="Times New Roman"/>
          <w:bCs/>
          <w:szCs w:val="24"/>
          <w:lang w:eastAsia="en-AU"/>
        </w:rPr>
        <w:t xml:space="preserve">ARPANSA’s </w:t>
      </w:r>
      <w:r w:rsidR="00F1581B" w:rsidRPr="008875E4">
        <w:rPr>
          <w:rFonts w:cs="Times New Roman"/>
          <w:bCs/>
          <w:szCs w:val="24"/>
          <w:lang w:eastAsia="en-AU"/>
        </w:rPr>
        <w:t>publicly</w:t>
      </w:r>
      <w:r w:rsidR="00401735" w:rsidRPr="008875E4">
        <w:rPr>
          <w:rFonts w:cs="Times New Roman"/>
          <w:bCs/>
          <w:szCs w:val="24"/>
          <w:lang w:eastAsia="en-AU"/>
        </w:rPr>
        <w:t xml:space="preserve"> available </w:t>
      </w:r>
      <w:hyperlink r:id="rId53" w:history="1">
        <w:r w:rsidR="00145BEE" w:rsidRPr="008875E4">
          <w:rPr>
            <w:rStyle w:val="Hyperlink"/>
            <w:rFonts w:cs="Times New Roman"/>
            <w:bCs/>
            <w:color w:val="4E1A74" w:themeColor="text2"/>
            <w:szCs w:val="24"/>
            <w:lang w:eastAsia="en-AU"/>
          </w:rPr>
          <w:t>Regulatory Activities Policy</w:t>
        </w:r>
      </w:hyperlink>
      <w:r w:rsidR="00401735" w:rsidRPr="008875E4">
        <w:rPr>
          <w:rFonts w:cs="Times New Roman"/>
          <w:bCs/>
          <w:szCs w:val="24"/>
          <w:lang w:eastAsia="en-AU"/>
        </w:rPr>
        <w:t xml:space="preserve"> provides an overview</w:t>
      </w:r>
      <w:r w:rsidR="00474109" w:rsidRPr="008875E4">
        <w:rPr>
          <w:rFonts w:cs="Times New Roman"/>
          <w:bCs/>
          <w:szCs w:val="24"/>
          <w:lang w:eastAsia="en-AU"/>
        </w:rPr>
        <w:t xml:space="preserve"> of its approach</w:t>
      </w:r>
      <w:r w:rsidR="00401735" w:rsidRPr="008875E4">
        <w:rPr>
          <w:rFonts w:cs="Times New Roman"/>
          <w:bCs/>
          <w:szCs w:val="24"/>
          <w:lang w:eastAsia="en-AU"/>
        </w:rPr>
        <w:t>.</w:t>
      </w:r>
      <w:r w:rsidR="00474109" w:rsidRPr="008875E4">
        <w:rPr>
          <w:rFonts w:cs="Times New Roman"/>
          <w:bCs/>
          <w:szCs w:val="24"/>
          <w:lang w:eastAsia="en-AU"/>
        </w:rPr>
        <w:t xml:space="preserve"> </w:t>
      </w:r>
    </w:p>
    <w:p w14:paraId="27BAE6AD" w14:textId="6E58FE10" w:rsidR="00EC6B4F" w:rsidRPr="008875E4" w:rsidRDefault="008603B3" w:rsidP="00692518">
      <w:pPr>
        <w:autoSpaceDE w:val="0"/>
        <w:autoSpaceDN w:val="0"/>
        <w:adjustRightInd w:val="0"/>
        <w:spacing w:after="120"/>
      </w:pPr>
      <w:r w:rsidRPr="008875E4">
        <w:t xml:space="preserve">A clear finding of this report is that ARPANSA’s regulatory </w:t>
      </w:r>
      <w:r w:rsidR="00592355" w:rsidRPr="008875E4">
        <w:t xml:space="preserve">services </w:t>
      </w:r>
      <w:r w:rsidR="00145BEE" w:rsidRPr="008875E4">
        <w:t xml:space="preserve">undertaken </w:t>
      </w:r>
      <w:r w:rsidR="001D44C5" w:rsidRPr="008875E4">
        <w:t xml:space="preserve">are </w:t>
      </w:r>
      <w:r w:rsidR="00145BEE" w:rsidRPr="008875E4">
        <w:t xml:space="preserve">generally efficient and in accordance with the objectives of the RPF. </w:t>
      </w:r>
      <w:r w:rsidRPr="008875E4">
        <w:t xml:space="preserve">The results are similar to previous years suggesting that ARPANSA’s regulatory culture </w:t>
      </w:r>
      <w:r w:rsidR="00592355" w:rsidRPr="008875E4">
        <w:t>is now well aligned to the RPF</w:t>
      </w:r>
      <w:r w:rsidR="001E7AC1" w:rsidRPr="008875E4">
        <w:t xml:space="preserve">. </w:t>
      </w:r>
      <w:r w:rsidR="00401735" w:rsidRPr="008875E4">
        <w:t>Core strengths i</w:t>
      </w:r>
      <w:r w:rsidR="00F1581B" w:rsidRPr="008875E4">
        <w:t xml:space="preserve">nclude </w:t>
      </w:r>
      <w:r w:rsidR="00401735" w:rsidRPr="008875E4">
        <w:t xml:space="preserve">professionalism of ARPANSA staff, openness and transparency, and </w:t>
      </w:r>
      <w:r w:rsidR="00F1581B" w:rsidRPr="008875E4">
        <w:t>a</w:t>
      </w:r>
      <w:r w:rsidR="00401735" w:rsidRPr="008875E4">
        <w:t xml:space="preserve"> willingness to examine how </w:t>
      </w:r>
      <w:r w:rsidR="00F1581B" w:rsidRPr="008875E4">
        <w:t xml:space="preserve">ARPANSA </w:t>
      </w:r>
      <w:r w:rsidR="00401735" w:rsidRPr="008875E4">
        <w:t>operates in the spirit of self-reflection and continuous improvement.</w:t>
      </w:r>
    </w:p>
    <w:p w14:paraId="48304BFF" w14:textId="67198E74" w:rsidR="00EC6B4F" w:rsidRPr="008875E4" w:rsidRDefault="561F634B" w:rsidP="00EC6B4F">
      <w:pPr>
        <w:autoSpaceDE w:val="0"/>
        <w:autoSpaceDN w:val="0"/>
        <w:adjustRightInd w:val="0"/>
        <w:spacing w:after="120"/>
      </w:pPr>
      <w:r w:rsidRPr="008875E4">
        <w:t xml:space="preserve">ARPANSA </w:t>
      </w:r>
      <w:r w:rsidR="69BD0460" w:rsidRPr="008875E4">
        <w:t>fulfil</w:t>
      </w:r>
      <w:r w:rsidR="0E123CF5" w:rsidRPr="008875E4">
        <w:t>s</w:t>
      </w:r>
      <w:r w:rsidR="69BD0460" w:rsidRPr="008875E4">
        <w:t xml:space="preserve"> its regulatory function</w:t>
      </w:r>
      <w:r w:rsidR="04D5C1C4" w:rsidRPr="008875E4">
        <w:t xml:space="preserve">, </w:t>
      </w:r>
      <w:r w:rsidR="7B0BDBC5" w:rsidRPr="008875E4">
        <w:t>using</w:t>
      </w:r>
      <w:r w:rsidRPr="008875E4">
        <w:t xml:space="preserve"> a risk informed </w:t>
      </w:r>
      <w:r w:rsidR="74DEB043" w:rsidRPr="008875E4">
        <w:t>approach</w:t>
      </w:r>
      <w:r w:rsidRPr="008875E4">
        <w:t xml:space="preserve"> that enables stakeholders to function without </w:t>
      </w:r>
      <w:r w:rsidR="00145BEE" w:rsidRPr="008875E4">
        <w:t>undue</w:t>
      </w:r>
      <w:r w:rsidRPr="008875E4">
        <w:t xml:space="preserve"> interference. </w:t>
      </w:r>
      <w:r w:rsidR="1CB43F27" w:rsidRPr="008875E4">
        <w:t xml:space="preserve">ARPANSA’s response to a contamination accident at the ANSTO Nuclear Medicine Facility </w:t>
      </w:r>
      <w:r w:rsidR="00145BEE" w:rsidRPr="008875E4">
        <w:t xml:space="preserve">is an example of </w:t>
      </w:r>
      <w:r w:rsidR="1CB43F27" w:rsidRPr="008875E4">
        <w:t xml:space="preserve">proportionate </w:t>
      </w:r>
      <w:r w:rsidR="00145BEE" w:rsidRPr="008875E4">
        <w:t xml:space="preserve">regulatory action with </w:t>
      </w:r>
      <w:r w:rsidR="1CB43F27" w:rsidRPr="008875E4">
        <w:t xml:space="preserve">focus on </w:t>
      </w:r>
      <w:r w:rsidR="00145BEE" w:rsidRPr="008875E4">
        <w:t>safety and with due consideration of consequences for third parties. This</w:t>
      </w:r>
      <w:r w:rsidR="1CB43F27" w:rsidRPr="008875E4">
        <w:t xml:space="preserve"> permitted the supply of </w:t>
      </w:r>
      <w:r w:rsidR="00145BEE" w:rsidRPr="008875E4">
        <w:t xml:space="preserve">nuclear </w:t>
      </w:r>
      <w:r w:rsidR="1CB43F27" w:rsidRPr="008875E4">
        <w:t xml:space="preserve">medicine to the Australian community whilst also freeing up licence holder resources to make </w:t>
      </w:r>
      <w:r w:rsidR="00145BEE" w:rsidRPr="008875E4">
        <w:t xml:space="preserve">necessary </w:t>
      </w:r>
      <w:r w:rsidR="1CB43F27" w:rsidRPr="008875E4">
        <w:t>safety improvements.</w:t>
      </w:r>
      <w:r w:rsidR="009067D5">
        <w:t xml:space="preserve"> </w:t>
      </w:r>
      <w:r w:rsidR="1CB43F27" w:rsidRPr="008875E4">
        <w:t xml:space="preserve">ARPANSA also responded rapidly to two </w:t>
      </w:r>
      <w:r w:rsidR="00F1581B" w:rsidRPr="008875E4">
        <w:t>requests</w:t>
      </w:r>
      <w:r w:rsidR="1CB43F27" w:rsidRPr="008875E4">
        <w:t xml:space="preserve"> for approvals associated with a subsequent mechanical</w:t>
      </w:r>
      <w:r w:rsidR="00145BEE" w:rsidRPr="008875E4">
        <w:t xml:space="preserve"> fault</w:t>
      </w:r>
      <w:r w:rsidR="1CB43F27" w:rsidRPr="008875E4">
        <w:t xml:space="preserve"> at the facility in order to minimise further disruption to the supply of medicines.</w:t>
      </w:r>
    </w:p>
    <w:p w14:paraId="7FE0449C" w14:textId="6750347F" w:rsidR="001E7AC1" w:rsidRPr="008875E4" w:rsidRDefault="001E7AC1" w:rsidP="00692518">
      <w:pPr>
        <w:autoSpaceDE w:val="0"/>
        <w:autoSpaceDN w:val="0"/>
        <w:adjustRightInd w:val="0"/>
        <w:spacing w:after="120"/>
      </w:pPr>
      <w:r w:rsidRPr="008875E4">
        <w:t>This year has been challenging for ARPANSA</w:t>
      </w:r>
      <w:r w:rsidR="00391313" w:rsidRPr="008875E4">
        <w:t xml:space="preserve">. It </w:t>
      </w:r>
      <w:r w:rsidRPr="008875E4">
        <w:t xml:space="preserve">has </w:t>
      </w:r>
      <w:r w:rsidR="00391313" w:rsidRPr="008875E4">
        <w:t>met</w:t>
      </w:r>
      <w:r w:rsidRPr="008875E4">
        <w:t xml:space="preserve"> its mission objectives under restrictions imposed b</w:t>
      </w:r>
      <w:r w:rsidR="00145BEE" w:rsidRPr="008875E4">
        <w:t>y the response to the COVID-19 p</w:t>
      </w:r>
      <w:r w:rsidRPr="008875E4">
        <w:t xml:space="preserve">andemic. Its response to COVID-19 has demonstrated adaptability to service </w:t>
      </w:r>
      <w:r w:rsidR="00391313" w:rsidRPr="008875E4">
        <w:t xml:space="preserve">delivery. </w:t>
      </w:r>
      <w:r w:rsidR="00145BEE" w:rsidRPr="008875E4">
        <w:t xml:space="preserve">Longer term consequences, including border closures and restrictions introduced after the resurgence of COVID-19 cases in Victoria will not be known until next year. </w:t>
      </w:r>
    </w:p>
    <w:p w14:paraId="59B4FFBE" w14:textId="19BE592C" w:rsidR="008603B3" w:rsidRPr="008875E4" w:rsidRDefault="008E64A1" w:rsidP="00692518">
      <w:pPr>
        <w:autoSpaceDE w:val="0"/>
        <w:autoSpaceDN w:val="0"/>
        <w:adjustRightInd w:val="0"/>
        <w:spacing w:after="120"/>
      </w:pPr>
      <w:r w:rsidRPr="008875E4">
        <w:t>As in previous years a number of opportunities for improvement have been identified. This assessment found that many</w:t>
      </w:r>
      <w:r w:rsidR="00401735" w:rsidRPr="008875E4">
        <w:t xml:space="preserve"> opportunities for improvement</w:t>
      </w:r>
      <w:r w:rsidRPr="008875E4">
        <w:t xml:space="preserve"> are multiyear projects that are being addressed or are planned to be addressed</w:t>
      </w:r>
      <w:r w:rsidR="0055227E" w:rsidRPr="008875E4">
        <w:t xml:space="preserve"> once underlying infrastructure issues have been addressed and rectified</w:t>
      </w:r>
      <w:r w:rsidRPr="008875E4">
        <w:t>.</w:t>
      </w:r>
    </w:p>
    <w:p w14:paraId="0FC40B98" w14:textId="364EEAEA" w:rsidR="00516D2F" w:rsidRPr="008875E4" w:rsidRDefault="00474109" w:rsidP="00692518">
      <w:pPr>
        <w:autoSpaceDE w:val="0"/>
        <w:autoSpaceDN w:val="0"/>
        <w:adjustRightInd w:val="0"/>
        <w:spacing w:after="120"/>
      </w:pPr>
      <w:r w:rsidRPr="008875E4">
        <w:t xml:space="preserve">The assessment found that efficiency savings and performance improvements can be achieved </w:t>
      </w:r>
      <w:r w:rsidR="0055227E" w:rsidRPr="008875E4">
        <w:t>through</w:t>
      </w:r>
      <w:r w:rsidRPr="008875E4">
        <w:t xml:space="preserve"> consolidation of currently fragmented data systems.</w:t>
      </w:r>
      <w:r w:rsidR="009067D5">
        <w:t xml:space="preserve"> </w:t>
      </w:r>
      <w:r w:rsidRPr="008875E4">
        <w:t>This is being progressively addressed</w:t>
      </w:r>
      <w:r w:rsidR="00516D2F" w:rsidRPr="008875E4">
        <w:t xml:space="preserve"> </w:t>
      </w:r>
      <w:r w:rsidR="0055227E" w:rsidRPr="008875E4">
        <w:t xml:space="preserve">within an ongoing </w:t>
      </w:r>
      <w:r w:rsidR="00516D2F" w:rsidRPr="008875E4">
        <w:t>project to upgrade ARPANSA</w:t>
      </w:r>
      <w:r w:rsidR="0055227E" w:rsidRPr="008875E4">
        <w:t>’s</w:t>
      </w:r>
      <w:r w:rsidR="00516D2F" w:rsidRPr="008875E4">
        <w:t xml:space="preserve"> platforms and systems.</w:t>
      </w:r>
    </w:p>
    <w:p w14:paraId="6EFD8B73" w14:textId="6B7C4BEA" w:rsidR="00474109" w:rsidRPr="008875E4" w:rsidRDefault="00516D2F" w:rsidP="00692518">
      <w:pPr>
        <w:autoSpaceDE w:val="0"/>
        <w:autoSpaceDN w:val="0"/>
        <w:adjustRightInd w:val="0"/>
        <w:spacing w:after="120"/>
      </w:pPr>
      <w:r w:rsidRPr="008875E4">
        <w:t xml:space="preserve">ARPANSA’s approach to and promotion of holistic safety also needs to be </w:t>
      </w:r>
      <w:r w:rsidR="0055227E" w:rsidRPr="008875E4">
        <w:t>enhanced</w:t>
      </w:r>
      <w:r w:rsidRPr="008875E4">
        <w:t>. The assessment found that there was variability in the approach and perceived value of the holistic approach. Recent recruitment will assist this in this area.</w:t>
      </w:r>
      <w:r w:rsidR="00DC5158" w:rsidRPr="008875E4">
        <w:t xml:space="preserve"> </w:t>
      </w:r>
    </w:p>
    <w:p w14:paraId="0FDBB4B0" w14:textId="3AB78B79" w:rsidR="00516D2F" w:rsidRPr="008875E4" w:rsidRDefault="00516D2F" w:rsidP="00692518">
      <w:pPr>
        <w:autoSpaceDE w:val="0"/>
        <w:autoSpaceDN w:val="0"/>
        <w:adjustRightInd w:val="0"/>
        <w:spacing w:after="120"/>
      </w:pPr>
      <w:r w:rsidRPr="008875E4">
        <w:t>Other opportunities for improvement include a reduction on the time to make regulatory decisions and improvement of stakeholder feedback mechanisms regarding the application process. Understanding these issues is complex and it is noted that a review of one aspect, the adequacy and effective</w:t>
      </w:r>
      <w:r w:rsidR="0055227E" w:rsidRPr="008875E4">
        <w:t>ness of regulatory guidance, has</w:t>
      </w:r>
      <w:r w:rsidRPr="008875E4">
        <w:t xml:space="preserve"> been initiated.</w:t>
      </w:r>
    </w:p>
    <w:p w14:paraId="7AAF8BCA" w14:textId="77777777" w:rsidR="00780428" w:rsidRDefault="00780428" w:rsidP="000F0205">
      <w:pPr>
        <w:pStyle w:val="Heading1"/>
        <w:spacing w:before="0"/>
        <w:rPr>
          <w:shd w:val="clear" w:color="auto" w:fill="FFFFFF"/>
        </w:rPr>
      </w:pPr>
      <w:bookmarkStart w:id="64" w:name="_Toc23846614"/>
      <w:bookmarkStart w:id="65" w:name="_Toc58918586"/>
      <w:r>
        <w:rPr>
          <w:shd w:val="clear" w:color="auto" w:fill="FFFFFF"/>
        </w:rPr>
        <w:t>Glossary</w:t>
      </w:r>
      <w:bookmarkEnd w:id="64"/>
      <w:bookmarkEnd w:id="65"/>
      <w:r w:rsidR="000F0205">
        <w:rPr>
          <w:shd w:val="clear" w:color="auto" w:fill="FFFFFF"/>
        </w:rPr>
        <w:br/>
      </w:r>
    </w:p>
    <w:tbl>
      <w:tblPr>
        <w:tblStyle w:val="GenericARPANSA"/>
        <w:tblW w:w="5000" w:type="pct"/>
        <w:tblLook w:val="04A0" w:firstRow="1" w:lastRow="0" w:firstColumn="1" w:lastColumn="0" w:noHBand="0" w:noVBand="1"/>
      </w:tblPr>
      <w:tblGrid>
        <w:gridCol w:w="3397"/>
        <w:gridCol w:w="6231"/>
      </w:tblGrid>
      <w:tr w:rsidR="00780428" w:rsidRPr="00B309DC" w14:paraId="365E5791" w14:textId="77777777" w:rsidTr="008E735B">
        <w:trPr>
          <w:cnfStyle w:val="100000000000" w:firstRow="1" w:lastRow="0" w:firstColumn="0" w:lastColumn="0" w:oddVBand="0" w:evenVBand="0" w:oddHBand="0" w:evenHBand="0" w:firstRowFirstColumn="0" w:firstRowLastColumn="0" w:lastRowFirstColumn="0" w:lastRowLastColumn="0"/>
        </w:trPr>
        <w:tc>
          <w:tcPr>
            <w:tcW w:w="3397" w:type="dxa"/>
          </w:tcPr>
          <w:p w14:paraId="3B92CC01" w14:textId="77777777" w:rsidR="00780428" w:rsidRPr="00B309DC" w:rsidRDefault="00780428" w:rsidP="000F0205">
            <w:pPr>
              <w:jc w:val="left"/>
              <w:rPr>
                <w:b w:val="0"/>
              </w:rPr>
            </w:pPr>
            <w:r w:rsidRPr="00B309DC">
              <w:t>Acronym</w:t>
            </w:r>
          </w:p>
        </w:tc>
        <w:tc>
          <w:tcPr>
            <w:tcW w:w="6231" w:type="dxa"/>
          </w:tcPr>
          <w:p w14:paraId="09A91384" w14:textId="77777777" w:rsidR="00780428" w:rsidRPr="00B309DC" w:rsidRDefault="00780428" w:rsidP="000F0205">
            <w:pPr>
              <w:jc w:val="left"/>
              <w:rPr>
                <w:b w:val="0"/>
              </w:rPr>
            </w:pPr>
            <w:r w:rsidRPr="00B309DC">
              <w:t>Description</w:t>
            </w:r>
          </w:p>
        </w:tc>
      </w:tr>
      <w:tr w:rsidR="00B01704" w14:paraId="0D5BAA5A" w14:textId="77777777" w:rsidTr="008E735B">
        <w:tc>
          <w:tcPr>
            <w:tcW w:w="3397" w:type="dxa"/>
            <w:vAlign w:val="top"/>
          </w:tcPr>
          <w:p w14:paraId="5C521A62" w14:textId="77777777" w:rsidR="00B01704" w:rsidRPr="007F6900" w:rsidRDefault="00B01704" w:rsidP="000708F3">
            <w:pPr>
              <w:jc w:val="left"/>
              <w:rPr>
                <w:b/>
                <w:lang w:val="en-US"/>
              </w:rPr>
            </w:pPr>
            <w:r w:rsidRPr="007F6900">
              <w:rPr>
                <w:b/>
              </w:rPr>
              <w:t>AFI</w:t>
            </w:r>
          </w:p>
        </w:tc>
        <w:tc>
          <w:tcPr>
            <w:tcW w:w="6231" w:type="dxa"/>
            <w:vAlign w:val="top"/>
          </w:tcPr>
          <w:p w14:paraId="54CB1118" w14:textId="77777777" w:rsidR="00B01704" w:rsidRPr="004D72C5" w:rsidRDefault="00B01704" w:rsidP="000708F3">
            <w:pPr>
              <w:tabs>
                <w:tab w:val="left" w:pos="2235"/>
              </w:tabs>
              <w:jc w:val="left"/>
              <w:rPr>
                <w:lang w:val="en-US"/>
              </w:rPr>
            </w:pPr>
            <w:r w:rsidRPr="008F7C1D">
              <w:t xml:space="preserve">Areas for Improvement </w:t>
            </w:r>
            <w:r w:rsidR="005C5339">
              <w:t>(inspection outcome, suggested improvement rather than a non-compliance)</w:t>
            </w:r>
          </w:p>
        </w:tc>
      </w:tr>
      <w:tr w:rsidR="00B01704" w14:paraId="3F692E98"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10A2F000" w14:textId="77777777" w:rsidR="00B01704" w:rsidRPr="007F6900" w:rsidRDefault="00B01704" w:rsidP="000708F3">
            <w:pPr>
              <w:jc w:val="left"/>
              <w:rPr>
                <w:b/>
                <w:lang w:val="en-US"/>
              </w:rPr>
            </w:pPr>
            <w:r w:rsidRPr="007F6900">
              <w:rPr>
                <w:b/>
              </w:rPr>
              <w:t>ANM</w:t>
            </w:r>
          </w:p>
        </w:tc>
        <w:tc>
          <w:tcPr>
            <w:tcW w:w="6231" w:type="dxa"/>
            <w:vAlign w:val="top"/>
          </w:tcPr>
          <w:p w14:paraId="55DDF768" w14:textId="77777777" w:rsidR="00B01704" w:rsidRPr="004D72C5" w:rsidRDefault="00B01704" w:rsidP="000708F3">
            <w:pPr>
              <w:tabs>
                <w:tab w:val="left" w:pos="2235"/>
              </w:tabs>
              <w:jc w:val="left"/>
              <w:rPr>
                <w:lang w:val="en-US"/>
              </w:rPr>
            </w:pPr>
            <w:r w:rsidRPr="008F7C1D">
              <w:t xml:space="preserve">ANSTO </w:t>
            </w:r>
            <w:r w:rsidR="00B8258A">
              <w:t>N</w:t>
            </w:r>
            <w:r w:rsidR="00B8258A" w:rsidRPr="008F7C1D">
              <w:t xml:space="preserve">uclear </w:t>
            </w:r>
            <w:r w:rsidR="00B8258A">
              <w:t>M</w:t>
            </w:r>
            <w:r w:rsidR="00B8258A" w:rsidRPr="008F7C1D">
              <w:t>edicine</w:t>
            </w:r>
            <w:r w:rsidR="00B8258A">
              <w:t xml:space="preserve"> </w:t>
            </w:r>
            <w:r w:rsidR="007F6900">
              <w:t>(Facility)</w:t>
            </w:r>
          </w:p>
        </w:tc>
      </w:tr>
      <w:tr w:rsidR="00B01704" w14:paraId="0060E375" w14:textId="77777777" w:rsidTr="008E735B">
        <w:tc>
          <w:tcPr>
            <w:tcW w:w="3397" w:type="dxa"/>
            <w:vAlign w:val="top"/>
          </w:tcPr>
          <w:p w14:paraId="412D4094" w14:textId="77777777" w:rsidR="00B01704" w:rsidRPr="007F6900" w:rsidRDefault="00B01704" w:rsidP="000708F3">
            <w:pPr>
              <w:jc w:val="left"/>
              <w:rPr>
                <w:b/>
              </w:rPr>
            </w:pPr>
            <w:r w:rsidRPr="007F6900">
              <w:rPr>
                <w:b/>
              </w:rPr>
              <w:t>ANSTO</w:t>
            </w:r>
          </w:p>
        </w:tc>
        <w:tc>
          <w:tcPr>
            <w:tcW w:w="6231" w:type="dxa"/>
            <w:vAlign w:val="top"/>
          </w:tcPr>
          <w:p w14:paraId="001352EC" w14:textId="77777777" w:rsidR="00B01704" w:rsidRPr="004D72C5" w:rsidRDefault="00B01704" w:rsidP="000708F3">
            <w:pPr>
              <w:tabs>
                <w:tab w:val="left" w:pos="2235"/>
              </w:tabs>
              <w:jc w:val="left"/>
            </w:pPr>
            <w:r w:rsidRPr="008F7C1D">
              <w:t>Australian Nuclear Science and Technology Organisation</w:t>
            </w:r>
          </w:p>
        </w:tc>
      </w:tr>
      <w:tr w:rsidR="00B01704" w14:paraId="25AC0787"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2002AA11" w14:textId="77777777" w:rsidR="00B01704" w:rsidRPr="007F6900" w:rsidRDefault="00B01704" w:rsidP="000708F3">
            <w:pPr>
              <w:jc w:val="left"/>
              <w:rPr>
                <w:b/>
              </w:rPr>
            </w:pPr>
            <w:r w:rsidRPr="007F6900">
              <w:rPr>
                <w:b/>
              </w:rPr>
              <w:t>ARPANS Act/Regulations</w:t>
            </w:r>
          </w:p>
        </w:tc>
        <w:tc>
          <w:tcPr>
            <w:tcW w:w="6231" w:type="dxa"/>
            <w:vAlign w:val="top"/>
          </w:tcPr>
          <w:p w14:paraId="214315E7" w14:textId="77777777" w:rsidR="00B01704" w:rsidRPr="004D72C5" w:rsidRDefault="00B01704" w:rsidP="000708F3">
            <w:pPr>
              <w:jc w:val="left"/>
            </w:pPr>
            <w:r w:rsidRPr="00012A34">
              <w:rPr>
                <w:i/>
              </w:rPr>
              <w:t>Australian Radiation Protection and Nuclear Safety Act</w:t>
            </w:r>
            <w:r w:rsidR="00B8258A" w:rsidRPr="00012A34">
              <w:rPr>
                <w:i/>
              </w:rPr>
              <w:t xml:space="preserve"> 1998</w:t>
            </w:r>
            <w:r w:rsidRPr="008F7C1D">
              <w:t>/Regulation</w:t>
            </w:r>
            <w:r w:rsidR="3A52F06C" w:rsidRPr="008F7C1D">
              <w:t>s</w:t>
            </w:r>
            <w:r w:rsidR="00B8258A">
              <w:t xml:space="preserve"> 2018</w:t>
            </w:r>
          </w:p>
        </w:tc>
      </w:tr>
      <w:tr w:rsidR="00B01704" w14:paraId="0F3738C2" w14:textId="77777777" w:rsidTr="008E735B">
        <w:tc>
          <w:tcPr>
            <w:tcW w:w="3397" w:type="dxa"/>
            <w:vAlign w:val="top"/>
          </w:tcPr>
          <w:p w14:paraId="53A979E4" w14:textId="77777777" w:rsidR="00B01704" w:rsidRPr="007F6900" w:rsidRDefault="00B01704" w:rsidP="000708F3">
            <w:pPr>
              <w:jc w:val="left"/>
              <w:rPr>
                <w:b/>
              </w:rPr>
            </w:pPr>
            <w:r w:rsidRPr="007F6900">
              <w:rPr>
                <w:b/>
              </w:rPr>
              <w:t>ARPANSA</w:t>
            </w:r>
          </w:p>
        </w:tc>
        <w:tc>
          <w:tcPr>
            <w:tcW w:w="6231" w:type="dxa"/>
            <w:vAlign w:val="top"/>
          </w:tcPr>
          <w:p w14:paraId="27B61458" w14:textId="77777777" w:rsidR="00B01704" w:rsidRPr="004D72C5" w:rsidRDefault="00B01704" w:rsidP="000708F3">
            <w:pPr>
              <w:jc w:val="left"/>
            </w:pPr>
            <w:r w:rsidRPr="008F7C1D">
              <w:t>Australian Radiation Protection and Nuclear Safety Agency</w:t>
            </w:r>
          </w:p>
        </w:tc>
      </w:tr>
      <w:tr w:rsidR="00B01704" w14:paraId="0DE46FAB"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54891436" w14:textId="77777777" w:rsidR="00B01704" w:rsidRPr="007F6900" w:rsidRDefault="00B01704" w:rsidP="000708F3">
            <w:pPr>
              <w:jc w:val="left"/>
              <w:rPr>
                <w:b/>
              </w:rPr>
            </w:pPr>
            <w:r w:rsidRPr="007F6900">
              <w:rPr>
                <w:b/>
              </w:rPr>
              <w:t>ASNO</w:t>
            </w:r>
          </w:p>
        </w:tc>
        <w:tc>
          <w:tcPr>
            <w:tcW w:w="6231" w:type="dxa"/>
            <w:vAlign w:val="top"/>
          </w:tcPr>
          <w:p w14:paraId="29D93C20" w14:textId="77777777" w:rsidR="00B01704" w:rsidRPr="004D72C5" w:rsidRDefault="00B01704" w:rsidP="000708F3">
            <w:pPr>
              <w:jc w:val="left"/>
            </w:pPr>
            <w:r w:rsidRPr="008F7C1D">
              <w:t>Australian Safeguards and Non-</w:t>
            </w:r>
            <w:r w:rsidR="00B8258A">
              <w:t>P</w:t>
            </w:r>
            <w:r w:rsidR="00B8258A" w:rsidRPr="008F7C1D">
              <w:t xml:space="preserve">roliferation </w:t>
            </w:r>
            <w:r w:rsidRPr="008F7C1D">
              <w:t>Office</w:t>
            </w:r>
          </w:p>
        </w:tc>
      </w:tr>
      <w:tr w:rsidR="03EE252C" w14:paraId="5E35E60E" w14:textId="77777777" w:rsidTr="008E735B">
        <w:tc>
          <w:tcPr>
            <w:tcW w:w="3397" w:type="dxa"/>
            <w:vAlign w:val="top"/>
          </w:tcPr>
          <w:p w14:paraId="0F9CB702" w14:textId="77777777" w:rsidR="03EE252C" w:rsidRPr="0030652D" w:rsidRDefault="03EE252C" w:rsidP="000708F3">
            <w:pPr>
              <w:jc w:val="left"/>
              <w:rPr>
                <w:b/>
                <w:bCs/>
              </w:rPr>
            </w:pPr>
            <w:r w:rsidRPr="0030652D">
              <w:rPr>
                <w:b/>
                <w:bCs/>
              </w:rPr>
              <w:t>C</w:t>
            </w:r>
            <w:r w:rsidR="5953F714" w:rsidRPr="0030652D">
              <w:rPr>
                <w:b/>
                <w:bCs/>
              </w:rPr>
              <w:t>omcare</w:t>
            </w:r>
          </w:p>
        </w:tc>
        <w:tc>
          <w:tcPr>
            <w:tcW w:w="6231" w:type="dxa"/>
            <w:vAlign w:val="top"/>
          </w:tcPr>
          <w:p w14:paraId="0A2590EF" w14:textId="77777777" w:rsidR="03EE252C" w:rsidRDefault="5C0879A1" w:rsidP="000708F3">
            <w:pPr>
              <w:jc w:val="left"/>
            </w:pPr>
            <w:r w:rsidRPr="5C0879A1">
              <w:t xml:space="preserve">Comcare is </w:t>
            </w:r>
            <w:r w:rsidR="55317D04" w:rsidRPr="5C0879A1">
              <w:t>t</w:t>
            </w:r>
            <w:r w:rsidR="52D57B74" w:rsidRPr="5C0879A1">
              <w:t>he</w:t>
            </w:r>
            <w:r w:rsidRPr="5C0879A1">
              <w:t xml:space="preserve"> </w:t>
            </w:r>
            <w:r w:rsidR="52D57B74" w:rsidRPr="5C0879A1">
              <w:t>C</w:t>
            </w:r>
            <w:r w:rsidRPr="5C0879A1">
              <w:t xml:space="preserve">ommonwealth agency with regulatory responsibility for work health and safety </w:t>
            </w:r>
            <w:r w:rsidR="52D57B74" w:rsidRPr="52D57B74">
              <w:t>for</w:t>
            </w:r>
            <w:r w:rsidR="55317D04" w:rsidRPr="55317D04">
              <w:t xml:space="preserve"> the </w:t>
            </w:r>
            <w:r w:rsidR="52D57B74" w:rsidRPr="55317D04">
              <w:t>C</w:t>
            </w:r>
            <w:r w:rsidR="55317D04" w:rsidRPr="55317D04">
              <w:t xml:space="preserve">ommonwealth </w:t>
            </w:r>
            <w:r w:rsidR="52D57B74" w:rsidRPr="55317D04">
              <w:t>G</w:t>
            </w:r>
            <w:r w:rsidR="55317D04" w:rsidRPr="55317D04">
              <w:t>overnment</w:t>
            </w:r>
            <w:r w:rsidRPr="52D57B74">
              <w:t>.</w:t>
            </w:r>
          </w:p>
        </w:tc>
      </w:tr>
      <w:tr w:rsidR="00B01704" w14:paraId="35CA385F"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3DB8FF03" w14:textId="77777777" w:rsidR="00B01704" w:rsidRPr="007F6900" w:rsidRDefault="00B01704" w:rsidP="000708F3">
            <w:pPr>
              <w:jc w:val="left"/>
              <w:rPr>
                <w:b/>
              </w:rPr>
            </w:pPr>
            <w:r w:rsidRPr="007F6900">
              <w:rPr>
                <w:b/>
              </w:rPr>
              <w:t>IAEA</w:t>
            </w:r>
          </w:p>
        </w:tc>
        <w:tc>
          <w:tcPr>
            <w:tcW w:w="6231" w:type="dxa"/>
            <w:vAlign w:val="top"/>
          </w:tcPr>
          <w:p w14:paraId="7D1BFD1D" w14:textId="77777777" w:rsidR="00B01704" w:rsidRPr="004D72C5" w:rsidRDefault="00B01704" w:rsidP="000708F3">
            <w:pPr>
              <w:jc w:val="left"/>
            </w:pPr>
            <w:r w:rsidRPr="008F7C1D">
              <w:t xml:space="preserve">International Atomic Energy Agency </w:t>
            </w:r>
            <w:r>
              <w:t>(</w:t>
            </w:r>
            <w:r w:rsidRPr="008F7C1D">
              <w:t>an independent Agency in the United Nations system)</w:t>
            </w:r>
          </w:p>
        </w:tc>
      </w:tr>
      <w:tr w:rsidR="00B01704" w14:paraId="318CD6BA" w14:textId="77777777" w:rsidTr="008E735B">
        <w:tc>
          <w:tcPr>
            <w:tcW w:w="3397" w:type="dxa"/>
            <w:vAlign w:val="top"/>
          </w:tcPr>
          <w:p w14:paraId="29E171A6" w14:textId="77777777" w:rsidR="00B01704" w:rsidRPr="007F6900" w:rsidRDefault="00B01704" w:rsidP="000708F3">
            <w:pPr>
              <w:jc w:val="left"/>
              <w:rPr>
                <w:b/>
                <w:lang w:val="en-US"/>
              </w:rPr>
            </w:pPr>
            <w:r w:rsidRPr="007F6900">
              <w:rPr>
                <w:b/>
              </w:rPr>
              <w:t>INES</w:t>
            </w:r>
          </w:p>
        </w:tc>
        <w:tc>
          <w:tcPr>
            <w:tcW w:w="6231" w:type="dxa"/>
            <w:vAlign w:val="top"/>
          </w:tcPr>
          <w:p w14:paraId="48D1BEAD" w14:textId="77777777" w:rsidR="00B01704" w:rsidRPr="004D72C5" w:rsidRDefault="00B01704" w:rsidP="000708F3">
            <w:pPr>
              <w:tabs>
                <w:tab w:val="left" w:pos="2475"/>
              </w:tabs>
              <w:jc w:val="left"/>
              <w:rPr>
                <w:rFonts w:eastAsia="Calibri"/>
                <w:color w:val="000000"/>
              </w:rPr>
            </w:pPr>
            <w:r w:rsidRPr="008F7C1D">
              <w:t>International Nuclear and Radiological Event Scale (used by IAEA for reporting of incidents)</w:t>
            </w:r>
          </w:p>
        </w:tc>
      </w:tr>
      <w:tr w:rsidR="00B01704" w14:paraId="7CD8B635"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03167C49" w14:textId="77777777" w:rsidR="00B01704" w:rsidRPr="007F6900" w:rsidRDefault="00B01704" w:rsidP="000708F3">
            <w:pPr>
              <w:jc w:val="left"/>
              <w:rPr>
                <w:b/>
                <w:lang w:val="en-US"/>
              </w:rPr>
            </w:pPr>
            <w:r w:rsidRPr="007F6900">
              <w:rPr>
                <w:b/>
              </w:rPr>
              <w:t>ISAAC</w:t>
            </w:r>
          </w:p>
        </w:tc>
        <w:tc>
          <w:tcPr>
            <w:tcW w:w="6231" w:type="dxa"/>
            <w:vAlign w:val="top"/>
          </w:tcPr>
          <w:p w14:paraId="10AAA06A" w14:textId="77777777" w:rsidR="00B01704" w:rsidRPr="004D72C5" w:rsidRDefault="008C3E0D" w:rsidP="000708F3">
            <w:pPr>
              <w:tabs>
                <w:tab w:val="left" w:pos="2475"/>
              </w:tabs>
              <w:jc w:val="left"/>
              <w:rPr>
                <w:lang w:val="en"/>
              </w:rPr>
            </w:pPr>
            <w:r>
              <w:t>ARPANSA</w:t>
            </w:r>
            <w:r w:rsidR="00E2794C">
              <w:t>’s</w:t>
            </w:r>
            <w:r>
              <w:t xml:space="preserve"> intranet</w:t>
            </w:r>
          </w:p>
        </w:tc>
      </w:tr>
      <w:tr w:rsidR="00B01704" w14:paraId="2B9F9691" w14:textId="77777777" w:rsidTr="008E735B">
        <w:tc>
          <w:tcPr>
            <w:tcW w:w="3397" w:type="dxa"/>
            <w:vAlign w:val="top"/>
          </w:tcPr>
          <w:p w14:paraId="20D30CD6" w14:textId="77777777" w:rsidR="00B01704" w:rsidRPr="007F6900" w:rsidRDefault="00B01704" w:rsidP="000708F3">
            <w:pPr>
              <w:jc w:val="left"/>
              <w:rPr>
                <w:b/>
                <w:lang w:val="en-US"/>
              </w:rPr>
            </w:pPr>
            <w:r w:rsidRPr="007F6900">
              <w:rPr>
                <w:b/>
              </w:rPr>
              <w:t>KPI</w:t>
            </w:r>
          </w:p>
        </w:tc>
        <w:tc>
          <w:tcPr>
            <w:tcW w:w="6231" w:type="dxa"/>
            <w:vAlign w:val="top"/>
          </w:tcPr>
          <w:p w14:paraId="5BA031B3" w14:textId="77777777" w:rsidR="00B01704" w:rsidRDefault="00B01704" w:rsidP="000708F3">
            <w:pPr>
              <w:tabs>
                <w:tab w:val="left" w:pos="2475"/>
              </w:tabs>
              <w:jc w:val="left"/>
              <w:rPr>
                <w:lang w:val="en"/>
              </w:rPr>
            </w:pPr>
            <w:r w:rsidRPr="008F7C1D">
              <w:t>Key Performance Indicator (as defined in the RPF)</w:t>
            </w:r>
          </w:p>
        </w:tc>
      </w:tr>
      <w:tr w:rsidR="00D02FB8" w14:paraId="37B4E6E9"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0E91913A" w14:textId="29A5FAFD" w:rsidR="00D02FB8" w:rsidRPr="007F6900" w:rsidRDefault="00D02FB8" w:rsidP="00D02FB8">
            <w:pPr>
              <w:jc w:val="left"/>
              <w:rPr>
                <w:b/>
              </w:rPr>
            </w:pPr>
            <w:r>
              <w:rPr>
                <w:b/>
              </w:rPr>
              <w:t>LAD</w:t>
            </w:r>
          </w:p>
        </w:tc>
        <w:tc>
          <w:tcPr>
            <w:tcW w:w="6231" w:type="dxa"/>
            <w:vAlign w:val="top"/>
          </w:tcPr>
          <w:p w14:paraId="017D1C57" w14:textId="6507A004" w:rsidR="00D02FB8" w:rsidRPr="008F7C1D" w:rsidRDefault="00D02FB8" w:rsidP="00D02FB8">
            <w:pPr>
              <w:jc w:val="left"/>
            </w:pPr>
            <w:r>
              <w:t>Licence Administration Database</w:t>
            </w:r>
          </w:p>
        </w:tc>
      </w:tr>
      <w:tr w:rsidR="00B01704" w14:paraId="10A60A99" w14:textId="77777777" w:rsidTr="008E735B">
        <w:tc>
          <w:tcPr>
            <w:tcW w:w="3397" w:type="dxa"/>
            <w:vAlign w:val="top"/>
          </w:tcPr>
          <w:p w14:paraId="245FF9CA" w14:textId="77777777" w:rsidR="00B01704" w:rsidRPr="007F6900" w:rsidRDefault="00B01704" w:rsidP="000708F3">
            <w:pPr>
              <w:jc w:val="left"/>
              <w:rPr>
                <w:b/>
              </w:rPr>
            </w:pPr>
            <w:r w:rsidRPr="007F6900">
              <w:rPr>
                <w:b/>
              </w:rPr>
              <w:t>LHF</w:t>
            </w:r>
          </w:p>
        </w:tc>
        <w:tc>
          <w:tcPr>
            <w:tcW w:w="6231" w:type="dxa"/>
            <w:vAlign w:val="top"/>
          </w:tcPr>
          <w:p w14:paraId="10FE8E4E" w14:textId="77777777" w:rsidR="00B01704" w:rsidRPr="004D72C5" w:rsidRDefault="00B01704" w:rsidP="000708F3">
            <w:pPr>
              <w:jc w:val="left"/>
            </w:pPr>
            <w:r w:rsidRPr="008F7C1D">
              <w:t xml:space="preserve">Licence </w:t>
            </w:r>
            <w:r w:rsidR="00E0167F">
              <w:t>h</w:t>
            </w:r>
            <w:r w:rsidRPr="008F7C1D">
              <w:t xml:space="preserve">older </w:t>
            </w:r>
            <w:r w:rsidR="00E0167F">
              <w:t>f</w:t>
            </w:r>
            <w:r w:rsidRPr="008F7C1D">
              <w:t>orum</w:t>
            </w:r>
          </w:p>
        </w:tc>
      </w:tr>
      <w:tr w:rsidR="00B01704" w14:paraId="6239904E"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6E14642A" w14:textId="77777777" w:rsidR="00B01704" w:rsidRPr="007F6900" w:rsidRDefault="00B01704" w:rsidP="000708F3">
            <w:pPr>
              <w:jc w:val="left"/>
              <w:rPr>
                <w:b/>
                <w:lang w:val="en-US"/>
              </w:rPr>
            </w:pPr>
            <w:r w:rsidRPr="007F6900">
              <w:rPr>
                <w:b/>
              </w:rPr>
              <w:t>OPAL</w:t>
            </w:r>
          </w:p>
        </w:tc>
        <w:tc>
          <w:tcPr>
            <w:tcW w:w="6231" w:type="dxa"/>
            <w:vAlign w:val="top"/>
          </w:tcPr>
          <w:p w14:paraId="1F53859D" w14:textId="77777777" w:rsidR="00B01704" w:rsidRPr="004D72C5" w:rsidRDefault="00B01704" w:rsidP="000708F3">
            <w:pPr>
              <w:tabs>
                <w:tab w:val="left" w:pos="2475"/>
              </w:tabs>
              <w:jc w:val="left"/>
              <w:rPr>
                <w:lang w:val="en"/>
              </w:rPr>
            </w:pPr>
            <w:r w:rsidRPr="008F7C1D">
              <w:t>Open-Pool Australian Lightwater (reactor)</w:t>
            </w:r>
          </w:p>
        </w:tc>
      </w:tr>
      <w:tr w:rsidR="00B01704" w14:paraId="2A585A23" w14:textId="77777777" w:rsidTr="008E735B">
        <w:tc>
          <w:tcPr>
            <w:tcW w:w="3397" w:type="dxa"/>
            <w:vAlign w:val="top"/>
          </w:tcPr>
          <w:p w14:paraId="5561E9FC" w14:textId="77777777" w:rsidR="00B01704" w:rsidRPr="007F6900" w:rsidRDefault="00B01704" w:rsidP="000708F3">
            <w:pPr>
              <w:jc w:val="left"/>
              <w:rPr>
                <w:b/>
              </w:rPr>
            </w:pPr>
            <w:r w:rsidRPr="007F6900">
              <w:rPr>
                <w:b/>
              </w:rPr>
              <w:t>PI</w:t>
            </w:r>
          </w:p>
        </w:tc>
        <w:tc>
          <w:tcPr>
            <w:tcW w:w="6231" w:type="dxa"/>
            <w:vAlign w:val="top"/>
          </w:tcPr>
          <w:p w14:paraId="285A46BC" w14:textId="77777777" w:rsidR="00B01704" w:rsidRPr="004D72C5" w:rsidRDefault="00B01704" w:rsidP="000708F3">
            <w:pPr>
              <w:jc w:val="left"/>
            </w:pPr>
            <w:r w:rsidRPr="008F7C1D">
              <w:t>Performance Indicator (a metric set by ARPANSA)</w:t>
            </w:r>
          </w:p>
        </w:tc>
      </w:tr>
      <w:tr w:rsidR="00B01704" w14:paraId="290B21ED"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1A86C144" w14:textId="77777777" w:rsidR="00B01704" w:rsidRPr="007F6900" w:rsidRDefault="00B01704" w:rsidP="000708F3">
            <w:pPr>
              <w:jc w:val="left"/>
              <w:rPr>
                <w:b/>
              </w:rPr>
            </w:pPr>
            <w:r w:rsidRPr="007F6900">
              <w:rPr>
                <w:b/>
              </w:rPr>
              <w:t>PNC</w:t>
            </w:r>
          </w:p>
        </w:tc>
        <w:tc>
          <w:tcPr>
            <w:tcW w:w="6231" w:type="dxa"/>
            <w:vAlign w:val="top"/>
          </w:tcPr>
          <w:p w14:paraId="3EB10B4B" w14:textId="77777777" w:rsidR="00B01704" w:rsidRPr="004D72C5" w:rsidRDefault="00B01704" w:rsidP="000708F3">
            <w:pPr>
              <w:jc w:val="left"/>
            </w:pPr>
            <w:r w:rsidRPr="008F7C1D">
              <w:t>Potential non-compliance (regulatory finding prior to the CEO</w:t>
            </w:r>
            <w:r w:rsidR="56AA7632" w:rsidRPr="008F7C1D">
              <w:t>’s</w:t>
            </w:r>
            <w:r w:rsidRPr="008F7C1D">
              <w:t xml:space="preserve"> determination o</w:t>
            </w:r>
            <w:r w:rsidR="0514C47B" w:rsidRPr="008F7C1D">
              <w:t xml:space="preserve">f whether a </w:t>
            </w:r>
            <w:r w:rsidRPr="008F7C1D">
              <w:t xml:space="preserve">breach of the </w:t>
            </w:r>
            <w:r w:rsidR="0514C47B" w:rsidRPr="008F7C1D">
              <w:t>A</w:t>
            </w:r>
            <w:r w:rsidRPr="008F7C1D">
              <w:t>ct has occurred</w:t>
            </w:r>
            <w:r w:rsidR="71927D99" w:rsidRPr="0514C47B">
              <w:t>)</w:t>
            </w:r>
            <w:r w:rsidRPr="0514C47B">
              <w:t>.</w:t>
            </w:r>
          </w:p>
        </w:tc>
      </w:tr>
      <w:tr w:rsidR="00B01704" w14:paraId="11E15A12" w14:textId="77777777" w:rsidTr="008E735B">
        <w:tc>
          <w:tcPr>
            <w:tcW w:w="3397" w:type="dxa"/>
            <w:vAlign w:val="top"/>
          </w:tcPr>
          <w:p w14:paraId="2B21473B" w14:textId="77777777" w:rsidR="00B01704" w:rsidRPr="007F6900" w:rsidRDefault="00B01704" w:rsidP="000708F3">
            <w:pPr>
              <w:jc w:val="left"/>
              <w:rPr>
                <w:b/>
                <w:lang w:val="en-US"/>
              </w:rPr>
            </w:pPr>
            <w:r w:rsidRPr="007F6900">
              <w:rPr>
                <w:b/>
              </w:rPr>
              <w:t>PO&amp;C</w:t>
            </w:r>
          </w:p>
        </w:tc>
        <w:tc>
          <w:tcPr>
            <w:tcW w:w="6231" w:type="dxa"/>
            <w:vAlign w:val="top"/>
          </w:tcPr>
          <w:p w14:paraId="36B67CDF" w14:textId="77777777" w:rsidR="00B01704" w:rsidRPr="004D72C5" w:rsidRDefault="00B01704" w:rsidP="000708F3">
            <w:pPr>
              <w:jc w:val="left"/>
            </w:pPr>
            <w:r w:rsidRPr="008F7C1D">
              <w:t xml:space="preserve">Performance </w:t>
            </w:r>
            <w:r w:rsidR="00784AA7">
              <w:t>o</w:t>
            </w:r>
            <w:r w:rsidRPr="008F7C1D">
              <w:t xml:space="preserve">bjectives and </w:t>
            </w:r>
            <w:r w:rsidR="00784AA7">
              <w:t>c</w:t>
            </w:r>
            <w:r w:rsidRPr="008F7C1D">
              <w:t>riteria</w:t>
            </w:r>
          </w:p>
        </w:tc>
      </w:tr>
      <w:tr w:rsidR="007F6900" w14:paraId="2816A8CD"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0D491CF7" w14:textId="77777777" w:rsidR="007F6900" w:rsidRPr="007F6900" w:rsidRDefault="007F6900" w:rsidP="000708F3">
            <w:pPr>
              <w:jc w:val="left"/>
              <w:rPr>
                <w:b/>
              </w:rPr>
            </w:pPr>
            <w:r w:rsidRPr="007F6900">
              <w:rPr>
                <w:b/>
              </w:rPr>
              <w:t>RHC</w:t>
            </w:r>
          </w:p>
        </w:tc>
        <w:tc>
          <w:tcPr>
            <w:tcW w:w="6231" w:type="dxa"/>
            <w:vAlign w:val="top"/>
          </w:tcPr>
          <w:p w14:paraId="48E8DA97" w14:textId="77777777" w:rsidR="007F6900" w:rsidRPr="008F7C1D" w:rsidRDefault="007F6900" w:rsidP="000708F3">
            <w:pPr>
              <w:jc w:val="left"/>
            </w:pPr>
            <w:r>
              <w:t>Radiation Health Committee</w:t>
            </w:r>
            <w:r w:rsidR="008C3E0D">
              <w:t xml:space="preserve">, established under the ARPANS Act consisting mainly of </w:t>
            </w:r>
            <w:r w:rsidRPr="008F7C1D">
              <w:t xml:space="preserve">radiation </w:t>
            </w:r>
            <w:r w:rsidR="00B8258A">
              <w:t>control officers</w:t>
            </w:r>
            <w:r w:rsidRPr="008F7C1D">
              <w:t xml:space="preserve"> from </w:t>
            </w:r>
            <w:r w:rsidR="00B8258A">
              <w:t>the states and territories, advising the CEO on policies and standards for national adoption</w:t>
            </w:r>
          </w:p>
        </w:tc>
      </w:tr>
      <w:tr w:rsidR="00B01704" w14:paraId="58BF6088" w14:textId="77777777" w:rsidTr="008E735B">
        <w:tc>
          <w:tcPr>
            <w:tcW w:w="3397" w:type="dxa"/>
            <w:vAlign w:val="top"/>
          </w:tcPr>
          <w:p w14:paraId="08568111" w14:textId="77777777" w:rsidR="00B01704" w:rsidRPr="007F6900" w:rsidRDefault="00B01704" w:rsidP="000708F3">
            <w:pPr>
              <w:jc w:val="left"/>
              <w:rPr>
                <w:b/>
              </w:rPr>
            </w:pPr>
            <w:r w:rsidRPr="007F6900">
              <w:rPr>
                <w:b/>
              </w:rPr>
              <w:t>RPF</w:t>
            </w:r>
          </w:p>
        </w:tc>
        <w:tc>
          <w:tcPr>
            <w:tcW w:w="6231" w:type="dxa"/>
            <w:vAlign w:val="top"/>
          </w:tcPr>
          <w:p w14:paraId="79A20C50" w14:textId="77777777" w:rsidR="00B01704" w:rsidRPr="004D72C5" w:rsidRDefault="00B01704" w:rsidP="000708F3">
            <w:pPr>
              <w:jc w:val="left"/>
            </w:pPr>
            <w:r w:rsidRPr="008F7C1D">
              <w:t>Regulator Performance Framework</w:t>
            </w:r>
          </w:p>
        </w:tc>
      </w:tr>
      <w:tr w:rsidR="00B01704" w14:paraId="129D7D9A"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40E72AD5" w14:textId="52D9573E" w:rsidR="00B01704" w:rsidRPr="007F6900" w:rsidRDefault="00B01704" w:rsidP="00D02FB8">
            <w:pPr>
              <w:jc w:val="left"/>
              <w:rPr>
                <w:b/>
              </w:rPr>
            </w:pPr>
            <w:r w:rsidRPr="007F6900">
              <w:rPr>
                <w:b/>
              </w:rPr>
              <w:t>R</w:t>
            </w:r>
            <w:r w:rsidR="00D02FB8">
              <w:rPr>
                <w:b/>
              </w:rPr>
              <w:t>P</w:t>
            </w:r>
            <w:r w:rsidRPr="007F6900">
              <w:rPr>
                <w:b/>
              </w:rPr>
              <w:t>N</w:t>
            </w:r>
          </w:p>
        </w:tc>
        <w:tc>
          <w:tcPr>
            <w:tcW w:w="6231" w:type="dxa"/>
            <w:vAlign w:val="top"/>
          </w:tcPr>
          <w:p w14:paraId="7F62F6A8" w14:textId="7AC2C02B" w:rsidR="00B01704" w:rsidRPr="004D72C5" w:rsidRDefault="00B01704" w:rsidP="00D02FB8">
            <w:pPr>
              <w:tabs>
                <w:tab w:val="left" w:pos="2235"/>
              </w:tabs>
              <w:jc w:val="left"/>
            </w:pPr>
            <w:r w:rsidRPr="008F7C1D">
              <w:t xml:space="preserve">Radiation </w:t>
            </w:r>
            <w:r w:rsidR="00D02FB8">
              <w:t>Protection</w:t>
            </w:r>
            <w:r w:rsidRPr="008F7C1D">
              <w:t xml:space="preserve"> Network </w:t>
            </w:r>
            <w:r w:rsidR="008C3E0D">
              <w:t xml:space="preserve">(a working </w:t>
            </w:r>
            <w:r w:rsidRPr="008F7C1D">
              <w:t>group of radiation regulators from across Australia</w:t>
            </w:r>
            <w:r w:rsidR="008C3E0D">
              <w:t xml:space="preserve"> tasked with improving national uniformity in regulation</w:t>
            </w:r>
            <w:r w:rsidRPr="008F7C1D">
              <w:t>)</w:t>
            </w:r>
          </w:p>
        </w:tc>
      </w:tr>
      <w:tr w:rsidR="00B01704" w14:paraId="708138C2" w14:textId="77777777" w:rsidTr="008E735B">
        <w:tc>
          <w:tcPr>
            <w:tcW w:w="3397" w:type="dxa"/>
            <w:vAlign w:val="top"/>
          </w:tcPr>
          <w:p w14:paraId="3EE82615" w14:textId="77777777" w:rsidR="00B01704" w:rsidRPr="007F6900" w:rsidRDefault="00B01704" w:rsidP="000708F3">
            <w:pPr>
              <w:jc w:val="left"/>
              <w:rPr>
                <w:b/>
              </w:rPr>
            </w:pPr>
            <w:r w:rsidRPr="007F6900">
              <w:rPr>
                <w:b/>
              </w:rPr>
              <w:t>RSB</w:t>
            </w:r>
          </w:p>
        </w:tc>
        <w:tc>
          <w:tcPr>
            <w:tcW w:w="6231" w:type="dxa"/>
            <w:vAlign w:val="top"/>
          </w:tcPr>
          <w:p w14:paraId="6B09C2C0" w14:textId="77777777" w:rsidR="00B01704" w:rsidRPr="004D72C5" w:rsidRDefault="00B01704" w:rsidP="000708F3">
            <w:pPr>
              <w:jc w:val="left"/>
            </w:pPr>
            <w:r w:rsidRPr="008F7C1D">
              <w:t>Regulatory Services Branch (of ARPANSA)</w:t>
            </w:r>
          </w:p>
        </w:tc>
      </w:tr>
      <w:tr w:rsidR="00B01704" w14:paraId="5A7151A9" w14:textId="77777777" w:rsidTr="008E735B">
        <w:trPr>
          <w:cnfStyle w:val="000000010000" w:firstRow="0" w:lastRow="0" w:firstColumn="0" w:lastColumn="0" w:oddVBand="0" w:evenVBand="0" w:oddHBand="0" w:evenHBand="1" w:firstRowFirstColumn="0" w:firstRowLastColumn="0" w:lastRowFirstColumn="0" w:lastRowLastColumn="0"/>
        </w:trPr>
        <w:tc>
          <w:tcPr>
            <w:tcW w:w="3397" w:type="dxa"/>
            <w:vAlign w:val="top"/>
          </w:tcPr>
          <w:p w14:paraId="286B51CE" w14:textId="77777777" w:rsidR="00B01704" w:rsidRPr="007F6900" w:rsidRDefault="00B01704" w:rsidP="000708F3">
            <w:pPr>
              <w:jc w:val="left"/>
              <w:rPr>
                <w:b/>
                <w:lang w:val="en-US"/>
              </w:rPr>
            </w:pPr>
            <w:r w:rsidRPr="007F6900">
              <w:rPr>
                <w:b/>
              </w:rPr>
              <w:t>TGA</w:t>
            </w:r>
          </w:p>
        </w:tc>
        <w:tc>
          <w:tcPr>
            <w:tcW w:w="6231" w:type="dxa"/>
            <w:vAlign w:val="top"/>
          </w:tcPr>
          <w:p w14:paraId="382E11E5" w14:textId="77777777" w:rsidR="00B01704" w:rsidRPr="004D72C5" w:rsidRDefault="00B01704" w:rsidP="000708F3">
            <w:pPr>
              <w:tabs>
                <w:tab w:val="left" w:pos="2475"/>
              </w:tabs>
              <w:jc w:val="left"/>
            </w:pPr>
            <w:r w:rsidRPr="005F0AC4">
              <w:t>Therapeutic Goods Administration</w:t>
            </w:r>
          </w:p>
        </w:tc>
      </w:tr>
    </w:tbl>
    <w:p w14:paraId="4856A792" w14:textId="77777777" w:rsidR="003D2646" w:rsidRPr="003B4D69" w:rsidRDefault="003D2646" w:rsidP="00AB3888"/>
    <w:sectPr w:rsidR="003D2646" w:rsidRPr="003B4D69" w:rsidSect="000D1A6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0DAC" w14:textId="77777777" w:rsidR="00E8572F" w:rsidRDefault="00E8572F" w:rsidP="00037687">
      <w:r>
        <w:separator/>
      </w:r>
    </w:p>
  </w:endnote>
  <w:endnote w:type="continuationSeparator" w:id="0">
    <w:p w14:paraId="3C505462" w14:textId="77777777" w:rsidR="00E8572F" w:rsidRDefault="00E8572F" w:rsidP="00037687">
      <w:r>
        <w:continuationSeparator/>
      </w:r>
    </w:p>
  </w:endnote>
  <w:endnote w:type="continuationNotice" w:id="1">
    <w:p w14:paraId="603CB1B4" w14:textId="77777777" w:rsidR="00E8572F" w:rsidRDefault="00E8572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2081" w14:textId="77777777" w:rsidR="0044701E" w:rsidRDefault="0044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CCA0" w14:textId="4CDB9DBF" w:rsidR="00E8572F" w:rsidRDefault="00E8572F" w:rsidP="00B01116">
    <w:pPr>
      <w:pStyle w:val="Footer"/>
      <w:tabs>
        <w:tab w:val="clear" w:pos="4513"/>
        <w:tab w:val="clear" w:pos="9026"/>
        <w:tab w:val="center" w:pos="5245"/>
        <w:tab w:val="left" w:pos="8715"/>
        <w:tab w:val="right" w:pos="9639"/>
      </w:tabs>
      <w:spacing w:before="120"/>
      <w:rPr>
        <w:sz w:val="18"/>
      </w:rPr>
    </w:pPr>
    <w:r w:rsidRPr="00692518">
      <w:rPr>
        <w:noProof/>
        <w:color w:val="auto"/>
        <w:sz w:val="18"/>
        <w:lang w:eastAsia="en-AU"/>
      </w:rPr>
      <w:drawing>
        <wp:anchor distT="0" distB="0" distL="114300" distR="114300" simplePos="0" relativeHeight="251656192" behindDoc="0" locked="0" layoutInCell="1" allowOverlap="1" wp14:anchorId="56BFC223" wp14:editId="15878F2F">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692518">
      <w:rPr>
        <w:noProof/>
        <w:color w:val="auto"/>
        <w:sz w:val="18"/>
        <w:szCs w:val="18"/>
        <w:lang w:eastAsia="en-AU"/>
      </w:rPr>
      <w:t>Regulator Performance Framework</w:t>
    </w:r>
    <w:r w:rsidRPr="00FF6AB9">
      <w:rPr>
        <w:sz w:val="18"/>
      </w:rPr>
      <w:tab/>
    </w:r>
    <w:r>
      <w:rPr>
        <w:sz w:val="18"/>
      </w:rPr>
      <w:tab/>
    </w:r>
    <w:r w:rsidRPr="00692518">
      <w:rPr>
        <w:color w:val="auto"/>
        <w:sz w:val="18"/>
        <w:szCs w:val="18"/>
        <w:shd w:val="clear" w:color="auto" w:fill="E6E6E6"/>
      </w:rPr>
      <w:fldChar w:fldCharType="begin"/>
    </w:r>
    <w:r w:rsidRPr="73E2875D">
      <w:rPr>
        <w:color w:val="auto"/>
        <w:sz w:val="18"/>
        <w:szCs w:val="18"/>
      </w:rPr>
      <w:instrText xml:space="preserve"> PAGE   \* MERGEFORMAT </w:instrText>
    </w:r>
    <w:r w:rsidRPr="00692518">
      <w:rPr>
        <w:color w:val="auto"/>
        <w:sz w:val="18"/>
        <w:szCs w:val="18"/>
        <w:shd w:val="clear" w:color="auto" w:fill="E6E6E6"/>
      </w:rPr>
      <w:fldChar w:fldCharType="separate"/>
    </w:r>
    <w:r w:rsidRPr="00E8572F">
      <w:rPr>
        <w:noProof/>
        <w:color w:val="auto"/>
        <w:sz w:val="18"/>
        <w:szCs w:val="18"/>
        <w:shd w:val="clear" w:color="auto" w:fill="E6E6E6"/>
      </w:rPr>
      <w:t>2</w:t>
    </w:r>
    <w:r w:rsidRPr="00692518">
      <w:rPr>
        <w:noProof/>
        <w:color w:val="auto"/>
        <w:sz w:val="18"/>
        <w:szCs w:val="18"/>
        <w:shd w:val="clear" w:color="auto" w:fill="E6E6E6"/>
      </w:rPr>
      <w:fldChar w:fldCharType="end"/>
    </w:r>
    <w:r w:rsidRPr="00692518">
      <w:rPr>
        <w:noProof/>
        <w:color w:val="auto"/>
        <w:sz w:val="18"/>
        <w:szCs w:val="18"/>
      </w:rPr>
      <w:t xml:space="preserve"> of </w:t>
    </w:r>
    <w:r w:rsidRPr="00692518">
      <w:rPr>
        <w:noProof/>
        <w:color w:val="auto"/>
        <w:sz w:val="18"/>
        <w:szCs w:val="18"/>
        <w:shd w:val="clear" w:color="auto" w:fill="E6E6E6"/>
      </w:rPr>
      <w:fldChar w:fldCharType="begin"/>
    </w:r>
    <w:r w:rsidRPr="00692518">
      <w:rPr>
        <w:noProof/>
        <w:color w:val="auto"/>
        <w:sz w:val="18"/>
        <w:szCs w:val="18"/>
      </w:rPr>
      <w:instrText xml:space="preserve"> NUMPAGES   \* MERGEFORMAT </w:instrText>
    </w:r>
    <w:r w:rsidRPr="00692518">
      <w:rPr>
        <w:noProof/>
        <w:color w:val="auto"/>
        <w:sz w:val="18"/>
        <w:szCs w:val="18"/>
        <w:shd w:val="clear" w:color="auto" w:fill="E6E6E6"/>
      </w:rPr>
      <w:fldChar w:fldCharType="separate"/>
    </w:r>
    <w:r w:rsidRPr="00E8572F">
      <w:rPr>
        <w:noProof/>
        <w:color w:val="auto"/>
        <w:sz w:val="18"/>
        <w:szCs w:val="18"/>
        <w:shd w:val="clear" w:color="auto" w:fill="E6E6E6"/>
      </w:rPr>
      <w:t>31</w:t>
    </w:r>
    <w:r w:rsidRPr="00692518">
      <w:rPr>
        <w:noProof/>
        <w:color w:val="auto"/>
        <w:sz w:val="18"/>
        <w:szCs w:val="18"/>
        <w:shd w:val="clear" w:color="auto" w:fill="E6E6E6"/>
      </w:rPr>
      <w:fldChar w:fldCharType="end"/>
    </w:r>
    <w:r>
      <w:rPr>
        <w:sz w:val="18"/>
      </w:rPr>
      <w:tab/>
    </w:r>
  </w:p>
  <w:p w14:paraId="5C74DD04" w14:textId="6761AE8E" w:rsidR="00E8572F" w:rsidRPr="00561938" w:rsidRDefault="00E8572F" w:rsidP="008A670B">
    <w:pPr>
      <w:pStyle w:val="Footer"/>
      <w:tabs>
        <w:tab w:val="clear" w:pos="4513"/>
        <w:tab w:val="clear" w:pos="9026"/>
        <w:tab w:val="center" w:pos="5245"/>
        <w:tab w:val="right" w:pos="9639"/>
      </w:tabs>
      <w:spacing w:before="120"/>
      <w:rPr>
        <w:noProof/>
        <w:sz w:val="18"/>
        <w:lang w:eastAsia="en-AU"/>
      </w:rPr>
    </w:pPr>
    <w:r w:rsidRPr="00692518">
      <w:rPr>
        <w:noProof/>
        <w:color w:val="auto"/>
        <w:sz w:val="18"/>
        <w:szCs w:val="18"/>
        <w:lang w:eastAsia="en-AU"/>
      </w:rPr>
      <w:t>Self-Assessment Report 201</w:t>
    </w:r>
    <w:r>
      <w:rPr>
        <w:noProof/>
        <w:color w:val="auto"/>
        <w:sz w:val="18"/>
        <w:szCs w:val="18"/>
        <w:lang w:eastAsia="en-AU"/>
      </w:rPr>
      <w:t>9</w:t>
    </w:r>
    <w:r w:rsidRPr="00692518">
      <w:rPr>
        <w:noProof/>
        <w:color w:val="auto"/>
        <w:sz w:val="18"/>
        <w:szCs w:val="18"/>
        <w:lang w:eastAsia="en-AU"/>
      </w:rPr>
      <w:t>-</w:t>
    </w:r>
    <w:r>
      <w:rPr>
        <w:noProof/>
        <w:color w:val="auto"/>
        <w:sz w:val="18"/>
        <w:szCs w:val="18"/>
        <w:lang w:eastAsia="en-AU"/>
      </w:rPr>
      <w:t>20</w:t>
    </w:r>
  </w:p>
  <w:p w14:paraId="0A4FB8A0" w14:textId="77777777" w:rsidR="00E8572F" w:rsidRDefault="00E8572F" w:rsidP="008A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D24F" w14:textId="77777777" w:rsidR="00E8572F" w:rsidRPr="009D61FB" w:rsidRDefault="00E8572F" w:rsidP="00D25EFE">
    <w:pPr>
      <w:pStyle w:val="Footer"/>
      <w:tabs>
        <w:tab w:val="clear" w:pos="4513"/>
        <w:tab w:val="clear" w:pos="9026"/>
        <w:tab w:val="left" w:pos="3686"/>
        <w:tab w:val="right" w:pos="9639"/>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478F" w14:textId="2BC83C49" w:rsidR="00E8572F" w:rsidRPr="00C846AD" w:rsidRDefault="00C846AD" w:rsidP="00C846AD">
    <w:pPr>
      <w:pStyle w:val="Footer"/>
      <w:tabs>
        <w:tab w:val="clear" w:pos="4513"/>
        <w:tab w:val="clear" w:pos="9026"/>
        <w:tab w:val="center" w:pos="5103"/>
        <w:tab w:val="right" w:pos="9639"/>
      </w:tabs>
      <w:spacing w:before="120"/>
      <w:rPr>
        <w:sz w:val="18"/>
        <w:szCs w:val="18"/>
      </w:rPr>
    </w:pPr>
    <w:r w:rsidRPr="00C846AD">
      <w:rPr>
        <w:noProof/>
        <w:sz w:val="18"/>
        <w:lang w:eastAsia="en-AU"/>
      </w:rPr>
      <w:drawing>
        <wp:anchor distT="0" distB="0" distL="114300" distR="114300" simplePos="0" relativeHeight="251659264" behindDoc="0" locked="0" layoutInCell="1" allowOverlap="1" wp14:anchorId="2B8E7A6B" wp14:editId="13FB25A7">
          <wp:simplePos x="0" y="0"/>
          <wp:positionH relativeFrom="column">
            <wp:posOffset>0</wp:posOffset>
          </wp:positionH>
          <wp:positionV relativeFrom="paragraph">
            <wp:posOffset>175895</wp:posOffset>
          </wp:positionV>
          <wp:extent cx="6120000" cy="54000"/>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C846AD">
      <w:rPr>
        <w:noProof/>
        <w:sz w:val="18"/>
        <w:szCs w:val="18"/>
        <w:lang w:eastAsia="en-AU"/>
      </w:rPr>
      <w:t>Regulator Performance Framework - Self-Assessment Report 2019-20</w:t>
    </w:r>
    <w:r w:rsidRPr="00C846AD">
      <w:rPr>
        <w:sz w:val="18"/>
        <w:szCs w:val="18"/>
      </w:rPr>
      <w:tab/>
    </w:r>
    <w:r w:rsidRPr="00C846AD">
      <w:rPr>
        <w:sz w:val="18"/>
        <w:szCs w:val="18"/>
      </w:rPr>
      <w:tab/>
    </w:r>
    <w:r w:rsidRPr="00C846AD">
      <w:rPr>
        <w:sz w:val="18"/>
        <w:szCs w:val="18"/>
      </w:rPr>
      <w:br/>
      <w:t>v.1.0</w:t>
    </w:r>
    <w:r w:rsidRPr="00C846AD">
      <w:rPr>
        <w:sz w:val="18"/>
        <w:szCs w:val="18"/>
      </w:rPr>
      <w:tab/>
      <w:t>R20/09248</w:t>
    </w:r>
    <w:r w:rsidRPr="00C846AD">
      <w:rPr>
        <w:sz w:val="18"/>
        <w:szCs w:val="18"/>
      </w:rPr>
      <w:tab/>
    </w:r>
    <w:r w:rsidRPr="00C846AD">
      <w:rPr>
        <w:sz w:val="18"/>
        <w:szCs w:val="18"/>
      </w:rPr>
      <w:fldChar w:fldCharType="begin"/>
    </w:r>
    <w:r w:rsidRPr="00C846AD">
      <w:rPr>
        <w:sz w:val="18"/>
        <w:szCs w:val="18"/>
      </w:rPr>
      <w:instrText xml:space="preserve"> PAGE  \* Arabic  \* MERGEFORMAT </w:instrText>
    </w:r>
    <w:r w:rsidRPr="00C846AD">
      <w:rPr>
        <w:sz w:val="18"/>
        <w:szCs w:val="18"/>
      </w:rPr>
      <w:fldChar w:fldCharType="separate"/>
    </w:r>
    <w:r w:rsidR="0044701E">
      <w:rPr>
        <w:noProof/>
        <w:sz w:val="18"/>
        <w:szCs w:val="18"/>
      </w:rPr>
      <w:t>1</w:t>
    </w:r>
    <w:r w:rsidRPr="00C846AD">
      <w:rPr>
        <w:sz w:val="18"/>
        <w:szCs w:val="18"/>
      </w:rPr>
      <w:fldChar w:fldCharType="end"/>
    </w:r>
    <w:r w:rsidRPr="00C846AD">
      <w:rPr>
        <w:sz w:val="18"/>
        <w:szCs w:val="18"/>
      </w:rPr>
      <w:t xml:space="preserve"> of </w:t>
    </w:r>
    <w:r w:rsidR="0044701E">
      <w:rPr>
        <w:sz w:val="18"/>
        <w:szCs w:val="18"/>
      </w:rPr>
      <w:t>28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E340" w14:textId="067C148E" w:rsidR="00E8572F" w:rsidRPr="00C846AD" w:rsidRDefault="00E8572F" w:rsidP="00C846AD">
    <w:pPr>
      <w:pStyle w:val="Footer"/>
      <w:tabs>
        <w:tab w:val="clear" w:pos="4513"/>
        <w:tab w:val="clear" w:pos="9026"/>
        <w:tab w:val="center" w:pos="5103"/>
        <w:tab w:val="right" w:pos="9639"/>
      </w:tabs>
      <w:spacing w:before="120"/>
      <w:rPr>
        <w:sz w:val="18"/>
        <w:szCs w:val="18"/>
      </w:rPr>
    </w:pPr>
    <w:bookmarkStart w:id="8" w:name="_GoBack"/>
    <w:r w:rsidRPr="00C846AD">
      <w:rPr>
        <w:noProof/>
        <w:sz w:val="18"/>
        <w:lang w:eastAsia="en-AU"/>
      </w:rPr>
      <w:drawing>
        <wp:anchor distT="0" distB="0" distL="114300" distR="114300" simplePos="0" relativeHeight="251663360" behindDoc="0" locked="0" layoutInCell="1" allowOverlap="1" wp14:anchorId="5FB1EEF1" wp14:editId="4828860B">
          <wp:simplePos x="0" y="0"/>
          <wp:positionH relativeFrom="column">
            <wp:posOffset>0</wp:posOffset>
          </wp:positionH>
          <wp:positionV relativeFrom="paragraph">
            <wp:posOffset>175895</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C846AD" w:rsidRPr="00C846AD">
      <w:rPr>
        <w:noProof/>
        <w:sz w:val="18"/>
        <w:szCs w:val="18"/>
        <w:lang w:eastAsia="en-AU"/>
      </w:rPr>
      <w:t>Regulator Performance Framework</w:t>
    </w:r>
    <w:r w:rsidR="00C846AD" w:rsidRPr="00C846AD">
      <w:rPr>
        <w:noProof/>
        <w:sz w:val="18"/>
        <w:szCs w:val="18"/>
        <w:lang w:eastAsia="en-AU"/>
      </w:rPr>
      <w:t xml:space="preserve"> - </w:t>
    </w:r>
    <w:r w:rsidR="00C846AD" w:rsidRPr="00C846AD">
      <w:rPr>
        <w:noProof/>
        <w:sz w:val="18"/>
        <w:szCs w:val="18"/>
        <w:lang w:eastAsia="en-AU"/>
      </w:rPr>
      <w:t>Self-Assessment Report 2019-20</w:t>
    </w:r>
    <w:r w:rsidRPr="00C846AD">
      <w:rPr>
        <w:sz w:val="18"/>
        <w:szCs w:val="18"/>
      </w:rPr>
      <w:tab/>
    </w:r>
    <w:bookmarkEnd w:id="8"/>
    <w:r w:rsidRPr="00C846AD">
      <w:rPr>
        <w:sz w:val="18"/>
        <w:szCs w:val="18"/>
      </w:rPr>
      <w:tab/>
    </w:r>
    <w:r w:rsidRPr="00C846AD">
      <w:rPr>
        <w:sz w:val="18"/>
        <w:szCs w:val="18"/>
      </w:rPr>
      <w:br/>
      <w:t>v.1.0</w:t>
    </w:r>
    <w:r w:rsidRPr="00C846AD">
      <w:rPr>
        <w:sz w:val="18"/>
        <w:szCs w:val="18"/>
      </w:rPr>
      <w:tab/>
    </w:r>
    <w:r w:rsidR="00C846AD" w:rsidRPr="00C846AD">
      <w:rPr>
        <w:sz w:val="18"/>
        <w:szCs w:val="18"/>
      </w:rPr>
      <w:t>R20/09248</w:t>
    </w:r>
    <w:r w:rsidRPr="00C846AD">
      <w:rPr>
        <w:sz w:val="18"/>
        <w:szCs w:val="18"/>
      </w:rPr>
      <w:tab/>
    </w:r>
    <w:r w:rsidR="00C846AD" w:rsidRPr="00C846AD">
      <w:rPr>
        <w:sz w:val="18"/>
        <w:szCs w:val="18"/>
      </w:rPr>
      <w: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FEFEE" w14:textId="77777777" w:rsidR="00E8572F" w:rsidRDefault="00E8572F" w:rsidP="00037687">
      <w:r>
        <w:separator/>
      </w:r>
    </w:p>
  </w:footnote>
  <w:footnote w:type="continuationSeparator" w:id="0">
    <w:p w14:paraId="1D84668E" w14:textId="77777777" w:rsidR="00E8572F" w:rsidRDefault="00E8572F" w:rsidP="00037687">
      <w:r>
        <w:continuationSeparator/>
      </w:r>
    </w:p>
  </w:footnote>
  <w:footnote w:type="continuationNotice" w:id="1">
    <w:p w14:paraId="09138F2B" w14:textId="77777777" w:rsidR="00E8572F" w:rsidRDefault="00E8572F">
      <w:pPr>
        <w:spacing w:before="0" w:line="240" w:lineRule="auto"/>
      </w:pPr>
    </w:p>
  </w:footnote>
  <w:footnote w:id="2">
    <w:p w14:paraId="4C0927AD" w14:textId="77777777" w:rsidR="00E8572F" w:rsidRDefault="00E8572F" w:rsidP="007C44A8">
      <w:pPr>
        <w:pStyle w:val="FootnoteText"/>
      </w:pPr>
      <w:r>
        <w:rPr>
          <w:rStyle w:val="FootnoteReference"/>
        </w:rPr>
        <w:footnoteRef/>
      </w:r>
      <w:r>
        <w:t xml:space="preserve"> </w:t>
      </w:r>
      <w:r>
        <w:tab/>
      </w:r>
      <w:r w:rsidRPr="00E57C99">
        <w:t xml:space="preserve">Sources </w:t>
      </w:r>
      <w:r>
        <w:t xml:space="preserve">include </w:t>
      </w:r>
      <w:r w:rsidRPr="00E57C99">
        <w:t>‘controlled apparatus’ and ‘controlled material’</w:t>
      </w:r>
      <w:r>
        <w:t xml:space="preserve"> as </w:t>
      </w:r>
      <w:hyperlink r:id="rId1" w:history="1">
        <w:r w:rsidRPr="00E4453B">
          <w:rPr>
            <w:rStyle w:val="Hyperlink"/>
          </w:rPr>
          <w:t xml:space="preserve">defined </w:t>
        </w:r>
        <w:r>
          <w:rPr>
            <w:rStyle w:val="Hyperlink"/>
          </w:rPr>
          <w:t>in the legislation.</w:t>
        </w:r>
      </w:hyperlink>
      <w:r>
        <w:t xml:space="preserve"> </w:t>
      </w:r>
    </w:p>
  </w:footnote>
  <w:footnote w:id="3">
    <w:p w14:paraId="1643F13D" w14:textId="77777777" w:rsidR="00E8572F" w:rsidRDefault="00E8572F" w:rsidP="007C44A8">
      <w:pPr>
        <w:pStyle w:val="FootnoteText"/>
      </w:pPr>
      <w:r>
        <w:rPr>
          <w:rStyle w:val="FootnoteReference"/>
        </w:rPr>
        <w:footnoteRef/>
      </w:r>
      <w:r>
        <w:t xml:space="preserve"> </w:t>
      </w:r>
      <w:r>
        <w:tab/>
      </w:r>
      <w:r w:rsidRPr="00E57C99">
        <w:t xml:space="preserve">Facilities </w:t>
      </w:r>
      <w:r>
        <w:t>included both</w:t>
      </w:r>
      <w:r w:rsidRPr="00E57C99">
        <w:t xml:space="preserve"> ‘prescribed radiation facilities’ and ‘nuclear installations’</w:t>
      </w:r>
      <w:r>
        <w:t xml:space="preserve"> as </w:t>
      </w:r>
      <w:hyperlink r:id="rId2" w:history="1">
        <w:r w:rsidRPr="00E4453B">
          <w:rPr>
            <w:rStyle w:val="Hyperlink"/>
          </w:rPr>
          <w:t xml:space="preserve">defined </w:t>
        </w:r>
        <w:r>
          <w:rPr>
            <w:rStyle w:val="Hyperlink"/>
          </w:rPr>
          <w:t>in the legislation</w:t>
        </w:r>
      </w:hyperlink>
      <w:r>
        <w:rPr>
          <w:rStyle w:val="Hyperlink"/>
        </w:rPr>
        <w:t>.</w:t>
      </w:r>
      <w:r>
        <w:t xml:space="preserve"> </w:t>
      </w:r>
    </w:p>
  </w:footnote>
  <w:footnote w:id="4">
    <w:p w14:paraId="478A7F63" w14:textId="77777777" w:rsidR="00E8572F" w:rsidRDefault="00E8572F" w:rsidP="003B4D69">
      <w:pPr>
        <w:pStyle w:val="FootnoteText"/>
      </w:pPr>
      <w:r>
        <w:rPr>
          <w:rStyle w:val="FootnoteReference"/>
        </w:rPr>
        <w:footnoteRef/>
      </w:r>
      <w:r>
        <w:t xml:space="preserve"> Further information on the Regulator Performance Framework is available at </w:t>
      </w:r>
      <w:hyperlink r:id="rId3" w:tooltip="Regulator Performance Framework information" w:history="1">
        <w:r w:rsidRPr="00B30C7F">
          <w:rPr>
            <w:rStyle w:val="Hyperlink"/>
          </w:rPr>
          <w:t>https://docs.jobs.gov.au/documents/regulator-performance-framework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7CF2" w14:textId="77777777" w:rsidR="0044701E" w:rsidRDefault="00447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F76" w14:textId="77777777" w:rsidR="0044701E" w:rsidRDefault="00447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F66B" w14:textId="77777777" w:rsidR="00E8572F" w:rsidRDefault="00E8572F">
    <w:pPr>
      <w:pStyle w:val="Header"/>
    </w:pPr>
  </w:p>
  <w:p w14:paraId="277D2391" w14:textId="77777777" w:rsidR="00E8572F" w:rsidRDefault="00E85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2760" w:hanging="284"/>
      </w:pPr>
      <w:rPr>
        <w:rFonts w:ascii="Times New Roman" w:hAnsi="Times New Roman" w:cs="Times New Roman"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1" w15:restartNumberingAfterBreak="0">
    <w:nsid w:val="075C0473"/>
    <w:multiLevelType w:val="hybridMultilevel"/>
    <w:tmpl w:val="C676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A3F18"/>
    <w:multiLevelType w:val="hybridMultilevel"/>
    <w:tmpl w:val="734CB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BC07D7"/>
    <w:multiLevelType w:val="hybridMultilevel"/>
    <w:tmpl w:val="F9B077D8"/>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 w15:restartNumberingAfterBreak="0">
    <w:nsid w:val="1F8327EB"/>
    <w:multiLevelType w:val="hybridMultilevel"/>
    <w:tmpl w:val="3258A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700D4"/>
    <w:multiLevelType w:val="hybridMultilevel"/>
    <w:tmpl w:val="C09E294E"/>
    <w:lvl w:ilvl="0" w:tplc="3C4EC76A">
      <w:start w:val="1"/>
      <w:numFmt w:val="decimal"/>
      <w:lvlText w:val="%1."/>
      <w:lvlJc w:val="left"/>
      <w:pPr>
        <w:ind w:left="1080" w:hanging="360"/>
      </w:pPr>
      <w:rPr>
        <w:rFonts w:ascii="Calibri" w:hAnsi="Calibri"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6C406F"/>
    <w:multiLevelType w:val="hybridMultilevel"/>
    <w:tmpl w:val="34CA755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A6E5A"/>
    <w:multiLevelType w:val="hybridMultilevel"/>
    <w:tmpl w:val="5B8A12AC"/>
    <w:lvl w:ilvl="0" w:tplc="81BEF6B0">
      <w:start w:val="1"/>
      <w:numFmt w:val="bullet"/>
      <w:lvlText w:val=""/>
      <w:lvlJc w:val="left"/>
      <w:pPr>
        <w:ind w:left="397" w:hanging="397"/>
      </w:pPr>
      <w:rPr>
        <w:rFonts w:ascii="Symbol" w:hAnsi="Symbol" w:hint="default"/>
      </w:rPr>
    </w:lvl>
    <w:lvl w:ilvl="1" w:tplc="86B8C2AA">
      <w:start w:val="1"/>
      <w:numFmt w:val="bullet"/>
      <w:lvlText w:val="–"/>
      <w:lvlJc w:val="left"/>
      <w:pPr>
        <w:ind w:left="397" w:firstLine="0"/>
      </w:pPr>
      <w:rPr>
        <w:rFonts w:ascii="Times New Roman" w:hAnsi="Times New Roman" w:cs="Times New Roman" w:hint="default"/>
      </w:rPr>
    </w:lvl>
    <w:lvl w:ilvl="2" w:tplc="87A2E0B0">
      <w:start w:val="1"/>
      <w:numFmt w:val="bullet"/>
      <w:lvlText w:val=""/>
      <w:lvlJc w:val="left"/>
      <w:pPr>
        <w:ind w:left="2313" w:hanging="360"/>
      </w:pPr>
      <w:rPr>
        <w:rFonts w:ascii="Wingdings" w:hAnsi="Wingdings" w:hint="default"/>
      </w:rPr>
    </w:lvl>
    <w:lvl w:ilvl="3" w:tplc="4BF431E2">
      <w:start w:val="1"/>
      <w:numFmt w:val="bullet"/>
      <w:lvlText w:val=""/>
      <w:lvlJc w:val="left"/>
      <w:pPr>
        <w:ind w:left="3033" w:hanging="360"/>
      </w:pPr>
      <w:rPr>
        <w:rFonts w:ascii="Symbol" w:hAnsi="Symbol" w:hint="default"/>
      </w:rPr>
    </w:lvl>
    <w:lvl w:ilvl="4" w:tplc="F26843FA">
      <w:start w:val="1"/>
      <w:numFmt w:val="bullet"/>
      <w:lvlText w:val="o"/>
      <w:lvlJc w:val="left"/>
      <w:pPr>
        <w:ind w:left="3753" w:hanging="360"/>
      </w:pPr>
      <w:rPr>
        <w:rFonts w:ascii="Courier New" w:hAnsi="Courier New" w:cs="Courier New" w:hint="default"/>
      </w:rPr>
    </w:lvl>
    <w:lvl w:ilvl="5" w:tplc="48F09AEC">
      <w:start w:val="1"/>
      <w:numFmt w:val="bullet"/>
      <w:lvlText w:val=""/>
      <w:lvlJc w:val="left"/>
      <w:pPr>
        <w:ind w:left="4473" w:hanging="360"/>
      </w:pPr>
      <w:rPr>
        <w:rFonts w:ascii="Wingdings" w:hAnsi="Wingdings" w:hint="default"/>
      </w:rPr>
    </w:lvl>
    <w:lvl w:ilvl="6" w:tplc="EDAEF0A8">
      <w:start w:val="1"/>
      <w:numFmt w:val="bullet"/>
      <w:lvlText w:val=""/>
      <w:lvlJc w:val="left"/>
      <w:pPr>
        <w:ind w:left="5193" w:hanging="360"/>
      </w:pPr>
      <w:rPr>
        <w:rFonts w:ascii="Symbol" w:hAnsi="Symbol" w:hint="default"/>
      </w:rPr>
    </w:lvl>
    <w:lvl w:ilvl="7" w:tplc="DE62F7F0">
      <w:start w:val="1"/>
      <w:numFmt w:val="bullet"/>
      <w:lvlText w:val="o"/>
      <w:lvlJc w:val="left"/>
      <w:pPr>
        <w:ind w:left="5913" w:hanging="360"/>
      </w:pPr>
      <w:rPr>
        <w:rFonts w:ascii="Courier New" w:hAnsi="Courier New" w:cs="Courier New" w:hint="default"/>
      </w:rPr>
    </w:lvl>
    <w:lvl w:ilvl="8" w:tplc="5308CB4A">
      <w:start w:val="1"/>
      <w:numFmt w:val="bullet"/>
      <w:lvlText w:val=""/>
      <w:lvlJc w:val="left"/>
      <w:pPr>
        <w:ind w:left="6633" w:hanging="360"/>
      </w:pPr>
      <w:rPr>
        <w:rFonts w:ascii="Wingdings" w:hAnsi="Wingdings" w:hint="default"/>
      </w:rPr>
    </w:lvl>
  </w:abstractNum>
  <w:abstractNum w:abstractNumId="9" w15:restartNumberingAfterBreak="0">
    <w:nsid w:val="2A4B2E32"/>
    <w:multiLevelType w:val="hybridMultilevel"/>
    <w:tmpl w:val="C804F54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B07E4"/>
    <w:multiLevelType w:val="hybridMultilevel"/>
    <w:tmpl w:val="D570B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5F5CF2"/>
    <w:multiLevelType w:val="hybridMultilevel"/>
    <w:tmpl w:val="99F4C7A0"/>
    <w:lvl w:ilvl="0" w:tplc="633C91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1818A5"/>
    <w:multiLevelType w:val="hybridMultilevel"/>
    <w:tmpl w:val="3994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73B5D"/>
    <w:multiLevelType w:val="hybridMultilevel"/>
    <w:tmpl w:val="5DE69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F7925"/>
    <w:multiLevelType w:val="hybridMultilevel"/>
    <w:tmpl w:val="50FE947C"/>
    <w:lvl w:ilvl="0" w:tplc="B94E86EC">
      <w:start w:val="1"/>
      <w:numFmt w:val="bullet"/>
      <w:lvlText w:val=""/>
      <w:lvlJc w:val="left"/>
      <w:pPr>
        <w:tabs>
          <w:tab w:val="num" w:pos="397"/>
        </w:tabs>
        <w:ind w:left="397" w:hanging="397"/>
      </w:pPr>
      <w:rPr>
        <w:rFonts w:ascii="Symbol" w:hAnsi="Symbol" w:hint="default"/>
      </w:rPr>
    </w:lvl>
    <w:lvl w:ilvl="1" w:tplc="B024C5B4">
      <w:start w:val="1"/>
      <w:numFmt w:val="bullet"/>
      <w:lvlText w:val="–"/>
      <w:lvlJc w:val="left"/>
      <w:pPr>
        <w:tabs>
          <w:tab w:val="num" w:pos="794"/>
        </w:tabs>
        <w:ind w:left="794" w:hanging="397"/>
      </w:pPr>
      <w:rPr>
        <w:rFonts w:ascii="Times New Roman" w:hAnsi="Times New Roman" w:cs="Times New Roman" w:hint="default"/>
      </w:rPr>
    </w:lvl>
    <w:lvl w:ilvl="2" w:tplc="0ACA27E2">
      <w:start w:val="1"/>
      <w:numFmt w:val="bullet"/>
      <w:lvlText w:val=""/>
      <w:lvlJc w:val="left"/>
      <w:pPr>
        <w:ind w:left="2313" w:hanging="360"/>
      </w:pPr>
      <w:rPr>
        <w:rFonts w:ascii="Wingdings" w:hAnsi="Wingdings" w:hint="default"/>
      </w:rPr>
    </w:lvl>
    <w:lvl w:ilvl="3" w:tplc="854659D2">
      <w:start w:val="1"/>
      <w:numFmt w:val="bullet"/>
      <w:lvlText w:val=""/>
      <w:lvlJc w:val="left"/>
      <w:pPr>
        <w:ind w:left="3033" w:hanging="360"/>
      </w:pPr>
      <w:rPr>
        <w:rFonts w:ascii="Symbol" w:hAnsi="Symbol" w:hint="default"/>
      </w:rPr>
    </w:lvl>
    <w:lvl w:ilvl="4" w:tplc="3C54D362">
      <w:start w:val="1"/>
      <w:numFmt w:val="bullet"/>
      <w:lvlText w:val="o"/>
      <w:lvlJc w:val="left"/>
      <w:pPr>
        <w:ind w:left="3753" w:hanging="360"/>
      </w:pPr>
      <w:rPr>
        <w:rFonts w:ascii="Courier New" w:hAnsi="Courier New" w:cs="Courier New" w:hint="default"/>
      </w:rPr>
    </w:lvl>
    <w:lvl w:ilvl="5" w:tplc="FEC47398">
      <w:start w:val="1"/>
      <w:numFmt w:val="bullet"/>
      <w:lvlText w:val=""/>
      <w:lvlJc w:val="left"/>
      <w:pPr>
        <w:ind w:left="4473" w:hanging="360"/>
      </w:pPr>
      <w:rPr>
        <w:rFonts w:ascii="Wingdings" w:hAnsi="Wingdings" w:hint="default"/>
      </w:rPr>
    </w:lvl>
    <w:lvl w:ilvl="6" w:tplc="F698BD92">
      <w:start w:val="1"/>
      <w:numFmt w:val="bullet"/>
      <w:lvlText w:val=""/>
      <w:lvlJc w:val="left"/>
      <w:pPr>
        <w:ind w:left="5193" w:hanging="360"/>
      </w:pPr>
      <w:rPr>
        <w:rFonts w:ascii="Symbol" w:hAnsi="Symbol" w:hint="default"/>
      </w:rPr>
    </w:lvl>
    <w:lvl w:ilvl="7" w:tplc="1646E5FA">
      <w:start w:val="1"/>
      <w:numFmt w:val="bullet"/>
      <w:lvlText w:val="o"/>
      <w:lvlJc w:val="left"/>
      <w:pPr>
        <w:ind w:left="5913" w:hanging="360"/>
      </w:pPr>
      <w:rPr>
        <w:rFonts w:ascii="Courier New" w:hAnsi="Courier New" w:cs="Courier New" w:hint="default"/>
      </w:rPr>
    </w:lvl>
    <w:lvl w:ilvl="8" w:tplc="44500052">
      <w:start w:val="1"/>
      <w:numFmt w:val="bullet"/>
      <w:lvlText w:val=""/>
      <w:lvlJc w:val="left"/>
      <w:pPr>
        <w:ind w:left="6633" w:hanging="360"/>
      </w:pPr>
      <w:rPr>
        <w:rFonts w:ascii="Wingdings" w:hAnsi="Wingdings" w:hint="default"/>
      </w:rPr>
    </w:lvl>
  </w:abstractNum>
  <w:abstractNum w:abstractNumId="19" w15:restartNumberingAfterBreak="0">
    <w:nsid w:val="4D53370F"/>
    <w:multiLevelType w:val="hybridMultilevel"/>
    <w:tmpl w:val="50FE947C"/>
    <w:lvl w:ilvl="0" w:tplc="66E608AA">
      <w:start w:val="1"/>
      <w:numFmt w:val="bullet"/>
      <w:lvlText w:val=""/>
      <w:lvlJc w:val="left"/>
      <w:pPr>
        <w:tabs>
          <w:tab w:val="num" w:pos="397"/>
        </w:tabs>
        <w:ind w:left="397" w:hanging="397"/>
      </w:pPr>
      <w:rPr>
        <w:rFonts w:ascii="Symbol" w:hAnsi="Symbol" w:hint="default"/>
      </w:rPr>
    </w:lvl>
    <w:lvl w:ilvl="1" w:tplc="A88A2D94">
      <w:start w:val="1"/>
      <w:numFmt w:val="bullet"/>
      <w:lvlText w:val="–"/>
      <w:lvlJc w:val="left"/>
      <w:pPr>
        <w:tabs>
          <w:tab w:val="num" w:pos="794"/>
        </w:tabs>
        <w:ind w:left="794" w:hanging="397"/>
      </w:pPr>
      <w:rPr>
        <w:rFonts w:ascii="Times New Roman" w:hAnsi="Times New Roman" w:cs="Times New Roman" w:hint="default"/>
      </w:rPr>
    </w:lvl>
    <w:lvl w:ilvl="2" w:tplc="E4981D9A">
      <w:start w:val="1"/>
      <w:numFmt w:val="bullet"/>
      <w:lvlText w:val=""/>
      <w:lvlJc w:val="left"/>
      <w:pPr>
        <w:ind w:left="2313" w:hanging="360"/>
      </w:pPr>
      <w:rPr>
        <w:rFonts w:ascii="Wingdings" w:hAnsi="Wingdings" w:hint="default"/>
      </w:rPr>
    </w:lvl>
    <w:lvl w:ilvl="3" w:tplc="ECCAB744">
      <w:start w:val="1"/>
      <w:numFmt w:val="bullet"/>
      <w:lvlText w:val=""/>
      <w:lvlJc w:val="left"/>
      <w:pPr>
        <w:ind w:left="3033" w:hanging="360"/>
      </w:pPr>
      <w:rPr>
        <w:rFonts w:ascii="Symbol" w:hAnsi="Symbol" w:hint="default"/>
      </w:rPr>
    </w:lvl>
    <w:lvl w:ilvl="4" w:tplc="48204140">
      <w:start w:val="1"/>
      <w:numFmt w:val="bullet"/>
      <w:lvlText w:val="o"/>
      <w:lvlJc w:val="left"/>
      <w:pPr>
        <w:ind w:left="3753" w:hanging="360"/>
      </w:pPr>
      <w:rPr>
        <w:rFonts w:ascii="Courier New" w:hAnsi="Courier New" w:cs="Courier New" w:hint="default"/>
      </w:rPr>
    </w:lvl>
    <w:lvl w:ilvl="5" w:tplc="C82AA85C">
      <w:start w:val="1"/>
      <w:numFmt w:val="bullet"/>
      <w:lvlText w:val=""/>
      <w:lvlJc w:val="left"/>
      <w:pPr>
        <w:ind w:left="4473" w:hanging="360"/>
      </w:pPr>
      <w:rPr>
        <w:rFonts w:ascii="Wingdings" w:hAnsi="Wingdings" w:hint="default"/>
      </w:rPr>
    </w:lvl>
    <w:lvl w:ilvl="6" w:tplc="67BCF71A">
      <w:start w:val="1"/>
      <w:numFmt w:val="bullet"/>
      <w:lvlText w:val=""/>
      <w:lvlJc w:val="left"/>
      <w:pPr>
        <w:ind w:left="5193" w:hanging="360"/>
      </w:pPr>
      <w:rPr>
        <w:rFonts w:ascii="Symbol" w:hAnsi="Symbol" w:hint="default"/>
      </w:rPr>
    </w:lvl>
    <w:lvl w:ilvl="7" w:tplc="2682D1E0">
      <w:start w:val="1"/>
      <w:numFmt w:val="bullet"/>
      <w:lvlText w:val="o"/>
      <w:lvlJc w:val="left"/>
      <w:pPr>
        <w:ind w:left="5913" w:hanging="360"/>
      </w:pPr>
      <w:rPr>
        <w:rFonts w:ascii="Courier New" w:hAnsi="Courier New" w:cs="Courier New" w:hint="default"/>
      </w:rPr>
    </w:lvl>
    <w:lvl w:ilvl="8" w:tplc="FCE6A288">
      <w:start w:val="1"/>
      <w:numFmt w:val="bullet"/>
      <w:lvlText w:val=""/>
      <w:lvlJc w:val="left"/>
      <w:pPr>
        <w:ind w:left="6633" w:hanging="360"/>
      </w:pPr>
      <w:rPr>
        <w:rFonts w:ascii="Wingdings" w:hAnsi="Wingdings" w:hint="default"/>
      </w:rPr>
    </w:lvl>
  </w:abstractNum>
  <w:abstractNum w:abstractNumId="20" w15:restartNumberingAfterBreak="0">
    <w:nsid w:val="51283DEE"/>
    <w:multiLevelType w:val="hybridMultilevel"/>
    <w:tmpl w:val="49A6E1B8"/>
    <w:lvl w:ilvl="0" w:tplc="0C090001">
      <w:start w:val="1"/>
      <w:numFmt w:val="bullet"/>
      <w:lvlText w:val=""/>
      <w:lvlJc w:val="left"/>
      <w:pPr>
        <w:ind w:left="765" w:hanging="360"/>
      </w:pPr>
      <w:rPr>
        <w:rFonts w:ascii="Symbol" w:hAnsi="Symbol" w:hint="default"/>
      </w:rPr>
    </w:lvl>
    <w:lvl w:ilvl="1" w:tplc="0C090001">
      <w:start w:val="1"/>
      <w:numFmt w:val="bullet"/>
      <w:lvlText w:val=""/>
      <w:lvlJc w:val="left"/>
      <w:pPr>
        <w:ind w:left="1485" w:hanging="360"/>
      </w:pPr>
      <w:rPr>
        <w:rFonts w:ascii="Symbol" w:hAnsi="Symbo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53D024D9"/>
    <w:multiLevelType w:val="hybridMultilevel"/>
    <w:tmpl w:val="C1D4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9D40BD"/>
    <w:multiLevelType w:val="hybridMultilevel"/>
    <w:tmpl w:val="E8B4BE72"/>
    <w:styleLink w:val="List0"/>
    <w:lvl w:ilvl="0" w:tplc="14101F86">
      <w:start w:val="1"/>
      <w:numFmt w:val="decimal"/>
      <w:lvlText w:val="%1."/>
      <w:lvlJc w:val="left"/>
      <w:pPr>
        <w:tabs>
          <w:tab w:val="num" w:pos="692"/>
        </w:tabs>
        <w:ind w:left="692" w:hanging="332"/>
      </w:pPr>
      <w:rPr>
        <w:rFonts w:ascii="Cambria" w:eastAsia="Times New Roman" w:hAnsi="Cambria" w:cs="Cambria"/>
        <w:position w:val="0"/>
        <w:sz w:val="28"/>
        <w:szCs w:val="28"/>
      </w:rPr>
    </w:lvl>
    <w:lvl w:ilvl="1" w:tplc="A64ADEB0">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tplc="BA0A8EEC">
      <w:start w:val="1"/>
      <w:numFmt w:val="lowerRoman"/>
      <w:lvlText w:val="%3."/>
      <w:lvlJc w:val="left"/>
      <w:pPr>
        <w:tabs>
          <w:tab w:val="num" w:pos="2160"/>
        </w:tabs>
        <w:ind w:left="2160" w:hanging="296"/>
      </w:pPr>
      <w:rPr>
        <w:rFonts w:ascii="Cambria" w:eastAsia="Times New Roman" w:hAnsi="Cambria" w:cs="Cambria"/>
        <w:position w:val="0"/>
        <w:sz w:val="24"/>
        <w:szCs w:val="24"/>
      </w:rPr>
    </w:lvl>
    <w:lvl w:ilvl="3" w:tplc="6F96522E">
      <w:start w:val="1"/>
      <w:numFmt w:val="decimal"/>
      <w:lvlText w:val="%4."/>
      <w:lvlJc w:val="left"/>
      <w:pPr>
        <w:tabs>
          <w:tab w:val="num" w:pos="2880"/>
        </w:tabs>
        <w:ind w:left="2880" w:hanging="360"/>
      </w:pPr>
      <w:rPr>
        <w:rFonts w:ascii="Cambria" w:eastAsia="Times New Roman" w:hAnsi="Cambria" w:cs="Cambria"/>
        <w:position w:val="0"/>
        <w:sz w:val="24"/>
        <w:szCs w:val="24"/>
      </w:rPr>
    </w:lvl>
    <w:lvl w:ilvl="4" w:tplc="341EE8EC">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tplc="6AA25C6C">
      <w:start w:val="1"/>
      <w:numFmt w:val="lowerRoman"/>
      <w:lvlText w:val="%6."/>
      <w:lvlJc w:val="left"/>
      <w:pPr>
        <w:tabs>
          <w:tab w:val="num" w:pos="4320"/>
        </w:tabs>
        <w:ind w:left="4320" w:hanging="296"/>
      </w:pPr>
      <w:rPr>
        <w:rFonts w:ascii="Cambria" w:eastAsia="Times New Roman" w:hAnsi="Cambria" w:cs="Cambria"/>
        <w:position w:val="0"/>
        <w:sz w:val="24"/>
        <w:szCs w:val="24"/>
      </w:rPr>
    </w:lvl>
    <w:lvl w:ilvl="6" w:tplc="29028158">
      <w:start w:val="1"/>
      <w:numFmt w:val="decimal"/>
      <w:lvlText w:val="%7."/>
      <w:lvlJc w:val="left"/>
      <w:pPr>
        <w:tabs>
          <w:tab w:val="num" w:pos="5040"/>
        </w:tabs>
        <w:ind w:left="5040" w:hanging="360"/>
      </w:pPr>
      <w:rPr>
        <w:rFonts w:ascii="Cambria" w:eastAsia="Times New Roman" w:hAnsi="Cambria" w:cs="Cambria"/>
        <w:position w:val="0"/>
        <w:sz w:val="24"/>
        <w:szCs w:val="24"/>
      </w:rPr>
    </w:lvl>
    <w:lvl w:ilvl="7" w:tplc="9330182C">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tplc="BF94054A">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3" w15:restartNumberingAfterBreak="0">
    <w:nsid w:val="561370B7"/>
    <w:multiLevelType w:val="hybridMultilevel"/>
    <w:tmpl w:val="BDE6A51A"/>
    <w:lvl w:ilvl="0" w:tplc="68F05A34">
      <w:start w:val="1"/>
      <w:numFmt w:val="bullet"/>
      <w:lvlText w:val=""/>
      <w:lvlJc w:val="left"/>
      <w:pPr>
        <w:ind w:left="720" w:hanging="360"/>
      </w:pPr>
      <w:rPr>
        <w:rFonts w:ascii="Symbol" w:hAnsi="Symbol" w:hint="default"/>
      </w:rPr>
    </w:lvl>
    <w:lvl w:ilvl="1" w:tplc="F3F82B1E">
      <w:start w:val="1"/>
      <w:numFmt w:val="bullet"/>
      <w:lvlText w:val="o"/>
      <w:lvlJc w:val="left"/>
      <w:pPr>
        <w:ind w:left="1440" w:hanging="360"/>
      </w:pPr>
      <w:rPr>
        <w:rFonts w:ascii="Courier New" w:hAnsi="Courier New" w:hint="default"/>
      </w:rPr>
    </w:lvl>
    <w:lvl w:ilvl="2" w:tplc="74009296">
      <w:start w:val="1"/>
      <w:numFmt w:val="bullet"/>
      <w:lvlText w:val=""/>
      <w:lvlJc w:val="left"/>
      <w:pPr>
        <w:ind w:left="2160" w:hanging="360"/>
      </w:pPr>
      <w:rPr>
        <w:rFonts w:ascii="Wingdings" w:hAnsi="Wingdings" w:hint="default"/>
      </w:rPr>
    </w:lvl>
    <w:lvl w:ilvl="3" w:tplc="13FE6942">
      <w:start w:val="1"/>
      <w:numFmt w:val="bullet"/>
      <w:lvlText w:val=""/>
      <w:lvlJc w:val="left"/>
      <w:pPr>
        <w:ind w:left="2880" w:hanging="360"/>
      </w:pPr>
      <w:rPr>
        <w:rFonts w:ascii="Symbol" w:hAnsi="Symbol" w:hint="default"/>
      </w:rPr>
    </w:lvl>
    <w:lvl w:ilvl="4" w:tplc="880E0AF8">
      <w:start w:val="1"/>
      <w:numFmt w:val="bullet"/>
      <w:lvlText w:val="o"/>
      <w:lvlJc w:val="left"/>
      <w:pPr>
        <w:ind w:left="3600" w:hanging="360"/>
      </w:pPr>
      <w:rPr>
        <w:rFonts w:ascii="Courier New" w:hAnsi="Courier New" w:hint="default"/>
      </w:rPr>
    </w:lvl>
    <w:lvl w:ilvl="5" w:tplc="11FE8B0E">
      <w:start w:val="1"/>
      <w:numFmt w:val="bullet"/>
      <w:lvlText w:val=""/>
      <w:lvlJc w:val="left"/>
      <w:pPr>
        <w:ind w:left="4320" w:hanging="360"/>
      </w:pPr>
      <w:rPr>
        <w:rFonts w:ascii="Wingdings" w:hAnsi="Wingdings" w:hint="default"/>
      </w:rPr>
    </w:lvl>
    <w:lvl w:ilvl="6" w:tplc="10BECBBE">
      <w:start w:val="1"/>
      <w:numFmt w:val="bullet"/>
      <w:lvlText w:val=""/>
      <w:lvlJc w:val="left"/>
      <w:pPr>
        <w:ind w:left="5040" w:hanging="360"/>
      </w:pPr>
      <w:rPr>
        <w:rFonts w:ascii="Symbol" w:hAnsi="Symbol" w:hint="default"/>
      </w:rPr>
    </w:lvl>
    <w:lvl w:ilvl="7" w:tplc="EB907C42">
      <w:start w:val="1"/>
      <w:numFmt w:val="bullet"/>
      <w:lvlText w:val="o"/>
      <w:lvlJc w:val="left"/>
      <w:pPr>
        <w:ind w:left="5760" w:hanging="360"/>
      </w:pPr>
      <w:rPr>
        <w:rFonts w:ascii="Courier New" w:hAnsi="Courier New" w:hint="default"/>
      </w:rPr>
    </w:lvl>
    <w:lvl w:ilvl="8" w:tplc="92E497DC">
      <w:start w:val="1"/>
      <w:numFmt w:val="bullet"/>
      <w:lvlText w:val=""/>
      <w:lvlJc w:val="left"/>
      <w:pPr>
        <w:ind w:left="6480" w:hanging="360"/>
      </w:pPr>
      <w:rPr>
        <w:rFonts w:ascii="Wingdings" w:hAnsi="Wingdings" w:hint="default"/>
      </w:rPr>
    </w:lvl>
  </w:abstractNum>
  <w:abstractNum w:abstractNumId="24" w15:restartNumberingAfterBreak="0">
    <w:nsid w:val="59CB0FD8"/>
    <w:multiLevelType w:val="hybridMultilevel"/>
    <w:tmpl w:val="BF0CB5E2"/>
    <w:lvl w:ilvl="0" w:tplc="E1480616">
      <w:start w:val="1"/>
      <w:numFmt w:val="decimal"/>
      <w:lvlText w:val="KPI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C53D45"/>
    <w:multiLevelType w:val="hybridMultilevel"/>
    <w:tmpl w:val="A7700D1A"/>
    <w:lvl w:ilvl="0" w:tplc="1458D632">
      <w:start w:val="1"/>
      <w:numFmt w:val="bullet"/>
      <w:lvlText w:val=""/>
      <w:lvlJc w:val="left"/>
      <w:pPr>
        <w:ind w:left="720" w:hanging="360"/>
      </w:pPr>
      <w:rPr>
        <w:rFonts w:ascii="Symbol" w:hAnsi="Symbol" w:hint="default"/>
      </w:rPr>
    </w:lvl>
    <w:lvl w:ilvl="1" w:tplc="C050614A">
      <w:start w:val="1"/>
      <w:numFmt w:val="bullet"/>
      <w:lvlText w:val="o"/>
      <w:lvlJc w:val="left"/>
      <w:pPr>
        <w:ind w:left="1440" w:hanging="360"/>
      </w:pPr>
      <w:rPr>
        <w:rFonts w:ascii="Courier New" w:hAnsi="Courier New" w:hint="default"/>
      </w:rPr>
    </w:lvl>
    <w:lvl w:ilvl="2" w:tplc="DBE6BA7A">
      <w:start w:val="1"/>
      <w:numFmt w:val="bullet"/>
      <w:lvlText w:val=""/>
      <w:lvlJc w:val="left"/>
      <w:pPr>
        <w:ind w:left="2160" w:hanging="360"/>
      </w:pPr>
      <w:rPr>
        <w:rFonts w:ascii="Wingdings" w:hAnsi="Wingdings" w:hint="default"/>
      </w:rPr>
    </w:lvl>
    <w:lvl w:ilvl="3" w:tplc="515CCC3C">
      <w:start w:val="1"/>
      <w:numFmt w:val="bullet"/>
      <w:lvlText w:val=""/>
      <w:lvlJc w:val="left"/>
      <w:pPr>
        <w:ind w:left="2880" w:hanging="360"/>
      </w:pPr>
      <w:rPr>
        <w:rFonts w:ascii="Symbol" w:hAnsi="Symbol" w:hint="default"/>
      </w:rPr>
    </w:lvl>
    <w:lvl w:ilvl="4" w:tplc="D51EA1CC">
      <w:start w:val="1"/>
      <w:numFmt w:val="bullet"/>
      <w:lvlText w:val="o"/>
      <w:lvlJc w:val="left"/>
      <w:pPr>
        <w:ind w:left="3600" w:hanging="360"/>
      </w:pPr>
      <w:rPr>
        <w:rFonts w:ascii="Courier New" w:hAnsi="Courier New" w:hint="default"/>
      </w:rPr>
    </w:lvl>
    <w:lvl w:ilvl="5" w:tplc="A89E61C0">
      <w:start w:val="1"/>
      <w:numFmt w:val="bullet"/>
      <w:lvlText w:val=""/>
      <w:lvlJc w:val="left"/>
      <w:pPr>
        <w:ind w:left="4320" w:hanging="360"/>
      </w:pPr>
      <w:rPr>
        <w:rFonts w:ascii="Wingdings" w:hAnsi="Wingdings" w:hint="default"/>
      </w:rPr>
    </w:lvl>
    <w:lvl w:ilvl="6" w:tplc="69D20AB6">
      <w:start w:val="1"/>
      <w:numFmt w:val="bullet"/>
      <w:lvlText w:val=""/>
      <w:lvlJc w:val="left"/>
      <w:pPr>
        <w:ind w:left="5040" w:hanging="360"/>
      </w:pPr>
      <w:rPr>
        <w:rFonts w:ascii="Symbol" w:hAnsi="Symbol" w:hint="default"/>
      </w:rPr>
    </w:lvl>
    <w:lvl w:ilvl="7" w:tplc="5DDE9302">
      <w:start w:val="1"/>
      <w:numFmt w:val="bullet"/>
      <w:lvlText w:val="o"/>
      <w:lvlJc w:val="left"/>
      <w:pPr>
        <w:ind w:left="5760" w:hanging="360"/>
      </w:pPr>
      <w:rPr>
        <w:rFonts w:ascii="Courier New" w:hAnsi="Courier New" w:hint="default"/>
      </w:rPr>
    </w:lvl>
    <w:lvl w:ilvl="8" w:tplc="2E92DDEE">
      <w:start w:val="1"/>
      <w:numFmt w:val="bullet"/>
      <w:lvlText w:val=""/>
      <w:lvlJc w:val="left"/>
      <w:pPr>
        <w:ind w:left="6480" w:hanging="360"/>
      </w:pPr>
      <w:rPr>
        <w:rFonts w:ascii="Wingdings" w:hAnsi="Wingdings" w:hint="default"/>
      </w:rPr>
    </w:lvl>
  </w:abstractNum>
  <w:abstractNum w:abstractNumId="26" w15:restartNumberingAfterBreak="0">
    <w:nsid w:val="60E87DD6"/>
    <w:multiLevelType w:val="hybridMultilevel"/>
    <w:tmpl w:val="1B0E63B6"/>
    <w:lvl w:ilvl="0" w:tplc="FFFFFFFF">
      <w:start w:val="20"/>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4447A5"/>
    <w:multiLevelType w:val="hybridMultilevel"/>
    <w:tmpl w:val="6D3887B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8" w15:restartNumberingAfterBreak="0">
    <w:nsid w:val="693139A9"/>
    <w:multiLevelType w:val="hybridMultilevel"/>
    <w:tmpl w:val="8230C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FB3281"/>
    <w:multiLevelType w:val="hybridMultilevel"/>
    <w:tmpl w:val="6222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511DA4"/>
    <w:multiLevelType w:val="hybridMultilevel"/>
    <w:tmpl w:val="50FE947C"/>
    <w:lvl w:ilvl="0" w:tplc="7278F5C8">
      <w:start w:val="1"/>
      <w:numFmt w:val="bullet"/>
      <w:lvlText w:val=""/>
      <w:lvlJc w:val="left"/>
      <w:pPr>
        <w:tabs>
          <w:tab w:val="num" w:pos="397"/>
        </w:tabs>
        <w:ind w:left="397" w:hanging="397"/>
      </w:pPr>
      <w:rPr>
        <w:rFonts w:ascii="Symbol" w:hAnsi="Symbol" w:hint="default"/>
      </w:rPr>
    </w:lvl>
    <w:lvl w:ilvl="1" w:tplc="C2085F50">
      <w:start w:val="1"/>
      <w:numFmt w:val="bullet"/>
      <w:lvlText w:val="–"/>
      <w:lvlJc w:val="left"/>
      <w:pPr>
        <w:tabs>
          <w:tab w:val="num" w:pos="794"/>
        </w:tabs>
        <w:ind w:left="794" w:hanging="397"/>
      </w:pPr>
      <w:rPr>
        <w:rFonts w:ascii="Times New Roman" w:hAnsi="Times New Roman" w:cs="Times New Roman" w:hint="default"/>
      </w:rPr>
    </w:lvl>
    <w:lvl w:ilvl="2" w:tplc="D368CA9A">
      <w:start w:val="1"/>
      <w:numFmt w:val="bullet"/>
      <w:lvlText w:val=""/>
      <w:lvlJc w:val="left"/>
      <w:pPr>
        <w:ind w:left="2313" w:hanging="360"/>
      </w:pPr>
      <w:rPr>
        <w:rFonts w:ascii="Wingdings" w:hAnsi="Wingdings" w:hint="default"/>
      </w:rPr>
    </w:lvl>
    <w:lvl w:ilvl="3" w:tplc="14B02952">
      <w:start w:val="1"/>
      <w:numFmt w:val="bullet"/>
      <w:lvlText w:val=""/>
      <w:lvlJc w:val="left"/>
      <w:pPr>
        <w:ind w:left="3033" w:hanging="360"/>
      </w:pPr>
      <w:rPr>
        <w:rFonts w:ascii="Symbol" w:hAnsi="Symbol" w:hint="default"/>
      </w:rPr>
    </w:lvl>
    <w:lvl w:ilvl="4" w:tplc="9C5CF584">
      <w:start w:val="1"/>
      <w:numFmt w:val="bullet"/>
      <w:lvlText w:val="o"/>
      <w:lvlJc w:val="left"/>
      <w:pPr>
        <w:ind w:left="3753" w:hanging="360"/>
      </w:pPr>
      <w:rPr>
        <w:rFonts w:ascii="Courier New" w:hAnsi="Courier New" w:cs="Courier New" w:hint="default"/>
      </w:rPr>
    </w:lvl>
    <w:lvl w:ilvl="5" w:tplc="4C468714">
      <w:start w:val="1"/>
      <w:numFmt w:val="bullet"/>
      <w:lvlText w:val=""/>
      <w:lvlJc w:val="left"/>
      <w:pPr>
        <w:ind w:left="4473" w:hanging="360"/>
      </w:pPr>
      <w:rPr>
        <w:rFonts w:ascii="Wingdings" w:hAnsi="Wingdings" w:hint="default"/>
      </w:rPr>
    </w:lvl>
    <w:lvl w:ilvl="6" w:tplc="8D2065A4">
      <w:start w:val="1"/>
      <w:numFmt w:val="bullet"/>
      <w:lvlText w:val=""/>
      <w:lvlJc w:val="left"/>
      <w:pPr>
        <w:ind w:left="5193" w:hanging="360"/>
      </w:pPr>
      <w:rPr>
        <w:rFonts w:ascii="Symbol" w:hAnsi="Symbol" w:hint="default"/>
      </w:rPr>
    </w:lvl>
    <w:lvl w:ilvl="7" w:tplc="BD4CB3A0">
      <w:start w:val="1"/>
      <w:numFmt w:val="bullet"/>
      <w:lvlText w:val="o"/>
      <w:lvlJc w:val="left"/>
      <w:pPr>
        <w:ind w:left="5913" w:hanging="360"/>
      </w:pPr>
      <w:rPr>
        <w:rFonts w:ascii="Courier New" w:hAnsi="Courier New" w:cs="Courier New" w:hint="default"/>
      </w:rPr>
    </w:lvl>
    <w:lvl w:ilvl="8" w:tplc="A186340C">
      <w:start w:val="1"/>
      <w:numFmt w:val="bullet"/>
      <w:lvlText w:val=""/>
      <w:lvlJc w:val="left"/>
      <w:pPr>
        <w:ind w:left="6633" w:hanging="360"/>
      </w:pPr>
      <w:rPr>
        <w:rFonts w:ascii="Wingdings" w:hAnsi="Wingdings" w:hint="default"/>
      </w:rPr>
    </w:lvl>
  </w:abstractNum>
  <w:abstractNum w:abstractNumId="31" w15:restartNumberingAfterBreak="0">
    <w:nsid w:val="720619E6"/>
    <w:multiLevelType w:val="hybridMultilevel"/>
    <w:tmpl w:val="8C203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884921"/>
    <w:multiLevelType w:val="hybridMultilevel"/>
    <w:tmpl w:val="62246754"/>
    <w:lvl w:ilvl="0" w:tplc="34D66AA0">
      <w:start w:val="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67273"/>
    <w:multiLevelType w:val="hybridMultilevel"/>
    <w:tmpl w:val="FBA44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7"/>
  </w:num>
  <w:num w:numId="4">
    <w:abstractNumId w:val="12"/>
  </w:num>
  <w:num w:numId="5">
    <w:abstractNumId w:val="16"/>
  </w:num>
  <w:num w:numId="6">
    <w:abstractNumId w:val="11"/>
  </w:num>
  <w:num w:numId="7">
    <w:abstractNumId w:val="13"/>
  </w:num>
  <w:num w:numId="8">
    <w:abstractNumId w:val="22"/>
    <w:lvlOverride w:ilvl="0">
      <w:lvl w:ilvl="0" w:tplc="14101F86">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tplc="A64ADEB0">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tplc="BA0A8EEC">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tplc="6F96522E">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tplc="341EE8EC">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tplc="6AA25C6C">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tplc="29028158">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tplc="9330182C">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tplc="BF94054A">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9">
    <w:abstractNumId w:val="22"/>
  </w:num>
  <w:num w:numId="10">
    <w:abstractNumId w:val="0"/>
  </w:num>
  <w:num w:numId="11">
    <w:abstractNumId w:val="30"/>
  </w:num>
  <w:num w:numId="12">
    <w:abstractNumId w:val="8"/>
  </w:num>
  <w:num w:numId="13">
    <w:abstractNumId w:val="18"/>
  </w:num>
  <w:num w:numId="14">
    <w:abstractNumId w:val="19"/>
  </w:num>
  <w:num w:numId="15">
    <w:abstractNumId w:val="24"/>
  </w:num>
  <w:num w:numId="16">
    <w:abstractNumId w:val="5"/>
  </w:num>
  <w:num w:numId="17">
    <w:abstractNumId w:val="3"/>
  </w:num>
  <w:num w:numId="18">
    <w:abstractNumId w:val="31"/>
  </w:num>
  <w:num w:numId="19">
    <w:abstractNumId w:val="21"/>
  </w:num>
  <w:num w:numId="20">
    <w:abstractNumId w:val="6"/>
  </w:num>
  <w:num w:numId="21">
    <w:abstractNumId w:val="29"/>
  </w:num>
  <w:num w:numId="22">
    <w:abstractNumId w:val="9"/>
  </w:num>
  <w:num w:numId="23">
    <w:abstractNumId w:val="1"/>
  </w:num>
  <w:num w:numId="24">
    <w:abstractNumId w:val="15"/>
  </w:num>
  <w:num w:numId="25">
    <w:abstractNumId w:val="2"/>
  </w:num>
  <w:num w:numId="26">
    <w:abstractNumId w:val="27"/>
  </w:num>
  <w:num w:numId="27">
    <w:abstractNumId w:val="26"/>
  </w:num>
  <w:num w:numId="28">
    <w:abstractNumId w:val="32"/>
  </w:num>
  <w:num w:numId="29">
    <w:abstractNumId w:val="11"/>
  </w:num>
  <w:num w:numId="30">
    <w:abstractNumId w:val="33"/>
  </w:num>
  <w:num w:numId="31">
    <w:abstractNumId w:val="17"/>
  </w:num>
  <w:num w:numId="32">
    <w:abstractNumId w:val="11"/>
  </w:num>
  <w:num w:numId="33">
    <w:abstractNumId w:val="11"/>
  </w:num>
  <w:num w:numId="34">
    <w:abstractNumId w:val="11"/>
  </w:num>
  <w:num w:numId="35">
    <w:abstractNumId w:val="20"/>
  </w:num>
  <w:num w:numId="36">
    <w:abstractNumId w:val="10"/>
  </w:num>
  <w:num w:numId="37">
    <w:abstractNumId w:val="28"/>
  </w:num>
  <w:num w:numId="38">
    <w:abstractNumId w:val="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7B"/>
    <w:rsid w:val="0000001F"/>
    <w:rsid w:val="00000F71"/>
    <w:rsid w:val="000014D7"/>
    <w:rsid w:val="000022DF"/>
    <w:rsid w:val="0000355A"/>
    <w:rsid w:val="000036EA"/>
    <w:rsid w:val="00004834"/>
    <w:rsid w:val="000060FE"/>
    <w:rsid w:val="000063FB"/>
    <w:rsid w:val="00007A76"/>
    <w:rsid w:val="00010316"/>
    <w:rsid w:val="00010729"/>
    <w:rsid w:val="00011099"/>
    <w:rsid w:val="00012A34"/>
    <w:rsid w:val="000134D0"/>
    <w:rsid w:val="00013769"/>
    <w:rsid w:val="0001437F"/>
    <w:rsid w:val="000147BF"/>
    <w:rsid w:val="00016F92"/>
    <w:rsid w:val="000222B1"/>
    <w:rsid w:val="00030369"/>
    <w:rsid w:val="00030616"/>
    <w:rsid w:val="000309F9"/>
    <w:rsid w:val="000322FD"/>
    <w:rsid w:val="00033E7E"/>
    <w:rsid w:val="00035536"/>
    <w:rsid w:val="000371FB"/>
    <w:rsid w:val="00037687"/>
    <w:rsid w:val="0004137A"/>
    <w:rsid w:val="000465FE"/>
    <w:rsid w:val="00046A1A"/>
    <w:rsid w:val="000502BA"/>
    <w:rsid w:val="00050A1D"/>
    <w:rsid w:val="00052009"/>
    <w:rsid w:val="000549B3"/>
    <w:rsid w:val="0005527F"/>
    <w:rsid w:val="00061511"/>
    <w:rsid w:val="00062BB7"/>
    <w:rsid w:val="00064F57"/>
    <w:rsid w:val="00065A49"/>
    <w:rsid w:val="000668C9"/>
    <w:rsid w:val="00066B27"/>
    <w:rsid w:val="000708F3"/>
    <w:rsid w:val="000724BD"/>
    <w:rsid w:val="000743BF"/>
    <w:rsid w:val="000756A6"/>
    <w:rsid w:val="00076195"/>
    <w:rsid w:val="00077880"/>
    <w:rsid w:val="000814BA"/>
    <w:rsid w:val="00082662"/>
    <w:rsid w:val="00082E26"/>
    <w:rsid w:val="00085F25"/>
    <w:rsid w:val="000877F6"/>
    <w:rsid w:val="0009137B"/>
    <w:rsid w:val="000917AA"/>
    <w:rsid w:val="00094B12"/>
    <w:rsid w:val="00097836"/>
    <w:rsid w:val="000A3C8D"/>
    <w:rsid w:val="000A5556"/>
    <w:rsid w:val="000A62E7"/>
    <w:rsid w:val="000A645A"/>
    <w:rsid w:val="000B0690"/>
    <w:rsid w:val="000B237F"/>
    <w:rsid w:val="000B2B5E"/>
    <w:rsid w:val="000B4233"/>
    <w:rsid w:val="000B4306"/>
    <w:rsid w:val="000B4B3F"/>
    <w:rsid w:val="000B4D05"/>
    <w:rsid w:val="000C0361"/>
    <w:rsid w:val="000C45A5"/>
    <w:rsid w:val="000C4A9A"/>
    <w:rsid w:val="000C4EEE"/>
    <w:rsid w:val="000C695A"/>
    <w:rsid w:val="000C7998"/>
    <w:rsid w:val="000D1A66"/>
    <w:rsid w:val="000D27C8"/>
    <w:rsid w:val="000D3FAE"/>
    <w:rsid w:val="000D4FA5"/>
    <w:rsid w:val="000D5E23"/>
    <w:rsid w:val="000D667C"/>
    <w:rsid w:val="000D6E80"/>
    <w:rsid w:val="000E3A70"/>
    <w:rsid w:val="000E3B28"/>
    <w:rsid w:val="000F0205"/>
    <w:rsid w:val="000F250E"/>
    <w:rsid w:val="000F28C7"/>
    <w:rsid w:val="000F36BF"/>
    <w:rsid w:val="000F3AB1"/>
    <w:rsid w:val="000F3FA5"/>
    <w:rsid w:val="000F4276"/>
    <w:rsid w:val="000F57A2"/>
    <w:rsid w:val="000F5890"/>
    <w:rsid w:val="000F73FB"/>
    <w:rsid w:val="000F7C7A"/>
    <w:rsid w:val="000F7CF3"/>
    <w:rsid w:val="001013DC"/>
    <w:rsid w:val="00102414"/>
    <w:rsid w:val="00102BB3"/>
    <w:rsid w:val="00102D60"/>
    <w:rsid w:val="0010348D"/>
    <w:rsid w:val="001037FC"/>
    <w:rsid w:val="00103EDC"/>
    <w:rsid w:val="00104B1D"/>
    <w:rsid w:val="00104E6F"/>
    <w:rsid w:val="00112D9C"/>
    <w:rsid w:val="00113290"/>
    <w:rsid w:val="001141E6"/>
    <w:rsid w:val="00123097"/>
    <w:rsid w:val="0012671B"/>
    <w:rsid w:val="001271D0"/>
    <w:rsid w:val="001324CD"/>
    <w:rsid w:val="0013700D"/>
    <w:rsid w:val="00140B73"/>
    <w:rsid w:val="00145965"/>
    <w:rsid w:val="00145BEE"/>
    <w:rsid w:val="00146317"/>
    <w:rsid w:val="001502AF"/>
    <w:rsid w:val="00150764"/>
    <w:rsid w:val="00150FE3"/>
    <w:rsid w:val="00151015"/>
    <w:rsid w:val="001511BD"/>
    <w:rsid w:val="001519FD"/>
    <w:rsid w:val="00151C39"/>
    <w:rsid w:val="00153E10"/>
    <w:rsid w:val="001557BA"/>
    <w:rsid w:val="00157E8E"/>
    <w:rsid w:val="00157F0D"/>
    <w:rsid w:val="0017031C"/>
    <w:rsid w:val="00174335"/>
    <w:rsid w:val="0017469C"/>
    <w:rsid w:val="00181E34"/>
    <w:rsid w:val="00182C52"/>
    <w:rsid w:val="00192A8D"/>
    <w:rsid w:val="001977FB"/>
    <w:rsid w:val="001A0683"/>
    <w:rsid w:val="001A11CB"/>
    <w:rsid w:val="001A15E9"/>
    <w:rsid w:val="001A230B"/>
    <w:rsid w:val="001A2666"/>
    <w:rsid w:val="001A50FD"/>
    <w:rsid w:val="001B054C"/>
    <w:rsid w:val="001B0803"/>
    <w:rsid w:val="001B0C1B"/>
    <w:rsid w:val="001B1968"/>
    <w:rsid w:val="001B1FAD"/>
    <w:rsid w:val="001B3946"/>
    <w:rsid w:val="001B4D9F"/>
    <w:rsid w:val="001B5B9A"/>
    <w:rsid w:val="001B6980"/>
    <w:rsid w:val="001C163B"/>
    <w:rsid w:val="001C2D20"/>
    <w:rsid w:val="001C4559"/>
    <w:rsid w:val="001C54A1"/>
    <w:rsid w:val="001D072D"/>
    <w:rsid w:val="001D2225"/>
    <w:rsid w:val="001D2DC2"/>
    <w:rsid w:val="001D388D"/>
    <w:rsid w:val="001D44C5"/>
    <w:rsid w:val="001D67E7"/>
    <w:rsid w:val="001D74C3"/>
    <w:rsid w:val="001E265E"/>
    <w:rsid w:val="001E3ED9"/>
    <w:rsid w:val="001E566F"/>
    <w:rsid w:val="001E739C"/>
    <w:rsid w:val="001E7AC1"/>
    <w:rsid w:val="001F3AA9"/>
    <w:rsid w:val="001F3CE7"/>
    <w:rsid w:val="001F5A88"/>
    <w:rsid w:val="001F5B95"/>
    <w:rsid w:val="001F6A30"/>
    <w:rsid w:val="001F7A53"/>
    <w:rsid w:val="0020035B"/>
    <w:rsid w:val="0020052B"/>
    <w:rsid w:val="00200A98"/>
    <w:rsid w:val="00202A89"/>
    <w:rsid w:val="00202EB0"/>
    <w:rsid w:val="00204D1B"/>
    <w:rsid w:val="002052E6"/>
    <w:rsid w:val="0020774A"/>
    <w:rsid w:val="002103D3"/>
    <w:rsid w:val="00211B48"/>
    <w:rsid w:val="00213533"/>
    <w:rsid w:val="0021404E"/>
    <w:rsid w:val="00214063"/>
    <w:rsid w:val="0021448C"/>
    <w:rsid w:val="00214A45"/>
    <w:rsid w:val="002157E4"/>
    <w:rsid w:val="00216627"/>
    <w:rsid w:val="0021740F"/>
    <w:rsid w:val="002248CB"/>
    <w:rsid w:val="00224F5D"/>
    <w:rsid w:val="00225E6D"/>
    <w:rsid w:val="00226BB0"/>
    <w:rsid w:val="00230280"/>
    <w:rsid w:val="00231585"/>
    <w:rsid w:val="002349D1"/>
    <w:rsid w:val="00235431"/>
    <w:rsid w:val="002356D6"/>
    <w:rsid w:val="00235FFF"/>
    <w:rsid w:val="00237D6C"/>
    <w:rsid w:val="00237F5C"/>
    <w:rsid w:val="00244F01"/>
    <w:rsid w:val="002459B5"/>
    <w:rsid w:val="00246537"/>
    <w:rsid w:val="00250A94"/>
    <w:rsid w:val="0025256E"/>
    <w:rsid w:val="002525CB"/>
    <w:rsid w:val="002532BF"/>
    <w:rsid w:val="00254C40"/>
    <w:rsid w:val="00260931"/>
    <w:rsid w:val="00261823"/>
    <w:rsid w:val="002625EE"/>
    <w:rsid w:val="002632C7"/>
    <w:rsid w:val="00263442"/>
    <w:rsid w:val="00264306"/>
    <w:rsid w:val="002645DB"/>
    <w:rsid w:val="002652AA"/>
    <w:rsid w:val="00265764"/>
    <w:rsid w:val="002658A5"/>
    <w:rsid w:val="00266150"/>
    <w:rsid w:val="0026635D"/>
    <w:rsid w:val="0027036A"/>
    <w:rsid w:val="00270B0C"/>
    <w:rsid w:val="00273A76"/>
    <w:rsid w:val="00273B0C"/>
    <w:rsid w:val="00275EFF"/>
    <w:rsid w:val="00276177"/>
    <w:rsid w:val="00276754"/>
    <w:rsid w:val="00281E4A"/>
    <w:rsid w:val="002843E8"/>
    <w:rsid w:val="00286AD0"/>
    <w:rsid w:val="00286EE6"/>
    <w:rsid w:val="002874CC"/>
    <w:rsid w:val="002876F4"/>
    <w:rsid w:val="00287C23"/>
    <w:rsid w:val="00293ABC"/>
    <w:rsid w:val="002941BF"/>
    <w:rsid w:val="002A37EF"/>
    <w:rsid w:val="002A3915"/>
    <w:rsid w:val="002B0127"/>
    <w:rsid w:val="002B03D7"/>
    <w:rsid w:val="002B3A20"/>
    <w:rsid w:val="002B3D7C"/>
    <w:rsid w:val="002B6920"/>
    <w:rsid w:val="002B7E6D"/>
    <w:rsid w:val="002C0E95"/>
    <w:rsid w:val="002C369D"/>
    <w:rsid w:val="002C3C82"/>
    <w:rsid w:val="002C4441"/>
    <w:rsid w:val="002C5AC9"/>
    <w:rsid w:val="002C6300"/>
    <w:rsid w:val="002C7DE7"/>
    <w:rsid w:val="002D271C"/>
    <w:rsid w:val="002D28CA"/>
    <w:rsid w:val="002D3090"/>
    <w:rsid w:val="002D5DD1"/>
    <w:rsid w:val="002E0211"/>
    <w:rsid w:val="002E1A80"/>
    <w:rsid w:val="002E1FB6"/>
    <w:rsid w:val="002E385A"/>
    <w:rsid w:val="002E4FA1"/>
    <w:rsid w:val="002F619A"/>
    <w:rsid w:val="002F7BF4"/>
    <w:rsid w:val="00300117"/>
    <w:rsid w:val="003014F6"/>
    <w:rsid w:val="00301C29"/>
    <w:rsid w:val="00301CEA"/>
    <w:rsid w:val="0030286B"/>
    <w:rsid w:val="00302C38"/>
    <w:rsid w:val="00302D3E"/>
    <w:rsid w:val="00303150"/>
    <w:rsid w:val="003034FE"/>
    <w:rsid w:val="0030415F"/>
    <w:rsid w:val="0030480D"/>
    <w:rsid w:val="0030570B"/>
    <w:rsid w:val="003058FE"/>
    <w:rsid w:val="003060CD"/>
    <w:rsid w:val="0030652D"/>
    <w:rsid w:val="003113D9"/>
    <w:rsid w:val="0031305D"/>
    <w:rsid w:val="003136D9"/>
    <w:rsid w:val="00314314"/>
    <w:rsid w:val="0031501B"/>
    <w:rsid w:val="00315BD0"/>
    <w:rsid w:val="00315E85"/>
    <w:rsid w:val="00316C9E"/>
    <w:rsid w:val="00320F40"/>
    <w:rsid w:val="00326366"/>
    <w:rsid w:val="00327077"/>
    <w:rsid w:val="0033160C"/>
    <w:rsid w:val="003319F1"/>
    <w:rsid w:val="00334D99"/>
    <w:rsid w:val="003370D3"/>
    <w:rsid w:val="00337A95"/>
    <w:rsid w:val="00337FB0"/>
    <w:rsid w:val="00344980"/>
    <w:rsid w:val="0034657C"/>
    <w:rsid w:val="00347CA0"/>
    <w:rsid w:val="00350226"/>
    <w:rsid w:val="003515D6"/>
    <w:rsid w:val="00353A3C"/>
    <w:rsid w:val="003556E1"/>
    <w:rsid w:val="00356325"/>
    <w:rsid w:val="003571EE"/>
    <w:rsid w:val="00357606"/>
    <w:rsid w:val="003578CA"/>
    <w:rsid w:val="0036276B"/>
    <w:rsid w:val="00365D43"/>
    <w:rsid w:val="00366F03"/>
    <w:rsid w:val="00367EA2"/>
    <w:rsid w:val="00370113"/>
    <w:rsid w:val="003701B0"/>
    <w:rsid w:val="003718D6"/>
    <w:rsid w:val="003732CE"/>
    <w:rsid w:val="00375BF9"/>
    <w:rsid w:val="003770EB"/>
    <w:rsid w:val="003774AD"/>
    <w:rsid w:val="00377D10"/>
    <w:rsid w:val="0038281A"/>
    <w:rsid w:val="00386E6A"/>
    <w:rsid w:val="00391313"/>
    <w:rsid w:val="003939E0"/>
    <w:rsid w:val="00395CDB"/>
    <w:rsid w:val="00396A15"/>
    <w:rsid w:val="00396B07"/>
    <w:rsid w:val="003A076A"/>
    <w:rsid w:val="003A0BC5"/>
    <w:rsid w:val="003A17AF"/>
    <w:rsid w:val="003A285A"/>
    <w:rsid w:val="003A2B5B"/>
    <w:rsid w:val="003A3210"/>
    <w:rsid w:val="003A35B6"/>
    <w:rsid w:val="003A5B39"/>
    <w:rsid w:val="003A728C"/>
    <w:rsid w:val="003A7B56"/>
    <w:rsid w:val="003B0414"/>
    <w:rsid w:val="003B1D75"/>
    <w:rsid w:val="003B22B2"/>
    <w:rsid w:val="003B4D69"/>
    <w:rsid w:val="003B5567"/>
    <w:rsid w:val="003B6E82"/>
    <w:rsid w:val="003C03E2"/>
    <w:rsid w:val="003C2271"/>
    <w:rsid w:val="003C28B0"/>
    <w:rsid w:val="003C2AD0"/>
    <w:rsid w:val="003C33DA"/>
    <w:rsid w:val="003C5476"/>
    <w:rsid w:val="003D2646"/>
    <w:rsid w:val="003D265D"/>
    <w:rsid w:val="003D2E8C"/>
    <w:rsid w:val="003D31AF"/>
    <w:rsid w:val="003D323D"/>
    <w:rsid w:val="003D39DF"/>
    <w:rsid w:val="003D68C0"/>
    <w:rsid w:val="003D6BF5"/>
    <w:rsid w:val="003D726B"/>
    <w:rsid w:val="003D7313"/>
    <w:rsid w:val="003E02D1"/>
    <w:rsid w:val="003E10EF"/>
    <w:rsid w:val="003E3909"/>
    <w:rsid w:val="003E4362"/>
    <w:rsid w:val="003E485D"/>
    <w:rsid w:val="003EAB86"/>
    <w:rsid w:val="003F07CE"/>
    <w:rsid w:val="003F08DF"/>
    <w:rsid w:val="003F1FC7"/>
    <w:rsid w:val="003F6948"/>
    <w:rsid w:val="00401601"/>
    <w:rsid w:val="00401735"/>
    <w:rsid w:val="004047D7"/>
    <w:rsid w:val="00404CF5"/>
    <w:rsid w:val="004057DA"/>
    <w:rsid w:val="004067D8"/>
    <w:rsid w:val="004071E0"/>
    <w:rsid w:val="0041032D"/>
    <w:rsid w:val="00412CF8"/>
    <w:rsid w:val="00413FA6"/>
    <w:rsid w:val="004140F1"/>
    <w:rsid w:val="00415907"/>
    <w:rsid w:val="00415DE2"/>
    <w:rsid w:val="004162F1"/>
    <w:rsid w:val="00416761"/>
    <w:rsid w:val="00421F31"/>
    <w:rsid w:val="0042434D"/>
    <w:rsid w:val="0042446B"/>
    <w:rsid w:val="004261C7"/>
    <w:rsid w:val="00427228"/>
    <w:rsid w:val="00427EA7"/>
    <w:rsid w:val="00431F67"/>
    <w:rsid w:val="0043215B"/>
    <w:rsid w:val="00432658"/>
    <w:rsid w:val="00433B58"/>
    <w:rsid w:val="00434381"/>
    <w:rsid w:val="00437D3F"/>
    <w:rsid w:val="00441E2D"/>
    <w:rsid w:val="00442158"/>
    <w:rsid w:val="00446611"/>
    <w:rsid w:val="004467A4"/>
    <w:rsid w:val="0044701E"/>
    <w:rsid w:val="00447E86"/>
    <w:rsid w:val="00454B08"/>
    <w:rsid w:val="00454B87"/>
    <w:rsid w:val="00455307"/>
    <w:rsid w:val="00455978"/>
    <w:rsid w:val="00456E41"/>
    <w:rsid w:val="0045754B"/>
    <w:rsid w:val="004577AE"/>
    <w:rsid w:val="0046213C"/>
    <w:rsid w:val="004628A8"/>
    <w:rsid w:val="00462964"/>
    <w:rsid w:val="00464742"/>
    <w:rsid w:val="00465DB0"/>
    <w:rsid w:val="004672F5"/>
    <w:rsid w:val="004728C4"/>
    <w:rsid w:val="00474109"/>
    <w:rsid w:val="00475B24"/>
    <w:rsid w:val="004767EE"/>
    <w:rsid w:val="00482581"/>
    <w:rsid w:val="00482B19"/>
    <w:rsid w:val="00487D93"/>
    <w:rsid w:val="004901AD"/>
    <w:rsid w:val="00490660"/>
    <w:rsid w:val="004908E2"/>
    <w:rsid w:val="00492EE9"/>
    <w:rsid w:val="00496338"/>
    <w:rsid w:val="004A4EC4"/>
    <w:rsid w:val="004A5DA7"/>
    <w:rsid w:val="004A62DA"/>
    <w:rsid w:val="004A647D"/>
    <w:rsid w:val="004B0076"/>
    <w:rsid w:val="004B0369"/>
    <w:rsid w:val="004B0DBE"/>
    <w:rsid w:val="004B107C"/>
    <w:rsid w:val="004B3005"/>
    <w:rsid w:val="004B30DE"/>
    <w:rsid w:val="004B4674"/>
    <w:rsid w:val="004B7349"/>
    <w:rsid w:val="004C199F"/>
    <w:rsid w:val="004C2F1E"/>
    <w:rsid w:val="004C3E48"/>
    <w:rsid w:val="004C6745"/>
    <w:rsid w:val="004C7D75"/>
    <w:rsid w:val="004D280E"/>
    <w:rsid w:val="004D3649"/>
    <w:rsid w:val="004D5400"/>
    <w:rsid w:val="004D6F52"/>
    <w:rsid w:val="004D76DF"/>
    <w:rsid w:val="004E01DE"/>
    <w:rsid w:val="004E1900"/>
    <w:rsid w:val="004E3CCC"/>
    <w:rsid w:val="004E4746"/>
    <w:rsid w:val="004E49A9"/>
    <w:rsid w:val="004E70BD"/>
    <w:rsid w:val="004F3129"/>
    <w:rsid w:val="004F4B77"/>
    <w:rsid w:val="004F5122"/>
    <w:rsid w:val="004F6BDC"/>
    <w:rsid w:val="004F6E31"/>
    <w:rsid w:val="004F72C7"/>
    <w:rsid w:val="0050262C"/>
    <w:rsid w:val="00506146"/>
    <w:rsid w:val="00506ACC"/>
    <w:rsid w:val="00506B1E"/>
    <w:rsid w:val="005076DF"/>
    <w:rsid w:val="00513B24"/>
    <w:rsid w:val="00516D2F"/>
    <w:rsid w:val="00516FA3"/>
    <w:rsid w:val="0051753E"/>
    <w:rsid w:val="00517843"/>
    <w:rsid w:val="0052173C"/>
    <w:rsid w:val="00521DCB"/>
    <w:rsid w:val="005222A3"/>
    <w:rsid w:val="00522485"/>
    <w:rsid w:val="00525E70"/>
    <w:rsid w:val="00527E7B"/>
    <w:rsid w:val="00530364"/>
    <w:rsid w:val="005309AC"/>
    <w:rsid w:val="005321E8"/>
    <w:rsid w:val="005347D2"/>
    <w:rsid w:val="00535CA0"/>
    <w:rsid w:val="00540BA1"/>
    <w:rsid w:val="005427AA"/>
    <w:rsid w:val="0054455D"/>
    <w:rsid w:val="00544D9E"/>
    <w:rsid w:val="00544F36"/>
    <w:rsid w:val="00545D21"/>
    <w:rsid w:val="00546645"/>
    <w:rsid w:val="005506DF"/>
    <w:rsid w:val="0055227E"/>
    <w:rsid w:val="00552AFE"/>
    <w:rsid w:val="00555609"/>
    <w:rsid w:val="00556B2B"/>
    <w:rsid w:val="00556E4D"/>
    <w:rsid w:val="00556EE1"/>
    <w:rsid w:val="00557480"/>
    <w:rsid w:val="00557F9D"/>
    <w:rsid w:val="00560BBB"/>
    <w:rsid w:val="00561136"/>
    <w:rsid w:val="005614DE"/>
    <w:rsid w:val="00561938"/>
    <w:rsid w:val="00562969"/>
    <w:rsid w:val="00562B9A"/>
    <w:rsid w:val="00562C74"/>
    <w:rsid w:val="005639E0"/>
    <w:rsid w:val="0056448D"/>
    <w:rsid w:val="005647F4"/>
    <w:rsid w:val="00566D5C"/>
    <w:rsid w:val="005702ED"/>
    <w:rsid w:val="005704CE"/>
    <w:rsid w:val="00570B3E"/>
    <w:rsid w:val="00571178"/>
    <w:rsid w:val="005714B9"/>
    <w:rsid w:val="005724AA"/>
    <w:rsid w:val="00572C31"/>
    <w:rsid w:val="005734CB"/>
    <w:rsid w:val="005745AE"/>
    <w:rsid w:val="0057583A"/>
    <w:rsid w:val="00575F87"/>
    <w:rsid w:val="00580947"/>
    <w:rsid w:val="005828F3"/>
    <w:rsid w:val="00582A92"/>
    <w:rsid w:val="00583E9E"/>
    <w:rsid w:val="005851FE"/>
    <w:rsid w:val="00586DAE"/>
    <w:rsid w:val="00587154"/>
    <w:rsid w:val="005901A9"/>
    <w:rsid w:val="00590E39"/>
    <w:rsid w:val="005915BB"/>
    <w:rsid w:val="00591EDF"/>
    <w:rsid w:val="00592355"/>
    <w:rsid w:val="00594F16"/>
    <w:rsid w:val="005A3320"/>
    <w:rsid w:val="005A60AE"/>
    <w:rsid w:val="005A66A6"/>
    <w:rsid w:val="005B05EF"/>
    <w:rsid w:val="005B1EF8"/>
    <w:rsid w:val="005B20A0"/>
    <w:rsid w:val="005B2100"/>
    <w:rsid w:val="005B27BA"/>
    <w:rsid w:val="005B28E2"/>
    <w:rsid w:val="005B4E2D"/>
    <w:rsid w:val="005B7577"/>
    <w:rsid w:val="005B7E77"/>
    <w:rsid w:val="005C2F5A"/>
    <w:rsid w:val="005C2F8C"/>
    <w:rsid w:val="005C3610"/>
    <w:rsid w:val="005C5339"/>
    <w:rsid w:val="005D32A4"/>
    <w:rsid w:val="005D3AC9"/>
    <w:rsid w:val="005D6104"/>
    <w:rsid w:val="005D7F96"/>
    <w:rsid w:val="005E3660"/>
    <w:rsid w:val="005E36E0"/>
    <w:rsid w:val="005E535C"/>
    <w:rsid w:val="005F028D"/>
    <w:rsid w:val="005F6BFB"/>
    <w:rsid w:val="005F78FD"/>
    <w:rsid w:val="00600034"/>
    <w:rsid w:val="00601718"/>
    <w:rsid w:val="00604C74"/>
    <w:rsid w:val="00604DDE"/>
    <w:rsid w:val="00605CE2"/>
    <w:rsid w:val="00607852"/>
    <w:rsid w:val="00610448"/>
    <w:rsid w:val="006104C7"/>
    <w:rsid w:val="00611C10"/>
    <w:rsid w:val="00611F27"/>
    <w:rsid w:val="00612E41"/>
    <w:rsid w:val="00613022"/>
    <w:rsid w:val="00615127"/>
    <w:rsid w:val="006205DF"/>
    <w:rsid w:val="00621F3A"/>
    <w:rsid w:val="0062443E"/>
    <w:rsid w:val="00625E61"/>
    <w:rsid w:val="00627CB0"/>
    <w:rsid w:val="00630AFA"/>
    <w:rsid w:val="00636AF3"/>
    <w:rsid w:val="00637F11"/>
    <w:rsid w:val="00641124"/>
    <w:rsid w:val="0064580C"/>
    <w:rsid w:val="00645967"/>
    <w:rsid w:val="00646089"/>
    <w:rsid w:val="00646575"/>
    <w:rsid w:val="00646C2A"/>
    <w:rsid w:val="0064742A"/>
    <w:rsid w:val="00647DC1"/>
    <w:rsid w:val="00654367"/>
    <w:rsid w:val="00656DCF"/>
    <w:rsid w:val="00656FA3"/>
    <w:rsid w:val="00663029"/>
    <w:rsid w:val="006659F7"/>
    <w:rsid w:val="006660FD"/>
    <w:rsid w:val="0066646E"/>
    <w:rsid w:val="006679D8"/>
    <w:rsid w:val="006732C0"/>
    <w:rsid w:val="006758F0"/>
    <w:rsid w:val="00675B0E"/>
    <w:rsid w:val="00675E49"/>
    <w:rsid w:val="00676DE7"/>
    <w:rsid w:val="006771A6"/>
    <w:rsid w:val="006805D0"/>
    <w:rsid w:val="00685C2A"/>
    <w:rsid w:val="006868A0"/>
    <w:rsid w:val="00687647"/>
    <w:rsid w:val="00687B81"/>
    <w:rsid w:val="00690142"/>
    <w:rsid w:val="0069192D"/>
    <w:rsid w:val="00692518"/>
    <w:rsid w:val="006A1122"/>
    <w:rsid w:val="006A1454"/>
    <w:rsid w:val="006A1A0B"/>
    <w:rsid w:val="006A1D23"/>
    <w:rsid w:val="006A3092"/>
    <w:rsid w:val="006A59EF"/>
    <w:rsid w:val="006B27ED"/>
    <w:rsid w:val="006B35F2"/>
    <w:rsid w:val="006B55ED"/>
    <w:rsid w:val="006B7663"/>
    <w:rsid w:val="006C03B7"/>
    <w:rsid w:val="006C1DD7"/>
    <w:rsid w:val="006C20D6"/>
    <w:rsid w:val="006C395B"/>
    <w:rsid w:val="006C616F"/>
    <w:rsid w:val="006D380C"/>
    <w:rsid w:val="006E0E67"/>
    <w:rsid w:val="006E2E9C"/>
    <w:rsid w:val="006E3715"/>
    <w:rsid w:val="006E458F"/>
    <w:rsid w:val="006E59E8"/>
    <w:rsid w:val="006E5D22"/>
    <w:rsid w:val="006F23FA"/>
    <w:rsid w:val="006F6D6F"/>
    <w:rsid w:val="006F76EA"/>
    <w:rsid w:val="007004B2"/>
    <w:rsid w:val="007006FD"/>
    <w:rsid w:val="00701020"/>
    <w:rsid w:val="00702960"/>
    <w:rsid w:val="00703DE7"/>
    <w:rsid w:val="007108A7"/>
    <w:rsid w:val="007137A2"/>
    <w:rsid w:val="00715703"/>
    <w:rsid w:val="00715D3C"/>
    <w:rsid w:val="007172AF"/>
    <w:rsid w:val="007206D9"/>
    <w:rsid w:val="00721C9C"/>
    <w:rsid w:val="00723687"/>
    <w:rsid w:val="00726903"/>
    <w:rsid w:val="00726CEF"/>
    <w:rsid w:val="0072744A"/>
    <w:rsid w:val="00730473"/>
    <w:rsid w:val="00730FE7"/>
    <w:rsid w:val="0073203A"/>
    <w:rsid w:val="00732666"/>
    <w:rsid w:val="00733302"/>
    <w:rsid w:val="007374E4"/>
    <w:rsid w:val="007404CA"/>
    <w:rsid w:val="00741983"/>
    <w:rsid w:val="00744359"/>
    <w:rsid w:val="00744533"/>
    <w:rsid w:val="0074467E"/>
    <w:rsid w:val="00744E43"/>
    <w:rsid w:val="0074546C"/>
    <w:rsid w:val="007468E3"/>
    <w:rsid w:val="00751131"/>
    <w:rsid w:val="007524B8"/>
    <w:rsid w:val="007605F8"/>
    <w:rsid w:val="00761EAE"/>
    <w:rsid w:val="00764C06"/>
    <w:rsid w:val="00765952"/>
    <w:rsid w:val="00765E36"/>
    <w:rsid w:val="00766358"/>
    <w:rsid w:val="00766E02"/>
    <w:rsid w:val="00767910"/>
    <w:rsid w:val="0077222F"/>
    <w:rsid w:val="007725A5"/>
    <w:rsid w:val="00772F8B"/>
    <w:rsid w:val="0077380B"/>
    <w:rsid w:val="00773A3D"/>
    <w:rsid w:val="00773B8A"/>
    <w:rsid w:val="007757D8"/>
    <w:rsid w:val="00776D25"/>
    <w:rsid w:val="00776D7A"/>
    <w:rsid w:val="007778A7"/>
    <w:rsid w:val="00780428"/>
    <w:rsid w:val="00780930"/>
    <w:rsid w:val="007823B3"/>
    <w:rsid w:val="007829E9"/>
    <w:rsid w:val="00782AA4"/>
    <w:rsid w:val="00783368"/>
    <w:rsid w:val="0078367D"/>
    <w:rsid w:val="00784334"/>
    <w:rsid w:val="00784AA7"/>
    <w:rsid w:val="0078572E"/>
    <w:rsid w:val="00787B55"/>
    <w:rsid w:val="00787C08"/>
    <w:rsid w:val="00787E78"/>
    <w:rsid w:val="00792521"/>
    <w:rsid w:val="00792C2D"/>
    <w:rsid w:val="00794076"/>
    <w:rsid w:val="00794608"/>
    <w:rsid w:val="007962F8"/>
    <w:rsid w:val="007A0364"/>
    <w:rsid w:val="007A0993"/>
    <w:rsid w:val="007A5F0A"/>
    <w:rsid w:val="007A5F5E"/>
    <w:rsid w:val="007B1C2B"/>
    <w:rsid w:val="007B3B25"/>
    <w:rsid w:val="007B4652"/>
    <w:rsid w:val="007B6392"/>
    <w:rsid w:val="007B6A89"/>
    <w:rsid w:val="007C018D"/>
    <w:rsid w:val="007C0FF9"/>
    <w:rsid w:val="007C121C"/>
    <w:rsid w:val="007C44A8"/>
    <w:rsid w:val="007C4BCA"/>
    <w:rsid w:val="007C61D7"/>
    <w:rsid w:val="007D153D"/>
    <w:rsid w:val="007D1B82"/>
    <w:rsid w:val="007D2C49"/>
    <w:rsid w:val="007D3E21"/>
    <w:rsid w:val="007D4650"/>
    <w:rsid w:val="007D46BE"/>
    <w:rsid w:val="007D5D88"/>
    <w:rsid w:val="007E2462"/>
    <w:rsid w:val="007E30CF"/>
    <w:rsid w:val="007E3A54"/>
    <w:rsid w:val="007E3C50"/>
    <w:rsid w:val="007E645C"/>
    <w:rsid w:val="007E6906"/>
    <w:rsid w:val="007E7639"/>
    <w:rsid w:val="007F2BA0"/>
    <w:rsid w:val="007F4639"/>
    <w:rsid w:val="007F5F61"/>
    <w:rsid w:val="007F6900"/>
    <w:rsid w:val="007F79C5"/>
    <w:rsid w:val="008017FB"/>
    <w:rsid w:val="008026A1"/>
    <w:rsid w:val="0080457D"/>
    <w:rsid w:val="00804F07"/>
    <w:rsid w:val="008057BE"/>
    <w:rsid w:val="008115CB"/>
    <w:rsid w:val="008132F2"/>
    <w:rsid w:val="008142B1"/>
    <w:rsid w:val="008154D1"/>
    <w:rsid w:val="008167E4"/>
    <w:rsid w:val="00817738"/>
    <w:rsid w:val="00817744"/>
    <w:rsid w:val="00817EDC"/>
    <w:rsid w:val="00821CC9"/>
    <w:rsid w:val="0082209E"/>
    <w:rsid w:val="0082474F"/>
    <w:rsid w:val="00835B41"/>
    <w:rsid w:val="00836610"/>
    <w:rsid w:val="00836C12"/>
    <w:rsid w:val="00836C92"/>
    <w:rsid w:val="008400B2"/>
    <w:rsid w:val="00841065"/>
    <w:rsid w:val="00841795"/>
    <w:rsid w:val="008417AB"/>
    <w:rsid w:val="00844159"/>
    <w:rsid w:val="00845192"/>
    <w:rsid w:val="008460E8"/>
    <w:rsid w:val="00846343"/>
    <w:rsid w:val="0084663D"/>
    <w:rsid w:val="00852235"/>
    <w:rsid w:val="008523D1"/>
    <w:rsid w:val="008536BE"/>
    <w:rsid w:val="008603B3"/>
    <w:rsid w:val="00861D76"/>
    <w:rsid w:val="00864260"/>
    <w:rsid w:val="00865378"/>
    <w:rsid w:val="00865E18"/>
    <w:rsid w:val="008736F5"/>
    <w:rsid w:val="008740A2"/>
    <w:rsid w:val="00875CC9"/>
    <w:rsid w:val="0087614A"/>
    <w:rsid w:val="008775F7"/>
    <w:rsid w:val="00877A56"/>
    <w:rsid w:val="00877B0A"/>
    <w:rsid w:val="00881453"/>
    <w:rsid w:val="00881F76"/>
    <w:rsid w:val="00882D1B"/>
    <w:rsid w:val="00884DD8"/>
    <w:rsid w:val="008870FC"/>
    <w:rsid w:val="008875E4"/>
    <w:rsid w:val="0089152C"/>
    <w:rsid w:val="0089191B"/>
    <w:rsid w:val="00892398"/>
    <w:rsid w:val="00892518"/>
    <w:rsid w:val="00893996"/>
    <w:rsid w:val="008953E9"/>
    <w:rsid w:val="008957E1"/>
    <w:rsid w:val="0089580E"/>
    <w:rsid w:val="00896F6F"/>
    <w:rsid w:val="00897EA0"/>
    <w:rsid w:val="008A2F0C"/>
    <w:rsid w:val="008A30A8"/>
    <w:rsid w:val="008A3E73"/>
    <w:rsid w:val="008A670B"/>
    <w:rsid w:val="008B061E"/>
    <w:rsid w:val="008B0DBA"/>
    <w:rsid w:val="008B47DE"/>
    <w:rsid w:val="008B5A85"/>
    <w:rsid w:val="008B7841"/>
    <w:rsid w:val="008B7C01"/>
    <w:rsid w:val="008C2100"/>
    <w:rsid w:val="008C2C4D"/>
    <w:rsid w:val="008C3E0D"/>
    <w:rsid w:val="008C484D"/>
    <w:rsid w:val="008C5DC6"/>
    <w:rsid w:val="008D3086"/>
    <w:rsid w:val="008D3195"/>
    <w:rsid w:val="008D3CAB"/>
    <w:rsid w:val="008D410C"/>
    <w:rsid w:val="008D42B6"/>
    <w:rsid w:val="008D454A"/>
    <w:rsid w:val="008D47B0"/>
    <w:rsid w:val="008D57F5"/>
    <w:rsid w:val="008D5AFB"/>
    <w:rsid w:val="008E5A1B"/>
    <w:rsid w:val="008E64A1"/>
    <w:rsid w:val="008E6B17"/>
    <w:rsid w:val="008E735B"/>
    <w:rsid w:val="008F0722"/>
    <w:rsid w:val="008F58DA"/>
    <w:rsid w:val="008F6F90"/>
    <w:rsid w:val="008F74D3"/>
    <w:rsid w:val="0090330D"/>
    <w:rsid w:val="00903722"/>
    <w:rsid w:val="009067D5"/>
    <w:rsid w:val="00914221"/>
    <w:rsid w:val="00917224"/>
    <w:rsid w:val="00917C88"/>
    <w:rsid w:val="00921404"/>
    <w:rsid w:val="00922084"/>
    <w:rsid w:val="00924B53"/>
    <w:rsid w:val="00926189"/>
    <w:rsid w:val="00926454"/>
    <w:rsid w:val="009269F7"/>
    <w:rsid w:val="00926B5C"/>
    <w:rsid w:val="00927F84"/>
    <w:rsid w:val="009301ED"/>
    <w:rsid w:val="00930631"/>
    <w:rsid w:val="0093148D"/>
    <w:rsid w:val="009322D5"/>
    <w:rsid w:val="009332C5"/>
    <w:rsid w:val="00933B1C"/>
    <w:rsid w:val="00934238"/>
    <w:rsid w:val="00935591"/>
    <w:rsid w:val="00936109"/>
    <w:rsid w:val="00936BE5"/>
    <w:rsid w:val="009376C1"/>
    <w:rsid w:val="00937A68"/>
    <w:rsid w:val="00940C56"/>
    <w:rsid w:val="00941BF7"/>
    <w:rsid w:val="00942E08"/>
    <w:rsid w:val="009442D9"/>
    <w:rsid w:val="00945C23"/>
    <w:rsid w:val="009477E8"/>
    <w:rsid w:val="00947A6C"/>
    <w:rsid w:val="00950814"/>
    <w:rsid w:val="009515F9"/>
    <w:rsid w:val="009557E9"/>
    <w:rsid w:val="00956AAA"/>
    <w:rsid w:val="00961061"/>
    <w:rsid w:val="00961940"/>
    <w:rsid w:val="00963076"/>
    <w:rsid w:val="00971125"/>
    <w:rsid w:val="009711EA"/>
    <w:rsid w:val="009713E5"/>
    <w:rsid w:val="009722B7"/>
    <w:rsid w:val="009723D0"/>
    <w:rsid w:val="00972B02"/>
    <w:rsid w:val="00974146"/>
    <w:rsid w:val="00976C8F"/>
    <w:rsid w:val="009770B7"/>
    <w:rsid w:val="00977357"/>
    <w:rsid w:val="00980306"/>
    <w:rsid w:val="009824CD"/>
    <w:rsid w:val="00983D72"/>
    <w:rsid w:val="00987E8E"/>
    <w:rsid w:val="00991157"/>
    <w:rsid w:val="00991485"/>
    <w:rsid w:val="00991B0B"/>
    <w:rsid w:val="00993489"/>
    <w:rsid w:val="009939BD"/>
    <w:rsid w:val="00995739"/>
    <w:rsid w:val="009969AA"/>
    <w:rsid w:val="0099717D"/>
    <w:rsid w:val="00997CD0"/>
    <w:rsid w:val="009A0126"/>
    <w:rsid w:val="009A1033"/>
    <w:rsid w:val="009A2E62"/>
    <w:rsid w:val="009A6EC4"/>
    <w:rsid w:val="009A7807"/>
    <w:rsid w:val="009A7F99"/>
    <w:rsid w:val="009B3B8E"/>
    <w:rsid w:val="009B738D"/>
    <w:rsid w:val="009C02A1"/>
    <w:rsid w:val="009C2852"/>
    <w:rsid w:val="009C2A32"/>
    <w:rsid w:val="009C2AD5"/>
    <w:rsid w:val="009C448F"/>
    <w:rsid w:val="009C542F"/>
    <w:rsid w:val="009C60FA"/>
    <w:rsid w:val="009C7CD4"/>
    <w:rsid w:val="009D366B"/>
    <w:rsid w:val="009D4D45"/>
    <w:rsid w:val="009D585A"/>
    <w:rsid w:val="009D61FB"/>
    <w:rsid w:val="009D692A"/>
    <w:rsid w:val="009D744C"/>
    <w:rsid w:val="009D7D82"/>
    <w:rsid w:val="009E3FCA"/>
    <w:rsid w:val="009E4F6C"/>
    <w:rsid w:val="009E6536"/>
    <w:rsid w:val="009E73DF"/>
    <w:rsid w:val="009F0DE3"/>
    <w:rsid w:val="009F3F6D"/>
    <w:rsid w:val="009F5239"/>
    <w:rsid w:val="009F6919"/>
    <w:rsid w:val="00A04217"/>
    <w:rsid w:val="00A06568"/>
    <w:rsid w:val="00A07570"/>
    <w:rsid w:val="00A07D73"/>
    <w:rsid w:val="00A115B2"/>
    <w:rsid w:val="00A12896"/>
    <w:rsid w:val="00A1443B"/>
    <w:rsid w:val="00A14585"/>
    <w:rsid w:val="00A14F77"/>
    <w:rsid w:val="00A15B0E"/>
    <w:rsid w:val="00A16562"/>
    <w:rsid w:val="00A16B38"/>
    <w:rsid w:val="00A178DB"/>
    <w:rsid w:val="00A20857"/>
    <w:rsid w:val="00A241FA"/>
    <w:rsid w:val="00A25119"/>
    <w:rsid w:val="00A26C6E"/>
    <w:rsid w:val="00A273C1"/>
    <w:rsid w:val="00A27A5E"/>
    <w:rsid w:val="00A3072F"/>
    <w:rsid w:val="00A32190"/>
    <w:rsid w:val="00A33665"/>
    <w:rsid w:val="00A3504C"/>
    <w:rsid w:val="00A3524B"/>
    <w:rsid w:val="00A3673B"/>
    <w:rsid w:val="00A3677F"/>
    <w:rsid w:val="00A36BA4"/>
    <w:rsid w:val="00A37CB9"/>
    <w:rsid w:val="00A403A1"/>
    <w:rsid w:val="00A4359A"/>
    <w:rsid w:val="00A50510"/>
    <w:rsid w:val="00A54319"/>
    <w:rsid w:val="00A55045"/>
    <w:rsid w:val="00A578F4"/>
    <w:rsid w:val="00A57E07"/>
    <w:rsid w:val="00A600EE"/>
    <w:rsid w:val="00A62C99"/>
    <w:rsid w:val="00A63FFD"/>
    <w:rsid w:val="00A64531"/>
    <w:rsid w:val="00A66B90"/>
    <w:rsid w:val="00A70C37"/>
    <w:rsid w:val="00A71773"/>
    <w:rsid w:val="00A71A4E"/>
    <w:rsid w:val="00A75226"/>
    <w:rsid w:val="00A75339"/>
    <w:rsid w:val="00A80963"/>
    <w:rsid w:val="00A80C2C"/>
    <w:rsid w:val="00A811CA"/>
    <w:rsid w:val="00A81E49"/>
    <w:rsid w:val="00A847BC"/>
    <w:rsid w:val="00A84B41"/>
    <w:rsid w:val="00A8520D"/>
    <w:rsid w:val="00A86D7A"/>
    <w:rsid w:val="00A9344B"/>
    <w:rsid w:val="00A96AC6"/>
    <w:rsid w:val="00AA0CC5"/>
    <w:rsid w:val="00AA1988"/>
    <w:rsid w:val="00AA3851"/>
    <w:rsid w:val="00AA4A62"/>
    <w:rsid w:val="00AA575B"/>
    <w:rsid w:val="00AB0116"/>
    <w:rsid w:val="00AB062B"/>
    <w:rsid w:val="00AB1C33"/>
    <w:rsid w:val="00AB3888"/>
    <w:rsid w:val="00AB547F"/>
    <w:rsid w:val="00AB6342"/>
    <w:rsid w:val="00AB65BF"/>
    <w:rsid w:val="00AB6DA9"/>
    <w:rsid w:val="00AB7390"/>
    <w:rsid w:val="00AB7599"/>
    <w:rsid w:val="00AC3126"/>
    <w:rsid w:val="00AC3E0B"/>
    <w:rsid w:val="00AC4D65"/>
    <w:rsid w:val="00AC4D6F"/>
    <w:rsid w:val="00AC5336"/>
    <w:rsid w:val="00AC5DED"/>
    <w:rsid w:val="00AC732B"/>
    <w:rsid w:val="00AD0A80"/>
    <w:rsid w:val="00AD1ABD"/>
    <w:rsid w:val="00AD22FD"/>
    <w:rsid w:val="00AD25AD"/>
    <w:rsid w:val="00AD2D61"/>
    <w:rsid w:val="00AD4B15"/>
    <w:rsid w:val="00AE0800"/>
    <w:rsid w:val="00AE136C"/>
    <w:rsid w:val="00AE1FC4"/>
    <w:rsid w:val="00AF2D8B"/>
    <w:rsid w:val="00AF2DB5"/>
    <w:rsid w:val="00AF44FA"/>
    <w:rsid w:val="00AF70D6"/>
    <w:rsid w:val="00B0073E"/>
    <w:rsid w:val="00B0089A"/>
    <w:rsid w:val="00B00ADE"/>
    <w:rsid w:val="00B01116"/>
    <w:rsid w:val="00B01704"/>
    <w:rsid w:val="00B0282A"/>
    <w:rsid w:val="00B04524"/>
    <w:rsid w:val="00B072E4"/>
    <w:rsid w:val="00B1130B"/>
    <w:rsid w:val="00B15317"/>
    <w:rsid w:val="00B15350"/>
    <w:rsid w:val="00B20521"/>
    <w:rsid w:val="00B231A2"/>
    <w:rsid w:val="00B24389"/>
    <w:rsid w:val="00B27475"/>
    <w:rsid w:val="00B30B64"/>
    <w:rsid w:val="00B310E1"/>
    <w:rsid w:val="00B320E8"/>
    <w:rsid w:val="00B32CB8"/>
    <w:rsid w:val="00B33278"/>
    <w:rsid w:val="00B34614"/>
    <w:rsid w:val="00B348FC"/>
    <w:rsid w:val="00B35DCA"/>
    <w:rsid w:val="00B36CB1"/>
    <w:rsid w:val="00B37D36"/>
    <w:rsid w:val="00B37F02"/>
    <w:rsid w:val="00B410A8"/>
    <w:rsid w:val="00B43B85"/>
    <w:rsid w:val="00B45510"/>
    <w:rsid w:val="00B47516"/>
    <w:rsid w:val="00B47748"/>
    <w:rsid w:val="00B50E5C"/>
    <w:rsid w:val="00B50F62"/>
    <w:rsid w:val="00B510E7"/>
    <w:rsid w:val="00B5185C"/>
    <w:rsid w:val="00B52226"/>
    <w:rsid w:val="00B545D4"/>
    <w:rsid w:val="00B54750"/>
    <w:rsid w:val="00B640BD"/>
    <w:rsid w:val="00B65ACF"/>
    <w:rsid w:val="00B6652C"/>
    <w:rsid w:val="00B66748"/>
    <w:rsid w:val="00B66865"/>
    <w:rsid w:val="00B66CA9"/>
    <w:rsid w:val="00B67B3F"/>
    <w:rsid w:val="00B73D41"/>
    <w:rsid w:val="00B73F48"/>
    <w:rsid w:val="00B7428F"/>
    <w:rsid w:val="00B74605"/>
    <w:rsid w:val="00B75114"/>
    <w:rsid w:val="00B7546F"/>
    <w:rsid w:val="00B75F9D"/>
    <w:rsid w:val="00B76AEF"/>
    <w:rsid w:val="00B77AE9"/>
    <w:rsid w:val="00B812FD"/>
    <w:rsid w:val="00B8258A"/>
    <w:rsid w:val="00B82FB6"/>
    <w:rsid w:val="00B87B41"/>
    <w:rsid w:val="00B90E51"/>
    <w:rsid w:val="00B9753B"/>
    <w:rsid w:val="00BA0433"/>
    <w:rsid w:val="00BA1292"/>
    <w:rsid w:val="00BA2E14"/>
    <w:rsid w:val="00BA347B"/>
    <w:rsid w:val="00BA54B9"/>
    <w:rsid w:val="00BA7EEF"/>
    <w:rsid w:val="00BB09D4"/>
    <w:rsid w:val="00BB22D1"/>
    <w:rsid w:val="00BB3B54"/>
    <w:rsid w:val="00BB4ED6"/>
    <w:rsid w:val="00BB548B"/>
    <w:rsid w:val="00BB57D8"/>
    <w:rsid w:val="00BC1B43"/>
    <w:rsid w:val="00BC6405"/>
    <w:rsid w:val="00BD281F"/>
    <w:rsid w:val="00BD2FC7"/>
    <w:rsid w:val="00BD3473"/>
    <w:rsid w:val="00BD6394"/>
    <w:rsid w:val="00BD6BCE"/>
    <w:rsid w:val="00BD777B"/>
    <w:rsid w:val="00BD780A"/>
    <w:rsid w:val="00BD795E"/>
    <w:rsid w:val="00BE6683"/>
    <w:rsid w:val="00BE67BE"/>
    <w:rsid w:val="00BF054E"/>
    <w:rsid w:val="00BF6CD7"/>
    <w:rsid w:val="00C008BB"/>
    <w:rsid w:val="00C032F2"/>
    <w:rsid w:val="00C04AD9"/>
    <w:rsid w:val="00C04EAB"/>
    <w:rsid w:val="00C06ED4"/>
    <w:rsid w:val="00C10113"/>
    <w:rsid w:val="00C151F1"/>
    <w:rsid w:val="00C16586"/>
    <w:rsid w:val="00C1715E"/>
    <w:rsid w:val="00C1716C"/>
    <w:rsid w:val="00C17275"/>
    <w:rsid w:val="00C173B8"/>
    <w:rsid w:val="00C178F1"/>
    <w:rsid w:val="00C21A5D"/>
    <w:rsid w:val="00C21D05"/>
    <w:rsid w:val="00C224FC"/>
    <w:rsid w:val="00C2385C"/>
    <w:rsid w:val="00C23957"/>
    <w:rsid w:val="00C25AEF"/>
    <w:rsid w:val="00C25D3F"/>
    <w:rsid w:val="00C272BE"/>
    <w:rsid w:val="00C34DD0"/>
    <w:rsid w:val="00C358FA"/>
    <w:rsid w:val="00C35C3F"/>
    <w:rsid w:val="00C41C83"/>
    <w:rsid w:val="00C428C2"/>
    <w:rsid w:val="00C433B9"/>
    <w:rsid w:val="00C44E24"/>
    <w:rsid w:val="00C46C96"/>
    <w:rsid w:val="00C47726"/>
    <w:rsid w:val="00C50962"/>
    <w:rsid w:val="00C51DD3"/>
    <w:rsid w:val="00C5307C"/>
    <w:rsid w:val="00C545BA"/>
    <w:rsid w:val="00C54C67"/>
    <w:rsid w:val="00C5556E"/>
    <w:rsid w:val="00C55989"/>
    <w:rsid w:val="00C61F3F"/>
    <w:rsid w:val="00C63E05"/>
    <w:rsid w:val="00C6411D"/>
    <w:rsid w:val="00C6542C"/>
    <w:rsid w:val="00C706A2"/>
    <w:rsid w:val="00C70F66"/>
    <w:rsid w:val="00C7271F"/>
    <w:rsid w:val="00C72F73"/>
    <w:rsid w:val="00C73950"/>
    <w:rsid w:val="00C75245"/>
    <w:rsid w:val="00C77256"/>
    <w:rsid w:val="00C7772F"/>
    <w:rsid w:val="00C80071"/>
    <w:rsid w:val="00C80BD3"/>
    <w:rsid w:val="00C83586"/>
    <w:rsid w:val="00C846AD"/>
    <w:rsid w:val="00C85956"/>
    <w:rsid w:val="00C863D8"/>
    <w:rsid w:val="00C905D3"/>
    <w:rsid w:val="00C90747"/>
    <w:rsid w:val="00C915BD"/>
    <w:rsid w:val="00C91E9F"/>
    <w:rsid w:val="00C9552C"/>
    <w:rsid w:val="00C97659"/>
    <w:rsid w:val="00CA0381"/>
    <w:rsid w:val="00CA2D07"/>
    <w:rsid w:val="00CA3405"/>
    <w:rsid w:val="00CA3C5A"/>
    <w:rsid w:val="00CA3D8B"/>
    <w:rsid w:val="00CA43D1"/>
    <w:rsid w:val="00CA5328"/>
    <w:rsid w:val="00CB129B"/>
    <w:rsid w:val="00CB1D6C"/>
    <w:rsid w:val="00CB1FDB"/>
    <w:rsid w:val="00CB69FE"/>
    <w:rsid w:val="00CB6ACB"/>
    <w:rsid w:val="00CB7F4C"/>
    <w:rsid w:val="00CC1541"/>
    <w:rsid w:val="00CC4B35"/>
    <w:rsid w:val="00CD49BF"/>
    <w:rsid w:val="00CD49FB"/>
    <w:rsid w:val="00CD74EC"/>
    <w:rsid w:val="00CD7CBB"/>
    <w:rsid w:val="00CE1208"/>
    <w:rsid w:val="00CE449D"/>
    <w:rsid w:val="00CE5B83"/>
    <w:rsid w:val="00CE5D5B"/>
    <w:rsid w:val="00CF0210"/>
    <w:rsid w:val="00CF0BB9"/>
    <w:rsid w:val="00CF237F"/>
    <w:rsid w:val="00CF32E5"/>
    <w:rsid w:val="00CF44AD"/>
    <w:rsid w:val="00CF47D8"/>
    <w:rsid w:val="00CF6219"/>
    <w:rsid w:val="00CF749A"/>
    <w:rsid w:val="00D015AB"/>
    <w:rsid w:val="00D017B3"/>
    <w:rsid w:val="00D0213A"/>
    <w:rsid w:val="00D021A7"/>
    <w:rsid w:val="00D02A35"/>
    <w:rsid w:val="00D02D00"/>
    <w:rsid w:val="00D02FB8"/>
    <w:rsid w:val="00D03B19"/>
    <w:rsid w:val="00D04139"/>
    <w:rsid w:val="00D07F86"/>
    <w:rsid w:val="00D130E5"/>
    <w:rsid w:val="00D140B2"/>
    <w:rsid w:val="00D146A0"/>
    <w:rsid w:val="00D166B3"/>
    <w:rsid w:val="00D17403"/>
    <w:rsid w:val="00D20042"/>
    <w:rsid w:val="00D20847"/>
    <w:rsid w:val="00D22F8B"/>
    <w:rsid w:val="00D24A37"/>
    <w:rsid w:val="00D25EFE"/>
    <w:rsid w:val="00D26EC8"/>
    <w:rsid w:val="00D271D3"/>
    <w:rsid w:val="00D27B88"/>
    <w:rsid w:val="00D27B8B"/>
    <w:rsid w:val="00D27BDB"/>
    <w:rsid w:val="00D27FFA"/>
    <w:rsid w:val="00D30166"/>
    <w:rsid w:val="00D32A83"/>
    <w:rsid w:val="00D3343F"/>
    <w:rsid w:val="00D35365"/>
    <w:rsid w:val="00D403C5"/>
    <w:rsid w:val="00D419C0"/>
    <w:rsid w:val="00D425AB"/>
    <w:rsid w:val="00D50994"/>
    <w:rsid w:val="00D5120D"/>
    <w:rsid w:val="00D52040"/>
    <w:rsid w:val="00D52F9C"/>
    <w:rsid w:val="00D54A2F"/>
    <w:rsid w:val="00D613A4"/>
    <w:rsid w:val="00D6221E"/>
    <w:rsid w:val="00D62E35"/>
    <w:rsid w:val="00D63C9F"/>
    <w:rsid w:val="00D66CE6"/>
    <w:rsid w:val="00D67A72"/>
    <w:rsid w:val="00D70D97"/>
    <w:rsid w:val="00D70DB0"/>
    <w:rsid w:val="00D738EC"/>
    <w:rsid w:val="00D770E7"/>
    <w:rsid w:val="00D80321"/>
    <w:rsid w:val="00D82E0D"/>
    <w:rsid w:val="00D84711"/>
    <w:rsid w:val="00D84722"/>
    <w:rsid w:val="00D87798"/>
    <w:rsid w:val="00D87C15"/>
    <w:rsid w:val="00D904AA"/>
    <w:rsid w:val="00D92236"/>
    <w:rsid w:val="00D92517"/>
    <w:rsid w:val="00D95A5F"/>
    <w:rsid w:val="00D96438"/>
    <w:rsid w:val="00D966EE"/>
    <w:rsid w:val="00DA1047"/>
    <w:rsid w:val="00DA2A65"/>
    <w:rsid w:val="00DA4366"/>
    <w:rsid w:val="00DA4497"/>
    <w:rsid w:val="00DB05CA"/>
    <w:rsid w:val="00DB2BE8"/>
    <w:rsid w:val="00DB356C"/>
    <w:rsid w:val="00DB58A7"/>
    <w:rsid w:val="00DC1A18"/>
    <w:rsid w:val="00DC4E6A"/>
    <w:rsid w:val="00DC5158"/>
    <w:rsid w:val="00DC5CF2"/>
    <w:rsid w:val="00DC5F87"/>
    <w:rsid w:val="00DC616B"/>
    <w:rsid w:val="00DC6D02"/>
    <w:rsid w:val="00DC7387"/>
    <w:rsid w:val="00DD0DDE"/>
    <w:rsid w:val="00DD193F"/>
    <w:rsid w:val="00DD5114"/>
    <w:rsid w:val="00DD5986"/>
    <w:rsid w:val="00DD6F51"/>
    <w:rsid w:val="00DD734E"/>
    <w:rsid w:val="00DDD1E2"/>
    <w:rsid w:val="00DE046F"/>
    <w:rsid w:val="00DE2F31"/>
    <w:rsid w:val="00DE4137"/>
    <w:rsid w:val="00DE7C36"/>
    <w:rsid w:val="00DF20F4"/>
    <w:rsid w:val="00DF37EF"/>
    <w:rsid w:val="00DF3F11"/>
    <w:rsid w:val="00DF4883"/>
    <w:rsid w:val="00DF5438"/>
    <w:rsid w:val="00E007C3"/>
    <w:rsid w:val="00E0167F"/>
    <w:rsid w:val="00E04EC8"/>
    <w:rsid w:val="00E05881"/>
    <w:rsid w:val="00E0605D"/>
    <w:rsid w:val="00E06B1C"/>
    <w:rsid w:val="00E15484"/>
    <w:rsid w:val="00E156AD"/>
    <w:rsid w:val="00E15DD2"/>
    <w:rsid w:val="00E172E7"/>
    <w:rsid w:val="00E20300"/>
    <w:rsid w:val="00E20350"/>
    <w:rsid w:val="00E21D27"/>
    <w:rsid w:val="00E249DD"/>
    <w:rsid w:val="00E25BD4"/>
    <w:rsid w:val="00E25E18"/>
    <w:rsid w:val="00E269C3"/>
    <w:rsid w:val="00E2794C"/>
    <w:rsid w:val="00E2799E"/>
    <w:rsid w:val="00E30335"/>
    <w:rsid w:val="00E32A56"/>
    <w:rsid w:val="00E365CE"/>
    <w:rsid w:val="00E4139D"/>
    <w:rsid w:val="00E432F3"/>
    <w:rsid w:val="00E45D2B"/>
    <w:rsid w:val="00E46364"/>
    <w:rsid w:val="00E47B3A"/>
    <w:rsid w:val="00E50B7F"/>
    <w:rsid w:val="00E51FFC"/>
    <w:rsid w:val="00E527A1"/>
    <w:rsid w:val="00E52D94"/>
    <w:rsid w:val="00E533A5"/>
    <w:rsid w:val="00E53A9C"/>
    <w:rsid w:val="00E54181"/>
    <w:rsid w:val="00E54D3A"/>
    <w:rsid w:val="00E56711"/>
    <w:rsid w:val="00E56AAB"/>
    <w:rsid w:val="00E62465"/>
    <w:rsid w:val="00E64FB6"/>
    <w:rsid w:val="00E65820"/>
    <w:rsid w:val="00E66301"/>
    <w:rsid w:val="00E72888"/>
    <w:rsid w:val="00E738C6"/>
    <w:rsid w:val="00E73E46"/>
    <w:rsid w:val="00E74F07"/>
    <w:rsid w:val="00E7708B"/>
    <w:rsid w:val="00E77272"/>
    <w:rsid w:val="00E77C31"/>
    <w:rsid w:val="00E8276B"/>
    <w:rsid w:val="00E83DE0"/>
    <w:rsid w:val="00E8572F"/>
    <w:rsid w:val="00E868A3"/>
    <w:rsid w:val="00E86AEB"/>
    <w:rsid w:val="00E90438"/>
    <w:rsid w:val="00E93F95"/>
    <w:rsid w:val="00E941DF"/>
    <w:rsid w:val="00E944E1"/>
    <w:rsid w:val="00E96345"/>
    <w:rsid w:val="00E967A4"/>
    <w:rsid w:val="00E96A85"/>
    <w:rsid w:val="00E96F5F"/>
    <w:rsid w:val="00EA0D9E"/>
    <w:rsid w:val="00EA1850"/>
    <w:rsid w:val="00EA2A59"/>
    <w:rsid w:val="00EA3769"/>
    <w:rsid w:val="00EA436F"/>
    <w:rsid w:val="00EA5A66"/>
    <w:rsid w:val="00EA725F"/>
    <w:rsid w:val="00EB235A"/>
    <w:rsid w:val="00EB626D"/>
    <w:rsid w:val="00EB64F1"/>
    <w:rsid w:val="00EC33CB"/>
    <w:rsid w:val="00EC367E"/>
    <w:rsid w:val="00EC4E68"/>
    <w:rsid w:val="00EC6B4F"/>
    <w:rsid w:val="00EC7CA4"/>
    <w:rsid w:val="00EE1374"/>
    <w:rsid w:val="00EE3D3F"/>
    <w:rsid w:val="00EE41F4"/>
    <w:rsid w:val="00EE4741"/>
    <w:rsid w:val="00EE71D8"/>
    <w:rsid w:val="00EF0461"/>
    <w:rsid w:val="00EF11A8"/>
    <w:rsid w:val="00EF3FD0"/>
    <w:rsid w:val="00EF4E21"/>
    <w:rsid w:val="00F0260A"/>
    <w:rsid w:val="00F035D9"/>
    <w:rsid w:val="00F05565"/>
    <w:rsid w:val="00F12694"/>
    <w:rsid w:val="00F12E47"/>
    <w:rsid w:val="00F15194"/>
    <w:rsid w:val="00F1581B"/>
    <w:rsid w:val="00F15CCE"/>
    <w:rsid w:val="00F16CC6"/>
    <w:rsid w:val="00F20297"/>
    <w:rsid w:val="00F23654"/>
    <w:rsid w:val="00F25403"/>
    <w:rsid w:val="00F25D63"/>
    <w:rsid w:val="00F25E1F"/>
    <w:rsid w:val="00F30B42"/>
    <w:rsid w:val="00F319D4"/>
    <w:rsid w:val="00F326E0"/>
    <w:rsid w:val="00F33711"/>
    <w:rsid w:val="00F33986"/>
    <w:rsid w:val="00F33B1C"/>
    <w:rsid w:val="00F35889"/>
    <w:rsid w:val="00F36525"/>
    <w:rsid w:val="00F415FE"/>
    <w:rsid w:val="00F446F5"/>
    <w:rsid w:val="00F5034B"/>
    <w:rsid w:val="00F50573"/>
    <w:rsid w:val="00F544B3"/>
    <w:rsid w:val="00F54AF6"/>
    <w:rsid w:val="00F576AD"/>
    <w:rsid w:val="00F57F91"/>
    <w:rsid w:val="00F6191A"/>
    <w:rsid w:val="00F62E3F"/>
    <w:rsid w:val="00F6428B"/>
    <w:rsid w:val="00F701BD"/>
    <w:rsid w:val="00F70B61"/>
    <w:rsid w:val="00F71BA7"/>
    <w:rsid w:val="00F7211A"/>
    <w:rsid w:val="00F72BB7"/>
    <w:rsid w:val="00F74A5C"/>
    <w:rsid w:val="00F75A84"/>
    <w:rsid w:val="00F851F2"/>
    <w:rsid w:val="00F862E3"/>
    <w:rsid w:val="00F87107"/>
    <w:rsid w:val="00F87EA5"/>
    <w:rsid w:val="00F92A36"/>
    <w:rsid w:val="00F9487B"/>
    <w:rsid w:val="00F9517A"/>
    <w:rsid w:val="00F96839"/>
    <w:rsid w:val="00F977A0"/>
    <w:rsid w:val="00F97AFB"/>
    <w:rsid w:val="00F97FD5"/>
    <w:rsid w:val="00FA0120"/>
    <w:rsid w:val="00FA0DC7"/>
    <w:rsid w:val="00FA2359"/>
    <w:rsid w:val="00FA23CF"/>
    <w:rsid w:val="00FA318A"/>
    <w:rsid w:val="00FA605F"/>
    <w:rsid w:val="00FB2AED"/>
    <w:rsid w:val="00FB2EF5"/>
    <w:rsid w:val="00FB47CA"/>
    <w:rsid w:val="00FC15F5"/>
    <w:rsid w:val="00FC1647"/>
    <w:rsid w:val="00FC21EE"/>
    <w:rsid w:val="00FC2A1E"/>
    <w:rsid w:val="00FC419F"/>
    <w:rsid w:val="00FC4FC3"/>
    <w:rsid w:val="00FC676B"/>
    <w:rsid w:val="00FD1FB7"/>
    <w:rsid w:val="00FD2D24"/>
    <w:rsid w:val="00FD36C0"/>
    <w:rsid w:val="00FD77D8"/>
    <w:rsid w:val="00FD7DA4"/>
    <w:rsid w:val="00FE3218"/>
    <w:rsid w:val="00FE344A"/>
    <w:rsid w:val="00FE34D3"/>
    <w:rsid w:val="00FE4E2B"/>
    <w:rsid w:val="00FE7DE6"/>
    <w:rsid w:val="00FF0473"/>
    <w:rsid w:val="00FF0FB9"/>
    <w:rsid w:val="00FF20CA"/>
    <w:rsid w:val="00FF4A8E"/>
    <w:rsid w:val="00FF63BC"/>
    <w:rsid w:val="00FF6AB9"/>
    <w:rsid w:val="00FF7276"/>
    <w:rsid w:val="01131E91"/>
    <w:rsid w:val="011ECABD"/>
    <w:rsid w:val="014610BA"/>
    <w:rsid w:val="01654FEB"/>
    <w:rsid w:val="01F574A5"/>
    <w:rsid w:val="0205D789"/>
    <w:rsid w:val="023CA2E9"/>
    <w:rsid w:val="02A672D0"/>
    <w:rsid w:val="02EBB9FF"/>
    <w:rsid w:val="02F9968D"/>
    <w:rsid w:val="0354F012"/>
    <w:rsid w:val="03608263"/>
    <w:rsid w:val="03C097D2"/>
    <w:rsid w:val="03C97386"/>
    <w:rsid w:val="03E7FCAB"/>
    <w:rsid w:val="03EE252C"/>
    <w:rsid w:val="04552F23"/>
    <w:rsid w:val="049686B7"/>
    <w:rsid w:val="04D5C1C4"/>
    <w:rsid w:val="04FFC427"/>
    <w:rsid w:val="0514C47B"/>
    <w:rsid w:val="05F84976"/>
    <w:rsid w:val="06773660"/>
    <w:rsid w:val="06DA043F"/>
    <w:rsid w:val="075F5600"/>
    <w:rsid w:val="0794A046"/>
    <w:rsid w:val="07F98855"/>
    <w:rsid w:val="0801B295"/>
    <w:rsid w:val="0854FAF2"/>
    <w:rsid w:val="08C29D7B"/>
    <w:rsid w:val="0962E4E9"/>
    <w:rsid w:val="09FD68D7"/>
    <w:rsid w:val="0A2D3FA2"/>
    <w:rsid w:val="0AD1D766"/>
    <w:rsid w:val="0B2AF377"/>
    <w:rsid w:val="0B90434D"/>
    <w:rsid w:val="0C5748F2"/>
    <w:rsid w:val="0C6EE0D2"/>
    <w:rsid w:val="0C73DA03"/>
    <w:rsid w:val="0D227633"/>
    <w:rsid w:val="0DDECF0E"/>
    <w:rsid w:val="0DE29786"/>
    <w:rsid w:val="0DE60E3E"/>
    <w:rsid w:val="0E030F41"/>
    <w:rsid w:val="0E123CF5"/>
    <w:rsid w:val="0E3DB8A8"/>
    <w:rsid w:val="0E4A5BEA"/>
    <w:rsid w:val="0E66A092"/>
    <w:rsid w:val="0F172F91"/>
    <w:rsid w:val="0F46E847"/>
    <w:rsid w:val="0F7E0D09"/>
    <w:rsid w:val="1019FD05"/>
    <w:rsid w:val="104809E1"/>
    <w:rsid w:val="108C7975"/>
    <w:rsid w:val="10D6EBE1"/>
    <w:rsid w:val="10E5E679"/>
    <w:rsid w:val="110B35CF"/>
    <w:rsid w:val="1189C7EB"/>
    <w:rsid w:val="11D1474C"/>
    <w:rsid w:val="1215C2B6"/>
    <w:rsid w:val="12243D67"/>
    <w:rsid w:val="1229DBBF"/>
    <w:rsid w:val="12B3E498"/>
    <w:rsid w:val="12D8A098"/>
    <w:rsid w:val="133B4C7B"/>
    <w:rsid w:val="135399A6"/>
    <w:rsid w:val="13B1F747"/>
    <w:rsid w:val="13E217C2"/>
    <w:rsid w:val="13EC6E07"/>
    <w:rsid w:val="15981096"/>
    <w:rsid w:val="160ACD08"/>
    <w:rsid w:val="160B4457"/>
    <w:rsid w:val="165C2D58"/>
    <w:rsid w:val="172565C0"/>
    <w:rsid w:val="17A78ED0"/>
    <w:rsid w:val="18271D15"/>
    <w:rsid w:val="184C5EBF"/>
    <w:rsid w:val="18541BBC"/>
    <w:rsid w:val="18C87E70"/>
    <w:rsid w:val="18EF021B"/>
    <w:rsid w:val="1919877C"/>
    <w:rsid w:val="1983987B"/>
    <w:rsid w:val="19BA68C3"/>
    <w:rsid w:val="19E9F1DE"/>
    <w:rsid w:val="19F9AAB7"/>
    <w:rsid w:val="1A063BCB"/>
    <w:rsid w:val="1A21585A"/>
    <w:rsid w:val="1A420504"/>
    <w:rsid w:val="1A8ED795"/>
    <w:rsid w:val="1A997BF9"/>
    <w:rsid w:val="1AAA485A"/>
    <w:rsid w:val="1AC1EC67"/>
    <w:rsid w:val="1ACA0364"/>
    <w:rsid w:val="1B0E300A"/>
    <w:rsid w:val="1B1FCAB8"/>
    <w:rsid w:val="1B554B34"/>
    <w:rsid w:val="1B6C3CDB"/>
    <w:rsid w:val="1BA86268"/>
    <w:rsid w:val="1BE5DDE6"/>
    <w:rsid w:val="1C28AE38"/>
    <w:rsid w:val="1C3C34F9"/>
    <w:rsid w:val="1C6111A3"/>
    <w:rsid w:val="1C9DB813"/>
    <w:rsid w:val="1CB43F27"/>
    <w:rsid w:val="1CDB8075"/>
    <w:rsid w:val="1D0370DC"/>
    <w:rsid w:val="1D0A5618"/>
    <w:rsid w:val="1D0B1A8F"/>
    <w:rsid w:val="1D7F16EE"/>
    <w:rsid w:val="1DF4A07B"/>
    <w:rsid w:val="1DFD1ACA"/>
    <w:rsid w:val="1E332C05"/>
    <w:rsid w:val="1EE3DA43"/>
    <w:rsid w:val="1F1A0B6D"/>
    <w:rsid w:val="1F2A7C14"/>
    <w:rsid w:val="1F2D81F5"/>
    <w:rsid w:val="1F5B8CD1"/>
    <w:rsid w:val="1FFED5A0"/>
    <w:rsid w:val="20068548"/>
    <w:rsid w:val="201AF6FD"/>
    <w:rsid w:val="20303166"/>
    <w:rsid w:val="20433E95"/>
    <w:rsid w:val="20512625"/>
    <w:rsid w:val="2054D35F"/>
    <w:rsid w:val="206786C6"/>
    <w:rsid w:val="20A248E2"/>
    <w:rsid w:val="20D8EF32"/>
    <w:rsid w:val="210AF7B3"/>
    <w:rsid w:val="21CFB6C4"/>
    <w:rsid w:val="2215A5E6"/>
    <w:rsid w:val="224069B8"/>
    <w:rsid w:val="22911B66"/>
    <w:rsid w:val="22A24A5C"/>
    <w:rsid w:val="22C1C4A9"/>
    <w:rsid w:val="22ECA33B"/>
    <w:rsid w:val="24DC2BE8"/>
    <w:rsid w:val="253DF9CE"/>
    <w:rsid w:val="255D08E5"/>
    <w:rsid w:val="2635A600"/>
    <w:rsid w:val="26407B62"/>
    <w:rsid w:val="26500F22"/>
    <w:rsid w:val="27076AEE"/>
    <w:rsid w:val="27256C54"/>
    <w:rsid w:val="27684110"/>
    <w:rsid w:val="27970808"/>
    <w:rsid w:val="27E4EB51"/>
    <w:rsid w:val="27E64E8B"/>
    <w:rsid w:val="27F40F9B"/>
    <w:rsid w:val="285B093C"/>
    <w:rsid w:val="287609D4"/>
    <w:rsid w:val="28F7C1CF"/>
    <w:rsid w:val="290F766E"/>
    <w:rsid w:val="292FD230"/>
    <w:rsid w:val="2963348D"/>
    <w:rsid w:val="296400AE"/>
    <w:rsid w:val="298F0471"/>
    <w:rsid w:val="29EF25B0"/>
    <w:rsid w:val="2A15D1CB"/>
    <w:rsid w:val="2A171148"/>
    <w:rsid w:val="2A2ED328"/>
    <w:rsid w:val="2AAB1045"/>
    <w:rsid w:val="2B3C656E"/>
    <w:rsid w:val="2B9B959C"/>
    <w:rsid w:val="2BB95A2A"/>
    <w:rsid w:val="2C0983D3"/>
    <w:rsid w:val="2C17D478"/>
    <w:rsid w:val="2C23BD98"/>
    <w:rsid w:val="2CC938C8"/>
    <w:rsid w:val="2D2CBC2A"/>
    <w:rsid w:val="2DD6FAC6"/>
    <w:rsid w:val="2E47B4A6"/>
    <w:rsid w:val="2E5911D2"/>
    <w:rsid w:val="2E6E8C16"/>
    <w:rsid w:val="2EDBE794"/>
    <w:rsid w:val="2F14477D"/>
    <w:rsid w:val="2FC1587C"/>
    <w:rsid w:val="2FD09C94"/>
    <w:rsid w:val="3033AE00"/>
    <w:rsid w:val="304CA0C3"/>
    <w:rsid w:val="305A5193"/>
    <w:rsid w:val="3089C81C"/>
    <w:rsid w:val="30E3638C"/>
    <w:rsid w:val="30E60AA9"/>
    <w:rsid w:val="30EFBB2D"/>
    <w:rsid w:val="315F621E"/>
    <w:rsid w:val="316803A9"/>
    <w:rsid w:val="31C7034B"/>
    <w:rsid w:val="31FEB0DA"/>
    <w:rsid w:val="3220790F"/>
    <w:rsid w:val="322E8CD1"/>
    <w:rsid w:val="324130B0"/>
    <w:rsid w:val="3248482D"/>
    <w:rsid w:val="324E83C8"/>
    <w:rsid w:val="32A4CAAD"/>
    <w:rsid w:val="32BF6DBC"/>
    <w:rsid w:val="32D1AE70"/>
    <w:rsid w:val="33114762"/>
    <w:rsid w:val="33A60A57"/>
    <w:rsid w:val="33F6311F"/>
    <w:rsid w:val="343D72FE"/>
    <w:rsid w:val="346EF0D9"/>
    <w:rsid w:val="34CC5AA7"/>
    <w:rsid w:val="359BC94F"/>
    <w:rsid w:val="3603B62B"/>
    <w:rsid w:val="366467B4"/>
    <w:rsid w:val="36709E5D"/>
    <w:rsid w:val="36E2C252"/>
    <w:rsid w:val="37249674"/>
    <w:rsid w:val="37B4A5CA"/>
    <w:rsid w:val="37D8AD93"/>
    <w:rsid w:val="380F2D86"/>
    <w:rsid w:val="3818AE16"/>
    <w:rsid w:val="38851C13"/>
    <w:rsid w:val="38B7CBD6"/>
    <w:rsid w:val="38DA7532"/>
    <w:rsid w:val="38DF4E05"/>
    <w:rsid w:val="38E64FF9"/>
    <w:rsid w:val="38FA6C7E"/>
    <w:rsid w:val="39024493"/>
    <w:rsid w:val="394D320E"/>
    <w:rsid w:val="3964E800"/>
    <w:rsid w:val="39AD7976"/>
    <w:rsid w:val="3A011114"/>
    <w:rsid w:val="3A487CA8"/>
    <w:rsid w:val="3A52F06C"/>
    <w:rsid w:val="3A8F4F33"/>
    <w:rsid w:val="3A934530"/>
    <w:rsid w:val="3AA80FE9"/>
    <w:rsid w:val="3AA9CABD"/>
    <w:rsid w:val="3AF54806"/>
    <w:rsid w:val="3AF931D9"/>
    <w:rsid w:val="3B22A1B7"/>
    <w:rsid w:val="3BA1422B"/>
    <w:rsid w:val="3BCBCFF1"/>
    <w:rsid w:val="3C2D5ABC"/>
    <w:rsid w:val="3C560ACF"/>
    <w:rsid w:val="3C72A2F7"/>
    <w:rsid w:val="3CB9AFED"/>
    <w:rsid w:val="3CC9F7AE"/>
    <w:rsid w:val="3D3F4EAE"/>
    <w:rsid w:val="3D55BFBB"/>
    <w:rsid w:val="3D9E9DC7"/>
    <w:rsid w:val="3DC6DF11"/>
    <w:rsid w:val="3E335D52"/>
    <w:rsid w:val="3E83DD33"/>
    <w:rsid w:val="3EA02CD2"/>
    <w:rsid w:val="3F3DC10D"/>
    <w:rsid w:val="3F7373A4"/>
    <w:rsid w:val="3FAE9030"/>
    <w:rsid w:val="3FC17069"/>
    <w:rsid w:val="3FE1B588"/>
    <w:rsid w:val="3FE32ED7"/>
    <w:rsid w:val="3FE9662A"/>
    <w:rsid w:val="4003A153"/>
    <w:rsid w:val="403AD113"/>
    <w:rsid w:val="40DB529B"/>
    <w:rsid w:val="40DDE0DA"/>
    <w:rsid w:val="40FE5EAF"/>
    <w:rsid w:val="418AAFD8"/>
    <w:rsid w:val="41977D2A"/>
    <w:rsid w:val="4243EE35"/>
    <w:rsid w:val="4268F197"/>
    <w:rsid w:val="426AC6CD"/>
    <w:rsid w:val="4285FAC8"/>
    <w:rsid w:val="42C52D68"/>
    <w:rsid w:val="42D02732"/>
    <w:rsid w:val="42D72778"/>
    <w:rsid w:val="42FB8937"/>
    <w:rsid w:val="437C67E3"/>
    <w:rsid w:val="4385E689"/>
    <w:rsid w:val="4390C771"/>
    <w:rsid w:val="43BBFB5C"/>
    <w:rsid w:val="44968A42"/>
    <w:rsid w:val="44B537BE"/>
    <w:rsid w:val="44D5B0B5"/>
    <w:rsid w:val="4510F92A"/>
    <w:rsid w:val="4569A329"/>
    <w:rsid w:val="45E4DB38"/>
    <w:rsid w:val="462161D8"/>
    <w:rsid w:val="46491F12"/>
    <w:rsid w:val="46C98438"/>
    <w:rsid w:val="4702A488"/>
    <w:rsid w:val="47369BE7"/>
    <w:rsid w:val="4760F0D2"/>
    <w:rsid w:val="479EBCD0"/>
    <w:rsid w:val="47A3D307"/>
    <w:rsid w:val="47AD29BC"/>
    <w:rsid w:val="47E096D7"/>
    <w:rsid w:val="47E6913E"/>
    <w:rsid w:val="47F0AB41"/>
    <w:rsid w:val="47F1BD95"/>
    <w:rsid w:val="48385ECB"/>
    <w:rsid w:val="48576C4B"/>
    <w:rsid w:val="48A8984E"/>
    <w:rsid w:val="4950002E"/>
    <w:rsid w:val="4956ACB6"/>
    <w:rsid w:val="49770A2C"/>
    <w:rsid w:val="4980850C"/>
    <w:rsid w:val="49CCE3A5"/>
    <w:rsid w:val="49EC1B5C"/>
    <w:rsid w:val="4A2DDAD2"/>
    <w:rsid w:val="4A43FF8F"/>
    <w:rsid w:val="4A97075C"/>
    <w:rsid w:val="4AAF8F0C"/>
    <w:rsid w:val="4B01DC56"/>
    <w:rsid w:val="4C1C6F14"/>
    <w:rsid w:val="4C2231A4"/>
    <w:rsid w:val="4C41B1FF"/>
    <w:rsid w:val="4C5C0289"/>
    <w:rsid w:val="4D4ADCD0"/>
    <w:rsid w:val="4D8AE51E"/>
    <w:rsid w:val="4D8B5109"/>
    <w:rsid w:val="4DE4459C"/>
    <w:rsid w:val="4E892ACD"/>
    <w:rsid w:val="4E8E64C4"/>
    <w:rsid w:val="4EB4279E"/>
    <w:rsid w:val="4ECE022F"/>
    <w:rsid w:val="4F848055"/>
    <w:rsid w:val="4FEB36B9"/>
    <w:rsid w:val="50173047"/>
    <w:rsid w:val="501E5E53"/>
    <w:rsid w:val="50E84398"/>
    <w:rsid w:val="51178159"/>
    <w:rsid w:val="516CF115"/>
    <w:rsid w:val="517054E3"/>
    <w:rsid w:val="51F1054C"/>
    <w:rsid w:val="5247137D"/>
    <w:rsid w:val="525D62FB"/>
    <w:rsid w:val="52B0791D"/>
    <w:rsid w:val="52D57B74"/>
    <w:rsid w:val="52ECCCC6"/>
    <w:rsid w:val="533D6167"/>
    <w:rsid w:val="53A73001"/>
    <w:rsid w:val="53E9C2F1"/>
    <w:rsid w:val="540EB996"/>
    <w:rsid w:val="544F9DF9"/>
    <w:rsid w:val="54D379D8"/>
    <w:rsid w:val="54F5E32F"/>
    <w:rsid w:val="55317D04"/>
    <w:rsid w:val="55707463"/>
    <w:rsid w:val="5585EE57"/>
    <w:rsid w:val="55A40226"/>
    <w:rsid w:val="55A7DA7E"/>
    <w:rsid w:val="55D76664"/>
    <w:rsid w:val="55E40FE8"/>
    <w:rsid w:val="561F634B"/>
    <w:rsid w:val="5633968A"/>
    <w:rsid w:val="56368C67"/>
    <w:rsid w:val="56AA7632"/>
    <w:rsid w:val="56AD38E6"/>
    <w:rsid w:val="5783D3BF"/>
    <w:rsid w:val="57A39722"/>
    <w:rsid w:val="57B6A1EA"/>
    <w:rsid w:val="57D5351E"/>
    <w:rsid w:val="57DFCADE"/>
    <w:rsid w:val="586132FA"/>
    <w:rsid w:val="5864138A"/>
    <w:rsid w:val="58BF6B50"/>
    <w:rsid w:val="58CBB891"/>
    <w:rsid w:val="58E183DE"/>
    <w:rsid w:val="590D4C4E"/>
    <w:rsid w:val="5953F714"/>
    <w:rsid w:val="5954BAD2"/>
    <w:rsid w:val="59709BC0"/>
    <w:rsid w:val="59AE5AA6"/>
    <w:rsid w:val="5A67631C"/>
    <w:rsid w:val="5A9A221A"/>
    <w:rsid w:val="5AEA7565"/>
    <w:rsid w:val="5B1A6380"/>
    <w:rsid w:val="5B61F450"/>
    <w:rsid w:val="5BBF2A4F"/>
    <w:rsid w:val="5BEE2A0A"/>
    <w:rsid w:val="5C0879A1"/>
    <w:rsid w:val="5C141E57"/>
    <w:rsid w:val="5C287632"/>
    <w:rsid w:val="5C415CC5"/>
    <w:rsid w:val="5C872B60"/>
    <w:rsid w:val="5C950253"/>
    <w:rsid w:val="5CADAB7E"/>
    <w:rsid w:val="5CBFF958"/>
    <w:rsid w:val="5CD12E90"/>
    <w:rsid w:val="5D190D96"/>
    <w:rsid w:val="5DBEDDD6"/>
    <w:rsid w:val="5DD6F5D2"/>
    <w:rsid w:val="5E0ACC35"/>
    <w:rsid w:val="5E4BC4CD"/>
    <w:rsid w:val="5F63ECF1"/>
    <w:rsid w:val="5F8F77CB"/>
    <w:rsid w:val="6006FFC3"/>
    <w:rsid w:val="600894B4"/>
    <w:rsid w:val="60278925"/>
    <w:rsid w:val="606E2F9E"/>
    <w:rsid w:val="608A8E91"/>
    <w:rsid w:val="60C5AAC9"/>
    <w:rsid w:val="60D20208"/>
    <w:rsid w:val="61129723"/>
    <w:rsid w:val="61175793"/>
    <w:rsid w:val="611C5421"/>
    <w:rsid w:val="6135BEA3"/>
    <w:rsid w:val="61AF0C44"/>
    <w:rsid w:val="625F55A3"/>
    <w:rsid w:val="627879F4"/>
    <w:rsid w:val="62C4BC11"/>
    <w:rsid w:val="62DEE698"/>
    <w:rsid w:val="62E61236"/>
    <w:rsid w:val="6304C676"/>
    <w:rsid w:val="6334F98D"/>
    <w:rsid w:val="635520F2"/>
    <w:rsid w:val="63F39F99"/>
    <w:rsid w:val="640B6CAD"/>
    <w:rsid w:val="6413E96F"/>
    <w:rsid w:val="64463A50"/>
    <w:rsid w:val="648247E0"/>
    <w:rsid w:val="64B5D547"/>
    <w:rsid w:val="64CEC689"/>
    <w:rsid w:val="64D9AC7C"/>
    <w:rsid w:val="6524ED42"/>
    <w:rsid w:val="654C4C0D"/>
    <w:rsid w:val="6557B07D"/>
    <w:rsid w:val="65B82AA0"/>
    <w:rsid w:val="65E55D3D"/>
    <w:rsid w:val="66445A86"/>
    <w:rsid w:val="665A3799"/>
    <w:rsid w:val="676CEF00"/>
    <w:rsid w:val="67C245C0"/>
    <w:rsid w:val="683BB4DC"/>
    <w:rsid w:val="6861E530"/>
    <w:rsid w:val="68680B0F"/>
    <w:rsid w:val="696CBAF4"/>
    <w:rsid w:val="6989CD16"/>
    <w:rsid w:val="69BD0460"/>
    <w:rsid w:val="69C657A2"/>
    <w:rsid w:val="6A5A8808"/>
    <w:rsid w:val="6B368EF7"/>
    <w:rsid w:val="6B71811E"/>
    <w:rsid w:val="6B75E9B6"/>
    <w:rsid w:val="6B829081"/>
    <w:rsid w:val="6B94E277"/>
    <w:rsid w:val="6BC92466"/>
    <w:rsid w:val="6C8C78E5"/>
    <w:rsid w:val="6D2046D4"/>
    <w:rsid w:val="6D51D2C5"/>
    <w:rsid w:val="6D6D52D9"/>
    <w:rsid w:val="6D8AF09B"/>
    <w:rsid w:val="6E2B1045"/>
    <w:rsid w:val="6E67521F"/>
    <w:rsid w:val="6F0B282C"/>
    <w:rsid w:val="6F39B97B"/>
    <w:rsid w:val="6F9414C3"/>
    <w:rsid w:val="6FB917E2"/>
    <w:rsid w:val="6FE35FA9"/>
    <w:rsid w:val="6FEB6DF2"/>
    <w:rsid w:val="7028480A"/>
    <w:rsid w:val="70366746"/>
    <w:rsid w:val="7037DBAE"/>
    <w:rsid w:val="70382C8C"/>
    <w:rsid w:val="709E6A39"/>
    <w:rsid w:val="70AB2CF3"/>
    <w:rsid w:val="70AB788E"/>
    <w:rsid w:val="70B92F17"/>
    <w:rsid w:val="70F70ECC"/>
    <w:rsid w:val="712F4887"/>
    <w:rsid w:val="717404D4"/>
    <w:rsid w:val="71927D99"/>
    <w:rsid w:val="71C4D481"/>
    <w:rsid w:val="72402FB0"/>
    <w:rsid w:val="72E9C81F"/>
    <w:rsid w:val="7367BFE7"/>
    <w:rsid w:val="739EA8B5"/>
    <w:rsid w:val="73B353AE"/>
    <w:rsid w:val="73DB8165"/>
    <w:rsid w:val="73E2875D"/>
    <w:rsid w:val="73FF2AC7"/>
    <w:rsid w:val="74BB5086"/>
    <w:rsid w:val="74CC250B"/>
    <w:rsid w:val="74DEB043"/>
    <w:rsid w:val="751B14FF"/>
    <w:rsid w:val="751EDE16"/>
    <w:rsid w:val="75B347D9"/>
    <w:rsid w:val="76A17857"/>
    <w:rsid w:val="76AEE7AC"/>
    <w:rsid w:val="76B01A2E"/>
    <w:rsid w:val="772900E8"/>
    <w:rsid w:val="7741734F"/>
    <w:rsid w:val="7794AFD6"/>
    <w:rsid w:val="77FF31F3"/>
    <w:rsid w:val="78099B85"/>
    <w:rsid w:val="780C6CF3"/>
    <w:rsid w:val="78129A5A"/>
    <w:rsid w:val="786F3441"/>
    <w:rsid w:val="78A7A52F"/>
    <w:rsid w:val="7912BBD6"/>
    <w:rsid w:val="798FEA1E"/>
    <w:rsid w:val="79C2AE8B"/>
    <w:rsid w:val="7A5B5BCB"/>
    <w:rsid w:val="7A851561"/>
    <w:rsid w:val="7AA57ED7"/>
    <w:rsid w:val="7AD5CFAE"/>
    <w:rsid w:val="7AE792FE"/>
    <w:rsid w:val="7B0BDBC5"/>
    <w:rsid w:val="7B411A3F"/>
    <w:rsid w:val="7BC19B8F"/>
    <w:rsid w:val="7C9F4473"/>
    <w:rsid w:val="7CA4C8A8"/>
    <w:rsid w:val="7CEC656C"/>
    <w:rsid w:val="7D4E17E0"/>
    <w:rsid w:val="7D6B313C"/>
    <w:rsid w:val="7D87B120"/>
    <w:rsid w:val="7DF1F41D"/>
    <w:rsid w:val="7F18757E"/>
    <w:rsid w:val="7FDB14C8"/>
    <w:rsid w:val="7FFC2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6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FC7"/>
  </w:style>
  <w:style w:type="paragraph" w:styleId="Heading1">
    <w:name w:val="heading 1"/>
    <w:basedOn w:val="Normal"/>
    <w:next w:val="Normal"/>
    <w:link w:val="Heading1Char"/>
    <w:uiPriority w:val="9"/>
    <w:qFormat/>
    <w:rsid w:val="003B4D69"/>
    <w:pPr>
      <w:keepNext/>
      <w:keepLines/>
      <w:pageBreakBefore/>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6"/>
      </w:numPr>
      <w:spacing w:before="120"/>
    </w:pPr>
  </w:style>
  <w:style w:type="character" w:customStyle="1" w:styleId="Heading1Char">
    <w:name w:val="Heading 1 Char"/>
    <w:basedOn w:val="DefaultParagraphFont"/>
    <w:link w:val="Heading1"/>
    <w:uiPriority w:val="9"/>
    <w:rsid w:val="003B4D69"/>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B072E4"/>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715D3C"/>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9"/>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ext">
    <w:name w:val="Text"/>
    <w:basedOn w:val="Normal"/>
    <w:uiPriority w:val="99"/>
    <w:rsid w:val="00CD74EC"/>
    <w:pPr>
      <w:suppressAutoHyphens/>
      <w:autoSpaceDE w:val="0"/>
      <w:autoSpaceDN w:val="0"/>
      <w:adjustRightInd w:val="0"/>
      <w:spacing w:before="200" w:after="113" w:line="340" w:lineRule="atLeast"/>
    </w:pPr>
    <w:rPr>
      <w:rFonts w:ascii="Calibri" w:eastAsia="Times New Roman" w:hAnsi="Calibri" w:cs="Calibri"/>
      <w:color w:val="000000"/>
      <w:szCs w:val="24"/>
      <w:lang w:val="en-US" w:eastAsia="en-AU"/>
    </w:rPr>
  </w:style>
  <w:style w:type="paragraph" w:styleId="NormalWeb">
    <w:name w:val="Normal (Web)"/>
    <w:basedOn w:val="Normal"/>
    <w:uiPriority w:val="99"/>
    <w:semiHidden/>
    <w:unhideWhenUsed/>
    <w:rsid w:val="00E527A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652D"/>
    <w:pPr>
      <w:spacing w:before="0" w:line="240" w:lineRule="auto"/>
    </w:pPr>
  </w:style>
  <w:style w:type="paragraph" w:styleId="CommentSubject">
    <w:name w:val="annotation subject"/>
    <w:basedOn w:val="CommentText"/>
    <w:next w:val="CommentText"/>
    <w:link w:val="CommentSubjectChar"/>
    <w:uiPriority w:val="99"/>
    <w:semiHidden/>
    <w:unhideWhenUsed/>
    <w:rsid w:val="00D52F9C"/>
    <w:rPr>
      <w:b/>
      <w:bCs/>
    </w:rPr>
  </w:style>
  <w:style w:type="character" w:customStyle="1" w:styleId="CommentSubjectChar">
    <w:name w:val="Comment Subject Char"/>
    <w:basedOn w:val="CommentTextChar"/>
    <w:link w:val="CommentSubject"/>
    <w:uiPriority w:val="99"/>
    <w:semiHidden/>
    <w:rsid w:val="00D52F9C"/>
    <w:rPr>
      <w:b/>
      <w:bCs/>
      <w:sz w:val="20"/>
      <w:szCs w:val="20"/>
    </w:rPr>
  </w:style>
  <w:style w:type="character" w:customStyle="1" w:styleId="UnresolvedMention">
    <w:name w:val="Unresolved Mention"/>
    <w:basedOn w:val="DefaultParagraphFont"/>
    <w:uiPriority w:val="99"/>
    <w:semiHidden/>
    <w:unhideWhenUsed/>
    <w:rsid w:val="0001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87798">
      <w:bodyDiv w:val="1"/>
      <w:marLeft w:val="0"/>
      <w:marRight w:val="0"/>
      <w:marTop w:val="0"/>
      <w:marBottom w:val="0"/>
      <w:divBdr>
        <w:top w:val="none" w:sz="0" w:space="0" w:color="auto"/>
        <w:left w:val="none" w:sz="0" w:space="0" w:color="auto"/>
        <w:bottom w:val="none" w:sz="0" w:space="0" w:color="auto"/>
        <w:right w:val="none" w:sz="0" w:space="0" w:color="auto"/>
      </w:divBdr>
    </w:div>
    <w:div w:id="20430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arpansa.gov.au/regulation-and-licensing/regulation/regulatory-integrity/safety-culture-assessment" TargetMode="External"/><Relationship Id="rId39" Type="http://schemas.openxmlformats.org/officeDocument/2006/relationships/hyperlink" Target="https://www.arpansa.gov.au/about-us/corporate-publications/annual-reports" TargetMode="External"/><Relationship Id="rId21" Type="http://schemas.openxmlformats.org/officeDocument/2006/relationships/hyperlink" Target="https://www.pmc.gov.au/resource-centre/regulation/regulator-performance-framework" TargetMode="External"/><Relationship Id="rId34" Type="http://schemas.openxmlformats.org/officeDocument/2006/relationships/hyperlink" Target="https://www.arpansa.gov.au/regulation-and-licensing/regulation/our-regulatory-services/how-we-regulate" TargetMode="External"/><Relationship Id="rId42" Type="http://schemas.openxmlformats.org/officeDocument/2006/relationships/hyperlink" Target="https://www.arpansa.gov.au/regulation-and-licensing/licensing/information-for-licence-holders/inspections/performance-objectives-and-criteria" TargetMode="External"/><Relationship Id="rId47" Type="http://schemas.openxmlformats.org/officeDocument/2006/relationships/hyperlink" Target="https://www.arpansa.gov.au/regulation-and-licensing/licensing/information-for-licence-holders/inspections/inspection-reports" TargetMode="External"/><Relationship Id="rId50" Type="http://schemas.openxmlformats.org/officeDocument/2006/relationships/hyperlink" Target="https://www.arpansa.gov.au/about-us/corporate-publications/quarterly-reports"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arpansa.gov.au/nsc" TargetMode="External"/><Relationship Id="rId33" Type="http://schemas.openxmlformats.org/officeDocument/2006/relationships/hyperlink" Target="https://financialservices.royalcommission.gov.au/Pages/reports.aspx" TargetMode="External"/><Relationship Id="rId38" Type="http://schemas.openxmlformats.org/officeDocument/2006/relationships/hyperlink" Target="https://www.arpansa.gov.au/about-us/corporate-publications/corporate-plan/corporate-plan-2020-21" TargetMode="External"/><Relationship Id="rId46" Type="http://schemas.openxmlformats.org/officeDocument/2006/relationships/hyperlink" Target="https://www.arpansa.gov.au/regulation-and-licensing/licensing/information-for-licence-holders/inspections/inspection-repor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rpansa.gov.au/about-us/our-policies/regulatory-activity-policies" TargetMode="External"/><Relationship Id="rId29" Type="http://schemas.openxmlformats.org/officeDocument/2006/relationships/hyperlink" Target="https://www.arpansa.gov.au/regulation-and-licensing/regulatory-publications" TargetMode="External"/><Relationship Id="rId41" Type="http://schemas.openxmlformats.org/officeDocument/2006/relationships/hyperlink" Target="https://www.arpansa.gov.au/regulation-and-licensing/regulation/our-regulatory-services/how-we-regulat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rpansa.gov.au/about-us/corporate-publications/annual-reports" TargetMode="External"/><Relationship Id="rId32" Type="http://schemas.openxmlformats.org/officeDocument/2006/relationships/hyperlink" Target="https://www.arpansa.gov.au/sites/default/files/arpansa-reg-com-man-270w_compliance_enforcement_manual.pdf" TargetMode="External"/><Relationship Id="rId37" Type="http://schemas.openxmlformats.org/officeDocument/2006/relationships/hyperlink" Target="https://www.arpansa.gov.au/regulation-and-licensing/licensing/information-for-licence-holders/inspections/inspection-outcomes" TargetMode="External"/><Relationship Id="rId40" Type="http://schemas.openxmlformats.org/officeDocument/2006/relationships/hyperlink" Target="https://www.arpansa.gov.au/about-us/our-policies/regulatory-activity-policies" TargetMode="External"/><Relationship Id="rId45" Type="http://schemas.openxmlformats.org/officeDocument/2006/relationships/hyperlink" Target="https://www.arpansa.gov.au/regulation-and-licensing/regulation/international-best-practice" TargetMode="External"/><Relationship Id="rId53" Type="http://schemas.openxmlformats.org/officeDocument/2006/relationships/hyperlink" Target="https://www.arpansa.gov.au/regulation-and-licensing/regulation/regulatory-integrity/policy-arpansas-regulatory-activiti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rpansa.gov.au/about-us/corporate-publications/corporate-plan" TargetMode="External"/><Relationship Id="rId28" Type="http://schemas.openxmlformats.org/officeDocument/2006/relationships/hyperlink" Target="https://www.arpansa.gov.au/sites/default/files/arpansa-reg-ins-man-280w.pdf" TargetMode="External"/><Relationship Id="rId36" Type="http://schemas.openxmlformats.org/officeDocument/2006/relationships/hyperlink" Target="https://www.arpansa.gov.au/regulation-and-licensing/safety-security-transport/holistic-safety" TargetMode="External"/><Relationship Id="rId49" Type="http://schemas.openxmlformats.org/officeDocument/2006/relationships/hyperlink" Target="https://www.arpansa.gov.au/news/arpansa-approves-ansto-implementation-plan-following-safety-review"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arpansa.gov.au/regulation-and-licensing/licensing/information-for-licence-holders/regulatory-guides" TargetMode="External"/><Relationship Id="rId44" Type="http://schemas.openxmlformats.org/officeDocument/2006/relationships/hyperlink" Target="https://www.arpansa.gov.au/regulation-and-licensing/regulatory-publications" TargetMode="External"/><Relationship Id="rId52" Type="http://schemas.openxmlformats.org/officeDocument/2006/relationships/hyperlink" Target="https://www.arpansa.gov.au/have-your-s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rpansa.gov.au/regulation-and-licensing/regulation/independence/commitment-to-good-regulatory-practice/evidence-metrics" TargetMode="External"/><Relationship Id="rId27" Type="http://schemas.openxmlformats.org/officeDocument/2006/relationships/hyperlink" Target="https://www.arpansa.gov.au/regulation-and-licensing/licensing/information-for-licence-holders/inspections/performance-objectives-and-criteria" TargetMode="External"/><Relationship Id="rId30" Type="http://schemas.openxmlformats.org/officeDocument/2006/relationships/hyperlink" Target="https://www.arpansa.gov.au/regulation-and-licensing/regulation/our-regulatory-services/how-we-regulate" TargetMode="External"/><Relationship Id="rId35" Type="http://schemas.openxmlformats.org/officeDocument/2006/relationships/hyperlink" Target="https://www.arpansa.gov.au/sites/default/files/statement_of_reasons_removal_condition_march2020.pdf" TargetMode="External"/><Relationship Id="rId43" Type="http://schemas.openxmlformats.org/officeDocument/2006/relationships/hyperlink" Target="https://www.arpansa.gov.au/regulation-and-licensing/licensing/information-for-licence-holders/regulatory-guides" TargetMode="External"/><Relationship Id="rId48" Type="http://schemas.openxmlformats.org/officeDocument/2006/relationships/hyperlink" Target="https://www.arpansa.gov.au/news/arpansa-authorises-ansto-nuclear-medicine-facility-return-routine-operation" TargetMode="External"/><Relationship Id="rId8" Type="http://schemas.openxmlformats.org/officeDocument/2006/relationships/webSettings" Target="webSettings.xml"/><Relationship Id="rId51" Type="http://schemas.openxmlformats.org/officeDocument/2006/relationships/hyperlink" Target="https://www.arpansa.gov.au/about-us/corporate-publications/annual-reports"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docs.jobs.gov.au/documents/regulator-performance-framework" TargetMode="External"/><Relationship Id="rId2" Type="http://schemas.openxmlformats.org/officeDocument/2006/relationships/hyperlink" Target="https://www.arpansa.gov.au/regulation-and-licensing/regulation/about-regulatory-services/why-we-regulate/arpans-legislation" TargetMode="External"/><Relationship Id="rId1" Type="http://schemas.openxmlformats.org/officeDocument/2006/relationships/hyperlink" Target="https://www.arpansa.gov.au/regulation-and-licensing/regulation/about-regulatory-services/why-we-regulate/arpans-legislation"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0f5cd1f906b2af7109fd14966143ad3c">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54e2a712bcd18371d565cc698074668c"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C88E8FD-1863-408A-B315-5D1C0F664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51D2F-3147-418B-AECF-68556771CBFC}">
  <ds:schemaRefs>
    <ds:schemaRef ds:uri="http://schemas.microsoft.com/sharepoint/v3/contenttype/forms"/>
  </ds:schemaRefs>
</ds:datastoreItem>
</file>

<file path=customXml/itemProps3.xml><?xml version="1.0" encoding="utf-8"?>
<ds:datastoreItem xmlns:ds="http://schemas.openxmlformats.org/officeDocument/2006/customXml" ds:itemID="{58FAD946-F879-4C36-BE6B-EEAA6FA28FAE}">
  <ds:schemaRefs>
    <ds:schemaRef ds:uri="http://purl.org/dc/terms/"/>
    <ds:schemaRef ds:uri="16b66797-d361-45c1-aa90-bc5e3fc2723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6871ce3-3694-452a-a3bd-fd8f437a6f33"/>
    <ds:schemaRef ds:uri="http://www.w3.org/XML/1998/namespace"/>
    <ds:schemaRef ds:uri="http://purl.org/dc/dcmitype/"/>
  </ds:schemaRefs>
</ds:datastoreItem>
</file>

<file path=customXml/itemProps4.xml><?xml version="1.0" encoding="utf-8"?>
<ds:datastoreItem xmlns:ds="http://schemas.openxmlformats.org/officeDocument/2006/customXml" ds:itemID="{F9309E33-5DDC-41A2-84AD-1AC3FF1C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12730</Words>
  <Characters>72567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 Performance Framework - Self-Assessment Report 2019-20</dc:title>
  <dc:subject/>
  <dc:creator/>
  <cp:keywords/>
  <dc:description/>
  <cp:lastModifiedBy/>
  <cp:revision>1</cp:revision>
  <dcterms:created xsi:type="dcterms:W3CDTF">2020-12-22T00:24:00Z</dcterms:created>
  <dcterms:modified xsi:type="dcterms:W3CDTF">2020-12-22T00:24:00Z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