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2F65B" w14:textId="4875C20E" w:rsidR="00570877" w:rsidRDefault="006E0644" w:rsidP="00BE6683">
      <w:r>
        <w:rPr>
          <w:noProof/>
          <w:lang w:eastAsia="en-AU"/>
        </w:rPr>
        <w:drawing>
          <wp:anchor distT="0" distB="0" distL="114300" distR="114300" simplePos="0" relativeHeight="251663360" behindDoc="1" locked="0" layoutInCell="1" allowOverlap="1" wp14:anchorId="52E16561" wp14:editId="3031D462">
            <wp:simplePos x="0" y="0"/>
            <wp:positionH relativeFrom="column">
              <wp:posOffset>-719900</wp:posOffset>
            </wp:positionH>
            <wp:positionV relativeFrom="paragraph">
              <wp:posOffset>-720090</wp:posOffset>
            </wp:positionV>
            <wp:extent cx="7558828" cy="10692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S C-3 Disposal of Radioactive Was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r>
        <w:softHyphen/>
      </w:r>
      <w:r w:rsidR="006A37E7">
        <w:br w:type="textWrapping" w:clear="all"/>
      </w:r>
    </w:p>
    <w:p w14:paraId="6FA2ED2E" w14:textId="651D65F0" w:rsidR="00570877" w:rsidRPr="00570877" w:rsidRDefault="00570877" w:rsidP="00570877"/>
    <w:p w14:paraId="252FEDE6" w14:textId="77777777" w:rsidR="00570877" w:rsidRPr="00570877" w:rsidRDefault="00570877" w:rsidP="00570877"/>
    <w:p w14:paraId="6637B587" w14:textId="77777777" w:rsidR="00570877" w:rsidRPr="00570877" w:rsidRDefault="00570877" w:rsidP="00570877"/>
    <w:p w14:paraId="5193B6B5" w14:textId="27E42026" w:rsidR="00570877" w:rsidRPr="00570877" w:rsidRDefault="00570877" w:rsidP="00570877"/>
    <w:p w14:paraId="4A8FBB0F" w14:textId="77777777" w:rsidR="00570877" w:rsidRPr="00570877" w:rsidRDefault="00570877" w:rsidP="00570877"/>
    <w:p w14:paraId="5B3B44A8" w14:textId="77777777" w:rsidR="00570877" w:rsidRPr="00570877" w:rsidRDefault="00570877" w:rsidP="00570877"/>
    <w:p w14:paraId="3C3A07B3" w14:textId="6A0BC735" w:rsidR="00570877" w:rsidRPr="00570877" w:rsidRDefault="00570877" w:rsidP="00EF7892"/>
    <w:p w14:paraId="36EE04E8" w14:textId="77777777" w:rsidR="00570877" w:rsidRPr="00570877" w:rsidRDefault="00570877" w:rsidP="00570877"/>
    <w:p w14:paraId="60C9D666" w14:textId="77777777" w:rsidR="00570877" w:rsidRPr="00570877" w:rsidRDefault="00570877" w:rsidP="00570877"/>
    <w:p w14:paraId="51A1CC8C" w14:textId="77777777" w:rsidR="00570877" w:rsidRPr="00570877" w:rsidRDefault="00570877" w:rsidP="00570877"/>
    <w:p w14:paraId="11300313" w14:textId="640A19B6" w:rsidR="00570877" w:rsidRDefault="00570877" w:rsidP="00570877">
      <w:pPr>
        <w:tabs>
          <w:tab w:val="left" w:pos="6463"/>
        </w:tabs>
      </w:pPr>
      <w:r>
        <w:tab/>
      </w:r>
    </w:p>
    <w:p w14:paraId="3AD11D3C" w14:textId="035B63A3" w:rsidR="00653160" w:rsidRPr="00570877" w:rsidRDefault="00570877" w:rsidP="00570877">
      <w:pPr>
        <w:tabs>
          <w:tab w:val="left" w:pos="6463"/>
        </w:tabs>
        <w:sectPr w:rsidR="00653160" w:rsidRPr="00570877" w:rsidSect="00912E5D">
          <w:footerReference w:type="first" r:id="rId9"/>
          <w:pgSz w:w="11906" w:h="16838" w:code="9"/>
          <w:pgMar w:top="1134" w:right="1134" w:bottom="1134" w:left="1134" w:header="567" w:footer="567" w:gutter="0"/>
          <w:cols w:space="708"/>
          <w:titlePg/>
          <w:docGrid w:linePitch="360"/>
        </w:sectPr>
      </w:pPr>
      <w:r>
        <w:tab/>
      </w:r>
    </w:p>
    <w:p w14:paraId="0E91CDB7" w14:textId="77777777" w:rsidR="003467C2" w:rsidRPr="003467C2" w:rsidRDefault="003467C2" w:rsidP="003608A9">
      <w:pPr>
        <w:spacing w:before="0"/>
        <w:jc w:val="center"/>
        <w:rPr>
          <w:rFonts w:ascii="Calibri" w:hAnsi="Calibri"/>
          <w:b/>
          <w:color w:val="4E1A74" w:themeColor="text2"/>
          <w:sz w:val="40"/>
          <w:szCs w:val="32"/>
        </w:rPr>
      </w:pPr>
      <w:r w:rsidRPr="003467C2">
        <w:rPr>
          <w:rFonts w:ascii="Calibri" w:hAnsi="Calibri"/>
          <w:b/>
          <w:color w:val="4E1A74" w:themeColor="text2"/>
          <w:sz w:val="40"/>
          <w:szCs w:val="32"/>
        </w:rPr>
        <w:lastRenderedPageBreak/>
        <w:t>Radiation Protection Series</w:t>
      </w:r>
    </w:p>
    <w:p w14:paraId="0A8D91FE" w14:textId="77777777" w:rsidR="003467C2" w:rsidRDefault="003467C2" w:rsidP="003467C2">
      <w:r>
        <w:t>The Australian Radiation Protection and Nuclear Safety Agency (ARPANSA)</w:t>
      </w:r>
      <w:r w:rsidRPr="00227BC6">
        <w:t xml:space="preserve"> publishes Fundamentals</w:t>
      </w:r>
      <w:r>
        <w:t>, Codes and Guides in the Radiation Protection Series (RPS), which</w:t>
      </w:r>
      <w:r w:rsidRPr="00227BC6">
        <w:t xml:space="preserve"> promote </w:t>
      </w:r>
      <w:r>
        <w:t xml:space="preserve">national policies and </w:t>
      </w:r>
      <w:r w:rsidRPr="00227BC6">
        <w:t xml:space="preserve">practices </w:t>
      </w:r>
      <w:r>
        <w:t>that</w:t>
      </w:r>
      <w:r w:rsidRPr="00227BC6">
        <w:t xml:space="preserve"> protect human health and the environment from harmful effects of radiation.</w:t>
      </w:r>
      <w:r>
        <w:t xml:space="preserve"> </w:t>
      </w:r>
      <w:r w:rsidRPr="00227BC6">
        <w:t xml:space="preserve">ARPANSA </w:t>
      </w:r>
      <w:r>
        <w:t>develops these publications jointly with state and territory regulators through</w:t>
      </w:r>
      <w:r w:rsidRPr="00227BC6">
        <w:t xml:space="preserve"> the Radiation Health Committee (RHC), which oversees the preparation of draft </w:t>
      </w:r>
      <w:r>
        <w:t xml:space="preserve">policies and standards with the view of their uniform implementation in all Australian jurisdictions. Following agreement and, as relevant, approvals at the Ministerial level, the RHC </w:t>
      </w:r>
      <w:r w:rsidRPr="00227BC6">
        <w:t xml:space="preserve">recommends publication to the Radiation Health and Safety Advisory Council, which endorses documents and recommends their publication by the CEO of ARPANSA. </w:t>
      </w:r>
    </w:p>
    <w:p w14:paraId="74266CB3" w14:textId="77777777" w:rsidR="003467C2" w:rsidRPr="00E423A6" w:rsidRDefault="003467C2" w:rsidP="003467C2">
      <w:r w:rsidRPr="00524F7A">
        <w:t>To the extent possible and relevant</w:t>
      </w:r>
      <w: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01250E69" w14:textId="77777777" w:rsidR="003467C2" w:rsidRPr="00227BC6" w:rsidRDefault="003467C2" w:rsidP="003467C2">
      <w:r w:rsidRPr="00227BC6">
        <w:rPr>
          <w:b/>
          <w:i/>
        </w:rPr>
        <w:t>Fundamentals</w:t>
      </w:r>
      <w:r w:rsidRPr="00227BC6">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14:paraId="05A67D88" w14:textId="5D011EB5" w:rsidR="003467C2" w:rsidRPr="00227BC6" w:rsidRDefault="003467C2" w:rsidP="003467C2">
      <w:r w:rsidRPr="00227BC6">
        <w:rPr>
          <w:b/>
          <w:i/>
        </w:rPr>
        <w:t>Codes</w:t>
      </w:r>
      <w:r w:rsidRPr="00227BC6">
        <w:t xml:space="preserve"> are regulatory in style and may be referenced by regulations or conditions of </w:t>
      </w:r>
      <w:r w:rsidR="00CB125A">
        <w:t>authorisation</w:t>
      </w:r>
      <w:r w:rsidRPr="00227BC6">
        <w:t>.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5F2A8466" w14:textId="77777777" w:rsidR="003467C2" w:rsidRPr="00227BC6" w:rsidRDefault="003467C2" w:rsidP="003467C2">
      <w:r w:rsidRPr="00227BC6">
        <w:rPr>
          <w:b/>
          <w:i/>
        </w:rPr>
        <w:t>Guides</w:t>
      </w:r>
      <w:r w:rsidRPr="00227BC6">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7D263904" w14:textId="77777777" w:rsidR="003467C2" w:rsidRPr="00227BC6" w:rsidRDefault="003467C2" w:rsidP="003467C2">
      <w:r w:rsidRPr="00227BC6">
        <w:t xml:space="preserve">These three categories of publications are informed by public comment during drafting and are subject to a process of assessment of regulatory impact. </w:t>
      </w:r>
    </w:p>
    <w:p w14:paraId="3E6647FD" w14:textId="77777777" w:rsidR="003467C2" w:rsidRPr="00227BC6" w:rsidRDefault="003467C2" w:rsidP="003467C2">
      <w:r w:rsidRPr="00227BC6">
        <w:t>All ARPANSA publications (including earlier editions of codes and guides for which ARPANSA is now responsible) are available in electronic format, and can be downloaded free of charge by visiting ARPANSA’s website at</w:t>
      </w:r>
      <w:r>
        <w:t xml:space="preserve"> </w:t>
      </w:r>
      <w:hyperlink r:id="rId10" w:history="1">
        <w:r w:rsidRPr="00C417C2">
          <w:rPr>
            <w:rStyle w:val="Hyperlink"/>
            <w:rFonts w:ascii="Calibri" w:eastAsia="Times New Roman" w:hAnsi="Calibri"/>
            <w:spacing w:val="-4"/>
            <w:szCs w:val="26"/>
          </w:rPr>
          <w:t>https://www.arpansa.gov.au/regulation-and-licensing/regulatory-publications/radiation-protection-series</w:t>
        </w:r>
      </w:hyperlink>
      <w:r>
        <w:rPr>
          <w:color w:val="0070C0"/>
        </w:rPr>
        <w:t>.</w:t>
      </w:r>
      <w:r>
        <w:br/>
      </w:r>
    </w:p>
    <w:p w14:paraId="74E4805C" w14:textId="77777777" w:rsidR="003467C2" w:rsidRPr="00BB44BC" w:rsidRDefault="003467C2" w:rsidP="003467C2">
      <w:r w:rsidRPr="00227BC6">
        <w:t>Further information can be obtained by telephoning ARPANSA on 1800 022 333 (free call within Australia) or +61 (03) 9433 2211.</w:t>
      </w:r>
    </w:p>
    <w:p w14:paraId="7D1D4640" w14:textId="77777777" w:rsidR="003467C2" w:rsidRDefault="003467C2" w:rsidP="003467C2">
      <w:pPr>
        <w:tabs>
          <w:tab w:val="left" w:pos="0"/>
        </w:tabs>
        <w:autoSpaceDE w:val="0"/>
        <w:autoSpaceDN w:val="0"/>
        <w:adjustRightInd w:val="0"/>
        <w:jc w:val="both"/>
      </w:pPr>
    </w:p>
    <w:p w14:paraId="671CF6C4" w14:textId="77777777" w:rsidR="003467C2" w:rsidRDefault="003467C2" w:rsidP="003467C2">
      <w:pPr>
        <w:pStyle w:val="RPSImprintPageText"/>
        <w:pBdr>
          <w:top w:val="single" w:sz="4" w:space="1" w:color="auto"/>
          <w:left w:val="single" w:sz="4" w:space="4" w:color="auto"/>
          <w:bottom w:val="single" w:sz="4" w:space="1" w:color="auto"/>
          <w:right w:val="single" w:sz="4" w:space="1" w:color="auto"/>
        </w:pBdr>
        <w:tabs>
          <w:tab w:val="left" w:pos="0"/>
        </w:tabs>
        <w:sectPr w:rsidR="003467C2" w:rsidSect="00912E5D">
          <w:headerReference w:type="even" r:id="rId11"/>
          <w:headerReference w:type="default" r:id="rId12"/>
          <w:footerReference w:type="default" r:id="rId13"/>
          <w:headerReference w:type="first" r:id="rId14"/>
          <w:pgSz w:w="11906" w:h="16838"/>
          <w:pgMar w:top="1134" w:right="1134" w:bottom="1134" w:left="1134" w:header="720" w:footer="720" w:gutter="0"/>
          <w:cols w:space="720"/>
          <w:docGrid w:linePitch="326"/>
        </w:sectPr>
      </w:pPr>
      <w:bookmarkStart w:id="0" w:name="_GoBack"/>
      <w:bookmarkEnd w:id="0"/>
    </w:p>
    <w:p w14:paraId="5D339E3C" w14:textId="77777777" w:rsidR="003467C2" w:rsidRPr="00471B5A" w:rsidRDefault="003467C2" w:rsidP="003467C2">
      <w:pPr>
        <w:pStyle w:val="Default"/>
        <w:spacing w:line="340" w:lineRule="exact"/>
        <w:rPr>
          <w:noProof/>
        </w:rPr>
      </w:pPr>
    </w:p>
    <w:p w14:paraId="204A4641" w14:textId="77777777" w:rsidR="003467C2" w:rsidRPr="00471B5A" w:rsidRDefault="003467C2" w:rsidP="003467C2">
      <w:pPr>
        <w:pStyle w:val="Default"/>
        <w:spacing w:line="340" w:lineRule="exact"/>
        <w:rPr>
          <w:noProof/>
        </w:rPr>
      </w:pPr>
    </w:p>
    <w:p w14:paraId="34DEDA48" w14:textId="77777777" w:rsidR="003467C2" w:rsidRPr="009209AF" w:rsidRDefault="003467C2" w:rsidP="003467C2">
      <w:pPr>
        <w:ind w:left="2268"/>
        <w:rPr>
          <w:rFonts w:ascii="Calibri" w:hAnsi="Calibri"/>
          <w:color w:val="4F81BD"/>
          <w:szCs w:val="24"/>
        </w:rPr>
      </w:pPr>
    </w:p>
    <w:p w14:paraId="6468CF1A" w14:textId="06119703" w:rsidR="003467C2" w:rsidRPr="003467C2" w:rsidRDefault="00CC0299" w:rsidP="003467C2">
      <w:pPr>
        <w:jc w:val="center"/>
        <w:rPr>
          <w:rFonts w:ascii="Calibri" w:hAnsi="Calibri"/>
          <w:b/>
          <w:color w:val="4E1A74" w:themeColor="text2"/>
          <w:sz w:val="52"/>
          <w:szCs w:val="24"/>
        </w:rPr>
      </w:pPr>
      <w:r>
        <w:rPr>
          <w:rFonts w:ascii="Calibri" w:hAnsi="Calibri"/>
          <w:b/>
          <w:color w:val="4E1A74" w:themeColor="text2"/>
          <w:sz w:val="52"/>
          <w:szCs w:val="24"/>
        </w:rPr>
        <w:t xml:space="preserve">Code for </w:t>
      </w:r>
      <w:r w:rsidR="003467C2" w:rsidRPr="003467C2">
        <w:rPr>
          <w:rFonts w:ascii="Calibri" w:hAnsi="Calibri"/>
          <w:b/>
          <w:color w:val="4E1A74" w:themeColor="text2"/>
          <w:sz w:val="52"/>
          <w:szCs w:val="24"/>
        </w:rPr>
        <w:t>Disposal</w:t>
      </w:r>
      <w:r w:rsidR="00C231E3">
        <w:rPr>
          <w:rFonts w:ascii="Calibri" w:hAnsi="Calibri"/>
          <w:b/>
          <w:color w:val="4E1A74" w:themeColor="text2"/>
          <w:sz w:val="52"/>
          <w:szCs w:val="24"/>
        </w:rPr>
        <w:t xml:space="preserve"> Facilities for</w:t>
      </w:r>
      <w:r w:rsidR="003467C2" w:rsidRPr="003467C2">
        <w:rPr>
          <w:rFonts w:ascii="Calibri" w:hAnsi="Calibri"/>
          <w:b/>
          <w:color w:val="4E1A74" w:themeColor="text2"/>
          <w:sz w:val="52"/>
          <w:szCs w:val="24"/>
        </w:rPr>
        <w:t xml:space="preserve"> </w:t>
      </w:r>
      <w:r w:rsidR="00006E60">
        <w:rPr>
          <w:rFonts w:ascii="Calibri" w:hAnsi="Calibri"/>
          <w:b/>
          <w:color w:val="4E1A74" w:themeColor="text2"/>
          <w:sz w:val="52"/>
          <w:szCs w:val="24"/>
        </w:rPr>
        <w:t xml:space="preserve">Solid </w:t>
      </w:r>
      <w:r w:rsidR="003467C2" w:rsidRPr="003467C2">
        <w:rPr>
          <w:rFonts w:ascii="Calibri" w:hAnsi="Calibri"/>
          <w:b/>
          <w:color w:val="4E1A74" w:themeColor="text2"/>
          <w:sz w:val="52"/>
          <w:szCs w:val="24"/>
        </w:rPr>
        <w:t>Radioactive Waste</w:t>
      </w:r>
    </w:p>
    <w:p w14:paraId="23DDF535" w14:textId="77777777" w:rsidR="003467C2" w:rsidRDefault="003467C2" w:rsidP="003467C2">
      <w:pPr>
        <w:jc w:val="center"/>
        <w:rPr>
          <w:rFonts w:ascii="Calibri" w:hAnsi="Calibri"/>
          <w:b/>
          <w:color w:val="4F81BD"/>
          <w:sz w:val="72"/>
          <w:szCs w:val="24"/>
        </w:rPr>
      </w:pPr>
    </w:p>
    <w:p w14:paraId="1514C727" w14:textId="3D6F8C02" w:rsidR="003467C2" w:rsidRPr="003467C2" w:rsidRDefault="008F54D7" w:rsidP="003467C2">
      <w:pPr>
        <w:jc w:val="center"/>
        <w:rPr>
          <w:rFonts w:ascii="Calibri" w:hAnsi="Calibri"/>
          <w:b/>
          <w:i/>
          <w:color w:val="4E1A74" w:themeColor="text2"/>
          <w:spacing w:val="-6"/>
          <w:sz w:val="44"/>
          <w:szCs w:val="24"/>
        </w:rPr>
      </w:pPr>
      <w:r>
        <w:rPr>
          <w:rFonts w:ascii="Calibri" w:hAnsi="Calibri"/>
          <w:b/>
          <w:i/>
          <w:color w:val="4E1A74" w:themeColor="text2"/>
          <w:spacing w:val="-6"/>
          <w:sz w:val="44"/>
          <w:szCs w:val="24"/>
        </w:rPr>
        <w:t>Radiation Protection Series C-3</w:t>
      </w:r>
    </w:p>
    <w:p w14:paraId="5928CEED" w14:textId="77777777" w:rsidR="003467C2" w:rsidRPr="003467C2" w:rsidRDefault="003467C2" w:rsidP="003467C2">
      <w:pPr>
        <w:jc w:val="center"/>
        <w:rPr>
          <w:rFonts w:ascii="Calibri" w:hAnsi="Calibri"/>
          <w:b/>
          <w:i/>
          <w:color w:val="4E1A74" w:themeColor="text2"/>
          <w:sz w:val="44"/>
          <w:szCs w:val="44"/>
        </w:rPr>
      </w:pPr>
    </w:p>
    <w:p w14:paraId="0D9736F0" w14:textId="23DAB890" w:rsidR="003467C2" w:rsidRPr="003467C2" w:rsidRDefault="00AA65E7" w:rsidP="003467C2">
      <w:pPr>
        <w:jc w:val="center"/>
        <w:rPr>
          <w:rFonts w:ascii="Calibri" w:hAnsi="Calibri"/>
          <w:b/>
          <w:color w:val="4E1A74" w:themeColor="text2"/>
          <w:sz w:val="44"/>
          <w:szCs w:val="44"/>
        </w:rPr>
      </w:pPr>
      <w:r>
        <w:rPr>
          <w:rFonts w:ascii="Calibri" w:hAnsi="Calibri"/>
          <w:b/>
          <w:color w:val="4E1A74" w:themeColor="text2"/>
          <w:sz w:val="44"/>
          <w:szCs w:val="44"/>
        </w:rPr>
        <w:t>October 2018</w:t>
      </w:r>
    </w:p>
    <w:p w14:paraId="7D234AAF" w14:textId="77777777" w:rsidR="003467C2" w:rsidRPr="009209AF" w:rsidRDefault="003467C2" w:rsidP="003467C2">
      <w:pPr>
        <w:ind w:left="2268"/>
        <w:rPr>
          <w:rFonts w:ascii="Calibri" w:hAnsi="Calibri"/>
          <w:color w:val="4F81BD"/>
          <w:szCs w:val="24"/>
        </w:rPr>
      </w:pPr>
    </w:p>
    <w:p w14:paraId="4DF50FF0" w14:textId="77777777" w:rsidR="003467C2" w:rsidRPr="009209AF" w:rsidRDefault="003467C2" w:rsidP="003467C2">
      <w:pPr>
        <w:ind w:left="2268"/>
        <w:rPr>
          <w:rFonts w:ascii="Calibri" w:hAnsi="Calibri"/>
          <w:color w:val="4F81BD"/>
          <w:szCs w:val="24"/>
        </w:rPr>
      </w:pPr>
    </w:p>
    <w:p w14:paraId="4D714779" w14:textId="77777777" w:rsidR="003467C2" w:rsidRPr="00FB70C9" w:rsidRDefault="003467C2" w:rsidP="003467C2"/>
    <w:p w14:paraId="0DCFCC45" w14:textId="7D11A066" w:rsidR="003467C2" w:rsidRPr="003467C2" w:rsidRDefault="003467C2" w:rsidP="003467C2">
      <w:pPr>
        <w:pBdr>
          <w:top w:val="single" w:sz="4" w:space="1" w:color="4E1A74" w:themeColor="text2"/>
          <w:left w:val="single" w:sz="4" w:space="4" w:color="4E1A74" w:themeColor="text2"/>
          <w:bottom w:val="single" w:sz="4" w:space="1" w:color="4E1A74" w:themeColor="text2"/>
          <w:right w:val="single" w:sz="4" w:space="4" w:color="4E1A74" w:themeColor="text2"/>
        </w:pBdr>
        <w:shd w:val="clear" w:color="auto" w:fill="E3CCF4" w:themeFill="accent1"/>
        <w:spacing w:before="0"/>
        <w:ind w:left="1134" w:right="1133"/>
        <w:rPr>
          <w:b/>
          <w:color w:val="4E1A74" w:themeColor="text2"/>
          <w:sz w:val="24"/>
        </w:rPr>
      </w:pPr>
      <w:r w:rsidRPr="003467C2">
        <w:rPr>
          <w:b/>
          <w:color w:val="4E1A74" w:themeColor="text2"/>
          <w:sz w:val="24"/>
        </w:rPr>
        <w:t xml:space="preserve">This publication was prepared jointly with the </w:t>
      </w:r>
      <w:r w:rsidRPr="003467C2">
        <w:rPr>
          <w:b/>
          <w:i/>
          <w:color w:val="4E1A74" w:themeColor="text2"/>
          <w:sz w:val="24"/>
        </w:rPr>
        <w:t>Radiation Health Committee</w:t>
      </w:r>
      <w:r w:rsidRPr="003467C2">
        <w:rPr>
          <w:b/>
          <w:color w:val="4E1A74" w:themeColor="text2"/>
          <w:sz w:val="24"/>
        </w:rPr>
        <w:t xml:space="preserve">. The </w:t>
      </w:r>
      <w:r w:rsidRPr="003467C2">
        <w:rPr>
          <w:b/>
          <w:i/>
          <w:color w:val="4E1A74" w:themeColor="text2"/>
          <w:sz w:val="24"/>
        </w:rPr>
        <w:t>Radiation Health and Safety Advisory Council</w:t>
      </w:r>
      <w:r w:rsidRPr="003467C2">
        <w:rPr>
          <w:b/>
          <w:color w:val="4E1A74" w:themeColor="text2"/>
          <w:sz w:val="24"/>
        </w:rPr>
        <w:t xml:space="preserve"> </w:t>
      </w:r>
      <w:r w:rsidRPr="005615C0">
        <w:rPr>
          <w:b/>
          <w:color w:val="4E1A74" w:themeColor="text2"/>
          <w:sz w:val="24"/>
        </w:rPr>
        <w:t xml:space="preserve">advised the CEO to adopt the </w:t>
      </w:r>
      <w:r w:rsidR="002965CA" w:rsidRPr="005615C0">
        <w:rPr>
          <w:b/>
          <w:color w:val="4E1A74" w:themeColor="text2"/>
          <w:sz w:val="24"/>
        </w:rPr>
        <w:t>Code</w:t>
      </w:r>
      <w:r w:rsidRPr="005615C0">
        <w:rPr>
          <w:b/>
          <w:color w:val="4E1A74" w:themeColor="text2"/>
          <w:sz w:val="24"/>
        </w:rPr>
        <w:t>.</w:t>
      </w:r>
    </w:p>
    <w:p w14:paraId="77DC2856" w14:textId="77777777" w:rsidR="003467C2" w:rsidRPr="009209AF" w:rsidRDefault="003467C2" w:rsidP="003467C2">
      <w:pPr>
        <w:ind w:left="2268"/>
        <w:rPr>
          <w:rFonts w:ascii="Calibri" w:hAnsi="Calibri"/>
          <w:color w:val="4F81BD"/>
          <w:szCs w:val="24"/>
        </w:rPr>
      </w:pPr>
    </w:p>
    <w:p w14:paraId="54047110" w14:textId="77777777" w:rsidR="003467C2" w:rsidRPr="009209AF" w:rsidRDefault="003467C2" w:rsidP="003467C2">
      <w:pPr>
        <w:ind w:left="2268"/>
        <w:rPr>
          <w:rFonts w:ascii="Calibri" w:hAnsi="Calibri"/>
          <w:color w:val="4F81BD"/>
          <w:szCs w:val="24"/>
        </w:rPr>
      </w:pPr>
    </w:p>
    <w:p w14:paraId="70AFCBEB" w14:textId="14EC76BE" w:rsidR="00642C15" w:rsidRDefault="00642C15" w:rsidP="00642C15">
      <w:pPr>
        <w:rPr>
          <w:rFonts w:ascii="Calibri" w:hAnsi="Calibri"/>
          <w:color w:val="4F81BD"/>
          <w:szCs w:val="24"/>
        </w:rPr>
        <w:sectPr w:rsidR="00642C15" w:rsidSect="00912E5D">
          <w:headerReference w:type="even" r:id="rId15"/>
          <w:headerReference w:type="default" r:id="rId16"/>
          <w:headerReference w:type="first" r:id="rId17"/>
          <w:footerReference w:type="first" r:id="rId18"/>
          <w:pgSz w:w="11906" w:h="16838"/>
          <w:pgMar w:top="1134" w:right="1134" w:bottom="1134" w:left="1134" w:header="720" w:footer="720" w:gutter="0"/>
          <w:cols w:space="720"/>
          <w:titlePg/>
          <w:docGrid w:linePitch="326"/>
        </w:sectPr>
      </w:pPr>
    </w:p>
    <w:p w14:paraId="6B092F6F" w14:textId="77777777" w:rsidR="00F168FB" w:rsidRDefault="003467C2" w:rsidP="00F168FB">
      <w:pPr>
        <w:rPr>
          <w:rFonts w:eastAsia="Calibri"/>
          <w:sz w:val="20"/>
        </w:rPr>
      </w:pPr>
      <w:r w:rsidRPr="00BA4F24">
        <w:rPr>
          <w:rFonts w:eastAsia="Calibri"/>
          <w:noProof/>
          <w:lang w:eastAsia="en-AU"/>
        </w:rPr>
        <w:lastRenderedPageBreak/>
        <mc:AlternateContent>
          <mc:Choice Requires="wps">
            <w:drawing>
              <wp:anchor distT="0" distB="0" distL="114300" distR="114300" simplePos="0" relativeHeight="251659264" behindDoc="0" locked="0" layoutInCell="1" allowOverlap="1" wp14:anchorId="2116F2A2" wp14:editId="474529CB">
                <wp:simplePos x="0" y="0"/>
                <wp:positionH relativeFrom="margin">
                  <wp:posOffset>3810</wp:posOffset>
                </wp:positionH>
                <wp:positionV relativeFrom="paragraph">
                  <wp:posOffset>70485</wp:posOffset>
                </wp:positionV>
                <wp:extent cx="6058535" cy="6218555"/>
                <wp:effectExtent l="0" t="0" r="18415" b="1079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6218555"/>
                        </a:xfrm>
                        <a:prstGeom prst="rect">
                          <a:avLst/>
                        </a:prstGeom>
                        <a:solidFill>
                          <a:srgbClr val="FFFFFF"/>
                        </a:solidFill>
                        <a:ln w="9525">
                          <a:solidFill>
                            <a:srgbClr val="000000"/>
                          </a:solidFill>
                          <a:miter lim="800000"/>
                          <a:headEnd/>
                          <a:tailEnd/>
                        </a:ln>
                      </wps:spPr>
                      <wps:txbx>
                        <w:txbxContent>
                          <w:p w14:paraId="5F5E0909" w14:textId="100126D9" w:rsidR="00C56A9D" w:rsidRPr="003608A9" w:rsidRDefault="00C56A9D" w:rsidP="003467C2">
                            <w:pPr>
                              <w:pStyle w:val="Text"/>
                              <w:spacing w:before="0" w:after="0" w:line="240" w:lineRule="auto"/>
                              <w:rPr>
                                <w:color w:val="444448" w:themeColor="accent4"/>
                                <w:sz w:val="18"/>
                                <w:szCs w:val="18"/>
                              </w:rPr>
                            </w:pPr>
                            <w:r>
                              <w:rPr>
                                <w:color w:val="444448" w:themeColor="accent4"/>
                                <w:sz w:val="18"/>
                                <w:szCs w:val="18"/>
                                <w:lang w:eastAsia="en-US"/>
                              </w:rPr>
                              <w:t>© Commonwealth of Australia 2018</w:t>
                            </w:r>
                          </w:p>
                          <w:p w14:paraId="358D8273" w14:textId="77777777" w:rsidR="00C56A9D" w:rsidRPr="003608A9" w:rsidRDefault="00C56A9D" w:rsidP="003467C2">
                            <w:pPr>
                              <w:pStyle w:val="Text"/>
                              <w:spacing w:before="0" w:after="0" w:line="240" w:lineRule="auto"/>
                              <w:rPr>
                                <w:color w:val="444448" w:themeColor="accent4"/>
                                <w:sz w:val="18"/>
                                <w:szCs w:val="18"/>
                              </w:rPr>
                            </w:pPr>
                            <w:r w:rsidRPr="003608A9">
                              <w:rPr>
                                <w:color w:val="444448" w:themeColor="accent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D24A00" w14:textId="77777777" w:rsidR="00C56A9D" w:rsidRPr="003608A9" w:rsidRDefault="00C56A9D" w:rsidP="003467C2">
                            <w:pPr>
                              <w:pStyle w:val="Text"/>
                              <w:spacing w:before="0" w:after="0" w:line="240" w:lineRule="auto"/>
                              <w:rPr>
                                <w:color w:val="444448" w:themeColor="accent4"/>
                                <w:sz w:val="18"/>
                                <w:szCs w:val="18"/>
                              </w:rPr>
                            </w:pPr>
                          </w:p>
                          <w:p w14:paraId="6E6D9BC4" w14:textId="77777777" w:rsidR="00C56A9D" w:rsidRPr="003608A9" w:rsidRDefault="00C56A9D" w:rsidP="003467C2">
                            <w:pPr>
                              <w:pStyle w:val="Text"/>
                              <w:spacing w:before="0" w:after="0" w:line="240" w:lineRule="auto"/>
                              <w:rPr>
                                <w:color w:val="444448" w:themeColor="accent4"/>
                                <w:sz w:val="18"/>
                                <w:szCs w:val="18"/>
                              </w:rPr>
                            </w:pPr>
                          </w:p>
                          <w:p w14:paraId="7DFDB020" w14:textId="6DD3E02D" w:rsidR="00C56A9D" w:rsidRPr="00783C94" w:rsidRDefault="00C56A9D" w:rsidP="003467C2">
                            <w:pPr>
                              <w:pStyle w:val="Text"/>
                              <w:spacing w:before="0" w:after="0" w:line="240" w:lineRule="auto"/>
                              <w:rPr>
                                <w:color w:val="444448" w:themeColor="accent4"/>
                                <w:sz w:val="18"/>
                                <w:szCs w:val="18"/>
                              </w:rPr>
                            </w:pPr>
                            <w:r w:rsidRPr="00783C94">
                              <w:rPr>
                                <w:color w:val="444448" w:themeColor="accent4"/>
                                <w:sz w:val="18"/>
                                <w:szCs w:val="18"/>
                              </w:rPr>
                              <w:t xml:space="preserve">ISBN </w:t>
                            </w:r>
                            <w:r w:rsidR="00783C94" w:rsidRPr="00783C94">
                              <w:rPr>
                                <w:color w:val="444448" w:themeColor="accent4"/>
                                <w:sz w:val="18"/>
                                <w:szCs w:val="18"/>
                              </w:rPr>
                              <w:t>978-0-6483704-3-7</w:t>
                            </w:r>
                          </w:p>
                          <w:p w14:paraId="085ABAA2" w14:textId="77777777" w:rsidR="00C56A9D" w:rsidRPr="003608A9" w:rsidRDefault="00C56A9D" w:rsidP="003467C2">
                            <w:pPr>
                              <w:pStyle w:val="Text"/>
                              <w:spacing w:before="0" w:after="0" w:line="240" w:lineRule="auto"/>
                              <w:rPr>
                                <w:color w:val="444448" w:themeColor="accent4"/>
                                <w:sz w:val="18"/>
                                <w:szCs w:val="18"/>
                              </w:rPr>
                            </w:pPr>
                            <w:r w:rsidRPr="00783C94">
                              <w:rPr>
                                <w:color w:val="444448" w:themeColor="accent4"/>
                                <w:sz w:val="18"/>
                                <w:szCs w:val="18"/>
                              </w:rPr>
                              <w:t>ISSN 1445-9760</w:t>
                            </w:r>
                          </w:p>
                          <w:p w14:paraId="1BB687D6" w14:textId="77777777" w:rsidR="00C56A9D" w:rsidRPr="003608A9" w:rsidRDefault="00C56A9D" w:rsidP="003467C2">
                            <w:pPr>
                              <w:pStyle w:val="Text"/>
                              <w:spacing w:before="0" w:after="0" w:line="240" w:lineRule="auto"/>
                              <w:rPr>
                                <w:color w:val="444448" w:themeColor="accent4"/>
                                <w:sz w:val="18"/>
                                <w:szCs w:val="18"/>
                              </w:rPr>
                            </w:pPr>
                          </w:p>
                          <w:p w14:paraId="4485CBF2" w14:textId="77777777" w:rsidR="00C56A9D" w:rsidRPr="003608A9" w:rsidRDefault="00C56A9D" w:rsidP="003467C2">
                            <w:pPr>
                              <w:pStyle w:val="Text"/>
                              <w:spacing w:before="0" w:after="0" w:line="240" w:lineRule="auto"/>
                              <w:rPr>
                                <w:color w:val="444448" w:themeColor="accent4"/>
                                <w:sz w:val="18"/>
                                <w:szCs w:val="18"/>
                              </w:rPr>
                            </w:pPr>
                            <w:r w:rsidRPr="003608A9">
                              <w:rPr>
                                <w:noProof/>
                                <w:color w:val="444448" w:themeColor="accent4"/>
                                <w:sz w:val="18"/>
                                <w:szCs w:val="18"/>
                                <w:lang w:val="en-AU"/>
                              </w:rPr>
                              <w:drawing>
                                <wp:inline distT="0" distB="0" distL="0" distR="0" wp14:anchorId="147574E0" wp14:editId="7911785C">
                                  <wp:extent cx="760095" cy="2641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BEDED63" w14:textId="77777777" w:rsidR="00C56A9D" w:rsidRPr="003608A9" w:rsidRDefault="00C56A9D" w:rsidP="003467C2">
                            <w:pPr>
                              <w:pStyle w:val="Text"/>
                              <w:spacing w:before="0" w:after="0" w:line="240" w:lineRule="auto"/>
                              <w:rPr>
                                <w:color w:val="444448" w:themeColor="accent4"/>
                                <w:sz w:val="18"/>
                                <w:szCs w:val="18"/>
                              </w:rPr>
                            </w:pPr>
                          </w:p>
                          <w:p w14:paraId="51B8CD13" w14:textId="77777777" w:rsidR="00C56A9D" w:rsidRPr="003608A9" w:rsidRDefault="00C56A9D" w:rsidP="003467C2">
                            <w:pPr>
                              <w:pStyle w:val="Text"/>
                              <w:spacing w:before="0" w:after="0" w:line="240" w:lineRule="auto"/>
                              <w:rPr>
                                <w:b/>
                                <w:color w:val="444448" w:themeColor="accent4"/>
                                <w:sz w:val="18"/>
                                <w:szCs w:val="18"/>
                              </w:rPr>
                            </w:pPr>
                            <w:r w:rsidRPr="003608A9">
                              <w:rPr>
                                <w:b/>
                                <w:color w:val="444448" w:themeColor="accent4"/>
                                <w:sz w:val="18"/>
                                <w:szCs w:val="18"/>
                              </w:rPr>
                              <w:t>Creative Commons</w:t>
                            </w:r>
                          </w:p>
                          <w:p w14:paraId="39A03123" w14:textId="0866ADBF"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 xml:space="preserve">With the exception of the Commonwealth Coat of Arms, any ARPANSA logos and any content that is marked as being third party material, this publication, </w:t>
                            </w:r>
                            <w:r>
                              <w:rPr>
                                <w:i/>
                                <w:color w:val="444448" w:themeColor="accent4"/>
                                <w:sz w:val="18"/>
                                <w:szCs w:val="18"/>
                              </w:rPr>
                              <w:t>Code for Disposal Facilities for</w:t>
                            </w:r>
                            <w:r w:rsidRPr="003608A9">
                              <w:rPr>
                                <w:i/>
                                <w:color w:val="444448" w:themeColor="accent4"/>
                                <w:sz w:val="18"/>
                                <w:szCs w:val="18"/>
                              </w:rPr>
                              <w:t xml:space="preserve"> Solid Radioactive Waste </w:t>
                            </w:r>
                            <w:r w:rsidRPr="00CB5472">
                              <w:rPr>
                                <w:i/>
                                <w:color w:val="444448" w:themeColor="accent4"/>
                                <w:sz w:val="18"/>
                                <w:szCs w:val="18"/>
                              </w:rPr>
                              <w:t>(2018</w:t>
                            </w:r>
                            <w:r w:rsidRPr="003608A9">
                              <w:rPr>
                                <w:i/>
                                <w:color w:val="444448" w:themeColor="accent4"/>
                                <w:sz w:val="18"/>
                                <w:szCs w:val="18"/>
                              </w:rPr>
                              <w:t>)</w:t>
                            </w:r>
                            <w:r w:rsidRPr="003608A9">
                              <w:rPr>
                                <w:color w:val="444448" w:themeColor="accent4"/>
                                <w:sz w:val="18"/>
                                <w:szCs w:val="18"/>
                              </w:rPr>
                              <w:t xml:space="preserve">, by the Australian Radiation Protection and Nuclear Safety Agency is licensed under a Creative Commons Attribution 3.0 Australia licence (to view a copy of the licence, visit </w:t>
                            </w:r>
                            <w:r>
                              <w:rPr>
                                <w:color w:val="444448" w:themeColor="accent4"/>
                                <w:sz w:val="18"/>
                                <w:szCs w:val="18"/>
                              </w:rPr>
                              <w:t>(</w:t>
                            </w:r>
                            <w:hyperlink r:id="rId20" w:history="1">
                              <w:r w:rsidRPr="003467C2">
                                <w:rPr>
                                  <w:rStyle w:val="Hyperlink"/>
                                  <w:i/>
                                  <w:iCs/>
                                  <w:spacing w:val="-4"/>
                                  <w:sz w:val="18"/>
                                  <w:szCs w:val="18"/>
                                </w:rPr>
                                <w:t>http://creativecommons.org/licenses/by/3.0/au</w:t>
                              </w:r>
                            </w:hyperlink>
                            <w:r w:rsidRPr="003608A9">
                              <w:rPr>
                                <w:color w:val="444448" w:themeColor="accent4"/>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189E062" w14:textId="77777777"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3171F32F" w14:textId="600811F6" w:rsidR="00C56A9D" w:rsidRPr="003608A9" w:rsidRDefault="00C56A9D" w:rsidP="003467C2">
                            <w:pPr>
                              <w:pStyle w:val="TechRep"/>
                              <w:spacing w:before="120" w:after="0" w:line="240" w:lineRule="auto"/>
                              <w:ind w:left="284" w:right="357"/>
                              <w:rPr>
                                <w:color w:val="444448" w:themeColor="accent4"/>
                                <w:sz w:val="18"/>
                                <w:szCs w:val="18"/>
                              </w:rPr>
                            </w:pPr>
                            <w:r w:rsidRPr="003608A9">
                              <w:rPr>
                                <w:color w:val="444448" w:themeColor="accent4"/>
                                <w:sz w:val="18"/>
                                <w:szCs w:val="18"/>
                              </w:rPr>
                              <w:t xml:space="preserve">“© Commonwealth of Australia </w:t>
                            </w:r>
                            <w:r w:rsidRPr="00CB5472">
                              <w:rPr>
                                <w:color w:val="444448" w:themeColor="accent4"/>
                                <w:sz w:val="18"/>
                                <w:szCs w:val="18"/>
                              </w:rPr>
                              <w:t>2018,</w:t>
                            </w:r>
                            <w:r w:rsidRPr="003608A9">
                              <w:rPr>
                                <w:color w:val="444448" w:themeColor="accent4"/>
                                <w:sz w:val="18"/>
                                <w:szCs w:val="18"/>
                              </w:rPr>
                              <w:t xml:space="preserve"> as represented by the Australian Radiation Protection and Nuclear Safety Agency (ARPANSA)”</w:t>
                            </w:r>
                          </w:p>
                          <w:p w14:paraId="7B8B14E8" w14:textId="58833B38"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 xml:space="preserve">The publication should be attributed as: Code for Disposal </w:t>
                            </w:r>
                            <w:r>
                              <w:rPr>
                                <w:color w:val="444448" w:themeColor="accent4"/>
                                <w:sz w:val="18"/>
                                <w:szCs w:val="18"/>
                              </w:rPr>
                              <w:t>Facilities for</w:t>
                            </w:r>
                            <w:r w:rsidRPr="003608A9">
                              <w:rPr>
                                <w:color w:val="444448" w:themeColor="accent4"/>
                                <w:sz w:val="18"/>
                                <w:szCs w:val="18"/>
                              </w:rPr>
                              <w:t xml:space="preserve"> </w:t>
                            </w:r>
                            <w:r>
                              <w:rPr>
                                <w:color w:val="444448" w:themeColor="accent4"/>
                                <w:sz w:val="18"/>
                                <w:szCs w:val="18"/>
                              </w:rPr>
                              <w:t xml:space="preserve">Solid </w:t>
                            </w:r>
                            <w:r w:rsidRPr="003608A9">
                              <w:rPr>
                                <w:color w:val="444448" w:themeColor="accent4"/>
                                <w:sz w:val="18"/>
                                <w:szCs w:val="18"/>
                              </w:rPr>
                              <w:t xml:space="preserve">Radioactive Waste </w:t>
                            </w:r>
                            <w:r w:rsidRPr="00CB5472">
                              <w:rPr>
                                <w:color w:val="444448" w:themeColor="accent4"/>
                                <w:sz w:val="18"/>
                                <w:szCs w:val="18"/>
                              </w:rPr>
                              <w:t>(2018</w:t>
                            </w:r>
                            <w:r w:rsidRPr="003608A9">
                              <w:rPr>
                                <w:color w:val="444448" w:themeColor="accent4"/>
                                <w:sz w:val="18"/>
                                <w:szCs w:val="18"/>
                              </w:rPr>
                              <w:t>).</w:t>
                            </w:r>
                          </w:p>
                          <w:p w14:paraId="21AE0963" w14:textId="77777777" w:rsidR="00C56A9D" w:rsidRPr="003608A9" w:rsidRDefault="00C56A9D" w:rsidP="003467C2">
                            <w:pPr>
                              <w:pStyle w:val="TechRep"/>
                              <w:spacing w:before="0" w:after="0" w:line="240" w:lineRule="auto"/>
                              <w:rPr>
                                <w:color w:val="444448" w:themeColor="accent4"/>
                                <w:sz w:val="18"/>
                                <w:szCs w:val="18"/>
                              </w:rPr>
                            </w:pPr>
                          </w:p>
                          <w:p w14:paraId="2CAACD3E" w14:textId="77777777" w:rsidR="00C56A9D" w:rsidRPr="003608A9" w:rsidRDefault="00C56A9D" w:rsidP="003467C2">
                            <w:pPr>
                              <w:pStyle w:val="TechRep"/>
                              <w:spacing w:before="0" w:after="0" w:line="240" w:lineRule="auto"/>
                              <w:contextualSpacing/>
                              <w:rPr>
                                <w:b/>
                                <w:color w:val="444448" w:themeColor="accent4"/>
                                <w:sz w:val="18"/>
                                <w:szCs w:val="18"/>
                              </w:rPr>
                            </w:pPr>
                            <w:r w:rsidRPr="003608A9">
                              <w:rPr>
                                <w:b/>
                                <w:color w:val="444448" w:themeColor="accent4"/>
                                <w:sz w:val="18"/>
                                <w:szCs w:val="18"/>
                              </w:rPr>
                              <w:t>Use of the Coat of Arms</w:t>
                            </w:r>
                          </w:p>
                          <w:p w14:paraId="2F9098CB" w14:textId="77777777" w:rsidR="00C56A9D" w:rsidRPr="003467C2" w:rsidRDefault="00C56A9D" w:rsidP="003467C2">
                            <w:pPr>
                              <w:pStyle w:val="Text"/>
                              <w:spacing w:before="180" w:after="0" w:line="240" w:lineRule="auto"/>
                              <w:rPr>
                                <w:sz w:val="18"/>
                                <w:szCs w:val="18"/>
                              </w:rPr>
                            </w:pPr>
                            <w:r w:rsidRPr="003608A9">
                              <w:rPr>
                                <w:color w:val="444448" w:themeColor="accent4"/>
                                <w:sz w:val="18"/>
                                <w:szCs w:val="18"/>
                              </w:rPr>
                              <w:t>The terms under which the Coat of Arms can be used are detailed on the Department of the Prime Minister and Cabinet website (</w:t>
                            </w:r>
                            <w:hyperlink r:id="rId21" w:history="1">
                              <w:r w:rsidRPr="003467C2">
                                <w:rPr>
                                  <w:rStyle w:val="Hyperlink"/>
                                  <w:sz w:val="18"/>
                                  <w:szCs w:val="18"/>
                                </w:rPr>
                                <w:t>www.dpmc.gov.au/government/commonwealth-coat-arms</w:t>
                              </w:r>
                            </w:hyperlink>
                            <w:r w:rsidRPr="003608A9">
                              <w:rPr>
                                <w:color w:val="444448" w:themeColor="accent4"/>
                                <w:sz w:val="18"/>
                                <w:szCs w:val="18"/>
                              </w:rPr>
                              <w:t>).</w:t>
                            </w:r>
                          </w:p>
                          <w:p w14:paraId="59427258" w14:textId="77777777"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Enquiries regarding the licence and any use of this report are welcome.</w:t>
                            </w:r>
                          </w:p>
                          <w:p w14:paraId="65298890" w14:textId="77777777" w:rsidR="00C56A9D" w:rsidRPr="003608A9" w:rsidRDefault="00C56A9D" w:rsidP="003467C2">
                            <w:pPr>
                              <w:pStyle w:val="TechRep"/>
                              <w:spacing w:before="180" w:after="0" w:line="240" w:lineRule="auto"/>
                              <w:jc w:val="left"/>
                              <w:rPr>
                                <w:color w:val="444448" w:themeColor="accent4"/>
                                <w:sz w:val="18"/>
                                <w:szCs w:val="18"/>
                              </w:rPr>
                            </w:pPr>
                            <w:r w:rsidRPr="003608A9">
                              <w:rPr>
                                <w:color w:val="444448" w:themeColor="accent4"/>
                                <w:sz w:val="18"/>
                                <w:szCs w:val="18"/>
                              </w:rPr>
                              <w:tab/>
                              <w:t>ARPANSA</w:t>
                            </w:r>
                            <w:r w:rsidRPr="003608A9">
                              <w:rPr>
                                <w:color w:val="444448" w:themeColor="accent4"/>
                                <w:sz w:val="18"/>
                                <w:szCs w:val="18"/>
                              </w:rPr>
                              <w:br/>
                            </w:r>
                            <w:r w:rsidRPr="003608A9">
                              <w:rPr>
                                <w:color w:val="444448" w:themeColor="accent4"/>
                                <w:sz w:val="18"/>
                                <w:szCs w:val="18"/>
                              </w:rPr>
                              <w:tab/>
                              <w:t>619 Lower Plenty Road</w:t>
                            </w:r>
                            <w:r w:rsidRPr="003608A9">
                              <w:rPr>
                                <w:color w:val="444448" w:themeColor="accent4"/>
                                <w:sz w:val="18"/>
                                <w:szCs w:val="18"/>
                              </w:rPr>
                              <w:br/>
                            </w:r>
                            <w:r w:rsidRPr="003608A9">
                              <w:rPr>
                                <w:color w:val="444448" w:themeColor="accent4"/>
                                <w:sz w:val="18"/>
                                <w:szCs w:val="18"/>
                              </w:rPr>
                              <w:tab/>
                              <w:t>YALLAMBIE   VIC   3085</w:t>
                            </w:r>
                          </w:p>
                          <w:p w14:paraId="0568DA0D" w14:textId="77777777" w:rsidR="00C56A9D" w:rsidRPr="003467C2" w:rsidRDefault="00C56A9D" w:rsidP="003467C2">
                            <w:pPr>
                              <w:pStyle w:val="TechRep"/>
                              <w:spacing w:before="0" w:after="0" w:line="240" w:lineRule="auto"/>
                              <w:jc w:val="left"/>
                              <w:rPr>
                                <w:rFonts w:cs="Calibri"/>
                                <w:sz w:val="18"/>
                                <w:szCs w:val="18"/>
                              </w:rPr>
                            </w:pPr>
                            <w:r w:rsidRPr="003608A9">
                              <w:rPr>
                                <w:rFonts w:cs="Calibri"/>
                                <w:color w:val="444448" w:themeColor="accent4"/>
                                <w:sz w:val="18"/>
                                <w:szCs w:val="18"/>
                              </w:rPr>
                              <w:tab/>
                              <w:t>Tel:   1800 022 333 (Freecall) or +61 3 9433 2211</w:t>
                            </w:r>
                            <w:r w:rsidRPr="003608A9">
                              <w:rPr>
                                <w:rFonts w:cs="Calibri"/>
                                <w:color w:val="444448" w:themeColor="accent4"/>
                                <w:sz w:val="18"/>
                                <w:szCs w:val="18"/>
                              </w:rPr>
                              <w:br/>
                            </w:r>
                            <w:r w:rsidRPr="003608A9">
                              <w:rPr>
                                <w:rFonts w:cs="Calibri"/>
                                <w:color w:val="444448" w:themeColor="accent4"/>
                                <w:sz w:val="18"/>
                                <w:szCs w:val="18"/>
                              </w:rPr>
                              <w:br/>
                            </w:r>
                            <w:r w:rsidRPr="003608A9">
                              <w:rPr>
                                <w:rFonts w:cs="Calibri"/>
                                <w:color w:val="444448" w:themeColor="accent4"/>
                                <w:sz w:val="18"/>
                                <w:szCs w:val="18"/>
                              </w:rPr>
                              <w:tab/>
                              <w:t xml:space="preserve">Email:  </w:t>
                            </w:r>
                            <w:hyperlink r:id="rId22" w:history="1">
                              <w:r w:rsidRPr="003467C2">
                                <w:rPr>
                                  <w:rStyle w:val="Hyperlink"/>
                                  <w:rFonts w:eastAsia="Times New Roman"/>
                                  <w:sz w:val="18"/>
                                  <w:szCs w:val="18"/>
                                </w:rPr>
                                <w:t>info@arpansa.gov.au</w:t>
                              </w:r>
                            </w:hyperlink>
                            <w:r w:rsidRPr="003467C2">
                              <w:rPr>
                                <w:rFonts w:cs="Calibri"/>
                                <w:sz w:val="18"/>
                                <w:szCs w:val="18"/>
                              </w:rPr>
                              <w:br/>
                            </w:r>
                            <w:r w:rsidRPr="003467C2">
                              <w:rPr>
                                <w:rFonts w:cs="Calibri"/>
                                <w:sz w:val="18"/>
                                <w:szCs w:val="18"/>
                              </w:rPr>
                              <w:tab/>
                            </w:r>
                            <w:r w:rsidRPr="003608A9">
                              <w:rPr>
                                <w:rFonts w:cs="Calibri"/>
                                <w:color w:val="444448" w:themeColor="accent4"/>
                                <w:sz w:val="18"/>
                                <w:szCs w:val="18"/>
                              </w:rPr>
                              <w:t xml:space="preserve">Website:  </w:t>
                            </w:r>
                            <w:hyperlink r:id="rId23" w:history="1">
                              <w:r w:rsidRPr="003467C2">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6F2A2" id="_x0000_t202" coordsize="21600,21600" o:spt="202" path="m,l,21600r21600,l21600,xe">
                <v:stroke joinstyle="miter"/>
                <v:path gradientshapeok="t" o:connecttype="rect"/>
              </v:shapetype>
              <v:shape id="Text Box 44" o:spid="_x0000_s1026" type="#_x0000_t202" style="position:absolute;margin-left:.3pt;margin-top:5.55pt;width:477.05pt;height:48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mYKgIAAFMEAAAOAAAAZHJzL2Uyb0RvYy54bWysVNuO0zAQfUfiHyy/06TdTSlR09XSpQhp&#10;uUi7fIDjOI2F7TG226R8PWMnW8rtBZEHy3PxmZkzM1nfDFqRo3BegqnofJZTIgyHRpp9RT8/7l6s&#10;KPGBmYYpMKKiJ+Hpzeb5s3VvS7GADlQjHEEQ48veVrQLwZZZ5nknNPMzsMKgsQWnWUDR7bPGsR7R&#10;tcoWeb7MenCNdcCF96i9G410k/DbVvDwsW29CERVFHML6XTprOOZbdas3DtmO8mnNNg/ZKGZNBj0&#10;DHXHAiMHJ3+D0pI78NCGGQedQdtKLlINWM08/6Wah45ZkWpBcrw90+T/Hyz/cPzkiGwqen1NiWEa&#10;e/QohkBew0BQhfz01pfo9mDRMQyoxz6nWr29B/7FEwPbjpm9uHUO+k6wBvObx5fZxdMRx0eQun8P&#10;DcZhhwAJaGidjuQhHQTRsU+nc29iLhyVy7xYFVcFJRxty8V8VRRFisHKp+fW+fBWgCbxUlGHzU/w&#10;7HjvQ0yHlU8uMZoHJZudVCoJbl9vlSNHhoOyS9+E/pObMqSv6KtiUYwM/BUiT9+fILQMOPFK6oqu&#10;zk6sjLy9MU2ax8CkGu+YsjITkZG7kcUw1MPUmBqaE1LqYJxs3ES8dOC+UdLjVFfUfz0wJyhR7wy2&#10;5SXuTFyDJFwtk+AuLfWlhRmOUBUNlIzXbRhX52Cd3HcYaRwEA7fYylYmkmPPx6ymvHFyE/fTlsXV&#10;uJST149/weY7AAAA//8DAFBLAwQUAAYACAAAACEArInAHt0AAAAHAQAADwAAAGRycy9kb3ducmV2&#10;LnhtbEyOwU7DMBBE70j9B2srcUHUDmoKTeNUCIHgUqQWDhzdeJuExusodpv071lOcNvZGc28fD26&#10;VpyxD40nDclMgUAqvW2o0vD58XL7ACJEQ9a0nlDDBQOsi8lVbjLrB9rieRcrwSUUMqOhjrHLpAxl&#10;jc6Eme+Q2Dv43pnIsq+k7c3A5a6Vd0otpDMN8UJtOnyqsTzuTo5HKvW1HaxJb95en+3m8n6k9Ftp&#10;fT0dH1cgIo7xLwy/+IwOBTPt/YlsEK2GBef4myQg2F2m83sQez6Wag6yyOV//uIHAAD//wMAUEsB&#10;Ai0AFAAGAAgAAAAhALaDOJL+AAAA4QEAABMAAAAAAAAAAAAAAAAAAAAAAFtDb250ZW50X1R5cGVz&#10;XS54bWxQSwECLQAUAAYACAAAACEAOP0h/9YAAACUAQAACwAAAAAAAAAAAAAAAAAvAQAAX3JlbHMv&#10;LnJlbHNQSwECLQAUAAYACAAAACEATp55mCoCAABTBAAADgAAAAAAAAAAAAAAAAAuAgAAZHJzL2Uy&#10;b0RvYy54bWxQSwECLQAUAAYACAAAACEArInAHt0AAAAHAQAADwAAAAAAAAAAAAAAAACEBAAAZHJz&#10;L2Rvd25yZXYueG1sUEsFBgAAAAAEAAQA8wAAAI4FAAAAAA==&#10;">
                <v:textbox inset="2mm,1mm,2mm,1mm">
                  <w:txbxContent>
                    <w:p w14:paraId="5F5E0909" w14:textId="100126D9" w:rsidR="00C56A9D" w:rsidRPr="003608A9" w:rsidRDefault="00C56A9D" w:rsidP="003467C2">
                      <w:pPr>
                        <w:pStyle w:val="Text"/>
                        <w:spacing w:before="0" w:after="0" w:line="240" w:lineRule="auto"/>
                        <w:rPr>
                          <w:color w:val="444448" w:themeColor="accent4"/>
                          <w:sz w:val="18"/>
                          <w:szCs w:val="18"/>
                        </w:rPr>
                      </w:pPr>
                      <w:r>
                        <w:rPr>
                          <w:color w:val="444448" w:themeColor="accent4"/>
                          <w:sz w:val="18"/>
                          <w:szCs w:val="18"/>
                          <w:lang w:eastAsia="en-US"/>
                        </w:rPr>
                        <w:t>© Commonwealth of Australia 2018</w:t>
                      </w:r>
                    </w:p>
                    <w:p w14:paraId="358D8273" w14:textId="77777777" w:rsidR="00C56A9D" w:rsidRPr="003608A9" w:rsidRDefault="00C56A9D" w:rsidP="003467C2">
                      <w:pPr>
                        <w:pStyle w:val="Text"/>
                        <w:spacing w:before="0" w:after="0" w:line="240" w:lineRule="auto"/>
                        <w:rPr>
                          <w:color w:val="444448" w:themeColor="accent4"/>
                          <w:sz w:val="18"/>
                          <w:szCs w:val="18"/>
                        </w:rPr>
                      </w:pPr>
                      <w:r w:rsidRPr="003608A9">
                        <w:rPr>
                          <w:color w:val="444448" w:themeColor="accent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D24A00" w14:textId="77777777" w:rsidR="00C56A9D" w:rsidRPr="003608A9" w:rsidRDefault="00C56A9D" w:rsidP="003467C2">
                      <w:pPr>
                        <w:pStyle w:val="Text"/>
                        <w:spacing w:before="0" w:after="0" w:line="240" w:lineRule="auto"/>
                        <w:rPr>
                          <w:color w:val="444448" w:themeColor="accent4"/>
                          <w:sz w:val="18"/>
                          <w:szCs w:val="18"/>
                        </w:rPr>
                      </w:pPr>
                    </w:p>
                    <w:p w14:paraId="6E6D9BC4" w14:textId="77777777" w:rsidR="00C56A9D" w:rsidRPr="003608A9" w:rsidRDefault="00C56A9D" w:rsidP="003467C2">
                      <w:pPr>
                        <w:pStyle w:val="Text"/>
                        <w:spacing w:before="0" w:after="0" w:line="240" w:lineRule="auto"/>
                        <w:rPr>
                          <w:color w:val="444448" w:themeColor="accent4"/>
                          <w:sz w:val="18"/>
                          <w:szCs w:val="18"/>
                        </w:rPr>
                      </w:pPr>
                    </w:p>
                    <w:p w14:paraId="7DFDB020" w14:textId="6DD3E02D" w:rsidR="00C56A9D" w:rsidRPr="00783C94" w:rsidRDefault="00C56A9D" w:rsidP="003467C2">
                      <w:pPr>
                        <w:pStyle w:val="Text"/>
                        <w:spacing w:before="0" w:after="0" w:line="240" w:lineRule="auto"/>
                        <w:rPr>
                          <w:color w:val="444448" w:themeColor="accent4"/>
                          <w:sz w:val="18"/>
                          <w:szCs w:val="18"/>
                        </w:rPr>
                      </w:pPr>
                      <w:r w:rsidRPr="00783C94">
                        <w:rPr>
                          <w:color w:val="444448" w:themeColor="accent4"/>
                          <w:sz w:val="18"/>
                          <w:szCs w:val="18"/>
                        </w:rPr>
                        <w:t xml:space="preserve">ISBN </w:t>
                      </w:r>
                      <w:r w:rsidR="00783C94" w:rsidRPr="00783C94">
                        <w:rPr>
                          <w:color w:val="444448" w:themeColor="accent4"/>
                          <w:sz w:val="18"/>
                          <w:szCs w:val="18"/>
                        </w:rPr>
                        <w:t>978-0-6483704-3-7</w:t>
                      </w:r>
                    </w:p>
                    <w:p w14:paraId="085ABAA2" w14:textId="77777777" w:rsidR="00C56A9D" w:rsidRPr="003608A9" w:rsidRDefault="00C56A9D" w:rsidP="003467C2">
                      <w:pPr>
                        <w:pStyle w:val="Text"/>
                        <w:spacing w:before="0" w:after="0" w:line="240" w:lineRule="auto"/>
                        <w:rPr>
                          <w:color w:val="444448" w:themeColor="accent4"/>
                          <w:sz w:val="18"/>
                          <w:szCs w:val="18"/>
                        </w:rPr>
                      </w:pPr>
                      <w:r w:rsidRPr="00783C94">
                        <w:rPr>
                          <w:color w:val="444448" w:themeColor="accent4"/>
                          <w:sz w:val="18"/>
                          <w:szCs w:val="18"/>
                        </w:rPr>
                        <w:t>ISSN 1445-9760</w:t>
                      </w:r>
                    </w:p>
                    <w:p w14:paraId="1BB687D6" w14:textId="77777777" w:rsidR="00C56A9D" w:rsidRPr="003608A9" w:rsidRDefault="00C56A9D" w:rsidP="003467C2">
                      <w:pPr>
                        <w:pStyle w:val="Text"/>
                        <w:spacing w:before="0" w:after="0" w:line="240" w:lineRule="auto"/>
                        <w:rPr>
                          <w:color w:val="444448" w:themeColor="accent4"/>
                          <w:sz w:val="18"/>
                          <w:szCs w:val="18"/>
                        </w:rPr>
                      </w:pPr>
                    </w:p>
                    <w:p w14:paraId="4485CBF2" w14:textId="77777777" w:rsidR="00C56A9D" w:rsidRPr="003608A9" w:rsidRDefault="00C56A9D" w:rsidP="003467C2">
                      <w:pPr>
                        <w:pStyle w:val="Text"/>
                        <w:spacing w:before="0" w:after="0" w:line="240" w:lineRule="auto"/>
                        <w:rPr>
                          <w:color w:val="444448" w:themeColor="accent4"/>
                          <w:sz w:val="18"/>
                          <w:szCs w:val="18"/>
                        </w:rPr>
                      </w:pPr>
                      <w:r w:rsidRPr="003608A9">
                        <w:rPr>
                          <w:noProof/>
                          <w:color w:val="444448" w:themeColor="accent4"/>
                          <w:sz w:val="18"/>
                          <w:szCs w:val="18"/>
                          <w:lang w:val="en-AU"/>
                        </w:rPr>
                        <w:drawing>
                          <wp:inline distT="0" distB="0" distL="0" distR="0" wp14:anchorId="147574E0" wp14:editId="7911785C">
                            <wp:extent cx="760095" cy="2641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BEDED63" w14:textId="77777777" w:rsidR="00C56A9D" w:rsidRPr="003608A9" w:rsidRDefault="00C56A9D" w:rsidP="003467C2">
                      <w:pPr>
                        <w:pStyle w:val="Text"/>
                        <w:spacing w:before="0" w:after="0" w:line="240" w:lineRule="auto"/>
                        <w:rPr>
                          <w:color w:val="444448" w:themeColor="accent4"/>
                          <w:sz w:val="18"/>
                          <w:szCs w:val="18"/>
                        </w:rPr>
                      </w:pPr>
                    </w:p>
                    <w:p w14:paraId="51B8CD13" w14:textId="77777777" w:rsidR="00C56A9D" w:rsidRPr="003608A9" w:rsidRDefault="00C56A9D" w:rsidP="003467C2">
                      <w:pPr>
                        <w:pStyle w:val="Text"/>
                        <w:spacing w:before="0" w:after="0" w:line="240" w:lineRule="auto"/>
                        <w:rPr>
                          <w:b/>
                          <w:color w:val="444448" w:themeColor="accent4"/>
                          <w:sz w:val="18"/>
                          <w:szCs w:val="18"/>
                        </w:rPr>
                      </w:pPr>
                      <w:r w:rsidRPr="003608A9">
                        <w:rPr>
                          <w:b/>
                          <w:color w:val="444448" w:themeColor="accent4"/>
                          <w:sz w:val="18"/>
                          <w:szCs w:val="18"/>
                        </w:rPr>
                        <w:t>Creative Commons</w:t>
                      </w:r>
                    </w:p>
                    <w:p w14:paraId="39A03123" w14:textId="0866ADBF"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 xml:space="preserve">With the exception of the Commonwealth Coat of Arms, any ARPANSA logos and any content that is marked as being third party material, this publication, </w:t>
                      </w:r>
                      <w:r>
                        <w:rPr>
                          <w:i/>
                          <w:color w:val="444448" w:themeColor="accent4"/>
                          <w:sz w:val="18"/>
                          <w:szCs w:val="18"/>
                        </w:rPr>
                        <w:t>Code for Disposal Facilities for</w:t>
                      </w:r>
                      <w:r w:rsidRPr="003608A9">
                        <w:rPr>
                          <w:i/>
                          <w:color w:val="444448" w:themeColor="accent4"/>
                          <w:sz w:val="18"/>
                          <w:szCs w:val="18"/>
                        </w:rPr>
                        <w:t xml:space="preserve"> Solid Radioactive Waste </w:t>
                      </w:r>
                      <w:r w:rsidRPr="00CB5472">
                        <w:rPr>
                          <w:i/>
                          <w:color w:val="444448" w:themeColor="accent4"/>
                          <w:sz w:val="18"/>
                          <w:szCs w:val="18"/>
                        </w:rPr>
                        <w:t>(2018</w:t>
                      </w:r>
                      <w:r w:rsidRPr="003608A9">
                        <w:rPr>
                          <w:i/>
                          <w:color w:val="444448" w:themeColor="accent4"/>
                          <w:sz w:val="18"/>
                          <w:szCs w:val="18"/>
                        </w:rPr>
                        <w:t>)</w:t>
                      </w:r>
                      <w:r w:rsidRPr="003608A9">
                        <w:rPr>
                          <w:color w:val="444448" w:themeColor="accent4"/>
                          <w:sz w:val="18"/>
                          <w:szCs w:val="18"/>
                        </w:rPr>
                        <w:t xml:space="preserve">, by the Australian Radiation Protection and Nuclear Safety Agency is licensed under a Creative Commons Attribution 3.0 Australia licence (to view a copy of the licence, visit </w:t>
                      </w:r>
                      <w:r>
                        <w:rPr>
                          <w:color w:val="444448" w:themeColor="accent4"/>
                          <w:sz w:val="18"/>
                          <w:szCs w:val="18"/>
                        </w:rPr>
                        <w:t>(</w:t>
                      </w:r>
                      <w:hyperlink r:id="rId25" w:history="1">
                        <w:r w:rsidRPr="003467C2">
                          <w:rPr>
                            <w:rStyle w:val="Hyperlink"/>
                            <w:i/>
                            <w:iCs/>
                            <w:spacing w:val="-4"/>
                            <w:sz w:val="18"/>
                            <w:szCs w:val="18"/>
                          </w:rPr>
                          <w:t>http://creativecommons.org/licenses/by/3.0/au</w:t>
                        </w:r>
                      </w:hyperlink>
                      <w:r w:rsidRPr="003608A9">
                        <w:rPr>
                          <w:color w:val="444448" w:themeColor="accent4"/>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189E062" w14:textId="77777777"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3171F32F" w14:textId="600811F6" w:rsidR="00C56A9D" w:rsidRPr="003608A9" w:rsidRDefault="00C56A9D" w:rsidP="003467C2">
                      <w:pPr>
                        <w:pStyle w:val="TechRep"/>
                        <w:spacing w:before="120" w:after="0" w:line="240" w:lineRule="auto"/>
                        <w:ind w:left="284" w:right="357"/>
                        <w:rPr>
                          <w:color w:val="444448" w:themeColor="accent4"/>
                          <w:sz w:val="18"/>
                          <w:szCs w:val="18"/>
                        </w:rPr>
                      </w:pPr>
                      <w:r w:rsidRPr="003608A9">
                        <w:rPr>
                          <w:color w:val="444448" w:themeColor="accent4"/>
                          <w:sz w:val="18"/>
                          <w:szCs w:val="18"/>
                        </w:rPr>
                        <w:t xml:space="preserve">“© Commonwealth of Australia </w:t>
                      </w:r>
                      <w:r w:rsidRPr="00CB5472">
                        <w:rPr>
                          <w:color w:val="444448" w:themeColor="accent4"/>
                          <w:sz w:val="18"/>
                          <w:szCs w:val="18"/>
                        </w:rPr>
                        <w:t>2018,</w:t>
                      </w:r>
                      <w:r w:rsidRPr="003608A9">
                        <w:rPr>
                          <w:color w:val="444448" w:themeColor="accent4"/>
                          <w:sz w:val="18"/>
                          <w:szCs w:val="18"/>
                        </w:rPr>
                        <w:t xml:space="preserve"> as represented by the Australian Radiation Protection and Nuclear Safety Agency (ARPANSA)”</w:t>
                      </w:r>
                    </w:p>
                    <w:p w14:paraId="7B8B14E8" w14:textId="58833B38"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 xml:space="preserve">The publication should be attributed as: Code for Disposal </w:t>
                      </w:r>
                      <w:r>
                        <w:rPr>
                          <w:color w:val="444448" w:themeColor="accent4"/>
                          <w:sz w:val="18"/>
                          <w:szCs w:val="18"/>
                        </w:rPr>
                        <w:t>Facilities for</w:t>
                      </w:r>
                      <w:r w:rsidRPr="003608A9">
                        <w:rPr>
                          <w:color w:val="444448" w:themeColor="accent4"/>
                          <w:sz w:val="18"/>
                          <w:szCs w:val="18"/>
                        </w:rPr>
                        <w:t xml:space="preserve"> </w:t>
                      </w:r>
                      <w:r>
                        <w:rPr>
                          <w:color w:val="444448" w:themeColor="accent4"/>
                          <w:sz w:val="18"/>
                          <w:szCs w:val="18"/>
                        </w:rPr>
                        <w:t xml:space="preserve">Solid </w:t>
                      </w:r>
                      <w:r w:rsidRPr="003608A9">
                        <w:rPr>
                          <w:color w:val="444448" w:themeColor="accent4"/>
                          <w:sz w:val="18"/>
                          <w:szCs w:val="18"/>
                        </w:rPr>
                        <w:t xml:space="preserve">Radioactive Waste </w:t>
                      </w:r>
                      <w:r w:rsidRPr="00CB5472">
                        <w:rPr>
                          <w:color w:val="444448" w:themeColor="accent4"/>
                          <w:sz w:val="18"/>
                          <w:szCs w:val="18"/>
                        </w:rPr>
                        <w:t>(2018</w:t>
                      </w:r>
                      <w:r w:rsidRPr="003608A9">
                        <w:rPr>
                          <w:color w:val="444448" w:themeColor="accent4"/>
                          <w:sz w:val="18"/>
                          <w:szCs w:val="18"/>
                        </w:rPr>
                        <w:t>).</w:t>
                      </w:r>
                    </w:p>
                    <w:p w14:paraId="21AE0963" w14:textId="77777777" w:rsidR="00C56A9D" w:rsidRPr="003608A9" w:rsidRDefault="00C56A9D" w:rsidP="003467C2">
                      <w:pPr>
                        <w:pStyle w:val="TechRep"/>
                        <w:spacing w:before="0" w:after="0" w:line="240" w:lineRule="auto"/>
                        <w:rPr>
                          <w:color w:val="444448" w:themeColor="accent4"/>
                          <w:sz w:val="18"/>
                          <w:szCs w:val="18"/>
                        </w:rPr>
                      </w:pPr>
                    </w:p>
                    <w:p w14:paraId="2CAACD3E" w14:textId="77777777" w:rsidR="00C56A9D" w:rsidRPr="003608A9" w:rsidRDefault="00C56A9D" w:rsidP="003467C2">
                      <w:pPr>
                        <w:pStyle w:val="TechRep"/>
                        <w:spacing w:before="0" w:after="0" w:line="240" w:lineRule="auto"/>
                        <w:contextualSpacing/>
                        <w:rPr>
                          <w:b/>
                          <w:color w:val="444448" w:themeColor="accent4"/>
                          <w:sz w:val="18"/>
                          <w:szCs w:val="18"/>
                        </w:rPr>
                      </w:pPr>
                      <w:r w:rsidRPr="003608A9">
                        <w:rPr>
                          <w:b/>
                          <w:color w:val="444448" w:themeColor="accent4"/>
                          <w:sz w:val="18"/>
                          <w:szCs w:val="18"/>
                        </w:rPr>
                        <w:t>Use of the Coat of Arms</w:t>
                      </w:r>
                    </w:p>
                    <w:p w14:paraId="2F9098CB" w14:textId="77777777" w:rsidR="00C56A9D" w:rsidRPr="003467C2" w:rsidRDefault="00C56A9D" w:rsidP="003467C2">
                      <w:pPr>
                        <w:pStyle w:val="Text"/>
                        <w:spacing w:before="180" w:after="0" w:line="240" w:lineRule="auto"/>
                        <w:rPr>
                          <w:sz w:val="18"/>
                          <w:szCs w:val="18"/>
                        </w:rPr>
                      </w:pPr>
                      <w:r w:rsidRPr="003608A9">
                        <w:rPr>
                          <w:color w:val="444448" w:themeColor="accent4"/>
                          <w:sz w:val="18"/>
                          <w:szCs w:val="18"/>
                        </w:rPr>
                        <w:t>The terms under which the Coat of Arms can be used are detailed on the Department of the Prime Minister and Cabinet website (</w:t>
                      </w:r>
                      <w:hyperlink r:id="rId26" w:history="1">
                        <w:r w:rsidRPr="003467C2">
                          <w:rPr>
                            <w:rStyle w:val="Hyperlink"/>
                            <w:sz w:val="18"/>
                            <w:szCs w:val="18"/>
                          </w:rPr>
                          <w:t>www.dpmc.gov.au/government/commonwealth-coat-arms</w:t>
                        </w:r>
                      </w:hyperlink>
                      <w:r w:rsidRPr="003608A9">
                        <w:rPr>
                          <w:color w:val="444448" w:themeColor="accent4"/>
                          <w:sz w:val="18"/>
                          <w:szCs w:val="18"/>
                        </w:rPr>
                        <w:t>).</w:t>
                      </w:r>
                    </w:p>
                    <w:p w14:paraId="59427258" w14:textId="77777777" w:rsidR="00C56A9D" w:rsidRPr="003608A9" w:rsidRDefault="00C56A9D" w:rsidP="003467C2">
                      <w:pPr>
                        <w:pStyle w:val="Text"/>
                        <w:spacing w:before="180" w:after="0" w:line="240" w:lineRule="auto"/>
                        <w:rPr>
                          <w:color w:val="444448" w:themeColor="accent4"/>
                          <w:sz w:val="18"/>
                          <w:szCs w:val="18"/>
                        </w:rPr>
                      </w:pPr>
                      <w:r w:rsidRPr="003608A9">
                        <w:rPr>
                          <w:color w:val="444448" w:themeColor="accent4"/>
                          <w:sz w:val="18"/>
                          <w:szCs w:val="18"/>
                        </w:rPr>
                        <w:t>Enquiries regarding the licence and any use of this report are welcome.</w:t>
                      </w:r>
                    </w:p>
                    <w:p w14:paraId="65298890" w14:textId="77777777" w:rsidR="00C56A9D" w:rsidRPr="003608A9" w:rsidRDefault="00C56A9D" w:rsidP="003467C2">
                      <w:pPr>
                        <w:pStyle w:val="TechRep"/>
                        <w:spacing w:before="180" w:after="0" w:line="240" w:lineRule="auto"/>
                        <w:jc w:val="left"/>
                        <w:rPr>
                          <w:color w:val="444448" w:themeColor="accent4"/>
                          <w:sz w:val="18"/>
                          <w:szCs w:val="18"/>
                        </w:rPr>
                      </w:pPr>
                      <w:r w:rsidRPr="003608A9">
                        <w:rPr>
                          <w:color w:val="444448" w:themeColor="accent4"/>
                          <w:sz w:val="18"/>
                          <w:szCs w:val="18"/>
                        </w:rPr>
                        <w:tab/>
                        <w:t>ARPANSA</w:t>
                      </w:r>
                      <w:r w:rsidRPr="003608A9">
                        <w:rPr>
                          <w:color w:val="444448" w:themeColor="accent4"/>
                          <w:sz w:val="18"/>
                          <w:szCs w:val="18"/>
                        </w:rPr>
                        <w:br/>
                      </w:r>
                      <w:r w:rsidRPr="003608A9">
                        <w:rPr>
                          <w:color w:val="444448" w:themeColor="accent4"/>
                          <w:sz w:val="18"/>
                          <w:szCs w:val="18"/>
                        </w:rPr>
                        <w:tab/>
                        <w:t>619 Lower Plenty Road</w:t>
                      </w:r>
                      <w:r w:rsidRPr="003608A9">
                        <w:rPr>
                          <w:color w:val="444448" w:themeColor="accent4"/>
                          <w:sz w:val="18"/>
                          <w:szCs w:val="18"/>
                        </w:rPr>
                        <w:br/>
                      </w:r>
                      <w:r w:rsidRPr="003608A9">
                        <w:rPr>
                          <w:color w:val="444448" w:themeColor="accent4"/>
                          <w:sz w:val="18"/>
                          <w:szCs w:val="18"/>
                        </w:rPr>
                        <w:tab/>
                        <w:t>YALLAMBIE   VIC   3085</w:t>
                      </w:r>
                    </w:p>
                    <w:p w14:paraId="0568DA0D" w14:textId="77777777" w:rsidR="00C56A9D" w:rsidRPr="003467C2" w:rsidRDefault="00C56A9D" w:rsidP="003467C2">
                      <w:pPr>
                        <w:pStyle w:val="TechRep"/>
                        <w:spacing w:before="0" w:after="0" w:line="240" w:lineRule="auto"/>
                        <w:jc w:val="left"/>
                        <w:rPr>
                          <w:rFonts w:cs="Calibri"/>
                          <w:sz w:val="18"/>
                          <w:szCs w:val="18"/>
                        </w:rPr>
                      </w:pPr>
                      <w:r w:rsidRPr="003608A9">
                        <w:rPr>
                          <w:rFonts w:cs="Calibri"/>
                          <w:color w:val="444448" w:themeColor="accent4"/>
                          <w:sz w:val="18"/>
                          <w:szCs w:val="18"/>
                        </w:rPr>
                        <w:tab/>
                        <w:t>Tel:   1800 022 333 (Freecall) or +61 3 9433 2211</w:t>
                      </w:r>
                      <w:r w:rsidRPr="003608A9">
                        <w:rPr>
                          <w:rFonts w:cs="Calibri"/>
                          <w:color w:val="444448" w:themeColor="accent4"/>
                          <w:sz w:val="18"/>
                          <w:szCs w:val="18"/>
                        </w:rPr>
                        <w:br/>
                      </w:r>
                      <w:r w:rsidRPr="003608A9">
                        <w:rPr>
                          <w:rFonts w:cs="Calibri"/>
                          <w:color w:val="444448" w:themeColor="accent4"/>
                          <w:sz w:val="18"/>
                          <w:szCs w:val="18"/>
                        </w:rPr>
                        <w:br/>
                      </w:r>
                      <w:r w:rsidRPr="003608A9">
                        <w:rPr>
                          <w:rFonts w:cs="Calibri"/>
                          <w:color w:val="444448" w:themeColor="accent4"/>
                          <w:sz w:val="18"/>
                          <w:szCs w:val="18"/>
                        </w:rPr>
                        <w:tab/>
                        <w:t xml:space="preserve">Email:  </w:t>
                      </w:r>
                      <w:hyperlink r:id="rId27" w:history="1">
                        <w:r w:rsidRPr="003467C2">
                          <w:rPr>
                            <w:rStyle w:val="Hyperlink"/>
                            <w:rFonts w:eastAsia="Times New Roman"/>
                            <w:sz w:val="18"/>
                            <w:szCs w:val="18"/>
                          </w:rPr>
                          <w:t>info@arpansa.gov.au</w:t>
                        </w:r>
                      </w:hyperlink>
                      <w:r w:rsidRPr="003467C2">
                        <w:rPr>
                          <w:rFonts w:cs="Calibri"/>
                          <w:sz w:val="18"/>
                          <w:szCs w:val="18"/>
                        </w:rPr>
                        <w:br/>
                      </w:r>
                      <w:r w:rsidRPr="003467C2">
                        <w:rPr>
                          <w:rFonts w:cs="Calibri"/>
                          <w:sz w:val="18"/>
                          <w:szCs w:val="18"/>
                        </w:rPr>
                        <w:tab/>
                      </w:r>
                      <w:r w:rsidRPr="003608A9">
                        <w:rPr>
                          <w:rFonts w:cs="Calibri"/>
                          <w:color w:val="444448" w:themeColor="accent4"/>
                          <w:sz w:val="18"/>
                          <w:szCs w:val="18"/>
                        </w:rPr>
                        <w:t xml:space="preserve">Website:  </w:t>
                      </w:r>
                      <w:hyperlink r:id="rId28" w:history="1">
                        <w:r w:rsidRPr="003467C2">
                          <w:rPr>
                            <w:rStyle w:val="Hyperlink"/>
                            <w:rFonts w:eastAsia="Times New Roman"/>
                            <w:sz w:val="18"/>
                            <w:szCs w:val="18"/>
                          </w:rPr>
                          <w:t>www.arpansa.gov.au</w:t>
                        </w:r>
                      </w:hyperlink>
                    </w:p>
                  </w:txbxContent>
                </v:textbox>
                <w10:wrap type="topAndBottom" anchorx="margin"/>
              </v:shape>
            </w:pict>
          </mc:Fallback>
        </mc:AlternateContent>
      </w:r>
      <w:r w:rsidRPr="003467C2">
        <w:rPr>
          <w:rFonts w:eastAsia="Calibri"/>
          <w:sz w:val="20"/>
        </w:rPr>
        <w:t>The mission of ARPANSA is to protect people and the environment from the harmful effects of radiation.</w:t>
      </w:r>
    </w:p>
    <w:p w14:paraId="41A8F7C7" w14:textId="170D0F1B" w:rsidR="003467C2" w:rsidRPr="003467C2" w:rsidRDefault="003467C2" w:rsidP="00F168FB">
      <w:pPr>
        <w:spacing w:before="120"/>
        <w:rPr>
          <w:rFonts w:eastAsia="Calibri"/>
          <w:sz w:val="20"/>
        </w:rPr>
      </w:pPr>
      <w:r w:rsidRPr="003467C2">
        <w:rPr>
          <w:rFonts w:eastAsia="Calibri"/>
          <w:sz w:val="20"/>
        </w:rPr>
        <w:t>Published by the Chief Executive</w:t>
      </w:r>
      <w:r w:rsidR="005A5BCE">
        <w:rPr>
          <w:rFonts w:eastAsia="Calibri"/>
          <w:sz w:val="20"/>
        </w:rPr>
        <w:t xml:space="preserve"> Officer of ARPANSA in </w:t>
      </w:r>
      <w:r w:rsidRPr="00CB5472">
        <w:rPr>
          <w:rFonts w:eastAsia="Calibri"/>
          <w:sz w:val="20"/>
        </w:rPr>
        <w:t>201</w:t>
      </w:r>
      <w:r w:rsidR="00EA71D1" w:rsidRPr="00CB5472">
        <w:rPr>
          <w:rFonts w:eastAsia="Calibri"/>
          <w:sz w:val="20"/>
        </w:rPr>
        <w:t>8</w:t>
      </w:r>
      <w:r w:rsidRPr="003467C2">
        <w:rPr>
          <w:rFonts w:eastAsia="Calibri"/>
          <w:sz w:val="20"/>
        </w:rPr>
        <w:t>.</w:t>
      </w:r>
    </w:p>
    <w:p w14:paraId="0A36554D" w14:textId="77777777" w:rsidR="003467C2" w:rsidRPr="005A5BCE" w:rsidRDefault="003467C2" w:rsidP="00E80C19">
      <w:pPr>
        <w:pStyle w:val="GlossaryTerm"/>
        <w:spacing w:before="480"/>
      </w:pPr>
      <w:r w:rsidRPr="005A5BCE">
        <w:t>Acknowledgement of Country</w:t>
      </w:r>
    </w:p>
    <w:p w14:paraId="617333CD" w14:textId="687166B1" w:rsidR="003467C2" w:rsidRDefault="003467C2" w:rsidP="00F168FB">
      <w:pPr>
        <w:autoSpaceDE w:val="0"/>
        <w:autoSpaceDN w:val="0"/>
        <w:spacing w:before="120"/>
        <w:rPr>
          <w:rFonts w:cstheme="minorHAnsi"/>
          <w:sz w:val="20"/>
        </w:rPr>
      </w:pPr>
      <w:r w:rsidRPr="00BA4F24">
        <w:rPr>
          <w:rFonts w:cstheme="minorHAnsi"/>
          <w:sz w:val="20"/>
        </w:rPr>
        <w:t xml:space="preserve">ARPANSA </w:t>
      </w:r>
      <w:r w:rsidR="008A2664">
        <w:rPr>
          <w:rFonts w:cstheme="minorHAnsi"/>
          <w:sz w:val="20"/>
        </w:rPr>
        <w:t>respectfully</w:t>
      </w:r>
      <w:r w:rsidR="008A2664" w:rsidRPr="00BA4F24">
        <w:rPr>
          <w:rFonts w:cstheme="minorHAnsi"/>
          <w:sz w:val="20"/>
        </w:rPr>
        <w:t xml:space="preserve"> </w:t>
      </w:r>
      <w:r w:rsidRPr="00BA4F24">
        <w:rPr>
          <w:rFonts w:cstheme="minorHAnsi"/>
          <w:sz w:val="20"/>
        </w:rPr>
        <w:t>acknowledges Australia's Aboriginal and Torres Strait Islander communit</w:t>
      </w:r>
      <w:r w:rsidR="00FA5570">
        <w:rPr>
          <w:rFonts w:cstheme="minorHAnsi"/>
          <w:sz w:val="20"/>
        </w:rPr>
        <w:t>ies</w:t>
      </w:r>
      <w:r w:rsidRPr="00BA4F24">
        <w:rPr>
          <w:rFonts w:cstheme="minorHAnsi"/>
          <w:sz w:val="20"/>
        </w:rPr>
        <w:t xml:space="preserve"> and their rich culture and pays respect to their Elders past and present. We acknowledge Aboriginal and Torres Strait Islander people as Australia’s first peoples and as the Traditional Owners and custodians of the land and water on which we rely.</w:t>
      </w:r>
    </w:p>
    <w:p w14:paraId="0688FE06" w14:textId="1BCE0CD6" w:rsidR="004F31F3" w:rsidRDefault="003467C2" w:rsidP="00F168FB">
      <w:pPr>
        <w:autoSpaceDE w:val="0"/>
        <w:autoSpaceDN w:val="0"/>
        <w:spacing w:before="120"/>
      </w:pPr>
      <w:r w:rsidRPr="00BA4F24">
        <w:rPr>
          <w:sz w:val="20"/>
        </w:rPr>
        <w:t>We recognise and value the ongoing contribution of Aboriginal and Torres Strait Islander people</w:t>
      </w:r>
      <w:r w:rsidR="00C022DF">
        <w:rPr>
          <w:sz w:val="20"/>
        </w:rPr>
        <w:t>s</w:t>
      </w:r>
      <w:r w:rsidRPr="00BA4F24">
        <w:rPr>
          <w:sz w:val="20"/>
        </w:rPr>
        <w:t xml:space="preserve"> and communities to Australian life and how this enriches us. We embrace the spirit of reconciliation, working towards the equality of outco</w:t>
      </w:r>
      <w:r w:rsidR="004F31F3">
        <w:rPr>
          <w:sz w:val="20"/>
        </w:rPr>
        <w:t>mes and ensuring an equal voice.</w:t>
      </w:r>
    </w:p>
    <w:p w14:paraId="55F4F5A2" w14:textId="66F956EF" w:rsidR="005A5BCE" w:rsidRPr="0073116F" w:rsidRDefault="00980F2E" w:rsidP="003608A9">
      <w:pPr>
        <w:pStyle w:val="Heading1"/>
        <w:numPr>
          <w:ilvl w:val="0"/>
          <w:numId w:val="0"/>
        </w:numPr>
        <w:pBdr>
          <w:bottom w:val="single" w:sz="4" w:space="1" w:color="4E1A74" w:themeColor="text2"/>
        </w:pBdr>
        <w:spacing w:before="0"/>
        <w:ind w:left="851" w:hanging="851"/>
      </w:pPr>
      <w:bookmarkStart w:id="1" w:name="_Toc524085198"/>
      <w:r>
        <w:lastRenderedPageBreak/>
        <w:t>Foreword</w:t>
      </w:r>
      <w:bookmarkEnd w:id="1"/>
    </w:p>
    <w:p w14:paraId="747BCAEB" w14:textId="1E4335B3" w:rsidR="00FB74B9" w:rsidRPr="003D2B2F" w:rsidRDefault="00FB74B9" w:rsidP="00FB74B9">
      <w:pPr>
        <w:spacing w:before="200"/>
        <w:rPr>
          <w:spacing w:val="-4"/>
        </w:rPr>
      </w:pPr>
      <w:r w:rsidRPr="001B7678">
        <w:t>This</w:t>
      </w:r>
      <w:r>
        <w:t xml:space="preserve"> </w:t>
      </w:r>
      <w:r w:rsidRPr="00C30573">
        <w:t>Code for</w:t>
      </w:r>
      <w:r w:rsidRPr="008803F8">
        <w:rPr>
          <w:i/>
        </w:rPr>
        <w:t xml:space="preserve"> Disposal </w:t>
      </w:r>
      <w:r w:rsidR="00A82347">
        <w:rPr>
          <w:i/>
        </w:rPr>
        <w:t xml:space="preserve">Facilities for </w:t>
      </w:r>
      <w:r w:rsidR="002B5B11">
        <w:rPr>
          <w:i/>
        </w:rPr>
        <w:t>Solid</w:t>
      </w:r>
      <w:r w:rsidRPr="008803F8">
        <w:rPr>
          <w:i/>
        </w:rPr>
        <w:t xml:space="preserve"> Radioactive Waste </w:t>
      </w:r>
      <w:r w:rsidRPr="00C30573">
        <w:t>(</w:t>
      </w:r>
      <w:r w:rsidR="00EA71D1" w:rsidRPr="00C30573">
        <w:t>2018</w:t>
      </w:r>
      <w:r w:rsidRPr="00C30573">
        <w:t>)</w:t>
      </w:r>
      <w:r>
        <w:rPr>
          <w:i/>
        </w:rPr>
        <w:t xml:space="preserve"> </w:t>
      </w:r>
      <w:r>
        <w:t>sets out the requirements in Australia for the protection of the public</w:t>
      </w:r>
      <w:r w:rsidR="00A82347">
        <w:t>,</w:t>
      </w:r>
      <w:r>
        <w:t xml:space="preserve"> </w:t>
      </w:r>
      <w:r w:rsidR="00A82347">
        <w:t xml:space="preserve">occupationally exposed persons </w:t>
      </w:r>
      <w:r>
        <w:t xml:space="preserve">and the environment when undertaking the disposal of solid radioactive waste. </w:t>
      </w:r>
      <w:r w:rsidRPr="005A5BCE">
        <w:t>All arrangements governing the siting, construction, operation and closure of radioactive waste disposal facilities in Australia must satisfy the requirements of this Code</w:t>
      </w:r>
      <w:r w:rsidR="00980F2E">
        <w:t>.</w:t>
      </w:r>
      <w:r w:rsidRPr="005A5BCE">
        <w:t xml:space="preserve"> Effective waste management strategies require</w:t>
      </w:r>
      <w:r w:rsidR="00C30573">
        <w:t xml:space="preserve"> safety and</w:t>
      </w:r>
      <w:r w:rsidRPr="005A5BCE">
        <w:t xml:space="preserve"> security provisions, to </w:t>
      </w:r>
      <w:r w:rsidR="00F168FB">
        <w:t xml:space="preserve">adequately </w:t>
      </w:r>
      <w:r w:rsidR="00F168FB" w:rsidRPr="00F168FB">
        <w:t xml:space="preserve">protect people and the environment </w:t>
      </w:r>
      <w:r w:rsidR="00F168FB">
        <w:t xml:space="preserve">and to </w:t>
      </w:r>
      <w:r w:rsidRPr="005A5BCE">
        <w:t>prevent radioactive material being d</w:t>
      </w:r>
      <w:r w:rsidR="00175726">
        <w:t>iverted for malicious purposes.</w:t>
      </w:r>
      <w:r w:rsidRPr="005A5BCE">
        <w:t xml:space="preserve"> Protection is achieved through use of natural and engineered barriers</w:t>
      </w:r>
      <w:r w:rsidR="00F06067">
        <w:t>, implementation of an appropriate management system</w:t>
      </w:r>
      <w:r w:rsidR="00442060">
        <w:t xml:space="preserve"> and institutional controls. </w:t>
      </w:r>
      <w:r w:rsidRPr="005A5BCE">
        <w:t xml:space="preserve">Operation of these barriers and controls is required until radiation levels decay to a level that cannot give rise to health or environmental concerns or present an appreciable </w:t>
      </w:r>
      <w:r w:rsidR="00ED6B25">
        <w:t xml:space="preserve">safety or </w:t>
      </w:r>
      <w:r w:rsidRPr="005A5BCE">
        <w:t>security risk.</w:t>
      </w:r>
    </w:p>
    <w:p w14:paraId="4C2495AD" w14:textId="0D8DE382" w:rsidR="00FB74B9" w:rsidRPr="008803F8" w:rsidRDefault="00FB74B9" w:rsidP="00FB74B9">
      <w:pPr>
        <w:pStyle w:val="StyleRPSBodyTextNumbered"/>
        <w:tabs>
          <w:tab w:val="left" w:pos="0"/>
        </w:tabs>
        <w:rPr>
          <w:rFonts w:asciiTheme="minorHAnsi" w:hAnsiTheme="minorHAnsi"/>
          <w:color w:val="333335" w:themeColor="accent4" w:themeShade="BF"/>
          <w:sz w:val="22"/>
          <w:szCs w:val="22"/>
        </w:rPr>
      </w:pPr>
      <w:r w:rsidRPr="008803F8">
        <w:rPr>
          <w:rFonts w:asciiTheme="minorHAnsi" w:hAnsiTheme="minorHAnsi"/>
          <w:color w:val="333335" w:themeColor="accent4" w:themeShade="BF"/>
          <w:sz w:val="22"/>
          <w:szCs w:val="22"/>
        </w:rPr>
        <w:t xml:space="preserve">ARPANSA, jointly with state and territory regulators in the Radiation Health Committee (RHC), has developed this Code based on the </w:t>
      </w:r>
      <w:r w:rsidR="00C30573">
        <w:rPr>
          <w:rFonts w:asciiTheme="minorHAnsi" w:hAnsiTheme="minorHAnsi"/>
          <w:color w:val="333335" w:themeColor="accent4" w:themeShade="BF"/>
          <w:sz w:val="22"/>
          <w:szCs w:val="22"/>
        </w:rPr>
        <w:t>r</w:t>
      </w:r>
      <w:r w:rsidR="00C30573" w:rsidRPr="008803F8">
        <w:rPr>
          <w:rFonts w:asciiTheme="minorHAnsi" w:hAnsiTheme="minorHAnsi"/>
          <w:color w:val="333335" w:themeColor="accent4" w:themeShade="BF"/>
          <w:sz w:val="22"/>
          <w:szCs w:val="22"/>
        </w:rPr>
        <w:t xml:space="preserve">equirements </w:t>
      </w:r>
      <w:r w:rsidRPr="008803F8">
        <w:rPr>
          <w:rFonts w:asciiTheme="minorHAnsi" w:hAnsiTheme="minorHAnsi"/>
          <w:color w:val="333335" w:themeColor="accent4" w:themeShade="BF"/>
          <w:sz w:val="22"/>
          <w:szCs w:val="22"/>
        </w:rPr>
        <w:t xml:space="preserve">relating to disposal of radioactive waste described in the Specific Safety Requirements of the International Atomic Energy Agency (IAEA) </w:t>
      </w:r>
      <w:r w:rsidRPr="00C30573">
        <w:rPr>
          <w:rFonts w:asciiTheme="minorHAnsi" w:hAnsiTheme="minorHAnsi"/>
          <w:color w:val="333335" w:themeColor="accent4" w:themeShade="BF"/>
          <w:sz w:val="22"/>
          <w:szCs w:val="22"/>
        </w:rPr>
        <w:t>Safety Standards Series: Specific Safety Requirements No. 5</w:t>
      </w:r>
      <w:r w:rsidRPr="008803F8">
        <w:rPr>
          <w:rFonts w:asciiTheme="minorHAnsi" w:hAnsiTheme="minorHAnsi"/>
          <w:i/>
          <w:color w:val="333335" w:themeColor="accent4" w:themeShade="BF"/>
          <w:sz w:val="22"/>
          <w:szCs w:val="22"/>
        </w:rPr>
        <w:t xml:space="preserve">, Disposal of Radioactive Waste </w:t>
      </w:r>
      <w:r w:rsidRPr="008803F8">
        <w:rPr>
          <w:rFonts w:asciiTheme="minorHAnsi" w:hAnsiTheme="minorHAnsi"/>
          <w:color w:val="333335" w:themeColor="accent4" w:themeShade="BF"/>
          <w:sz w:val="22"/>
          <w:szCs w:val="22"/>
        </w:rPr>
        <w:t>(IAEA 2011</w:t>
      </w:r>
      <w:r w:rsidR="002B1125">
        <w:rPr>
          <w:rFonts w:asciiTheme="minorHAnsi" w:hAnsiTheme="minorHAnsi"/>
          <w:color w:val="333335" w:themeColor="accent4" w:themeShade="BF"/>
          <w:sz w:val="22"/>
          <w:szCs w:val="22"/>
        </w:rPr>
        <w:t>a</w:t>
      </w:r>
      <w:r w:rsidRPr="008803F8">
        <w:rPr>
          <w:rFonts w:asciiTheme="minorHAnsi" w:hAnsiTheme="minorHAnsi"/>
          <w:color w:val="333335" w:themeColor="accent4" w:themeShade="BF"/>
          <w:sz w:val="22"/>
          <w:szCs w:val="22"/>
        </w:rPr>
        <w:t>), generally referred to as SSR</w:t>
      </w:r>
      <w:r w:rsidR="0065685F">
        <w:rPr>
          <w:rFonts w:asciiTheme="minorHAnsi" w:hAnsiTheme="minorHAnsi"/>
          <w:color w:val="333335" w:themeColor="accent4" w:themeShade="BF"/>
          <w:sz w:val="22"/>
          <w:szCs w:val="22"/>
        </w:rPr>
        <w:noBreakHyphen/>
      </w:r>
      <w:r w:rsidRPr="008803F8">
        <w:rPr>
          <w:rFonts w:asciiTheme="minorHAnsi" w:hAnsiTheme="minorHAnsi"/>
          <w:color w:val="333335" w:themeColor="accent4" w:themeShade="BF"/>
          <w:sz w:val="22"/>
          <w:szCs w:val="22"/>
        </w:rPr>
        <w:t>5.</w:t>
      </w:r>
      <w:r w:rsidRPr="008803F8">
        <w:rPr>
          <w:color w:val="333335" w:themeColor="accent4" w:themeShade="BF"/>
        </w:rPr>
        <w:t xml:space="preserve"> </w:t>
      </w:r>
    </w:p>
    <w:p w14:paraId="328EF4E0" w14:textId="3CC41C0A" w:rsidR="00FB74B9" w:rsidRPr="008803F8" w:rsidRDefault="00FB74B9" w:rsidP="00FB74B9">
      <w:pPr>
        <w:pStyle w:val="StyleRPSBodyTextNumbered"/>
        <w:tabs>
          <w:tab w:val="left" w:pos="0"/>
        </w:tabs>
        <w:spacing w:before="240"/>
        <w:jc w:val="left"/>
        <w:rPr>
          <w:rFonts w:asciiTheme="minorHAnsi" w:hAnsiTheme="minorHAnsi"/>
          <w:color w:val="333335" w:themeColor="accent4" w:themeShade="BF"/>
          <w:sz w:val="22"/>
          <w:szCs w:val="22"/>
        </w:rPr>
      </w:pPr>
      <w:r w:rsidRPr="008803F8">
        <w:rPr>
          <w:rFonts w:asciiTheme="minorHAnsi" w:hAnsiTheme="minorHAnsi"/>
          <w:color w:val="333335" w:themeColor="accent4" w:themeShade="BF"/>
          <w:sz w:val="22"/>
          <w:szCs w:val="22"/>
        </w:rPr>
        <w:t xml:space="preserve">This publication, together with </w:t>
      </w:r>
      <w:r w:rsidR="00980F2E">
        <w:rPr>
          <w:rFonts w:asciiTheme="minorHAnsi" w:hAnsiTheme="minorHAnsi"/>
          <w:color w:val="333335" w:themeColor="accent4" w:themeShade="BF"/>
          <w:sz w:val="22"/>
          <w:szCs w:val="22"/>
        </w:rPr>
        <w:t xml:space="preserve">the </w:t>
      </w:r>
      <w:r w:rsidR="00B7363C">
        <w:rPr>
          <w:rFonts w:asciiTheme="minorHAnsi" w:hAnsiTheme="minorHAnsi"/>
          <w:color w:val="333335" w:themeColor="accent4" w:themeShade="BF"/>
          <w:sz w:val="22"/>
          <w:szCs w:val="22"/>
        </w:rPr>
        <w:t>‘</w:t>
      </w:r>
      <w:r w:rsidR="00980F2E" w:rsidRPr="001357B0">
        <w:rPr>
          <w:rFonts w:asciiTheme="minorHAnsi" w:hAnsiTheme="minorHAnsi"/>
          <w:i/>
          <w:color w:val="333335" w:themeColor="accent4" w:themeShade="BF"/>
          <w:sz w:val="22"/>
          <w:szCs w:val="22"/>
        </w:rPr>
        <w:t>Planned Exposure Code</w:t>
      </w:r>
      <w:r w:rsidR="00B7363C">
        <w:rPr>
          <w:rFonts w:asciiTheme="minorHAnsi" w:hAnsiTheme="minorHAnsi"/>
          <w:i/>
          <w:color w:val="333335" w:themeColor="accent4" w:themeShade="BF"/>
          <w:sz w:val="22"/>
          <w:szCs w:val="22"/>
        </w:rPr>
        <w:t>’</w:t>
      </w:r>
      <w:r w:rsidR="00980F2E">
        <w:rPr>
          <w:rFonts w:asciiTheme="minorHAnsi" w:hAnsiTheme="minorHAnsi"/>
          <w:color w:val="333335" w:themeColor="accent4" w:themeShade="BF"/>
          <w:sz w:val="22"/>
          <w:szCs w:val="22"/>
        </w:rPr>
        <w:t xml:space="preserve"> (</w:t>
      </w:r>
      <w:r>
        <w:rPr>
          <w:rFonts w:asciiTheme="minorHAnsi" w:hAnsiTheme="minorHAnsi"/>
          <w:color w:val="333335" w:themeColor="accent4" w:themeShade="BF"/>
          <w:sz w:val="22"/>
          <w:szCs w:val="22"/>
        </w:rPr>
        <w:t>RPS C-1</w:t>
      </w:r>
      <w:r w:rsidR="006E6A56">
        <w:rPr>
          <w:rFonts w:asciiTheme="minorHAnsi" w:hAnsiTheme="minorHAnsi"/>
          <w:color w:val="333335" w:themeColor="accent4" w:themeShade="BF"/>
          <w:sz w:val="22"/>
          <w:szCs w:val="22"/>
        </w:rPr>
        <w:t>, ARPANSA 2016</w:t>
      </w:r>
      <w:r w:rsidR="00980F2E">
        <w:rPr>
          <w:rFonts w:asciiTheme="minorHAnsi" w:hAnsiTheme="minorHAnsi"/>
          <w:color w:val="333335" w:themeColor="accent4" w:themeShade="BF"/>
          <w:sz w:val="22"/>
          <w:szCs w:val="22"/>
        </w:rPr>
        <w:t>)</w:t>
      </w:r>
      <w:r w:rsidRPr="008803F8">
        <w:rPr>
          <w:rFonts w:asciiTheme="minorHAnsi" w:hAnsiTheme="minorHAnsi"/>
          <w:color w:val="333335" w:themeColor="accent4" w:themeShade="BF"/>
          <w:sz w:val="22"/>
          <w:szCs w:val="22"/>
        </w:rPr>
        <w:t>, supersede</w:t>
      </w:r>
      <w:r w:rsidR="00ED6B25">
        <w:rPr>
          <w:rFonts w:asciiTheme="minorHAnsi" w:hAnsiTheme="minorHAnsi"/>
          <w:color w:val="333335" w:themeColor="accent4" w:themeShade="BF"/>
          <w:sz w:val="22"/>
          <w:szCs w:val="22"/>
        </w:rPr>
        <w:t>s</w:t>
      </w:r>
      <w:r w:rsidRPr="008803F8">
        <w:rPr>
          <w:rFonts w:asciiTheme="minorHAnsi" w:hAnsiTheme="minorHAnsi"/>
          <w:color w:val="333335" w:themeColor="accent4" w:themeShade="BF"/>
          <w:sz w:val="22"/>
          <w:szCs w:val="22"/>
        </w:rPr>
        <w:t xml:space="preserve"> the</w:t>
      </w:r>
      <w:r w:rsidR="000D431D">
        <w:rPr>
          <w:rFonts w:asciiTheme="minorHAnsi" w:hAnsiTheme="minorHAnsi"/>
          <w:color w:val="333335" w:themeColor="accent4" w:themeShade="BF"/>
          <w:sz w:val="22"/>
          <w:szCs w:val="22"/>
        </w:rPr>
        <w:t xml:space="preserve"> Radiation Health Series (RHS) No. 35</w:t>
      </w:r>
      <w:r w:rsidRPr="008803F8">
        <w:rPr>
          <w:rFonts w:asciiTheme="minorHAnsi" w:hAnsiTheme="minorHAnsi"/>
          <w:color w:val="333335" w:themeColor="accent4" w:themeShade="BF"/>
          <w:sz w:val="22"/>
          <w:szCs w:val="22"/>
        </w:rPr>
        <w:t xml:space="preserve"> </w:t>
      </w:r>
      <w:r w:rsidRPr="003D2B2F">
        <w:rPr>
          <w:rFonts w:asciiTheme="minorHAnsi" w:hAnsiTheme="minorHAnsi"/>
          <w:i/>
          <w:color w:val="333335" w:themeColor="accent4" w:themeShade="BF"/>
          <w:sz w:val="22"/>
          <w:szCs w:val="22"/>
        </w:rPr>
        <w:t>Code of practice for the near</w:t>
      </w:r>
      <w:r w:rsidR="00ED6B25">
        <w:rPr>
          <w:rFonts w:asciiTheme="minorHAnsi" w:hAnsiTheme="minorHAnsi"/>
          <w:i/>
          <w:color w:val="333335" w:themeColor="accent4" w:themeShade="BF"/>
          <w:sz w:val="22"/>
          <w:szCs w:val="22"/>
        </w:rPr>
        <w:t>-</w:t>
      </w:r>
      <w:r w:rsidRPr="003D2B2F">
        <w:rPr>
          <w:rFonts w:asciiTheme="minorHAnsi" w:hAnsiTheme="minorHAnsi"/>
          <w:i/>
          <w:color w:val="333335" w:themeColor="accent4" w:themeShade="BF"/>
          <w:sz w:val="22"/>
          <w:szCs w:val="22"/>
        </w:rPr>
        <w:t>surface disposal of radioactive waste in Australia</w:t>
      </w:r>
      <w:r w:rsidR="00ED6B25">
        <w:rPr>
          <w:rFonts w:asciiTheme="minorHAnsi" w:hAnsiTheme="minorHAnsi"/>
          <w:i/>
          <w:color w:val="333335" w:themeColor="accent4" w:themeShade="BF"/>
          <w:sz w:val="22"/>
          <w:szCs w:val="22"/>
        </w:rPr>
        <w:t xml:space="preserve"> (1992)</w:t>
      </w:r>
      <w:r w:rsidRPr="008803F8">
        <w:rPr>
          <w:rFonts w:asciiTheme="minorHAnsi" w:hAnsiTheme="minorHAnsi"/>
          <w:color w:val="333335" w:themeColor="accent4" w:themeShade="BF"/>
          <w:sz w:val="22"/>
          <w:szCs w:val="22"/>
        </w:rPr>
        <w:t xml:space="preserve"> (NHMRC 1992)</w:t>
      </w:r>
      <w:r w:rsidR="000D431D">
        <w:rPr>
          <w:rFonts w:asciiTheme="minorHAnsi" w:hAnsiTheme="minorHAnsi"/>
          <w:color w:val="333335" w:themeColor="accent4" w:themeShade="BF"/>
          <w:sz w:val="22"/>
          <w:szCs w:val="22"/>
        </w:rPr>
        <w:t>, while maintaining the protective intent of RHS 35</w:t>
      </w:r>
      <w:r w:rsidRPr="008803F8">
        <w:rPr>
          <w:rFonts w:asciiTheme="minorHAnsi" w:hAnsiTheme="minorHAnsi"/>
          <w:color w:val="333335" w:themeColor="accent4" w:themeShade="BF"/>
          <w:sz w:val="22"/>
          <w:szCs w:val="22"/>
        </w:rPr>
        <w:t>.</w:t>
      </w:r>
    </w:p>
    <w:p w14:paraId="4F72D54D" w14:textId="1D31241D" w:rsidR="003467C2" w:rsidRPr="00D574EA" w:rsidRDefault="00FB74B9" w:rsidP="00D574EA">
      <w:pPr>
        <w:pStyle w:val="StyleRPSBodyTextNumbered"/>
        <w:tabs>
          <w:tab w:val="left" w:pos="0"/>
        </w:tabs>
        <w:jc w:val="left"/>
        <w:rPr>
          <w:rFonts w:asciiTheme="minorHAnsi" w:hAnsiTheme="minorHAnsi"/>
          <w:color w:val="333335" w:themeColor="accent4" w:themeShade="BF"/>
          <w:sz w:val="22"/>
          <w:szCs w:val="22"/>
        </w:rPr>
      </w:pPr>
      <w:r w:rsidRPr="008803F8">
        <w:rPr>
          <w:rFonts w:asciiTheme="minorHAnsi" w:hAnsiTheme="minorHAnsi"/>
          <w:color w:val="333335" w:themeColor="accent4" w:themeShade="BF"/>
          <w:sz w:val="22"/>
          <w:szCs w:val="22"/>
        </w:rPr>
        <w:t>This Code is intended to complement the requirements of the relevant Work Health and Safety legislation in each jurisdiction. The relevant regulatory authority should be contacted should any conflict of interpretation arise. A listing of such authorities is provided at www.arpans</w:t>
      </w:r>
      <w:r w:rsidR="00D574EA">
        <w:rPr>
          <w:rFonts w:asciiTheme="minorHAnsi" w:hAnsiTheme="minorHAnsi"/>
          <w:color w:val="333335" w:themeColor="accent4" w:themeShade="BF"/>
          <w:sz w:val="22"/>
          <w:szCs w:val="22"/>
        </w:rPr>
        <w:t>a.gov.au/Regulation/Regulators.</w:t>
      </w:r>
    </w:p>
    <w:p w14:paraId="036DC544" w14:textId="2B740EA9" w:rsidR="003467C2" w:rsidRDefault="003B2ECE" w:rsidP="003467C2">
      <w:pPr>
        <w:pStyle w:val="RPSForewordText"/>
        <w:tabs>
          <w:tab w:val="left" w:pos="0"/>
        </w:tabs>
        <w:rPr>
          <w:rFonts w:asciiTheme="minorHAnsi" w:hAnsiTheme="minorHAnsi"/>
          <w:color w:val="444448" w:themeColor="accent4"/>
          <w:sz w:val="22"/>
          <w:szCs w:val="22"/>
          <w:highlight w:val="yellow"/>
        </w:rPr>
      </w:pPr>
      <w:r w:rsidRPr="00EA71D1">
        <w:rPr>
          <w:rFonts w:asciiTheme="minorHAnsi" w:hAnsiTheme="minorHAnsi"/>
          <w:color w:val="444448" w:themeColor="accent4"/>
          <w:sz w:val="22"/>
          <w:szCs w:val="22"/>
          <w:highlight w:val="yellow"/>
        </w:rPr>
        <w:t xml:space="preserve"> </w:t>
      </w:r>
    </w:p>
    <w:p w14:paraId="600439C6" w14:textId="1E6338BF" w:rsidR="003B2ECE" w:rsidRDefault="003B2ECE" w:rsidP="003467C2">
      <w:pPr>
        <w:pStyle w:val="RPSForewordText"/>
        <w:tabs>
          <w:tab w:val="left" w:pos="0"/>
        </w:tabs>
        <w:rPr>
          <w:rFonts w:asciiTheme="minorHAnsi" w:hAnsiTheme="minorHAnsi"/>
          <w:color w:val="444448" w:themeColor="accent4"/>
          <w:sz w:val="22"/>
          <w:szCs w:val="22"/>
        </w:rPr>
      </w:pPr>
      <w:r w:rsidRPr="00825C65">
        <w:rPr>
          <w:noProof/>
        </w:rPr>
        <w:drawing>
          <wp:anchor distT="0" distB="0" distL="114300" distR="114300" simplePos="0" relativeHeight="251662336" behindDoc="1" locked="0" layoutInCell="1" allowOverlap="1" wp14:anchorId="4DD575A3" wp14:editId="1ED78AEF">
            <wp:simplePos x="0" y="0"/>
            <wp:positionH relativeFrom="column">
              <wp:posOffset>-155575</wp:posOffset>
            </wp:positionH>
            <wp:positionV relativeFrom="paragraph">
              <wp:posOffset>164465</wp:posOffset>
            </wp:positionV>
            <wp:extent cx="2247900" cy="6642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magnu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7900" cy="664210"/>
                    </a:xfrm>
                    <a:prstGeom prst="rect">
                      <a:avLst/>
                    </a:prstGeom>
                  </pic:spPr>
                </pic:pic>
              </a:graphicData>
            </a:graphic>
            <wp14:sizeRelH relativeFrom="page">
              <wp14:pctWidth>0</wp14:pctWidth>
            </wp14:sizeRelH>
            <wp14:sizeRelV relativeFrom="page">
              <wp14:pctHeight>0</wp14:pctHeight>
            </wp14:sizeRelV>
          </wp:anchor>
        </w:drawing>
      </w:r>
    </w:p>
    <w:p w14:paraId="4D6C2726" w14:textId="0D2DA8A9" w:rsidR="003B2ECE" w:rsidRPr="003608A9" w:rsidRDefault="003B2ECE" w:rsidP="003467C2">
      <w:pPr>
        <w:pStyle w:val="RPSForewordText"/>
        <w:tabs>
          <w:tab w:val="left" w:pos="0"/>
        </w:tabs>
        <w:rPr>
          <w:rFonts w:asciiTheme="minorHAnsi" w:hAnsiTheme="minorHAnsi"/>
          <w:color w:val="444448" w:themeColor="accent4"/>
          <w:sz w:val="22"/>
          <w:szCs w:val="22"/>
        </w:rPr>
      </w:pPr>
    </w:p>
    <w:p w14:paraId="25357076" w14:textId="3510B439" w:rsidR="003467C2" w:rsidRPr="00BA3640" w:rsidRDefault="003467C2" w:rsidP="003467C2">
      <w:pPr>
        <w:pStyle w:val="RPSForewordText"/>
        <w:tabs>
          <w:tab w:val="left" w:pos="0"/>
        </w:tabs>
        <w:rPr>
          <w:rFonts w:asciiTheme="minorHAnsi" w:hAnsiTheme="minorHAnsi"/>
          <w:color w:val="444448" w:themeColor="accent4"/>
          <w:sz w:val="22"/>
          <w:szCs w:val="22"/>
        </w:rPr>
      </w:pPr>
      <w:r w:rsidRPr="00BA3640">
        <w:rPr>
          <w:rFonts w:asciiTheme="minorHAnsi" w:hAnsiTheme="minorHAnsi"/>
          <w:color w:val="444448" w:themeColor="accent4"/>
          <w:sz w:val="22"/>
          <w:szCs w:val="22"/>
        </w:rPr>
        <w:t>Carl-Magnus Larsson</w:t>
      </w:r>
      <w:r w:rsidRPr="00BA3640">
        <w:rPr>
          <w:rFonts w:asciiTheme="minorHAnsi" w:hAnsiTheme="minorHAnsi"/>
          <w:color w:val="444448" w:themeColor="accent4"/>
          <w:sz w:val="22"/>
          <w:szCs w:val="22"/>
        </w:rPr>
        <w:br/>
        <w:t>CEO of ARPANSA</w:t>
      </w:r>
    </w:p>
    <w:p w14:paraId="0FF233C1" w14:textId="77777777" w:rsidR="003B2ECE" w:rsidRDefault="003B2ECE">
      <w:pPr>
        <w:rPr>
          <w:rFonts w:eastAsia="Times New Roman" w:cs="Times New Roman"/>
          <w:b/>
          <w:iCs/>
          <w:snapToGrid w:val="0"/>
          <w:color w:val="FF0000"/>
          <w:lang w:eastAsia="en-AU"/>
        </w:rPr>
      </w:pPr>
      <w:r>
        <w:rPr>
          <w:b/>
          <w:color w:val="FF0000"/>
        </w:rPr>
        <w:br w:type="page"/>
      </w:r>
    </w:p>
    <w:p w14:paraId="344E74E1" w14:textId="75F3402F" w:rsidR="003467C2" w:rsidRPr="00D574EA" w:rsidRDefault="00FB74B9" w:rsidP="00D574EA">
      <w:pPr>
        <w:pStyle w:val="StyleRPSBodyTextNumbered"/>
        <w:tabs>
          <w:tab w:val="left" w:pos="0"/>
        </w:tabs>
        <w:spacing w:before="240"/>
        <w:jc w:val="center"/>
        <w:rPr>
          <w:rFonts w:asciiTheme="minorHAnsi" w:hAnsiTheme="minorHAnsi"/>
          <w:color w:val="444448" w:themeColor="accent4"/>
          <w:sz w:val="22"/>
          <w:szCs w:val="22"/>
        </w:rPr>
      </w:pPr>
      <w:r w:rsidRPr="005A5BCE" w:rsidDel="00FB74B9">
        <w:rPr>
          <w:rFonts w:asciiTheme="minorHAnsi" w:hAnsiTheme="minorHAnsi"/>
          <w:b/>
          <w:color w:val="FF0000"/>
          <w:sz w:val="22"/>
          <w:szCs w:val="22"/>
        </w:rPr>
        <w:lastRenderedPageBreak/>
        <w:t xml:space="preserve"> </w:t>
      </w:r>
      <w:r w:rsidR="00C363B3">
        <w:rPr>
          <w:rFonts w:asciiTheme="minorHAnsi" w:hAnsiTheme="minorHAnsi"/>
          <w:color w:val="444448" w:themeColor="accent4"/>
          <w:sz w:val="22"/>
          <w:szCs w:val="22"/>
        </w:rPr>
        <w:t>(This page intentionally left blank)</w:t>
      </w:r>
      <w:r w:rsidR="003467C2" w:rsidRPr="005A5BCE">
        <w:rPr>
          <w:rFonts w:asciiTheme="minorHAnsi" w:hAnsiTheme="minorHAnsi"/>
          <w:sz w:val="22"/>
          <w:szCs w:val="22"/>
        </w:rPr>
        <w:br w:type="page"/>
      </w:r>
    </w:p>
    <w:bookmarkStart w:id="2" w:name="_Toc459800677" w:displacedByCustomXml="next"/>
    <w:bookmarkStart w:id="3" w:name="_Toc492376220" w:displacedByCustomXml="next"/>
    <w:bookmarkStart w:id="4" w:name="_Toc495493156" w:displacedByCustomXml="next"/>
    <w:sdt>
      <w:sdtPr>
        <w:rPr>
          <w:rFonts w:asciiTheme="minorHAnsi" w:eastAsiaTheme="minorHAnsi" w:hAnsiTheme="minorHAnsi" w:cstheme="minorBidi"/>
          <w:b/>
          <w:bCs w:val="0"/>
          <w:sz w:val="22"/>
          <w:szCs w:val="22"/>
          <w:lang w:val="en-AU" w:eastAsia="en-US"/>
        </w:rPr>
        <w:id w:val="-1821186996"/>
        <w:docPartObj>
          <w:docPartGallery w:val="Table of Contents"/>
          <w:docPartUnique/>
        </w:docPartObj>
      </w:sdtPr>
      <w:sdtEndPr>
        <w:rPr>
          <w:noProof/>
        </w:rPr>
      </w:sdtEndPr>
      <w:sdtContent>
        <w:p w14:paraId="3025E4C0" w14:textId="56EFD48A" w:rsidR="005F5A85" w:rsidRPr="005F5A85" w:rsidRDefault="005F5A85" w:rsidP="005F5A85">
          <w:pPr>
            <w:pStyle w:val="TOCHeading"/>
            <w:numPr>
              <w:ilvl w:val="0"/>
              <w:numId w:val="0"/>
            </w:numPr>
            <w:pBdr>
              <w:bottom w:val="single" w:sz="4" w:space="4" w:color="auto"/>
            </w:pBdr>
            <w:ind w:left="851" w:hanging="851"/>
            <w:rPr>
              <w:b/>
            </w:rPr>
          </w:pPr>
          <w:r w:rsidRPr="005F5A85">
            <w:rPr>
              <w:b/>
            </w:rPr>
            <w:t>Contents</w:t>
          </w:r>
        </w:p>
        <w:p w14:paraId="727BCC7C" w14:textId="47B0EF2B" w:rsidR="00CC0299" w:rsidRDefault="005F5A85">
          <w:pPr>
            <w:pStyle w:val="TOC1"/>
            <w:rPr>
              <w:rFonts w:eastAsiaTheme="minorEastAsia"/>
              <w:b w:val="0"/>
              <w:noProof/>
              <w:color w:val="auto"/>
              <w:lang w:eastAsia="en-AU"/>
            </w:rPr>
          </w:pPr>
          <w:r>
            <w:fldChar w:fldCharType="begin"/>
          </w:r>
          <w:r>
            <w:instrText xml:space="preserve"> TOC \o "1-3" \h \z \u </w:instrText>
          </w:r>
          <w:r>
            <w:fldChar w:fldCharType="separate"/>
          </w:r>
          <w:hyperlink w:anchor="_Toc524085198" w:history="1">
            <w:r w:rsidR="00CC0299" w:rsidRPr="00513355">
              <w:rPr>
                <w:rStyle w:val="Hyperlink"/>
                <w:noProof/>
              </w:rPr>
              <w:t>Foreword</w:t>
            </w:r>
            <w:r w:rsidR="00CC0299">
              <w:rPr>
                <w:noProof/>
                <w:webHidden/>
              </w:rPr>
              <w:tab/>
            </w:r>
            <w:r w:rsidR="00CC0299">
              <w:rPr>
                <w:noProof/>
                <w:webHidden/>
              </w:rPr>
              <w:fldChar w:fldCharType="begin"/>
            </w:r>
            <w:r w:rsidR="00CC0299">
              <w:rPr>
                <w:noProof/>
                <w:webHidden/>
              </w:rPr>
              <w:instrText xml:space="preserve"> PAGEREF _Toc524085198 \h </w:instrText>
            </w:r>
            <w:r w:rsidR="00CC0299">
              <w:rPr>
                <w:noProof/>
                <w:webHidden/>
              </w:rPr>
            </w:r>
            <w:r w:rsidR="00CC0299">
              <w:rPr>
                <w:noProof/>
                <w:webHidden/>
              </w:rPr>
              <w:fldChar w:fldCharType="separate"/>
            </w:r>
            <w:r w:rsidR="00C022DF">
              <w:rPr>
                <w:noProof/>
                <w:webHidden/>
              </w:rPr>
              <w:t>ii</w:t>
            </w:r>
            <w:r w:rsidR="00CC0299">
              <w:rPr>
                <w:noProof/>
                <w:webHidden/>
              </w:rPr>
              <w:fldChar w:fldCharType="end"/>
            </w:r>
          </w:hyperlink>
        </w:p>
        <w:p w14:paraId="1260995A" w14:textId="2BD230CD" w:rsidR="00CC0299" w:rsidRDefault="006E3F76">
          <w:pPr>
            <w:pStyle w:val="TOC1"/>
            <w:tabs>
              <w:tab w:val="left" w:pos="567"/>
            </w:tabs>
            <w:rPr>
              <w:rFonts w:eastAsiaTheme="minorEastAsia"/>
              <w:b w:val="0"/>
              <w:noProof/>
              <w:color w:val="auto"/>
              <w:lang w:eastAsia="en-AU"/>
            </w:rPr>
          </w:pPr>
          <w:hyperlink w:anchor="_Toc524085199" w:history="1">
            <w:r w:rsidR="00CC0299" w:rsidRPr="00513355">
              <w:rPr>
                <w:rStyle w:val="Hyperlink"/>
                <w:noProof/>
              </w:rPr>
              <w:t>1.</w:t>
            </w:r>
            <w:r w:rsidR="00CC0299">
              <w:rPr>
                <w:rFonts w:eastAsiaTheme="minorEastAsia"/>
                <w:b w:val="0"/>
                <w:noProof/>
                <w:color w:val="auto"/>
                <w:lang w:eastAsia="en-AU"/>
              </w:rPr>
              <w:tab/>
            </w:r>
            <w:r w:rsidR="00CC0299" w:rsidRPr="00513355">
              <w:rPr>
                <w:rStyle w:val="Hyperlink"/>
                <w:noProof/>
              </w:rPr>
              <w:t>Introduction</w:t>
            </w:r>
            <w:r w:rsidR="00CC0299">
              <w:rPr>
                <w:noProof/>
                <w:webHidden/>
              </w:rPr>
              <w:tab/>
            </w:r>
            <w:r w:rsidR="00CC0299">
              <w:rPr>
                <w:noProof/>
                <w:webHidden/>
              </w:rPr>
              <w:fldChar w:fldCharType="begin"/>
            </w:r>
            <w:r w:rsidR="00CC0299">
              <w:rPr>
                <w:noProof/>
                <w:webHidden/>
              </w:rPr>
              <w:instrText xml:space="preserve"> PAGEREF _Toc524085199 \h </w:instrText>
            </w:r>
            <w:r w:rsidR="00CC0299">
              <w:rPr>
                <w:noProof/>
                <w:webHidden/>
              </w:rPr>
            </w:r>
            <w:r w:rsidR="00CC0299">
              <w:rPr>
                <w:noProof/>
                <w:webHidden/>
              </w:rPr>
              <w:fldChar w:fldCharType="separate"/>
            </w:r>
            <w:r w:rsidR="00C022DF">
              <w:rPr>
                <w:noProof/>
                <w:webHidden/>
              </w:rPr>
              <w:t>1</w:t>
            </w:r>
            <w:r w:rsidR="00CC0299">
              <w:rPr>
                <w:noProof/>
                <w:webHidden/>
              </w:rPr>
              <w:fldChar w:fldCharType="end"/>
            </w:r>
          </w:hyperlink>
        </w:p>
        <w:p w14:paraId="1EE7BF2E" w14:textId="56F0EA28" w:rsidR="00CC0299" w:rsidRDefault="006E3F76">
          <w:pPr>
            <w:pStyle w:val="TOC2"/>
            <w:rPr>
              <w:rFonts w:eastAsiaTheme="minorEastAsia"/>
              <w:color w:val="auto"/>
              <w:lang w:eastAsia="en-AU"/>
            </w:rPr>
          </w:pPr>
          <w:hyperlink w:anchor="_Toc524085200" w:history="1">
            <w:r w:rsidR="00CC0299" w:rsidRPr="00513355">
              <w:rPr>
                <w:rStyle w:val="Hyperlink"/>
              </w:rPr>
              <w:t>1.1</w:t>
            </w:r>
            <w:r w:rsidR="00CC0299">
              <w:rPr>
                <w:rFonts w:eastAsiaTheme="minorEastAsia"/>
                <w:color w:val="auto"/>
                <w:lang w:eastAsia="en-AU"/>
              </w:rPr>
              <w:tab/>
            </w:r>
            <w:r w:rsidR="00CC0299" w:rsidRPr="00513355">
              <w:rPr>
                <w:rStyle w:val="Hyperlink"/>
              </w:rPr>
              <w:t>Citation</w:t>
            </w:r>
            <w:r w:rsidR="00CC0299">
              <w:rPr>
                <w:webHidden/>
              </w:rPr>
              <w:tab/>
            </w:r>
            <w:r w:rsidR="00CC0299">
              <w:rPr>
                <w:webHidden/>
              </w:rPr>
              <w:fldChar w:fldCharType="begin"/>
            </w:r>
            <w:r w:rsidR="00CC0299">
              <w:rPr>
                <w:webHidden/>
              </w:rPr>
              <w:instrText xml:space="preserve"> PAGEREF _Toc524085200 \h </w:instrText>
            </w:r>
            <w:r w:rsidR="00CC0299">
              <w:rPr>
                <w:webHidden/>
              </w:rPr>
            </w:r>
            <w:r w:rsidR="00CC0299">
              <w:rPr>
                <w:webHidden/>
              </w:rPr>
              <w:fldChar w:fldCharType="separate"/>
            </w:r>
            <w:r w:rsidR="00C022DF">
              <w:rPr>
                <w:webHidden/>
              </w:rPr>
              <w:t>1</w:t>
            </w:r>
            <w:r w:rsidR="00CC0299">
              <w:rPr>
                <w:webHidden/>
              </w:rPr>
              <w:fldChar w:fldCharType="end"/>
            </w:r>
          </w:hyperlink>
        </w:p>
        <w:p w14:paraId="3B9E0501" w14:textId="73E754EE" w:rsidR="00CC0299" w:rsidRDefault="006E3F76">
          <w:pPr>
            <w:pStyle w:val="TOC2"/>
            <w:rPr>
              <w:rFonts w:eastAsiaTheme="minorEastAsia"/>
              <w:color w:val="auto"/>
              <w:lang w:eastAsia="en-AU"/>
            </w:rPr>
          </w:pPr>
          <w:hyperlink w:anchor="_Toc524085201" w:history="1">
            <w:r w:rsidR="00CC0299" w:rsidRPr="00513355">
              <w:rPr>
                <w:rStyle w:val="Hyperlink"/>
              </w:rPr>
              <w:t>1.2</w:t>
            </w:r>
            <w:r w:rsidR="00CC0299">
              <w:rPr>
                <w:rFonts w:eastAsiaTheme="minorEastAsia"/>
                <w:color w:val="auto"/>
                <w:lang w:eastAsia="en-AU"/>
              </w:rPr>
              <w:tab/>
            </w:r>
            <w:r w:rsidR="00CC0299" w:rsidRPr="00513355">
              <w:rPr>
                <w:rStyle w:val="Hyperlink"/>
              </w:rPr>
              <w:t>Background</w:t>
            </w:r>
            <w:r w:rsidR="00CC0299">
              <w:rPr>
                <w:webHidden/>
              </w:rPr>
              <w:tab/>
            </w:r>
            <w:r w:rsidR="00CC0299">
              <w:rPr>
                <w:webHidden/>
              </w:rPr>
              <w:fldChar w:fldCharType="begin"/>
            </w:r>
            <w:r w:rsidR="00CC0299">
              <w:rPr>
                <w:webHidden/>
              </w:rPr>
              <w:instrText xml:space="preserve"> PAGEREF _Toc524085201 \h </w:instrText>
            </w:r>
            <w:r w:rsidR="00CC0299">
              <w:rPr>
                <w:webHidden/>
              </w:rPr>
            </w:r>
            <w:r w:rsidR="00CC0299">
              <w:rPr>
                <w:webHidden/>
              </w:rPr>
              <w:fldChar w:fldCharType="separate"/>
            </w:r>
            <w:r w:rsidR="00C022DF">
              <w:rPr>
                <w:webHidden/>
              </w:rPr>
              <w:t>1</w:t>
            </w:r>
            <w:r w:rsidR="00CC0299">
              <w:rPr>
                <w:webHidden/>
              </w:rPr>
              <w:fldChar w:fldCharType="end"/>
            </w:r>
          </w:hyperlink>
        </w:p>
        <w:p w14:paraId="3832C12B" w14:textId="28A9D90B" w:rsidR="00CC0299" w:rsidRDefault="006E3F76">
          <w:pPr>
            <w:pStyle w:val="TOC2"/>
            <w:rPr>
              <w:rFonts w:eastAsiaTheme="minorEastAsia"/>
              <w:color w:val="auto"/>
              <w:lang w:eastAsia="en-AU"/>
            </w:rPr>
          </w:pPr>
          <w:hyperlink w:anchor="_Toc524085202" w:history="1">
            <w:r w:rsidR="00CC0299" w:rsidRPr="00513355">
              <w:rPr>
                <w:rStyle w:val="Hyperlink"/>
              </w:rPr>
              <w:t>1.3</w:t>
            </w:r>
            <w:r w:rsidR="00CC0299">
              <w:rPr>
                <w:rFonts w:eastAsiaTheme="minorEastAsia"/>
                <w:color w:val="auto"/>
                <w:lang w:eastAsia="en-AU"/>
              </w:rPr>
              <w:tab/>
            </w:r>
            <w:r w:rsidR="00CC0299" w:rsidRPr="00513355">
              <w:rPr>
                <w:rStyle w:val="Hyperlink"/>
              </w:rPr>
              <w:t>Purpose</w:t>
            </w:r>
            <w:r w:rsidR="00CC0299">
              <w:rPr>
                <w:webHidden/>
              </w:rPr>
              <w:tab/>
            </w:r>
            <w:r w:rsidR="00CC0299">
              <w:rPr>
                <w:webHidden/>
              </w:rPr>
              <w:fldChar w:fldCharType="begin"/>
            </w:r>
            <w:r w:rsidR="00CC0299">
              <w:rPr>
                <w:webHidden/>
              </w:rPr>
              <w:instrText xml:space="preserve"> PAGEREF _Toc524085202 \h </w:instrText>
            </w:r>
            <w:r w:rsidR="00CC0299">
              <w:rPr>
                <w:webHidden/>
              </w:rPr>
            </w:r>
            <w:r w:rsidR="00CC0299">
              <w:rPr>
                <w:webHidden/>
              </w:rPr>
              <w:fldChar w:fldCharType="separate"/>
            </w:r>
            <w:r w:rsidR="00C022DF">
              <w:rPr>
                <w:webHidden/>
              </w:rPr>
              <w:t>2</w:t>
            </w:r>
            <w:r w:rsidR="00CC0299">
              <w:rPr>
                <w:webHidden/>
              </w:rPr>
              <w:fldChar w:fldCharType="end"/>
            </w:r>
          </w:hyperlink>
        </w:p>
        <w:p w14:paraId="0E29653E" w14:textId="4E4059E8" w:rsidR="00CC0299" w:rsidRDefault="006E3F76">
          <w:pPr>
            <w:pStyle w:val="TOC2"/>
            <w:rPr>
              <w:rFonts w:eastAsiaTheme="minorEastAsia"/>
              <w:color w:val="auto"/>
              <w:lang w:eastAsia="en-AU"/>
            </w:rPr>
          </w:pPr>
          <w:hyperlink w:anchor="_Toc524085203" w:history="1">
            <w:r w:rsidR="00CC0299" w:rsidRPr="00513355">
              <w:rPr>
                <w:rStyle w:val="Hyperlink"/>
              </w:rPr>
              <w:t>1.4</w:t>
            </w:r>
            <w:r w:rsidR="00CC0299">
              <w:rPr>
                <w:rFonts w:eastAsiaTheme="minorEastAsia"/>
                <w:color w:val="auto"/>
                <w:lang w:eastAsia="en-AU"/>
              </w:rPr>
              <w:tab/>
            </w:r>
            <w:r w:rsidR="00CC0299" w:rsidRPr="00513355">
              <w:rPr>
                <w:rStyle w:val="Hyperlink"/>
              </w:rPr>
              <w:t>Scope</w:t>
            </w:r>
            <w:r w:rsidR="00CC0299">
              <w:rPr>
                <w:webHidden/>
              </w:rPr>
              <w:tab/>
            </w:r>
            <w:r w:rsidR="00CC0299">
              <w:rPr>
                <w:webHidden/>
              </w:rPr>
              <w:fldChar w:fldCharType="begin"/>
            </w:r>
            <w:r w:rsidR="00CC0299">
              <w:rPr>
                <w:webHidden/>
              </w:rPr>
              <w:instrText xml:space="preserve"> PAGEREF _Toc524085203 \h </w:instrText>
            </w:r>
            <w:r w:rsidR="00CC0299">
              <w:rPr>
                <w:webHidden/>
              </w:rPr>
            </w:r>
            <w:r w:rsidR="00CC0299">
              <w:rPr>
                <w:webHidden/>
              </w:rPr>
              <w:fldChar w:fldCharType="separate"/>
            </w:r>
            <w:r w:rsidR="00C022DF">
              <w:rPr>
                <w:webHidden/>
              </w:rPr>
              <w:t>3</w:t>
            </w:r>
            <w:r w:rsidR="00CC0299">
              <w:rPr>
                <w:webHidden/>
              </w:rPr>
              <w:fldChar w:fldCharType="end"/>
            </w:r>
          </w:hyperlink>
        </w:p>
        <w:p w14:paraId="651DAE19" w14:textId="680F46C8" w:rsidR="00CC0299" w:rsidRDefault="006E3F76">
          <w:pPr>
            <w:pStyle w:val="TOC2"/>
            <w:rPr>
              <w:rFonts w:eastAsiaTheme="minorEastAsia"/>
              <w:color w:val="auto"/>
              <w:lang w:eastAsia="en-AU"/>
            </w:rPr>
          </w:pPr>
          <w:hyperlink w:anchor="_Toc524085204" w:history="1">
            <w:r w:rsidR="00CC0299" w:rsidRPr="00513355">
              <w:rPr>
                <w:rStyle w:val="Hyperlink"/>
              </w:rPr>
              <w:t>1.5</w:t>
            </w:r>
            <w:r w:rsidR="00CC0299">
              <w:rPr>
                <w:rFonts w:eastAsiaTheme="minorEastAsia"/>
                <w:color w:val="auto"/>
                <w:lang w:eastAsia="en-AU"/>
              </w:rPr>
              <w:tab/>
            </w:r>
            <w:r w:rsidR="00CC0299" w:rsidRPr="00513355">
              <w:rPr>
                <w:rStyle w:val="Hyperlink"/>
              </w:rPr>
              <w:t>Structure and interpretation</w:t>
            </w:r>
            <w:r w:rsidR="00CC0299">
              <w:rPr>
                <w:webHidden/>
              </w:rPr>
              <w:tab/>
            </w:r>
            <w:r w:rsidR="00CC0299">
              <w:rPr>
                <w:webHidden/>
              </w:rPr>
              <w:fldChar w:fldCharType="begin"/>
            </w:r>
            <w:r w:rsidR="00CC0299">
              <w:rPr>
                <w:webHidden/>
              </w:rPr>
              <w:instrText xml:space="preserve"> PAGEREF _Toc524085204 \h </w:instrText>
            </w:r>
            <w:r w:rsidR="00CC0299">
              <w:rPr>
                <w:webHidden/>
              </w:rPr>
            </w:r>
            <w:r w:rsidR="00CC0299">
              <w:rPr>
                <w:webHidden/>
              </w:rPr>
              <w:fldChar w:fldCharType="separate"/>
            </w:r>
            <w:r w:rsidR="00C022DF">
              <w:rPr>
                <w:webHidden/>
              </w:rPr>
              <w:t>4</w:t>
            </w:r>
            <w:r w:rsidR="00CC0299">
              <w:rPr>
                <w:webHidden/>
              </w:rPr>
              <w:fldChar w:fldCharType="end"/>
            </w:r>
          </w:hyperlink>
        </w:p>
        <w:p w14:paraId="3EACE639" w14:textId="0DE44781" w:rsidR="00CC0299" w:rsidRDefault="006E3F76">
          <w:pPr>
            <w:pStyle w:val="TOC1"/>
            <w:tabs>
              <w:tab w:val="left" w:pos="567"/>
            </w:tabs>
            <w:rPr>
              <w:rFonts w:eastAsiaTheme="minorEastAsia"/>
              <w:b w:val="0"/>
              <w:noProof/>
              <w:color w:val="auto"/>
              <w:lang w:eastAsia="en-AU"/>
            </w:rPr>
          </w:pPr>
          <w:hyperlink w:anchor="_Toc524085205" w:history="1">
            <w:r w:rsidR="00CC0299" w:rsidRPr="00513355">
              <w:rPr>
                <w:rStyle w:val="Hyperlink"/>
                <w:caps/>
                <w:noProof/>
              </w:rPr>
              <w:t>2.</w:t>
            </w:r>
            <w:r w:rsidR="00CC0299">
              <w:rPr>
                <w:rFonts w:eastAsiaTheme="minorEastAsia"/>
                <w:b w:val="0"/>
                <w:noProof/>
                <w:color w:val="auto"/>
                <w:lang w:eastAsia="en-AU"/>
              </w:rPr>
              <w:tab/>
            </w:r>
            <w:r w:rsidR="00CC0299" w:rsidRPr="00513355">
              <w:rPr>
                <w:rStyle w:val="Hyperlink"/>
                <w:noProof/>
              </w:rPr>
              <w:t>Radiation protection and safety principles</w:t>
            </w:r>
            <w:r w:rsidR="00CC0299">
              <w:rPr>
                <w:noProof/>
                <w:webHidden/>
              </w:rPr>
              <w:tab/>
            </w:r>
            <w:r w:rsidR="00CC0299">
              <w:rPr>
                <w:noProof/>
                <w:webHidden/>
              </w:rPr>
              <w:fldChar w:fldCharType="begin"/>
            </w:r>
            <w:r w:rsidR="00CC0299">
              <w:rPr>
                <w:noProof/>
                <w:webHidden/>
              </w:rPr>
              <w:instrText xml:space="preserve"> PAGEREF _Toc524085205 \h </w:instrText>
            </w:r>
            <w:r w:rsidR="00CC0299">
              <w:rPr>
                <w:noProof/>
                <w:webHidden/>
              </w:rPr>
            </w:r>
            <w:r w:rsidR="00CC0299">
              <w:rPr>
                <w:noProof/>
                <w:webHidden/>
              </w:rPr>
              <w:fldChar w:fldCharType="separate"/>
            </w:r>
            <w:r w:rsidR="00C022DF">
              <w:rPr>
                <w:noProof/>
                <w:webHidden/>
              </w:rPr>
              <w:t>5</w:t>
            </w:r>
            <w:r w:rsidR="00CC0299">
              <w:rPr>
                <w:noProof/>
                <w:webHidden/>
              </w:rPr>
              <w:fldChar w:fldCharType="end"/>
            </w:r>
          </w:hyperlink>
        </w:p>
        <w:p w14:paraId="0A08FD31" w14:textId="21BB94F5" w:rsidR="00CC0299" w:rsidRDefault="006E3F76">
          <w:pPr>
            <w:pStyle w:val="TOC2"/>
            <w:rPr>
              <w:rFonts w:eastAsiaTheme="minorEastAsia"/>
              <w:color w:val="auto"/>
              <w:lang w:eastAsia="en-AU"/>
            </w:rPr>
          </w:pPr>
          <w:hyperlink w:anchor="_Toc524085206" w:history="1">
            <w:r w:rsidR="00CC0299" w:rsidRPr="00513355">
              <w:rPr>
                <w:rStyle w:val="Hyperlink"/>
              </w:rPr>
              <w:t>2.1</w:t>
            </w:r>
            <w:r w:rsidR="00CC0299">
              <w:rPr>
                <w:rFonts w:eastAsiaTheme="minorEastAsia"/>
                <w:color w:val="auto"/>
                <w:lang w:eastAsia="en-AU"/>
              </w:rPr>
              <w:tab/>
            </w:r>
            <w:r w:rsidR="00CC0299" w:rsidRPr="00513355">
              <w:rPr>
                <w:rStyle w:val="Hyperlink"/>
              </w:rPr>
              <w:t>Justification</w:t>
            </w:r>
            <w:r w:rsidR="00CC0299">
              <w:rPr>
                <w:webHidden/>
              </w:rPr>
              <w:tab/>
            </w:r>
            <w:r w:rsidR="00CC0299">
              <w:rPr>
                <w:webHidden/>
              </w:rPr>
              <w:fldChar w:fldCharType="begin"/>
            </w:r>
            <w:r w:rsidR="00CC0299">
              <w:rPr>
                <w:webHidden/>
              </w:rPr>
              <w:instrText xml:space="preserve"> PAGEREF _Toc524085206 \h </w:instrText>
            </w:r>
            <w:r w:rsidR="00CC0299">
              <w:rPr>
                <w:webHidden/>
              </w:rPr>
            </w:r>
            <w:r w:rsidR="00CC0299">
              <w:rPr>
                <w:webHidden/>
              </w:rPr>
              <w:fldChar w:fldCharType="separate"/>
            </w:r>
            <w:r w:rsidR="00C022DF">
              <w:rPr>
                <w:webHidden/>
              </w:rPr>
              <w:t>5</w:t>
            </w:r>
            <w:r w:rsidR="00CC0299">
              <w:rPr>
                <w:webHidden/>
              </w:rPr>
              <w:fldChar w:fldCharType="end"/>
            </w:r>
          </w:hyperlink>
        </w:p>
        <w:p w14:paraId="15E5E42B" w14:textId="3BA9992F" w:rsidR="00CC0299" w:rsidRDefault="006E3F76">
          <w:pPr>
            <w:pStyle w:val="TOC2"/>
            <w:rPr>
              <w:rFonts w:eastAsiaTheme="minorEastAsia"/>
              <w:color w:val="auto"/>
              <w:lang w:eastAsia="en-AU"/>
            </w:rPr>
          </w:pPr>
          <w:hyperlink w:anchor="_Toc524085207" w:history="1">
            <w:r w:rsidR="00CC0299" w:rsidRPr="00513355">
              <w:rPr>
                <w:rStyle w:val="Hyperlink"/>
              </w:rPr>
              <w:t>2.2</w:t>
            </w:r>
            <w:r w:rsidR="00CC0299">
              <w:rPr>
                <w:rFonts w:eastAsiaTheme="minorEastAsia"/>
                <w:color w:val="auto"/>
                <w:lang w:eastAsia="en-AU"/>
              </w:rPr>
              <w:tab/>
            </w:r>
            <w:r w:rsidR="00CC0299" w:rsidRPr="00513355">
              <w:rPr>
                <w:rStyle w:val="Hyperlink"/>
              </w:rPr>
              <w:t>Optimisation</w:t>
            </w:r>
            <w:r w:rsidR="00CC0299">
              <w:rPr>
                <w:webHidden/>
              </w:rPr>
              <w:tab/>
            </w:r>
            <w:r w:rsidR="00CC0299">
              <w:rPr>
                <w:webHidden/>
              </w:rPr>
              <w:fldChar w:fldCharType="begin"/>
            </w:r>
            <w:r w:rsidR="00CC0299">
              <w:rPr>
                <w:webHidden/>
              </w:rPr>
              <w:instrText xml:space="preserve"> PAGEREF _Toc524085207 \h </w:instrText>
            </w:r>
            <w:r w:rsidR="00CC0299">
              <w:rPr>
                <w:webHidden/>
              </w:rPr>
            </w:r>
            <w:r w:rsidR="00CC0299">
              <w:rPr>
                <w:webHidden/>
              </w:rPr>
              <w:fldChar w:fldCharType="separate"/>
            </w:r>
            <w:r w:rsidR="00C022DF">
              <w:rPr>
                <w:webHidden/>
              </w:rPr>
              <w:t>6</w:t>
            </w:r>
            <w:r w:rsidR="00CC0299">
              <w:rPr>
                <w:webHidden/>
              </w:rPr>
              <w:fldChar w:fldCharType="end"/>
            </w:r>
          </w:hyperlink>
        </w:p>
        <w:p w14:paraId="2F6F1545" w14:textId="1B656BEA" w:rsidR="00CC0299" w:rsidRDefault="006E3F76">
          <w:pPr>
            <w:pStyle w:val="TOC2"/>
            <w:rPr>
              <w:rFonts w:eastAsiaTheme="minorEastAsia"/>
              <w:color w:val="auto"/>
              <w:lang w:eastAsia="en-AU"/>
            </w:rPr>
          </w:pPr>
          <w:hyperlink w:anchor="_Toc524085208" w:history="1">
            <w:r w:rsidR="00CC0299" w:rsidRPr="00513355">
              <w:rPr>
                <w:rStyle w:val="Hyperlink"/>
              </w:rPr>
              <w:t>2.3</w:t>
            </w:r>
            <w:r w:rsidR="00CC0299">
              <w:rPr>
                <w:rFonts w:eastAsiaTheme="minorEastAsia"/>
                <w:color w:val="auto"/>
                <w:lang w:eastAsia="en-AU"/>
              </w:rPr>
              <w:tab/>
            </w:r>
            <w:r w:rsidR="00CC0299" w:rsidRPr="00513355">
              <w:rPr>
                <w:rStyle w:val="Hyperlink"/>
              </w:rPr>
              <w:t>Dose constraints and risk targets</w:t>
            </w:r>
            <w:r w:rsidR="00CC0299">
              <w:rPr>
                <w:webHidden/>
              </w:rPr>
              <w:tab/>
            </w:r>
            <w:r w:rsidR="00CC0299">
              <w:rPr>
                <w:webHidden/>
              </w:rPr>
              <w:fldChar w:fldCharType="begin"/>
            </w:r>
            <w:r w:rsidR="00CC0299">
              <w:rPr>
                <w:webHidden/>
              </w:rPr>
              <w:instrText xml:space="preserve"> PAGEREF _Toc524085208 \h </w:instrText>
            </w:r>
            <w:r w:rsidR="00CC0299">
              <w:rPr>
                <w:webHidden/>
              </w:rPr>
            </w:r>
            <w:r w:rsidR="00CC0299">
              <w:rPr>
                <w:webHidden/>
              </w:rPr>
              <w:fldChar w:fldCharType="separate"/>
            </w:r>
            <w:r w:rsidR="00C022DF">
              <w:rPr>
                <w:webHidden/>
              </w:rPr>
              <w:t>6</w:t>
            </w:r>
            <w:r w:rsidR="00CC0299">
              <w:rPr>
                <w:webHidden/>
              </w:rPr>
              <w:fldChar w:fldCharType="end"/>
            </w:r>
          </w:hyperlink>
        </w:p>
        <w:p w14:paraId="538FD520" w14:textId="4B6DCF7E" w:rsidR="00CC0299" w:rsidRDefault="006E3F76">
          <w:pPr>
            <w:pStyle w:val="TOC2"/>
            <w:rPr>
              <w:rFonts w:eastAsiaTheme="minorEastAsia"/>
              <w:color w:val="auto"/>
              <w:lang w:eastAsia="en-AU"/>
            </w:rPr>
          </w:pPr>
          <w:hyperlink w:anchor="_Toc524085209" w:history="1">
            <w:r w:rsidR="00CC0299" w:rsidRPr="00513355">
              <w:rPr>
                <w:rStyle w:val="Hyperlink"/>
              </w:rPr>
              <w:t>2.4</w:t>
            </w:r>
            <w:r w:rsidR="00CC0299">
              <w:rPr>
                <w:rFonts w:eastAsiaTheme="minorEastAsia"/>
                <w:color w:val="auto"/>
                <w:lang w:eastAsia="en-AU"/>
              </w:rPr>
              <w:tab/>
            </w:r>
            <w:r w:rsidR="00CC0299" w:rsidRPr="00513355">
              <w:rPr>
                <w:rStyle w:val="Hyperlink"/>
              </w:rPr>
              <w:t>Limitation of risks</w:t>
            </w:r>
            <w:r w:rsidR="00CC0299">
              <w:rPr>
                <w:webHidden/>
              </w:rPr>
              <w:tab/>
            </w:r>
            <w:r w:rsidR="00CC0299">
              <w:rPr>
                <w:webHidden/>
              </w:rPr>
              <w:fldChar w:fldCharType="begin"/>
            </w:r>
            <w:r w:rsidR="00CC0299">
              <w:rPr>
                <w:webHidden/>
              </w:rPr>
              <w:instrText xml:space="preserve"> PAGEREF _Toc524085209 \h </w:instrText>
            </w:r>
            <w:r w:rsidR="00CC0299">
              <w:rPr>
                <w:webHidden/>
              </w:rPr>
            </w:r>
            <w:r w:rsidR="00CC0299">
              <w:rPr>
                <w:webHidden/>
              </w:rPr>
              <w:fldChar w:fldCharType="separate"/>
            </w:r>
            <w:r w:rsidR="00C022DF">
              <w:rPr>
                <w:webHidden/>
              </w:rPr>
              <w:t>7</w:t>
            </w:r>
            <w:r w:rsidR="00CC0299">
              <w:rPr>
                <w:webHidden/>
              </w:rPr>
              <w:fldChar w:fldCharType="end"/>
            </w:r>
          </w:hyperlink>
        </w:p>
        <w:p w14:paraId="4FF01D64" w14:textId="6874C353" w:rsidR="00CC0299" w:rsidRDefault="006E3F76">
          <w:pPr>
            <w:pStyle w:val="TOC2"/>
            <w:rPr>
              <w:rFonts w:eastAsiaTheme="minorEastAsia"/>
              <w:color w:val="auto"/>
              <w:lang w:eastAsia="en-AU"/>
            </w:rPr>
          </w:pPr>
          <w:hyperlink w:anchor="_Toc524085210" w:history="1">
            <w:r w:rsidR="00CC0299" w:rsidRPr="00513355">
              <w:rPr>
                <w:rStyle w:val="Hyperlink"/>
              </w:rPr>
              <w:t>2.5</w:t>
            </w:r>
            <w:r w:rsidR="00CC0299">
              <w:rPr>
                <w:rFonts w:eastAsiaTheme="minorEastAsia"/>
                <w:color w:val="auto"/>
                <w:lang w:eastAsia="en-AU"/>
              </w:rPr>
              <w:tab/>
            </w:r>
            <w:r w:rsidR="00CC0299" w:rsidRPr="00513355">
              <w:rPr>
                <w:rStyle w:val="Hyperlink"/>
              </w:rPr>
              <w:t>Defence in depth</w:t>
            </w:r>
            <w:r w:rsidR="00CC0299">
              <w:rPr>
                <w:webHidden/>
              </w:rPr>
              <w:tab/>
            </w:r>
            <w:r w:rsidR="00CC0299">
              <w:rPr>
                <w:webHidden/>
              </w:rPr>
              <w:fldChar w:fldCharType="begin"/>
            </w:r>
            <w:r w:rsidR="00CC0299">
              <w:rPr>
                <w:webHidden/>
              </w:rPr>
              <w:instrText xml:space="preserve"> PAGEREF _Toc524085210 \h </w:instrText>
            </w:r>
            <w:r w:rsidR="00CC0299">
              <w:rPr>
                <w:webHidden/>
              </w:rPr>
            </w:r>
            <w:r w:rsidR="00CC0299">
              <w:rPr>
                <w:webHidden/>
              </w:rPr>
              <w:fldChar w:fldCharType="separate"/>
            </w:r>
            <w:r w:rsidR="00C022DF">
              <w:rPr>
                <w:webHidden/>
              </w:rPr>
              <w:t>7</w:t>
            </w:r>
            <w:r w:rsidR="00CC0299">
              <w:rPr>
                <w:webHidden/>
              </w:rPr>
              <w:fldChar w:fldCharType="end"/>
            </w:r>
          </w:hyperlink>
        </w:p>
        <w:p w14:paraId="49A46D54" w14:textId="6BF01E82" w:rsidR="00CC0299" w:rsidRDefault="006E3F76">
          <w:pPr>
            <w:pStyle w:val="TOC2"/>
            <w:rPr>
              <w:rFonts w:eastAsiaTheme="minorEastAsia"/>
              <w:color w:val="auto"/>
              <w:lang w:eastAsia="en-AU"/>
            </w:rPr>
          </w:pPr>
          <w:hyperlink w:anchor="_Toc524085211" w:history="1">
            <w:r w:rsidR="00CC0299" w:rsidRPr="00513355">
              <w:rPr>
                <w:rStyle w:val="Hyperlink"/>
              </w:rPr>
              <w:t>2.6</w:t>
            </w:r>
            <w:r w:rsidR="00CC0299">
              <w:rPr>
                <w:rFonts w:eastAsiaTheme="minorEastAsia"/>
                <w:color w:val="auto"/>
                <w:lang w:eastAsia="en-AU"/>
              </w:rPr>
              <w:tab/>
            </w:r>
            <w:r w:rsidR="00CC0299" w:rsidRPr="00513355">
              <w:rPr>
                <w:rStyle w:val="Hyperlink"/>
              </w:rPr>
              <w:t>Aligning safety and security objectives</w:t>
            </w:r>
            <w:r w:rsidR="00CC0299">
              <w:rPr>
                <w:webHidden/>
              </w:rPr>
              <w:tab/>
            </w:r>
            <w:r w:rsidR="00CC0299">
              <w:rPr>
                <w:webHidden/>
              </w:rPr>
              <w:fldChar w:fldCharType="begin"/>
            </w:r>
            <w:r w:rsidR="00CC0299">
              <w:rPr>
                <w:webHidden/>
              </w:rPr>
              <w:instrText xml:space="preserve"> PAGEREF _Toc524085211 \h </w:instrText>
            </w:r>
            <w:r w:rsidR="00CC0299">
              <w:rPr>
                <w:webHidden/>
              </w:rPr>
            </w:r>
            <w:r w:rsidR="00CC0299">
              <w:rPr>
                <w:webHidden/>
              </w:rPr>
              <w:fldChar w:fldCharType="separate"/>
            </w:r>
            <w:r w:rsidR="00C022DF">
              <w:rPr>
                <w:webHidden/>
              </w:rPr>
              <w:t>7</w:t>
            </w:r>
            <w:r w:rsidR="00CC0299">
              <w:rPr>
                <w:webHidden/>
              </w:rPr>
              <w:fldChar w:fldCharType="end"/>
            </w:r>
          </w:hyperlink>
        </w:p>
        <w:p w14:paraId="44030DDA" w14:textId="2D4A2832" w:rsidR="00CC0299" w:rsidRDefault="006E3F76">
          <w:pPr>
            <w:pStyle w:val="TOC2"/>
            <w:rPr>
              <w:rFonts w:eastAsiaTheme="minorEastAsia"/>
              <w:color w:val="auto"/>
              <w:lang w:eastAsia="en-AU"/>
            </w:rPr>
          </w:pPr>
          <w:hyperlink w:anchor="_Toc524085212" w:history="1">
            <w:r w:rsidR="00CC0299" w:rsidRPr="00513355">
              <w:rPr>
                <w:rStyle w:val="Hyperlink"/>
              </w:rPr>
              <w:t>2.7</w:t>
            </w:r>
            <w:r w:rsidR="00CC0299">
              <w:rPr>
                <w:rFonts w:eastAsiaTheme="minorEastAsia"/>
                <w:color w:val="auto"/>
                <w:lang w:eastAsia="en-AU"/>
              </w:rPr>
              <w:tab/>
            </w:r>
            <w:r w:rsidR="00CC0299" w:rsidRPr="00513355">
              <w:rPr>
                <w:rStyle w:val="Hyperlink"/>
              </w:rPr>
              <w:t>The approvals process/phases</w:t>
            </w:r>
            <w:r w:rsidR="00CC0299">
              <w:rPr>
                <w:webHidden/>
              </w:rPr>
              <w:tab/>
            </w:r>
            <w:r w:rsidR="00CC0299">
              <w:rPr>
                <w:webHidden/>
              </w:rPr>
              <w:fldChar w:fldCharType="begin"/>
            </w:r>
            <w:r w:rsidR="00CC0299">
              <w:rPr>
                <w:webHidden/>
              </w:rPr>
              <w:instrText xml:space="preserve"> PAGEREF _Toc524085212 \h </w:instrText>
            </w:r>
            <w:r w:rsidR="00CC0299">
              <w:rPr>
                <w:webHidden/>
              </w:rPr>
            </w:r>
            <w:r w:rsidR="00CC0299">
              <w:rPr>
                <w:webHidden/>
              </w:rPr>
              <w:fldChar w:fldCharType="separate"/>
            </w:r>
            <w:r w:rsidR="00C022DF">
              <w:rPr>
                <w:webHidden/>
              </w:rPr>
              <w:t>8</w:t>
            </w:r>
            <w:r w:rsidR="00CC0299">
              <w:rPr>
                <w:webHidden/>
              </w:rPr>
              <w:fldChar w:fldCharType="end"/>
            </w:r>
          </w:hyperlink>
        </w:p>
        <w:p w14:paraId="443731F9" w14:textId="1B53EE48" w:rsidR="00CC0299" w:rsidRDefault="006E3F76">
          <w:pPr>
            <w:pStyle w:val="TOC2"/>
            <w:rPr>
              <w:rFonts w:eastAsiaTheme="minorEastAsia"/>
              <w:color w:val="auto"/>
              <w:lang w:eastAsia="en-AU"/>
            </w:rPr>
          </w:pPr>
          <w:hyperlink w:anchor="_Toc524085213" w:history="1">
            <w:r w:rsidR="00CC0299" w:rsidRPr="00513355">
              <w:rPr>
                <w:rStyle w:val="Hyperlink"/>
              </w:rPr>
              <w:t>2.8</w:t>
            </w:r>
            <w:r w:rsidR="00CC0299">
              <w:rPr>
                <w:rFonts w:eastAsiaTheme="minorEastAsia"/>
                <w:color w:val="auto"/>
                <w:lang w:eastAsia="en-AU"/>
              </w:rPr>
              <w:tab/>
            </w:r>
            <w:r w:rsidR="00CC0299" w:rsidRPr="00513355">
              <w:rPr>
                <w:rStyle w:val="Hyperlink"/>
              </w:rPr>
              <w:t>A graded approach to implementation</w:t>
            </w:r>
            <w:r w:rsidR="00CC0299">
              <w:rPr>
                <w:webHidden/>
              </w:rPr>
              <w:tab/>
            </w:r>
            <w:r w:rsidR="00CC0299">
              <w:rPr>
                <w:webHidden/>
              </w:rPr>
              <w:fldChar w:fldCharType="begin"/>
            </w:r>
            <w:r w:rsidR="00CC0299">
              <w:rPr>
                <w:webHidden/>
              </w:rPr>
              <w:instrText xml:space="preserve"> PAGEREF _Toc524085213 \h </w:instrText>
            </w:r>
            <w:r w:rsidR="00CC0299">
              <w:rPr>
                <w:webHidden/>
              </w:rPr>
            </w:r>
            <w:r w:rsidR="00CC0299">
              <w:rPr>
                <w:webHidden/>
              </w:rPr>
              <w:fldChar w:fldCharType="separate"/>
            </w:r>
            <w:r w:rsidR="00C022DF">
              <w:rPr>
                <w:webHidden/>
              </w:rPr>
              <w:t>8</w:t>
            </w:r>
            <w:r w:rsidR="00CC0299">
              <w:rPr>
                <w:webHidden/>
              </w:rPr>
              <w:fldChar w:fldCharType="end"/>
            </w:r>
          </w:hyperlink>
        </w:p>
        <w:p w14:paraId="1484E5C4" w14:textId="6F8380BE" w:rsidR="00CC0299" w:rsidRDefault="006E3F76">
          <w:pPr>
            <w:pStyle w:val="TOC2"/>
            <w:rPr>
              <w:rFonts w:eastAsiaTheme="minorEastAsia"/>
              <w:color w:val="auto"/>
              <w:lang w:eastAsia="en-AU"/>
            </w:rPr>
          </w:pPr>
          <w:hyperlink w:anchor="_Toc524085214" w:history="1">
            <w:r w:rsidR="00CC0299" w:rsidRPr="00513355">
              <w:rPr>
                <w:rStyle w:val="Hyperlink"/>
              </w:rPr>
              <w:t>2.9</w:t>
            </w:r>
            <w:r w:rsidR="00CC0299">
              <w:rPr>
                <w:rFonts w:eastAsiaTheme="minorEastAsia"/>
                <w:color w:val="auto"/>
                <w:lang w:eastAsia="en-AU"/>
              </w:rPr>
              <w:tab/>
            </w:r>
            <w:r w:rsidR="00CC0299" w:rsidRPr="00513355">
              <w:rPr>
                <w:rStyle w:val="Hyperlink"/>
              </w:rPr>
              <w:t>Safety and the safety case</w:t>
            </w:r>
            <w:r w:rsidR="00CC0299">
              <w:rPr>
                <w:webHidden/>
              </w:rPr>
              <w:tab/>
            </w:r>
            <w:r w:rsidR="00CC0299">
              <w:rPr>
                <w:webHidden/>
              </w:rPr>
              <w:fldChar w:fldCharType="begin"/>
            </w:r>
            <w:r w:rsidR="00CC0299">
              <w:rPr>
                <w:webHidden/>
              </w:rPr>
              <w:instrText xml:space="preserve"> PAGEREF _Toc524085214 \h </w:instrText>
            </w:r>
            <w:r w:rsidR="00CC0299">
              <w:rPr>
                <w:webHidden/>
              </w:rPr>
            </w:r>
            <w:r w:rsidR="00CC0299">
              <w:rPr>
                <w:webHidden/>
              </w:rPr>
              <w:fldChar w:fldCharType="separate"/>
            </w:r>
            <w:r w:rsidR="00C022DF">
              <w:rPr>
                <w:webHidden/>
              </w:rPr>
              <w:t>8</w:t>
            </w:r>
            <w:r w:rsidR="00CC0299">
              <w:rPr>
                <w:webHidden/>
              </w:rPr>
              <w:fldChar w:fldCharType="end"/>
            </w:r>
          </w:hyperlink>
        </w:p>
        <w:p w14:paraId="496F4E8B" w14:textId="41891E19" w:rsidR="00CC0299" w:rsidRDefault="006E3F76">
          <w:pPr>
            <w:pStyle w:val="TOC2"/>
            <w:rPr>
              <w:rFonts w:eastAsiaTheme="minorEastAsia"/>
              <w:color w:val="auto"/>
              <w:lang w:eastAsia="en-AU"/>
            </w:rPr>
          </w:pPr>
          <w:hyperlink w:anchor="_Toc524085215" w:history="1">
            <w:r w:rsidR="00CC0299" w:rsidRPr="00513355">
              <w:rPr>
                <w:rStyle w:val="Hyperlink"/>
              </w:rPr>
              <w:t>2.10</w:t>
            </w:r>
            <w:r w:rsidR="00CC0299">
              <w:rPr>
                <w:rFonts w:eastAsiaTheme="minorEastAsia"/>
                <w:color w:val="auto"/>
                <w:lang w:eastAsia="en-AU"/>
              </w:rPr>
              <w:tab/>
            </w:r>
            <w:r w:rsidR="00CC0299" w:rsidRPr="00513355">
              <w:rPr>
                <w:rStyle w:val="Hyperlink"/>
              </w:rPr>
              <w:t>Selecting a site</w:t>
            </w:r>
            <w:r w:rsidR="00CC0299">
              <w:rPr>
                <w:webHidden/>
              </w:rPr>
              <w:tab/>
            </w:r>
            <w:r w:rsidR="00CC0299">
              <w:rPr>
                <w:webHidden/>
              </w:rPr>
              <w:fldChar w:fldCharType="begin"/>
            </w:r>
            <w:r w:rsidR="00CC0299">
              <w:rPr>
                <w:webHidden/>
              </w:rPr>
              <w:instrText xml:space="preserve"> PAGEREF _Toc524085215 \h </w:instrText>
            </w:r>
            <w:r w:rsidR="00CC0299">
              <w:rPr>
                <w:webHidden/>
              </w:rPr>
            </w:r>
            <w:r w:rsidR="00CC0299">
              <w:rPr>
                <w:webHidden/>
              </w:rPr>
              <w:fldChar w:fldCharType="separate"/>
            </w:r>
            <w:r w:rsidR="00C022DF">
              <w:rPr>
                <w:webHidden/>
              </w:rPr>
              <w:t>9</w:t>
            </w:r>
            <w:r w:rsidR="00CC0299">
              <w:rPr>
                <w:webHidden/>
              </w:rPr>
              <w:fldChar w:fldCharType="end"/>
            </w:r>
          </w:hyperlink>
        </w:p>
        <w:p w14:paraId="4E250921" w14:textId="7865179A" w:rsidR="00CC0299" w:rsidRDefault="006E3F76">
          <w:pPr>
            <w:pStyle w:val="TOC2"/>
            <w:rPr>
              <w:rFonts w:eastAsiaTheme="minorEastAsia"/>
              <w:color w:val="auto"/>
              <w:lang w:eastAsia="en-AU"/>
            </w:rPr>
          </w:pPr>
          <w:hyperlink w:anchor="_Toc524085216" w:history="1">
            <w:r w:rsidR="00CC0299" w:rsidRPr="00513355">
              <w:rPr>
                <w:rStyle w:val="Hyperlink"/>
              </w:rPr>
              <w:t>2.11</w:t>
            </w:r>
            <w:r w:rsidR="00CC0299">
              <w:rPr>
                <w:rFonts w:eastAsiaTheme="minorEastAsia"/>
                <w:color w:val="auto"/>
                <w:lang w:eastAsia="en-AU"/>
              </w:rPr>
              <w:tab/>
            </w:r>
            <w:r w:rsidR="00CC0299" w:rsidRPr="00513355">
              <w:rPr>
                <w:rStyle w:val="Hyperlink"/>
              </w:rPr>
              <w:t>Reversibility and retrievability</w:t>
            </w:r>
            <w:r w:rsidR="00CC0299">
              <w:rPr>
                <w:webHidden/>
              </w:rPr>
              <w:tab/>
            </w:r>
            <w:r w:rsidR="00CC0299">
              <w:rPr>
                <w:webHidden/>
              </w:rPr>
              <w:fldChar w:fldCharType="begin"/>
            </w:r>
            <w:r w:rsidR="00CC0299">
              <w:rPr>
                <w:webHidden/>
              </w:rPr>
              <w:instrText xml:space="preserve"> PAGEREF _Toc524085216 \h </w:instrText>
            </w:r>
            <w:r w:rsidR="00CC0299">
              <w:rPr>
                <w:webHidden/>
              </w:rPr>
            </w:r>
            <w:r w:rsidR="00CC0299">
              <w:rPr>
                <w:webHidden/>
              </w:rPr>
              <w:fldChar w:fldCharType="separate"/>
            </w:r>
            <w:r w:rsidR="00C022DF">
              <w:rPr>
                <w:webHidden/>
              </w:rPr>
              <w:t>9</w:t>
            </w:r>
            <w:r w:rsidR="00CC0299">
              <w:rPr>
                <w:webHidden/>
              </w:rPr>
              <w:fldChar w:fldCharType="end"/>
            </w:r>
          </w:hyperlink>
        </w:p>
        <w:p w14:paraId="7DDC20A2" w14:textId="236EC2C4" w:rsidR="00CC0299" w:rsidRDefault="006E3F76">
          <w:pPr>
            <w:pStyle w:val="TOC2"/>
            <w:rPr>
              <w:rFonts w:eastAsiaTheme="minorEastAsia"/>
              <w:color w:val="auto"/>
              <w:lang w:eastAsia="en-AU"/>
            </w:rPr>
          </w:pPr>
          <w:hyperlink w:anchor="_Toc524085217" w:history="1">
            <w:r w:rsidR="00CC0299" w:rsidRPr="00513355">
              <w:rPr>
                <w:rStyle w:val="Hyperlink"/>
              </w:rPr>
              <w:t>2.12</w:t>
            </w:r>
            <w:r w:rsidR="00CC0299">
              <w:rPr>
                <w:rFonts w:eastAsiaTheme="minorEastAsia"/>
                <w:color w:val="auto"/>
                <w:lang w:eastAsia="en-AU"/>
              </w:rPr>
              <w:tab/>
            </w:r>
            <w:r w:rsidR="00CC0299" w:rsidRPr="00513355">
              <w:rPr>
                <w:rStyle w:val="Hyperlink"/>
              </w:rPr>
              <w:t>Defining ‘community’</w:t>
            </w:r>
            <w:r w:rsidR="00CC0299">
              <w:rPr>
                <w:webHidden/>
              </w:rPr>
              <w:tab/>
            </w:r>
            <w:r w:rsidR="00CC0299">
              <w:rPr>
                <w:webHidden/>
              </w:rPr>
              <w:fldChar w:fldCharType="begin"/>
            </w:r>
            <w:r w:rsidR="00CC0299">
              <w:rPr>
                <w:webHidden/>
              </w:rPr>
              <w:instrText xml:space="preserve"> PAGEREF _Toc524085217 \h </w:instrText>
            </w:r>
            <w:r w:rsidR="00CC0299">
              <w:rPr>
                <w:webHidden/>
              </w:rPr>
            </w:r>
            <w:r w:rsidR="00CC0299">
              <w:rPr>
                <w:webHidden/>
              </w:rPr>
              <w:fldChar w:fldCharType="separate"/>
            </w:r>
            <w:r w:rsidR="00C022DF">
              <w:rPr>
                <w:webHidden/>
              </w:rPr>
              <w:t>10</w:t>
            </w:r>
            <w:r w:rsidR="00CC0299">
              <w:rPr>
                <w:webHidden/>
              </w:rPr>
              <w:fldChar w:fldCharType="end"/>
            </w:r>
          </w:hyperlink>
        </w:p>
        <w:p w14:paraId="00DCEB67" w14:textId="0E685415" w:rsidR="00CC0299" w:rsidRDefault="006E3F76">
          <w:pPr>
            <w:pStyle w:val="TOC1"/>
            <w:tabs>
              <w:tab w:val="left" w:pos="567"/>
            </w:tabs>
            <w:rPr>
              <w:rFonts w:eastAsiaTheme="minorEastAsia"/>
              <w:b w:val="0"/>
              <w:noProof/>
              <w:color w:val="auto"/>
              <w:lang w:eastAsia="en-AU"/>
            </w:rPr>
          </w:pPr>
          <w:hyperlink w:anchor="_Toc524085218" w:history="1">
            <w:r w:rsidR="00CC0299" w:rsidRPr="00513355">
              <w:rPr>
                <w:rStyle w:val="Hyperlink"/>
                <w:caps/>
                <w:noProof/>
              </w:rPr>
              <w:t>3.</w:t>
            </w:r>
            <w:r w:rsidR="00CC0299">
              <w:rPr>
                <w:rFonts w:eastAsiaTheme="minorEastAsia"/>
                <w:b w:val="0"/>
                <w:noProof/>
                <w:color w:val="auto"/>
                <w:lang w:eastAsia="en-AU"/>
              </w:rPr>
              <w:tab/>
            </w:r>
            <w:r w:rsidR="00CC0299" w:rsidRPr="00513355">
              <w:rPr>
                <w:rStyle w:val="Hyperlink"/>
                <w:noProof/>
              </w:rPr>
              <w:t>Safety requirements for disposal of radioactive waste</w:t>
            </w:r>
            <w:r w:rsidR="00CC0299">
              <w:rPr>
                <w:noProof/>
                <w:webHidden/>
              </w:rPr>
              <w:tab/>
            </w:r>
            <w:r w:rsidR="00CC0299">
              <w:rPr>
                <w:noProof/>
                <w:webHidden/>
              </w:rPr>
              <w:fldChar w:fldCharType="begin"/>
            </w:r>
            <w:r w:rsidR="00CC0299">
              <w:rPr>
                <w:noProof/>
                <w:webHidden/>
              </w:rPr>
              <w:instrText xml:space="preserve"> PAGEREF _Toc524085218 \h </w:instrText>
            </w:r>
            <w:r w:rsidR="00CC0299">
              <w:rPr>
                <w:noProof/>
                <w:webHidden/>
              </w:rPr>
            </w:r>
            <w:r w:rsidR="00CC0299">
              <w:rPr>
                <w:noProof/>
                <w:webHidden/>
              </w:rPr>
              <w:fldChar w:fldCharType="separate"/>
            </w:r>
            <w:r w:rsidR="00C022DF">
              <w:rPr>
                <w:noProof/>
                <w:webHidden/>
              </w:rPr>
              <w:t>11</w:t>
            </w:r>
            <w:r w:rsidR="00CC0299">
              <w:rPr>
                <w:noProof/>
                <w:webHidden/>
              </w:rPr>
              <w:fldChar w:fldCharType="end"/>
            </w:r>
          </w:hyperlink>
        </w:p>
        <w:p w14:paraId="363F8E55" w14:textId="4E01CEF1" w:rsidR="00CC0299" w:rsidRDefault="006E3F76">
          <w:pPr>
            <w:pStyle w:val="TOC2"/>
            <w:rPr>
              <w:rFonts w:eastAsiaTheme="minorEastAsia"/>
              <w:color w:val="auto"/>
              <w:lang w:eastAsia="en-AU"/>
            </w:rPr>
          </w:pPr>
          <w:hyperlink w:anchor="_Toc524085219" w:history="1">
            <w:r w:rsidR="00CC0299" w:rsidRPr="00513355">
              <w:rPr>
                <w:rStyle w:val="Hyperlink"/>
              </w:rPr>
              <w:t>3.1</w:t>
            </w:r>
            <w:r w:rsidR="00CC0299">
              <w:rPr>
                <w:rFonts w:eastAsiaTheme="minorEastAsia"/>
                <w:color w:val="auto"/>
                <w:lang w:eastAsia="en-AU"/>
              </w:rPr>
              <w:tab/>
            </w:r>
            <w:r w:rsidR="00CC0299" w:rsidRPr="00513355">
              <w:rPr>
                <w:rStyle w:val="Hyperlink"/>
              </w:rPr>
              <w:t>General requirements</w:t>
            </w:r>
            <w:r w:rsidR="00CC0299">
              <w:rPr>
                <w:webHidden/>
              </w:rPr>
              <w:tab/>
            </w:r>
            <w:r w:rsidR="00CC0299">
              <w:rPr>
                <w:webHidden/>
              </w:rPr>
              <w:fldChar w:fldCharType="begin"/>
            </w:r>
            <w:r w:rsidR="00CC0299">
              <w:rPr>
                <w:webHidden/>
              </w:rPr>
              <w:instrText xml:space="preserve"> PAGEREF _Toc524085219 \h </w:instrText>
            </w:r>
            <w:r w:rsidR="00CC0299">
              <w:rPr>
                <w:webHidden/>
              </w:rPr>
            </w:r>
            <w:r w:rsidR="00CC0299">
              <w:rPr>
                <w:webHidden/>
              </w:rPr>
              <w:fldChar w:fldCharType="separate"/>
            </w:r>
            <w:r w:rsidR="00C022DF">
              <w:rPr>
                <w:webHidden/>
              </w:rPr>
              <w:t>11</w:t>
            </w:r>
            <w:r w:rsidR="00CC0299">
              <w:rPr>
                <w:webHidden/>
              </w:rPr>
              <w:fldChar w:fldCharType="end"/>
            </w:r>
          </w:hyperlink>
        </w:p>
        <w:p w14:paraId="3F442A66" w14:textId="09942A09" w:rsidR="00CC0299" w:rsidRDefault="006E3F76">
          <w:pPr>
            <w:pStyle w:val="TOC2"/>
            <w:rPr>
              <w:rFonts w:eastAsiaTheme="minorEastAsia"/>
              <w:color w:val="auto"/>
              <w:lang w:eastAsia="en-AU"/>
            </w:rPr>
          </w:pPr>
          <w:hyperlink w:anchor="_Toc524085220" w:history="1">
            <w:r w:rsidR="00CC0299" w:rsidRPr="00513355">
              <w:rPr>
                <w:rStyle w:val="Hyperlink"/>
              </w:rPr>
              <w:t>3.2</w:t>
            </w:r>
            <w:r w:rsidR="00CC0299">
              <w:rPr>
                <w:rFonts w:eastAsiaTheme="minorEastAsia"/>
                <w:color w:val="auto"/>
                <w:lang w:eastAsia="en-AU"/>
              </w:rPr>
              <w:tab/>
            </w:r>
            <w:r w:rsidR="00CC0299" w:rsidRPr="00513355">
              <w:rPr>
                <w:rStyle w:val="Hyperlink"/>
              </w:rPr>
              <w:t>International Best Practice Safety Requirements for Disposal of Radioactive Waste</w:t>
            </w:r>
            <w:r w:rsidR="00CC0299">
              <w:rPr>
                <w:webHidden/>
              </w:rPr>
              <w:tab/>
            </w:r>
            <w:r w:rsidR="00CC0299">
              <w:rPr>
                <w:webHidden/>
              </w:rPr>
              <w:fldChar w:fldCharType="begin"/>
            </w:r>
            <w:r w:rsidR="00CC0299">
              <w:rPr>
                <w:webHidden/>
              </w:rPr>
              <w:instrText xml:space="preserve"> PAGEREF _Toc524085220 \h </w:instrText>
            </w:r>
            <w:r w:rsidR="00CC0299">
              <w:rPr>
                <w:webHidden/>
              </w:rPr>
            </w:r>
            <w:r w:rsidR="00CC0299">
              <w:rPr>
                <w:webHidden/>
              </w:rPr>
              <w:fldChar w:fldCharType="separate"/>
            </w:r>
            <w:r w:rsidR="00C022DF">
              <w:rPr>
                <w:webHidden/>
              </w:rPr>
              <w:t>17</w:t>
            </w:r>
            <w:r w:rsidR="00CC0299">
              <w:rPr>
                <w:webHidden/>
              </w:rPr>
              <w:fldChar w:fldCharType="end"/>
            </w:r>
          </w:hyperlink>
        </w:p>
        <w:p w14:paraId="351B4FFD" w14:textId="42F58BF9" w:rsidR="00CC0299" w:rsidRDefault="006E3F76">
          <w:pPr>
            <w:pStyle w:val="TOC3"/>
            <w:rPr>
              <w:rFonts w:eastAsiaTheme="minorEastAsia"/>
              <w:i w:val="0"/>
              <w:color w:val="auto"/>
              <w:lang w:eastAsia="en-AU"/>
            </w:rPr>
          </w:pPr>
          <w:hyperlink w:anchor="_Toc524085221" w:history="1">
            <w:r w:rsidR="00CC0299" w:rsidRPr="00513355">
              <w:rPr>
                <w:rStyle w:val="Hyperlink"/>
              </w:rPr>
              <w:t>Design concepts for safety</w:t>
            </w:r>
            <w:r w:rsidR="00CC0299">
              <w:rPr>
                <w:webHidden/>
              </w:rPr>
              <w:tab/>
            </w:r>
            <w:r w:rsidR="00CC0299">
              <w:rPr>
                <w:webHidden/>
              </w:rPr>
              <w:fldChar w:fldCharType="begin"/>
            </w:r>
            <w:r w:rsidR="00CC0299">
              <w:rPr>
                <w:webHidden/>
              </w:rPr>
              <w:instrText xml:space="preserve"> PAGEREF _Toc524085221 \h </w:instrText>
            </w:r>
            <w:r w:rsidR="00CC0299">
              <w:rPr>
                <w:webHidden/>
              </w:rPr>
            </w:r>
            <w:r w:rsidR="00CC0299">
              <w:rPr>
                <w:webHidden/>
              </w:rPr>
              <w:fldChar w:fldCharType="separate"/>
            </w:r>
            <w:r w:rsidR="00C022DF">
              <w:rPr>
                <w:webHidden/>
              </w:rPr>
              <w:t>21</w:t>
            </w:r>
            <w:r w:rsidR="00CC0299">
              <w:rPr>
                <w:webHidden/>
              </w:rPr>
              <w:fldChar w:fldCharType="end"/>
            </w:r>
          </w:hyperlink>
        </w:p>
        <w:p w14:paraId="73D87AF1" w14:textId="7E5E159F" w:rsidR="00CC0299" w:rsidRDefault="006E3F76">
          <w:pPr>
            <w:pStyle w:val="TOC3"/>
            <w:rPr>
              <w:rFonts w:eastAsiaTheme="minorEastAsia"/>
              <w:i w:val="0"/>
              <w:color w:val="auto"/>
              <w:lang w:eastAsia="en-AU"/>
            </w:rPr>
          </w:pPr>
          <w:hyperlink w:anchor="_Toc524085222" w:history="1">
            <w:r w:rsidR="00CC0299" w:rsidRPr="00513355">
              <w:rPr>
                <w:rStyle w:val="Hyperlink"/>
              </w:rPr>
              <w:t>Requirements for the Development, Operation and Closure of a Disposal Facility</w:t>
            </w:r>
            <w:r w:rsidR="00CC0299">
              <w:rPr>
                <w:webHidden/>
              </w:rPr>
              <w:tab/>
            </w:r>
            <w:r w:rsidR="00CC0299">
              <w:rPr>
                <w:webHidden/>
              </w:rPr>
              <w:fldChar w:fldCharType="begin"/>
            </w:r>
            <w:r w:rsidR="00CC0299">
              <w:rPr>
                <w:webHidden/>
              </w:rPr>
              <w:instrText xml:space="preserve"> PAGEREF _Toc524085222 \h </w:instrText>
            </w:r>
            <w:r w:rsidR="00CC0299">
              <w:rPr>
                <w:webHidden/>
              </w:rPr>
            </w:r>
            <w:r w:rsidR="00CC0299">
              <w:rPr>
                <w:webHidden/>
              </w:rPr>
              <w:fldChar w:fldCharType="separate"/>
            </w:r>
            <w:r w:rsidR="00C022DF">
              <w:rPr>
                <w:webHidden/>
              </w:rPr>
              <w:t>24</w:t>
            </w:r>
            <w:r w:rsidR="00CC0299">
              <w:rPr>
                <w:webHidden/>
              </w:rPr>
              <w:fldChar w:fldCharType="end"/>
            </w:r>
          </w:hyperlink>
        </w:p>
        <w:p w14:paraId="52F16E2E" w14:textId="47F63175" w:rsidR="00CC0299" w:rsidRDefault="006E3F76">
          <w:pPr>
            <w:pStyle w:val="TOC3"/>
            <w:rPr>
              <w:rFonts w:eastAsiaTheme="minorEastAsia"/>
              <w:i w:val="0"/>
              <w:color w:val="auto"/>
              <w:lang w:eastAsia="en-AU"/>
            </w:rPr>
          </w:pPr>
          <w:hyperlink w:anchor="_Toc524085223" w:history="1">
            <w:r w:rsidR="00CC0299" w:rsidRPr="00513355">
              <w:rPr>
                <w:rStyle w:val="Hyperlink"/>
                <w:rFonts w:eastAsia="TimesNewRoman"/>
              </w:rPr>
              <w:t>Steps in the development, operation and closure of a disposal facility</w:t>
            </w:r>
            <w:r w:rsidR="00CC0299">
              <w:rPr>
                <w:webHidden/>
              </w:rPr>
              <w:tab/>
            </w:r>
            <w:r w:rsidR="00CC0299">
              <w:rPr>
                <w:webHidden/>
              </w:rPr>
              <w:fldChar w:fldCharType="begin"/>
            </w:r>
            <w:r w:rsidR="00CC0299">
              <w:rPr>
                <w:webHidden/>
              </w:rPr>
              <w:instrText xml:space="preserve"> PAGEREF _Toc524085223 \h </w:instrText>
            </w:r>
            <w:r w:rsidR="00CC0299">
              <w:rPr>
                <w:webHidden/>
              </w:rPr>
            </w:r>
            <w:r w:rsidR="00CC0299">
              <w:rPr>
                <w:webHidden/>
              </w:rPr>
              <w:fldChar w:fldCharType="separate"/>
            </w:r>
            <w:r w:rsidR="00C022DF">
              <w:rPr>
                <w:webHidden/>
              </w:rPr>
              <w:t>27</w:t>
            </w:r>
            <w:r w:rsidR="00CC0299">
              <w:rPr>
                <w:webHidden/>
              </w:rPr>
              <w:fldChar w:fldCharType="end"/>
            </w:r>
          </w:hyperlink>
        </w:p>
        <w:p w14:paraId="131CB3A7" w14:textId="4C1A32C2" w:rsidR="00CC0299" w:rsidRDefault="006E3F76">
          <w:pPr>
            <w:pStyle w:val="TOC3"/>
            <w:rPr>
              <w:rFonts w:eastAsiaTheme="minorEastAsia"/>
              <w:i w:val="0"/>
              <w:color w:val="auto"/>
              <w:lang w:eastAsia="en-AU"/>
            </w:rPr>
          </w:pPr>
          <w:hyperlink w:anchor="_Toc524085224" w:history="1">
            <w:r w:rsidR="00CC0299" w:rsidRPr="00513355">
              <w:rPr>
                <w:rStyle w:val="Hyperlink"/>
                <w:rFonts w:eastAsia="TimesNewRoman"/>
              </w:rPr>
              <w:t>Assurance of Safety</w:t>
            </w:r>
            <w:r w:rsidR="00CC0299">
              <w:rPr>
                <w:webHidden/>
              </w:rPr>
              <w:tab/>
            </w:r>
            <w:r w:rsidR="00CC0299">
              <w:rPr>
                <w:webHidden/>
              </w:rPr>
              <w:fldChar w:fldCharType="begin"/>
            </w:r>
            <w:r w:rsidR="00CC0299">
              <w:rPr>
                <w:webHidden/>
              </w:rPr>
              <w:instrText xml:space="preserve"> PAGEREF _Toc524085224 \h </w:instrText>
            </w:r>
            <w:r w:rsidR="00CC0299">
              <w:rPr>
                <w:webHidden/>
              </w:rPr>
            </w:r>
            <w:r w:rsidR="00CC0299">
              <w:rPr>
                <w:webHidden/>
              </w:rPr>
              <w:fldChar w:fldCharType="separate"/>
            </w:r>
            <w:r w:rsidR="00C022DF">
              <w:rPr>
                <w:webHidden/>
              </w:rPr>
              <w:t>31</w:t>
            </w:r>
            <w:r w:rsidR="00CC0299">
              <w:rPr>
                <w:webHidden/>
              </w:rPr>
              <w:fldChar w:fldCharType="end"/>
            </w:r>
          </w:hyperlink>
        </w:p>
        <w:p w14:paraId="4F24D872" w14:textId="16F0FD72" w:rsidR="00CC0299" w:rsidRDefault="006E3F76">
          <w:pPr>
            <w:pStyle w:val="TOC3"/>
            <w:rPr>
              <w:rFonts w:eastAsiaTheme="minorEastAsia"/>
              <w:i w:val="0"/>
              <w:color w:val="auto"/>
              <w:lang w:eastAsia="en-AU"/>
            </w:rPr>
          </w:pPr>
          <w:hyperlink w:anchor="_Toc524085225" w:history="1">
            <w:r w:rsidR="00CC0299" w:rsidRPr="00513355">
              <w:rPr>
                <w:rStyle w:val="Hyperlink"/>
                <w:rFonts w:eastAsia="TimesNewRoman"/>
              </w:rPr>
              <w:t>Existing Disposal Facilities</w:t>
            </w:r>
            <w:r w:rsidR="00CC0299">
              <w:rPr>
                <w:webHidden/>
              </w:rPr>
              <w:tab/>
            </w:r>
            <w:r w:rsidR="00CC0299">
              <w:rPr>
                <w:webHidden/>
              </w:rPr>
              <w:fldChar w:fldCharType="begin"/>
            </w:r>
            <w:r w:rsidR="00CC0299">
              <w:rPr>
                <w:webHidden/>
              </w:rPr>
              <w:instrText xml:space="preserve"> PAGEREF _Toc524085225 \h </w:instrText>
            </w:r>
            <w:r w:rsidR="00CC0299">
              <w:rPr>
                <w:webHidden/>
              </w:rPr>
            </w:r>
            <w:r w:rsidR="00CC0299">
              <w:rPr>
                <w:webHidden/>
              </w:rPr>
              <w:fldChar w:fldCharType="separate"/>
            </w:r>
            <w:r w:rsidR="00C022DF">
              <w:rPr>
                <w:webHidden/>
              </w:rPr>
              <w:t>36</w:t>
            </w:r>
            <w:r w:rsidR="00CC0299">
              <w:rPr>
                <w:webHidden/>
              </w:rPr>
              <w:fldChar w:fldCharType="end"/>
            </w:r>
          </w:hyperlink>
        </w:p>
        <w:p w14:paraId="539071E4" w14:textId="1508E2F7" w:rsidR="00CC0299" w:rsidRDefault="006E3F76">
          <w:pPr>
            <w:pStyle w:val="TOC1"/>
            <w:tabs>
              <w:tab w:val="left" w:pos="1134"/>
            </w:tabs>
            <w:rPr>
              <w:rFonts w:eastAsiaTheme="minorEastAsia"/>
              <w:b w:val="0"/>
              <w:noProof/>
              <w:color w:val="auto"/>
              <w:lang w:eastAsia="en-AU"/>
            </w:rPr>
          </w:pPr>
          <w:hyperlink w:anchor="_Toc524085226" w:history="1">
            <w:r w:rsidR="00CC0299" w:rsidRPr="00513355">
              <w:rPr>
                <w:rStyle w:val="Hyperlink"/>
                <w:noProof/>
              </w:rPr>
              <w:t>Annex A:</w:t>
            </w:r>
            <w:r w:rsidR="00CC0299">
              <w:rPr>
                <w:rFonts w:eastAsiaTheme="minorEastAsia"/>
                <w:b w:val="0"/>
                <w:noProof/>
                <w:color w:val="auto"/>
                <w:lang w:eastAsia="en-AU"/>
              </w:rPr>
              <w:tab/>
            </w:r>
            <w:r w:rsidR="00CC0299" w:rsidRPr="00513355">
              <w:rPr>
                <w:rStyle w:val="Hyperlink"/>
                <w:noProof/>
              </w:rPr>
              <w:t>The Safety Case – Australian Guidance</w:t>
            </w:r>
            <w:r w:rsidR="00CC0299">
              <w:rPr>
                <w:noProof/>
                <w:webHidden/>
              </w:rPr>
              <w:tab/>
            </w:r>
            <w:r w:rsidR="00CC0299">
              <w:rPr>
                <w:noProof/>
                <w:webHidden/>
              </w:rPr>
              <w:fldChar w:fldCharType="begin"/>
            </w:r>
            <w:r w:rsidR="00CC0299">
              <w:rPr>
                <w:noProof/>
                <w:webHidden/>
              </w:rPr>
              <w:instrText xml:space="preserve"> PAGEREF _Toc524085226 \h </w:instrText>
            </w:r>
            <w:r w:rsidR="00CC0299">
              <w:rPr>
                <w:noProof/>
                <w:webHidden/>
              </w:rPr>
            </w:r>
            <w:r w:rsidR="00CC0299">
              <w:rPr>
                <w:noProof/>
                <w:webHidden/>
              </w:rPr>
              <w:fldChar w:fldCharType="separate"/>
            </w:r>
            <w:r w:rsidR="00C022DF">
              <w:rPr>
                <w:noProof/>
                <w:webHidden/>
              </w:rPr>
              <w:t>37</w:t>
            </w:r>
            <w:r w:rsidR="00CC0299">
              <w:rPr>
                <w:noProof/>
                <w:webHidden/>
              </w:rPr>
              <w:fldChar w:fldCharType="end"/>
            </w:r>
          </w:hyperlink>
        </w:p>
        <w:p w14:paraId="676E27EB" w14:textId="0DFF317B" w:rsidR="00CC0299" w:rsidRDefault="006E3F76">
          <w:pPr>
            <w:pStyle w:val="TOC1"/>
            <w:tabs>
              <w:tab w:val="left" w:pos="1134"/>
            </w:tabs>
            <w:rPr>
              <w:rFonts w:eastAsiaTheme="minorEastAsia"/>
              <w:b w:val="0"/>
              <w:noProof/>
              <w:color w:val="auto"/>
              <w:lang w:eastAsia="en-AU"/>
            </w:rPr>
          </w:pPr>
          <w:hyperlink w:anchor="_Toc524085227" w:history="1">
            <w:r w:rsidR="00CC0299" w:rsidRPr="00513355">
              <w:rPr>
                <w:rStyle w:val="Hyperlink"/>
                <w:noProof/>
              </w:rPr>
              <w:t>Annex B:</w:t>
            </w:r>
            <w:r w:rsidR="00CC0299">
              <w:rPr>
                <w:rFonts w:eastAsiaTheme="minorEastAsia"/>
                <w:b w:val="0"/>
                <w:noProof/>
                <w:color w:val="auto"/>
                <w:lang w:eastAsia="en-AU"/>
              </w:rPr>
              <w:tab/>
            </w:r>
            <w:r w:rsidR="00CC0299" w:rsidRPr="00513355">
              <w:rPr>
                <w:rStyle w:val="Hyperlink"/>
                <w:noProof/>
              </w:rPr>
              <w:t>Demonstrating Compliance</w:t>
            </w:r>
            <w:r w:rsidR="00CC0299">
              <w:rPr>
                <w:noProof/>
                <w:webHidden/>
              </w:rPr>
              <w:tab/>
            </w:r>
            <w:r w:rsidR="00CC0299">
              <w:rPr>
                <w:noProof/>
                <w:webHidden/>
              </w:rPr>
              <w:fldChar w:fldCharType="begin"/>
            </w:r>
            <w:r w:rsidR="00CC0299">
              <w:rPr>
                <w:noProof/>
                <w:webHidden/>
              </w:rPr>
              <w:instrText xml:space="preserve"> PAGEREF _Toc524085227 \h </w:instrText>
            </w:r>
            <w:r w:rsidR="00CC0299">
              <w:rPr>
                <w:noProof/>
                <w:webHidden/>
              </w:rPr>
            </w:r>
            <w:r w:rsidR="00CC0299">
              <w:rPr>
                <w:noProof/>
                <w:webHidden/>
              </w:rPr>
              <w:fldChar w:fldCharType="separate"/>
            </w:r>
            <w:r w:rsidR="00C022DF">
              <w:rPr>
                <w:noProof/>
                <w:webHidden/>
              </w:rPr>
              <w:t>41</w:t>
            </w:r>
            <w:r w:rsidR="00CC0299">
              <w:rPr>
                <w:noProof/>
                <w:webHidden/>
              </w:rPr>
              <w:fldChar w:fldCharType="end"/>
            </w:r>
          </w:hyperlink>
        </w:p>
        <w:p w14:paraId="07FE5863" w14:textId="0990F735" w:rsidR="00CC0299" w:rsidRDefault="006E3F76">
          <w:pPr>
            <w:pStyle w:val="TOC1"/>
            <w:tabs>
              <w:tab w:val="left" w:pos="1440"/>
            </w:tabs>
            <w:rPr>
              <w:rFonts w:eastAsiaTheme="minorEastAsia"/>
              <w:b w:val="0"/>
              <w:noProof/>
              <w:color w:val="auto"/>
              <w:lang w:eastAsia="en-AU"/>
            </w:rPr>
          </w:pPr>
          <w:hyperlink w:anchor="_Toc524085228" w:history="1">
            <w:r w:rsidR="00CC0299" w:rsidRPr="00513355">
              <w:rPr>
                <w:rStyle w:val="Hyperlink"/>
                <w:noProof/>
              </w:rPr>
              <w:t>Appendix 1:</w:t>
            </w:r>
            <w:r w:rsidR="00CC0299">
              <w:rPr>
                <w:rFonts w:eastAsiaTheme="minorEastAsia"/>
                <w:b w:val="0"/>
                <w:noProof/>
                <w:color w:val="auto"/>
                <w:lang w:eastAsia="en-AU"/>
              </w:rPr>
              <w:tab/>
            </w:r>
            <w:r w:rsidR="00CC0299" w:rsidRPr="00513355">
              <w:rPr>
                <w:rStyle w:val="Hyperlink"/>
                <w:noProof/>
              </w:rPr>
              <w:t>Mapping of clauses in the Disposal Facilities Code with requirements in SSR-5</w:t>
            </w:r>
            <w:r w:rsidR="00CC0299">
              <w:rPr>
                <w:noProof/>
                <w:webHidden/>
              </w:rPr>
              <w:tab/>
            </w:r>
            <w:r w:rsidR="00CC0299">
              <w:rPr>
                <w:noProof/>
                <w:webHidden/>
              </w:rPr>
              <w:fldChar w:fldCharType="begin"/>
            </w:r>
            <w:r w:rsidR="00CC0299">
              <w:rPr>
                <w:noProof/>
                <w:webHidden/>
              </w:rPr>
              <w:instrText xml:space="preserve"> PAGEREF _Toc524085228 \h </w:instrText>
            </w:r>
            <w:r w:rsidR="00CC0299">
              <w:rPr>
                <w:noProof/>
                <w:webHidden/>
              </w:rPr>
            </w:r>
            <w:r w:rsidR="00CC0299">
              <w:rPr>
                <w:noProof/>
                <w:webHidden/>
              </w:rPr>
              <w:fldChar w:fldCharType="separate"/>
            </w:r>
            <w:r w:rsidR="00C022DF">
              <w:rPr>
                <w:noProof/>
                <w:webHidden/>
              </w:rPr>
              <w:t>43</w:t>
            </w:r>
            <w:r w:rsidR="00CC0299">
              <w:rPr>
                <w:noProof/>
                <w:webHidden/>
              </w:rPr>
              <w:fldChar w:fldCharType="end"/>
            </w:r>
          </w:hyperlink>
        </w:p>
        <w:p w14:paraId="439184AA" w14:textId="52A66C31" w:rsidR="00CC0299" w:rsidRDefault="006E3F76">
          <w:pPr>
            <w:pStyle w:val="TOC1"/>
            <w:rPr>
              <w:rFonts w:eastAsiaTheme="minorEastAsia"/>
              <w:b w:val="0"/>
              <w:noProof/>
              <w:color w:val="auto"/>
              <w:lang w:eastAsia="en-AU"/>
            </w:rPr>
          </w:pPr>
          <w:hyperlink w:anchor="_Toc524085229" w:history="1">
            <w:r w:rsidR="00CC0299" w:rsidRPr="00513355">
              <w:rPr>
                <w:rStyle w:val="Hyperlink"/>
                <w:noProof/>
              </w:rPr>
              <w:t>Glossary</w:t>
            </w:r>
            <w:r w:rsidR="00CC0299">
              <w:rPr>
                <w:noProof/>
                <w:webHidden/>
              </w:rPr>
              <w:tab/>
            </w:r>
            <w:r w:rsidR="00CC0299">
              <w:rPr>
                <w:noProof/>
                <w:webHidden/>
              </w:rPr>
              <w:fldChar w:fldCharType="begin"/>
            </w:r>
            <w:r w:rsidR="00CC0299">
              <w:rPr>
                <w:noProof/>
                <w:webHidden/>
              </w:rPr>
              <w:instrText xml:space="preserve"> PAGEREF _Toc524085229 \h </w:instrText>
            </w:r>
            <w:r w:rsidR="00CC0299">
              <w:rPr>
                <w:noProof/>
                <w:webHidden/>
              </w:rPr>
            </w:r>
            <w:r w:rsidR="00CC0299">
              <w:rPr>
                <w:noProof/>
                <w:webHidden/>
              </w:rPr>
              <w:fldChar w:fldCharType="separate"/>
            </w:r>
            <w:r w:rsidR="00C022DF">
              <w:rPr>
                <w:noProof/>
                <w:webHidden/>
              </w:rPr>
              <w:t>45</w:t>
            </w:r>
            <w:r w:rsidR="00CC0299">
              <w:rPr>
                <w:noProof/>
                <w:webHidden/>
              </w:rPr>
              <w:fldChar w:fldCharType="end"/>
            </w:r>
          </w:hyperlink>
        </w:p>
        <w:p w14:paraId="409B3829" w14:textId="4A9796AD" w:rsidR="00CC0299" w:rsidRDefault="006E3F76">
          <w:pPr>
            <w:pStyle w:val="TOC1"/>
            <w:rPr>
              <w:rFonts w:eastAsiaTheme="minorEastAsia"/>
              <w:b w:val="0"/>
              <w:noProof/>
              <w:color w:val="auto"/>
              <w:lang w:eastAsia="en-AU"/>
            </w:rPr>
          </w:pPr>
          <w:hyperlink w:anchor="_Toc524085230" w:history="1">
            <w:r w:rsidR="00CC0299" w:rsidRPr="00513355">
              <w:rPr>
                <w:rStyle w:val="Hyperlink"/>
                <w:noProof/>
              </w:rPr>
              <w:t>References</w:t>
            </w:r>
            <w:r w:rsidR="00CC0299">
              <w:rPr>
                <w:noProof/>
                <w:webHidden/>
              </w:rPr>
              <w:tab/>
            </w:r>
            <w:r w:rsidR="00CC0299">
              <w:rPr>
                <w:noProof/>
                <w:webHidden/>
              </w:rPr>
              <w:fldChar w:fldCharType="begin"/>
            </w:r>
            <w:r w:rsidR="00CC0299">
              <w:rPr>
                <w:noProof/>
                <w:webHidden/>
              </w:rPr>
              <w:instrText xml:space="preserve"> PAGEREF _Toc524085230 \h </w:instrText>
            </w:r>
            <w:r w:rsidR="00CC0299">
              <w:rPr>
                <w:noProof/>
                <w:webHidden/>
              </w:rPr>
            </w:r>
            <w:r w:rsidR="00CC0299">
              <w:rPr>
                <w:noProof/>
                <w:webHidden/>
              </w:rPr>
              <w:fldChar w:fldCharType="separate"/>
            </w:r>
            <w:r w:rsidR="00C022DF">
              <w:rPr>
                <w:noProof/>
                <w:webHidden/>
              </w:rPr>
              <w:t>52</w:t>
            </w:r>
            <w:r w:rsidR="00CC0299">
              <w:rPr>
                <w:noProof/>
                <w:webHidden/>
              </w:rPr>
              <w:fldChar w:fldCharType="end"/>
            </w:r>
          </w:hyperlink>
        </w:p>
        <w:p w14:paraId="1DC664E6" w14:textId="1F105DDA" w:rsidR="00CC0299" w:rsidRDefault="006E3F76">
          <w:pPr>
            <w:pStyle w:val="TOC1"/>
            <w:rPr>
              <w:rFonts w:eastAsiaTheme="minorEastAsia"/>
              <w:b w:val="0"/>
              <w:noProof/>
              <w:color w:val="auto"/>
              <w:lang w:eastAsia="en-AU"/>
            </w:rPr>
          </w:pPr>
          <w:hyperlink w:anchor="_Toc524085231" w:history="1">
            <w:r w:rsidR="00CC0299" w:rsidRPr="00513355">
              <w:rPr>
                <w:rStyle w:val="Hyperlink"/>
                <w:noProof/>
              </w:rPr>
              <w:t>Contributors to drafting and review</w:t>
            </w:r>
            <w:r w:rsidR="00CC0299">
              <w:rPr>
                <w:noProof/>
                <w:webHidden/>
              </w:rPr>
              <w:tab/>
            </w:r>
            <w:r w:rsidR="00CC0299">
              <w:rPr>
                <w:noProof/>
                <w:webHidden/>
              </w:rPr>
              <w:fldChar w:fldCharType="begin"/>
            </w:r>
            <w:r w:rsidR="00CC0299">
              <w:rPr>
                <w:noProof/>
                <w:webHidden/>
              </w:rPr>
              <w:instrText xml:space="preserve"> PAGEREF _Toc524085231 \h </w:instrText>
            </w:r>
            <w:r w:rsidR="00CC0299">
              <w:rPr>
                <w:noProof/>
                <w:webHidden/>
              </w:rPr>
            </w:r>
            <w:r w:rsidR="00CC0299">
              <w:rPr>
                <w:noProof/>
                <w:webHidden/>
              </w:rPr>
              <w:fldChar w:fldCharType="separate"/>
            </w:r>
            <w:r w:rsidR="00C022DF">
              <w:rPr>
                <w:noProof/>
                <w:webHidden/>
              </w:rPr>
              <w:t>55</w:t>
            </w:r>
            <w:r w:rsidR="00CC0299">
              <w:rPr>
                <w:noProof/>
                <w:webHidden/>
              </w:rPr>
              <w:fldChar w:fldCharType="end"/>
            </w:r>
          </w:hyperlink>
        </w:p>
        <w:p w14:paraId="58909511" w14:textId="3225E2D5" w:rsidR="00C363B3" w:rsidRPr="009357DD" w:rsidRDefault="005F5A85" w:rsidP="009357DD">
          <w:pPr>
            <w:pStyle w:val="TOC1"/>
            <w:rPr>
              <w:b w:val="0"/>
              <w:bCs/>
              <w:noProof/>
            </w:rPr>
            <w:sectPr w:rsidR="00C363B3" w:rsidRPr="009357DD" w:rsidSect="00FA5570">
              <w:headerReference w:type="even" r:id="rId30"/>
              <w:headerReference w:type="default" r:id="rId31"/>
              <w:footerReference w:type="default" r:id="rId32"/>
              <w:headerReference w:type="first" r:id="rId33"/>
              <w:pgSz w:w="11906" w:h="16838"/>
              <w:pgMar w:top="1134" w:right="1134" w:bottom="1134" w:left="1134" w:header="720" w:footer="720" w:gutter="0"/>
              <w:pgNumType w:fmt="lowerRoman" w:start="1"/>
              <w:cols w:space="720"/>
            </w:sectPr>
          </w:pPr>
          <w:r>
            <w:rPr>
              <w:bCs/>
              <w:noProof/>
            </w:rPr>
            <w:fldChar w:fldCharType="end"/>
          </w:r>
        </w:p>
      </w:sdtContent>
    </w:sdt>
    <w:p w14:paraId="0E36301F" w14:textId="54944E66" w:rsidR="005A5BCE" w:rsidRPr="006C2926" w:rsidRDefault="005A5BCE" w:rsidP="009E086D">
      <w:pPr>
        <w:pStyle w:val="Heading1"/>
        <w:pBdr>
          <w:bottom w:val="single" w:sz="4" w:space="4" w:color="4E1A74" w:themeColor="text2"/>
        </w:pBdr>
        <w:spacing w:before="0"/>
      </w:pPr>
      <w:bookmarkStart w:id="5" w:name="_Toc524085199"/>
      <w:r w:rsidRPr="006C2926">
        <w:lastRenderedPageBreak/>
        <w:t>Introduction</w:t>
      </w:r>
      <w:bookmarkEnd w:id="5"/>
      <w:bookmarkEnd w:id="3"/>
      <w:bookmarkEnd w:id="2"/>
    </w:p>
    <w:p w14:paraId="4FE0D998" w14:textId="77777777" w:rsidR="003467C2" w:rsidRPr="0033016B" w:rsidRDefault="003467C2" w:rsidP="006C2926">
      <w:pPr>
        <w:pStyle w:val="Heading2"/>
      </w:pPr>
      <w:bookmarkStart w:id="6" w:name="_Toc524085200"/>
      <w:r w:rsidRPr="0033016B">
        <w:t>Citation</w:t>
      </w:r>
      <w:bookmarkEnd w:id="6"/>
      <w:bookmarkEnd w:id="4"/>
    </w:p>
    <w:p w14:paraId="00088F3D" w14:textId="5F8A8D87"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0F2D0C">
        <w:rPr>
          <w:rFonts w:asciiTheme="minorHAnsi" w:hAnsiTheme="minorHAnsi"/>
          <w:color w:val="444448" w:themeColor="accent4"/>
          <w:sz w:val="22"/>
          <w:szCs w:val="22"/>
        </w:rPr>
        <w:t xml:space="preserve">This Code may be cited as the </w:t>
      </w:r>
      <w:r w:rsidR="00D04FA4">
        <w:rPr>
          <w:rFonts w:asciiTheme="minorHAnsi" w:hAnsiTheme="minorHAnsi"/>
          <w:i/>
          <w:color w:val="444448" w:themeColor="accent4"/>
          <w:sz w:val="22"/>
          <w:szCs w:val="22"/>
        </w:rPr>
        <w:t>Disposal</w:t>
      </w:r>
      <w:r w:rsidR="00C231E3">
        <w:rPr>
          <w:rFonts w:asciiTheme="minorHAnsi" w:hAnsiTheme="minorHAnsi"/>
          <w:i/>
          <w:color w:val="444448" w:themeColor="accent4"/>
          <w:sz w:val="22"/>
          <w:szCs w:val="22"/>
        </w:rPr>
        <w:t xml:space="preserve"> Facilities</w:t>
      </w:r>
      <w:r w:rsidR="00D04FA4">
        <w:rPr>
          <w:rFonts w:asciiTheme="minorHAnsi" w:hAnsiTheme="minorHAnsi"/>
          <w:i/>
          <w:color w:val="444448" w:themeColor="accent4"/>
          <w:sz w:val="22"/>
          <w:szCs w:val="22"/>
        </w:rPr>
        <w:t xml:space="preserve"> </w:t>
      </w:r>
      <w:r w:rsidR="00D04FA4" w:rsidRPr="008A2664">
        <w:rPr>
          <w:rFonts w:asciiTheme="minorHAnsi" w:hAnsiTheme="minorHAnsi"/>
          <w:i/>
          <w:color w:val="444448" w:themeColor="accent4"/>
          <w:sz w:val="22"/>
          <w:szCs w:val="22"/>
        </w:rPr>
        <w:t>Code</w:t>
      </w:r>
      <w:r w:rsidRPr="008A2664">
        <w:rPr>
          <w:rFonts w:asciiTheme="minorHAnsi" w:hAnsiTheme="minorHAnsi"/>
          <w:i/>
          <w:color w:val="444448" w:themeColor="accent4"/>
          <w:sz w:val="22"/>
          <w:szCs w:val="22"/>
        </w:rPr>
        <w:t xml:space="preserve"> </w:t>
      </w:r>
      <w:r w:rsidRPr="0020220A">
        <w:rPr>
          <w:rFonts w:asciiTheme="minorHAnsi" w:hAnsiTheme="minorHAnsi"/>
          <w:i/>
          <w:color w:val="444448" w:themeColor="accent4"/>
          <w:sz w:val="22"/>
          <w:szCs w:val="22"/>
        </w:rPr>
        <w:t>(201</w:t>
      </w:r>
      <w:r w:rsidR="001402A8" w:rsidRPr="0020220A">
        <w:rPr>
          <w:rFonts w:asciiTheme="minorHAnsi" w:hAnsiTheme="minorHAnsi"/>
          <w:i/>
          <w:color w:val="444448" w:themeColor="accent4"/>
          <w:sz w:val="22"/>
          <w:szCs w:val="22"/>
        </w:rPr>
        <w:t>8</w:t>
      </w:r>
      <w:r w:rsidRPr="0020220A">
        <w:rPr>
          <w:rFonts w:asciiTheme="minorHAnsi" w:hAnsiTheme="minorHAnsi"/>
          <w:i/>
          <w:color w:val="444448" w:themeColor="accent4"/>
          <w:sz w:val="22"/>
          <w:szCs w:val="22"/>
        </w:rPr>
        <w:t>)</w:t>
      </w:r>
      <w:r w:rsidRPr="0020220A">
        <w:rPr>
          <w:rFonts w:asciiTheme="minorHAnsi" w:hAnsiTheme="minorHAnsi"/>
          <w:color w:val="444448" w:themeColor="accent4"/>
          <w:sz w:val="22"/>
          <w:szCs w:val="22"/>
        </w:rPr>
        <w:t>.</w:t>
      </w:r>
      <w:r w:rsidRPr="000F2D0C">
        <w:rPr>
          <w:rFonts w:asciiTheme="minorHAnsi" w:hAnsiTheme="minorHAnsi"/>
          <w:color w:val="444448" w:themeColor="accent4"/>
          <w:sz w:val="22"/>
          <w:szCs w:val="22"/>
        </w:rPr>
        <w:t xml:space="preserve">  </w:t>
      </w:r>
    </w:p>
    <w:p w14:paraId="636BC3AA" w14:textId="229331A8" w:rsidR="003467C2" w:rsidRDefault="003467C2" w:rsidP="006C2926">
      <w:pPr>
        <w:pStyle w:val="Heading2"/>
      </w:pPr>
      <w:bookmarkStart w:id="7" w:name="_Toc495493157"/>
      <w:bookmarkStart w:id="8" w:name="_Toc524085201"/>
      <w:r w:rsidRPr="00E71581">
        <w:t>Background</w:t>
      </w:r>
      <w:bookmarkEnd w:id="7"/>
      <w:bookmarkEnd w:id="8"/>
    </w:p>
    <w:p w14:paraId="383E4CEB" w14:textId="4ED337C1"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8F3FA7">
        <w:rPr>
          <w:rFonts w:asciiTheme="minorHAnsi" w:hAnsiTheme="minorHAnsi"/>
          <w:color w:val="444448" w:themeColor="accent4"/>
          <w:sz w:val="22"/>
          <w:szCs w:val="22"/>
        </w:rPr>
        <w:t>Radioactive waste</w:t>
      </w:r>
      <w:r w:rsidRPr="000F2D0C">
        <w:rPr>
          <w:rFonts w:asciiTheme="minorHAnsi" w:hAnsiTheme="minorHAnsi"/>
          <w:color w:val="444448" w:themeColor="accent4"/>
          <w:sz w:val="22"/>
          <w:szCs w:val="22"/>
        </w:rPr>
        <w:t xml:space="preserve"> is </w:t>
      </w:r>
      <w:r w:rsidR="0057667F" w:rsidRPr="008F3FA7">
        <w:rPr>
          <w:rFonts w:asciiTheme="minorHAnsi" w:hAnsiTheme="minorHAnsi"/>
          <w:color w:val="444448" w:themeColor="accent4"/>
          <w:sz w:val="22"/>
          <w:szCs w:val="22"/>
        </w:rPr>
        <w:t xml:space="preserve">radioactive </w:t>
      </w:r>
      <w:r w:rsidRPr="008F3FA7">
        <w:rPr>
          <w:rFonts w:asciiTheme="minorHAnsi" w:hAnsiTheme="minorHAnsi"/>
          <w:color w:val="444448" w:themeColor="accent4"/>
          <w:sz w:val="22"/>
          <w:szCs w:val="22"/>
        </w:rPr>
        <w:t>material</w:t>
      </w:r>
      <w:r w:rsidR="0057667F">
        <w:rPr>
          <w:rFonts w:asciiTheme="minorHAnsi" w:hAnsiTheme="minorHAnsi"/>
          <w:color w:val="444448" w:themeColor="accent4"/>
          <w:sz w:val="22"/>
          <w:szCs w:val="22"/>
        </w:rPr>
        <w:t xml:space="preserve"> for which no further use is foreseen, and which is </w:t>
      </w:r>
      <w:r w:rsidR="0057667F" w:rsidRPr="008F3FA7">
        <w:rPr>
          <w:rFonts w:asciiTheme="minorHAnsi" w:hAnsiTheme="minorHAnsi"/>
          <w:color w:val="444448" w:themeColor="accent4"/>
          <w:sz w:val="22"/>
          <w:szCs w:val="22"/>
        </w:rPr>
        <w:t>under</w:t>
      </w:r>
      <w:r w:rsidR="0057667F">
        <w:rPr>
          <w:rFonts w:asciiTheme="minorHAnsi" w:hAnsiTheme="minorHAnsi"/>
          <w:color w:val="444448" w:themeColor="accent4"/>
          <w:sz w:val="22"/>
          <w:szCs w:val="22"/>
        </w:rPr>
        <w:t xml:space="preserve"> regulatory control by the </w:t>
      </w:r>
      <w:r w:rsidR="00604AA0">
        <w:rPr>
          <w:rFonts w:asciiTheme="minorHAnsi" w:hAnsiTheme="minorHAnsi"/>
          <w:color w:val="444448" w:themeColor="accent4"/>
          <w:sz w:val="22"/>
          <w:szCs w:val="22"/>
        </w:rPr>
        <w:t>r</w:t>
      </w:r>
      <w:r w:rsidR="0057667F" w:rsidRPr="008F3FA7">
        <w:rPr>
          <w:rFonts w:asciiTheme="minorHAnsi" w:hAnsiTheme="minorHAnsi"/>
          <w:color w:val="444448" w:themeColor="accent4"/>
          <w:sz w:val="22"/>
          <w:szCs w:val="22"/>
        </w:rPr>
        <w:t xml:space="preserve">elevant </w:t>
      </w:r>
      <w:r w:rsidR="00604AA0">
        <w:rPr>
          <w:rFonts w:asciiTheme="minorHAnsi" w:hAnsiTheme="minorHAnsi"/>
          <w:color w:val="444448" w:themeColor="accent4"/>
          <w:sz w:val="22"/>
          <w:szCs w:val="22"/>
        </w:rPr>
        <w:t>r</w:t>
      </w:r>
      <w:r w:rsidR="0057667F" w:rsidRPr="008F3FA7">
        <w:rPr>
          <w:rFonts w:asciiTheme="minorHAnsi" w:hAnsiTheme="minorHAnsi"/>
          <w:color w:val="444448" w:themeColor="accent4"/>
          <w:sz w:val="22"/>
          <w:szCs w:val="22"/>
        </w:rPr>
        <w:t xml:space="preserve">egulatory </w:t>
      </w:r>
      <w:r w:rsidR="00604AA0">
        <w:rPr>
          <w:rFonts w:asciiTheme="minorHAnsi" w:hAnsiTheme="minorHAnsi"/>
          <w:color w:val="444448" w:themeColor="accent4"/>
          <w:sz w:val="22"/>
          <w:szCs w:val="22"/>
        </w:rPr>
        <w:t>a</w:t>
      </w:r>
      <w:r w:rsidR="0057667F" w:rsidRPr="008F3FA7">
        <w:rPr>
          <w:rFonts w:asciiTheme="minorHAnsi" w:hAnsiTheme="minorHAnsi"/>
          <w:color w:val="444448" w:themeColor="accent4"/>
          <w:sz w:val="22"/>
          <w:szCs w:val="22"/>
        </w:rPr>
        <w:t>uthority</w:t>
      </w:r>
      <w:r w:rsidR="0057667F">
        <w:rPr>
          <w:rFonts w:asciiTheme="minorHAnsi" w:hAnsiTheme="minorHAnsi"/>
          <w:color w:val="444448" w:themeColor="accent4"/>
          <w:sz w:val="22"/>
          <w:szCs w:val="22"/>
        </w:rPr>
        <w:t>.</w:t>
      </w:r>
      <w:r w:rsidRPr="000F2D0C">
        <w:rPr>
          <w:rFonts w:asciiTheme="minorHAnsi" w:hAnsiTheme="minorHAnsi"/>
          <w:color w:val="444448" w:themeColor="accent4"/>
          <w:sz w:val="22"/>
          <w:szCs w:val="22"/>
        </w:rPr>
        <w:t xml:space="preserve"> </w:t>
      </w:r>
      <w:r w:rsidR="007C5A99" w:rsidRPr="008F3FA7">
        <w:rPr>
          <w:rFonts w:asciiTheme="minorHAnsi" w:hAnsiTheme="minorHAnsi"/>
          <w:color w:val="444448" w:themeColor="accent4"/>
          <w:sz w:val="22"/>
          <w:szCs w:val="22"/>
        </w:rPr>
        <w:t>Disposal</w:t>
      </w:r>
      <w:r w:rsidR="007C5A99" w:rsidRPr="000F2D0C">
        <w:rPr>
          <w:rFonts w:asciiTheme="minorHAnsi" w:hAnsiTheme="minorHAnsi"/>
          <w:color w:val="444448" w:themeColor="accent4"/>
          <w:sz w:val="22"/>
          <w:szCs w:val="22"/>
        </w:rPr>
        <w:t xml:space="preserve"> is the recognised end point for </w:t>
      </w:r>
      <w:r w:rsidR="007C5A99" w:rsidRPr="008F3FA7">
        <w:rPr>
          <w:rFonts w:asciiTheme="minorHAnsi" w:hAnsiTheme="minorHAnsi"/>
          <w:color w:val="444448" w:themeColor="accent4"/>
          <w:sz w:val="22"/>
          <w:szCs w:val="22"/>
        </w:rPr>
        <w:t>the</w:t>
      </w:r>
      <w:r w:rsidR="007C5A99" w:rsidRPr="000F2D0C">
        <w:rPr>
          <w:rFonts w:asciiTheme="minorHAnsi" w:hAnsiTheme="minorHAnsi"/>
          <w:color w:val="444448" w:themeColor="accent4"/>
          <w:sz w:val="22"/>
          <w:szCs w:val="22"/>
        </w:rPr>
        <w:t xml:space="preserve"> management of radioactive waste under a hierarchy of controls.</w:t>
      </w:r>
    </w:p>
    <w:p w14:paraId="5D198C6E" w14:textId="572BA0CF" w:rsidR="007C5A99" w:rsidRPr="007C5A99" w:rsidRDefault="007C5A99" w:rsidP="007C5A99">
      <w:pPr>
        <w:pStyle w:val="StyleRPSBodyTextNumbered"/>
        <w:tabs>
          <w:tab w:val="left" w:pos="0"/>
        </w:tabs>
        <w:spacing w:before="240"/>
        <w:jc w:val="left"/>
        <w:rPr>
          <w:rFonts w:asciiTheme="minorHAnsi" w:hAnsiTheme="minorHAnsi"/>
          <w:color w:val="444448" w:themeColor="accent4"/>
          <w:sz w:val="22"/>
          <w:szCs w:val="22"/>
        </w:rPr>
      </w:pPr>
      <w:r w:rsidRPr="007C5A99">
        <w:rPr>
          <w:rFonts w:asciiTheme="minorHAnsi" w:hAnsiTheme="minorHAnsi"/>
          <w:color w:val="444448" w:themeColor="accent4"/>
          <w:sz w:val="22"/>
          <w:szCs w:val="22"/>
        </w:rPr>
        <w:t>The basis for</w:t>
      </w:r>
      <w:r w:rsidR="00CB125A" w:rsidRPr="00CB125A">
        <w:rPr>
          <w:rFonts w:asciiTheme="minorHAnsi" w:hAnsiTheme="minorHAnsi"/>
          <w:color w:val="444448" w:themeColor="accent4"/>
          <w:sz w:val="22"/>
          <w:szCs w:val="22"/>
        </w:rPr>
        <w:t xml:space="preserve"> </w:t>
      </w:r>
      <w:r w:rsidR="00CB125A">
        <w:rPr>
          <w:rFonts w:asciiTheme="minorHAnsi" w:hAnsiTheme="minorHAnsi"/>
          <w:color w:val="444448" w:themeColor="accent4"/>
          <w:sz w:val="22"/>
          <w:szCs w:val="22"/>
        </w:rPr>
        <w:t>authorisation</w:t>
      </w:r>
      <w:r w:rsidR="00CB125A" w:rsidRPr="007C5A99">
        <w:rPr>
          <w:rFonts w:asciiTheme="minorHAnsi" w:hAnsiTheme="minorHAnsi"/>
          <w:color w:val="444448" w:themeColor="accent4"/>
          <w:sz w:val="22"/>
          <w:szCs w:val="22"/>
        </w:rPr>
        <w:t xml:space="preserve"> </w:t>
      </w:r>
      <w:r w:rsidRPr="007C5A99">
        <w:rPr>
          <w:rFonts w:asciiTheme="minorHAnsi" w:hAnsiTheme="minorHAnsi"/>
          <w:color w:val="444448" w:themeColor="accent4"/>
          <w:sz w:val="22"/>
          <w:szCs w:val="22"/>
        </w:rPr>
        <w:t>of a proposed disposal facility is the development of a ‘</w:t>
      </w:r>
      <w:r w:rsidRPr="008F3FA7">
        <w:rPr>
          <w:rFonts w:asciiTheme="minorHAnsi" w:hAnsiTheme="minorHAnsi"/>
          <w:color w:val="444448" w:themeColor="accent4"/>
          <w:sz w:val="22"/>
          <w:szCs w:val="22"/>
        </w:rPr>
        <w:t>safety case’</w:t>
      </w:r>
      <w:r w:rsidRPr="007C5A99">
        <w:rPr>
          <w:rFonts w:asciiTheme="minorHAnsi" w:hAnsiTheme="minorHAnsi"/>
          <w:color w:val="444448" w:themeColor="accent4"/>
          <w:sz w:val="22"/>
          <w:szCs w:val="22"/>
        </w:rPr>
        <w:t>. The safety case draws upon the organisational and technical arrangements put in place, the nature of the waste to be accepted, the characteristics of the site, the design of the facility including engineered barriers, and the arrangements for its construction, operation, decommissioning or closure and post-closure stages as appropriate, to demonstrate that the proposed facility will achieve the required level of protection for people and the environment. The essential details of the type of waste that can safely be disposed in an</w:t>
      </w:r>
      <w:r>
        <w:rPr>
          <w:rFonts w:asciiTheme="minorHAnsi" w:hAnsiTheme="minorHAnsi"/>
          <w:color w:val="444448" w:themeColor="accent4"/>
          <w:sz w:val="22"/>
          <w:szCs w:val="22"/>
        </w:rPr>
        <w:t xml:space="preserve">y given disposal facility (the </w:t>
      </w:r>
      <w:r w:rsidR="00FF21C1">
        <w:rPr>
          <w:rFonts w:asciiTheme="minorHAnsi" w:hAnsiTheme="minorHAnsi"/>
          <w:color w:val="444448" w:themeColor="accent4"/>
          <w:sz w:val="22"/>
          <w:szCs w:val="22"/>
        </w:rPr>
        <w:t>‘</w:t>
      </w:r>
      <w:r w:rsidRPr="007C5A99">
        <w:rPr>
          <w:rFonts w:asciiTheme="minorHAnsi" w:hAnsiTheme="minorHAnsi"/>
          <w:color w:val="444448" w:themeColor="accent4"/>
          <w:sz w:val="22"/>
          <w:szCs w:val="22"/>
        </w:rPr>
        <w:t>waste acceptance criteria</w:t>
      </w:r>
      <w:r w:rsidR="00FF21C1">
        <w:rPr>
          <w:rFonts w:asciiTheme="minorHAnsi" w:hAnsiTheme="minorHAnsi"/>
          <w:color w:val="444448" w:themeColor="accent4"/>
          <w:sz w:val="22"/>
          <w:szCs w:val="22"/>
        </w:rPr>
        <w:t>’</w:t>
      </w:r>
      <w:r w:rsidRPr="007C5A99">
        <w:rPr>
          <w:rFonts w:asciiTheme="minorHAnsi" w:hAnsiTheme="minorHAnsi"/>
          <w:color w:val="444448" w:themeColor="accent4"/>
          <w:sz w:val="22"/>
          <w:szCs w:val="22"/>
        </w:rPr>
        <w:t xml:space="preserve">), and the length of time that institutional control is necessary after closure of the facility, result </w:t>
      </w:r>
      <w:r>
        <w:rPr>
          <w:rFonts w:asciiTheme="minorHAnsi" w:hAnsiTheme="minorHAnsi"/>
          <w:color w:val="444448" w:themeColor="accent4"/>
          <w:sz w:val="22"/>
          <w:szCs w:val="22"/>
        </w:rPr>
        <w:t xml:space="preserve">from development of </w:t>
      </w:r>
      <w:r w:rsidR="00FF21C1">
        <w:rPr>
          <w:rFonts w:asciiTheme="minorHAnsi" w:hAnsiTheme="minorHAnsi"/>
          <w:color w:val="444448" w:themeColor="accent4"/>
          <w:sz w:val="22"/>
          <w:szCs w:val="22"/>
        </w:rPr>
        <w:t>the</w:t>
      </w:r>
      <w:r>
        <w:rPr>
          <w:rFonts w:asciiTheme="minorHAnsi" w:hAnsiTheme="minorHAnsi"/>
          <w:color w:val="444448" w:themeColor="accent4"/>
          <w:sz w:val="22"/>
          <w:szCs w:val="22"/>
        </w:rPr>
        <w:t xml:space="preserve"> detailed safety case</w:t>
      </w:r>
      <w:r w:rsidRPr="007C5A99">
        <w:rPr>
          <w:rFonts w:asciiTheme="minorHAnsi" w:hAnsiTheme="minorHAnsi"/>
          <w:color w:val="444448" w:themeColor="accent4"/>
          <w:sz w:val="22"/>
          <w:szCs w:val="22"/>
        </w:rPr>
        <w:t xml:space="preserve"> for the specific disposal facility.</w:t>
      </w:r>
    </w:p>
    <w:p w14:paraId="491993A9" w14:textId="56FBB54A" w:rsidR="003467C2" w:rsidRPr="000F2D0C" w:rsidRDefault="003467C2" w:rsidP="003467C2">
      <w:pPr>
        <w:tabs>
          <w:tab w:val="left" w:pos="0"/>
        </w:tabs>
        <w:autoSpaceDE w:val="0"/>
        <w:autoSpaceDN w:val="0"/>
        <w:adjustRightInd w:val="0"/>
      </w:pPr>
      <w:r w:rsidRPr="000F2D0C">
        <w:t xml:space="preserve">Six classes of waste form the basis for the Australian radioactive waste classification scheme, </w:t>
      </w:r>
      <w:r w:rsidRPr="003102CD">
        <w:rPr>
          <w:i/>
        </w:rPr>
        <w:t xml:space="preserve">Safety Guide for Classification of Radioactive Waste </w:t>
      </w:r>
      <w:r w:rsidRPr="003102CD">
        <w:t>(RPS</w:t>
      </w:r>
      <w:r w:rsidR="00E71581" w:rsidRPr="003102CD">
        <w:t xml:space="preserve"> </w:t>
      </w:r>
      <w:r w:rsidRPr="003102CD">
        <w:t>20)</w:t>
      </w:r>
      <w:r w:rsidR="00E71581" w:rsidRPr="003102CD">
        <w:t xml:space="preserve"> (ARPANSA 2010)</w:t>
      </w:r>
      <w:r w:rsidR="005615C0">
        <w:t xml:space="preserve">, which is based on the International Atomic Energy Agency General Safety Guide No. GSG-1 </w:t>
      </w:r>
      <w:r w:rsidR="005615C0" w:rsidRPr="005615C0">
        <w:rPr>
          <w:i/>
        </w:rPr>
        <w:t>Classification of Radioactive</w:t>
      </w:r>
      <w:r w:rsidR="005615C0">
        <w:t xml:space="preserve"> </w:t>
      </w:r>
      <w:r w:rsidR="005615C0" w:rsidRPr="005615C0">
        <w:rPr>
          <w:i/>
        </w:rPr>
        <w:t xml:space="preserve">Waste </w:t>
      </w:r>
      <w:r w:rsidR="005615C0">
        <w:t>(IAEA 2009)</w:t>
      </w:r>
      <w:r w:rsidRPr="003102CD">
        <w:t>.</w:t>
      </w:r>
      <w:r w:rsidR="00FF21C1">
        <w:t xml:space="preserve"> </w:t>
      </w:r>
      <w:r w:rsidR="00FF21C1" w:rsidRPr="00FF21C1">
        <w:t>This Code relates to very low level, low level and intermediate level waste</w:t>
      </w:r>
      <w:r w:rsidR="00FF21C1">
        <w:t>.</w:t>
      </w:r>
    </w:p>
    <w:p w14:paraId="75428E63" w14:textId="0CC4600F" w:rsidR="003467C2" w:rsidRPr="000F2D0C" w:rsidRDefault="00FF21C1" w:rsidP="003467C2">
      <w:pPr>
        <w:tabs>
          <w:tab w:val="left" w:pos="0"/>
        </w:tabs>
        <w:autoSpaceDE w:val="0"/>
        <w:autoSpaceDN w:val="0"/>
        <w:adjustRightInd w:val="0"/>
      </w:pPr>
      <w:r>
        <w:t>I</w:t>
      </w:r>
      <w:r w:rsidR="003467C2" w:rsidRPr="000F2D0C">
        <w:t>n accordance with the Australian waste classification scheme:</w:t>
      </w:r>
    </w:p>
    <w:p w14:paraId="155D5D8F" w14:textId="26885972" w:rsidR="003467C2" w:rsidRPr="000F2D0C" w:rsidRDefault="003467C2" w:rsidP="000562A3">
      <w:pPr>
        <w:pStyle w:val="ListParagraph"/>
        <w:numPr>
          <w:ilvl w:val="0"/>
          <w:numId w:val="20"/>
        </w:numPr>
        <w:tabs>
          <w:tab w:val="left" w:pos="0"/>
        </w:tabs>
        <w:autoSpaceDE w:val="0"/>
        <w:autoSpaceDN w:val="0"/>
        <w:adjustRightInd w:val="0"/>
        <w:spacing w:line="276" w:lineRule="auto"/>
        <w:ind w:left="714" w:hanging="357"/>
      </w:pPr>
      <w:r w:rsidRPr="000F2D0C">
        <w:t xml:space="preserve">Very low level waste (VLLW) is </w:t>
      </w:r>
      <w:r w:rsidR="00F6292F">
        <w:t xml:space="preserve">suitable for disposal in a near </w:t>
      </w:r>
      <w:r w:rsidRPr="000F2D0C">
        <w:t>surface, industrial or commercial, landfill type facility with l</w:t>
      </w:r>
      <w:r w:rsidR="00175726">
        <w:t xml:space="preserve">imited regulatory control. </w:t>
      </w:r>
      <w:r w:rsidRPr="000F2D0C">
        <w:t>Such landfill type facilities may als</w:t>
      </w:r>
      <w:r w:rsidR="00C80C34">
        <w:t>o contain other hazardous waste</w:t>
      </w:r>
    </w:p>
    <w:p w14:paraId="39DAF883" w14:textId="428EF449" w:rsidR="003467C2" w:rsidRPr="000F2D0C" w:rsidRDefault="003467C2" w:rsidP="000562A3">
      <w:pPr>
        <w:pStyle w:val="ListParagraph"/>
        <w:numPr>
          <w:ilvl w:val="0"/>
          <w:numId w:val="20"/>
        </w:numPr>
        <w:tabs>
          <w:tab w:val="left" w:pos="0"/>
        </w:tabs>
        <w:autoSpaceDE w:val="0"/>
        <w:autoSpaceDN w:val="0"/>
        <w:adjustRightInd w:val="0"/>
        <w:spacing w:line="276" w:lineRule="auto"/>
      </w:pPr>
      <w:r w:rsidRPr="000F2D0C">
        <w:t xml:space="preserve">Low level waste (LLW) requires robust isolation and containment for periods of up to a few hundred years and is suitable </w:t>
      </w:r>
      <w:r w:rsidR="00F6292F">
        <w:t xml:space="preserve">for disposal in engineered near </w:t>
      </w:r>
      <w:r w:rsidR="00C80C34">
        <w:t>surface facilities</w:t>
      </w:r>
    </w:p>
    <w:p w14:paraId="207C90F5" w14:textId="1906D361" w:rsidR="003467C2" w:rsidRPr="000F2D0C" w:rsidRDefault="003467C2" w:rsidP="000562A3">
      <w:pPr>
        <w:pStyle w:val="ListParagraph"/>
        <w:numPr>
          <w:ilvl w:val="0"/>
          <w:numId w:val="20"/>
        </w:numPr>
        <w:tabs>
          <w:tab w:val="left" w:pos="0"/>
        </w:tabs>
        <w:autoSpaceDE w:val="0"/>
        <w:autoSpaceDN w:val="0"/>
        <w:adjustRightInd w:val="0"/>
        <w:spacing w:line="276" w:lineRule="auto"/>
      </w:pPr>
      <w:r w:rsidRPr="000F2D0C">
        <w:t xml:space="preserve">Intermediate level waste (ILW) requires a greater degree of containment and isolation than that provided </w:t>
      </w:r>
      <w:r w:rsidR="00F6292F">
        <w:rPr>
          <w:rFonts w:eastAsia="Times New Roman" w:cs="Times New Roman"/>
          <w:iCs/>
          <w:snapToGrid w:val="0"/>
          <w:lang w:eastAsia="en-AU"/>
        </w:rPr>
        <w:t xml:space="preserve">by near </w:t>
      </w:r>
      <w:r w:rsidRPr="008F3FA7">
        <w:rPr>
          <w:rFonts w:eastAsia="Times New Roman" w:cs="Times New Roman"/>
          <w:iCs/>
          <w:snapToGrid w:val="0"/>
          <w:lang w:eastAsia="en-AU"/>
        </w:rPr>
        <w:t>surface disposal, and</w:t>
      </w:r>
      <w:r w:rsidRPr="000F2D0C">
        <w:t xml:space="preserve"> requires disposal at greater depths, in the order of tens of metres to a few hundred metres. In some cases borehole disposal facilities may be suitable for ILW.</w:t>
      </w:r>
    </w:p>
    <w:p w14:paraId="65D1D8E6" w14:textId="2B5A5FFE"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0F2D0C">
        <w:rPr>
          <w:rFonts w:asciiTheme="minorHAnsi" w:hAnsiTheme="minorHAnsi"/>
          <w:color w:val="444448" w:themeColor="accent4"/>
          <w:sz w:val="22"/>
          <w:szCs w:val="22"/>
        </w:rPr>
        <w:t>Australia has no high level waste (HLW) and is unlikely to possess any in the foreseeable future.</w:t>
      </w:r>
      <w:r w:rsidR="00F14B7C">
        <w:rPr>
          <w:rFonts w:asciiTheme="minorHAnsi" w:hAnsiTheme="minorHAnsi"/>
          <w:color w:val="444448" w:themeColor="accent4"/>
          <w:sz w:val="22"/>
          <w:szCs w:val="22"/>
        </w:rPr>
        <w:t xml:space="preserve"> Reference to HLW in this document is included for information purposes and completeness.</w:t>
      </w:r>
      <w:r w:rsidR="0074214A">
        <w:rPr>
          <w:rFonts w:asciiTheme="minorHAnsi" w:hAnsiTheme="minorHAnsi"/>
          <w:color w:val="444448" w:themeColor="accent4"/>
          <w:sz w:val="22"/>
          <w:szCs w:val="22"/>
        </w:rPr>
        <w:t xml:space="preserve"> </w:t>
      </w:r>
      <w:r w:rsidR="0074214A" w:rsidRPr="0074214A">
        <w:rPr>
          <w:rFonts w:asciiTheme="minorHAnsi" w:hAnsiTheme="minorHAnsi"/>
          <w:color w:val="444448" w:themeColor="accent4"/>
          <w:sz w:val="22"/>
          <w:szCs w:val="22"/>
        </w:rPr>
        <w:t>Very short lived (VSLW) and exempt wastes (EW) are outside the scope of this Code.</w:t>
      </w:r>
    </w:p>
    <w:p w14:paraId="49367A5F" w14:textId="2E1733A9" w:rsidR="006164E9" w:rsidRDefault="003467C2" w:rsidP="006164E9">
      <w:pPr>
        <w:spacing w:before="200"/>
      </w:pPr>
      <w:r w:rsidRPr="000F2D0C">
        <w:t xml:space="preserve">The generic linkage between the different classes of waste and disposal options is addressed in </w:t>
      </w:r>
      <w:r w:rsidR="00E71581">
        <w:t>RPS 20 (ARPANSA 2010)</w:t>
      </w:r>
      <w:r w:rsidRPr="000F2D0C">
        <w:t xml:space="preserve"> but, notwithstanding such generic linkage, the suitability of waste for disposal in a particular disposal facility is required to be demonstrated by the </w:t>
      </w:r>
      <w:r w:rsidRPr="007C5A99">
        <w:t>safety case</w:t>
      </w:r>
      <w:r w:rsidRPr="000F2D0C">
        <w:t xml:space="preserve"> and supporting </w:t>
      </w:r>
      <w:r w:rsidRPr="008F3FA7">
        <w:rPr>
          <w:rFonts w:eastAsia="Times New Roman" w:cs="Times New Roman"/>
          <w:iCs/>
          <w:snapToGrid w:val="0"/>
          <w:lang w:eastAsia="en-AU"/>
        </w:rPr>
        <w:t>safety assessment for</w:t>
      </w:r>
      <w:r w:rsidRPr="000F2D0C">
        <w:t xml:space="preserve"> the facility.</w:t>
      </w:r>
      <w:r w:rsidR="006164E9" w:rsidRPr="006164E9">
        <w:t xml:space="preserve"> </w:t>
      </w:r>
    </w:p>
    <w:p w14:paraId="4CF76782" w14:textId="0F039A8F" w:rsidR="00347FEE" w:rsidRPr="00347FEE" w:rsidRDefault="00347FEE" w:rsidP="00C76F5E">
      <w:pPr>
        <w:pStyle w:val="StyleRPSBodyTextNumbered"/>
        <w:tabs>
          <w:tab w:val="left" w:pos="0"/>
        </w:tabs>
        <w:jc w:val="left"/>
        <w:rPr>
          <w:rFonts w:asciiTheme="minorHAnsi" w:hAnsiTheme="minorHAnsi"/>
          <w:color w:val="444448" w:themeColor="accent4"/>
          <w:sz w:val="22"/>
          <w:szCs w:val="22"/>
        </w:rPr>
      </w:pPr>
      <w:r>
        <w:rPr>
          <w:rFonts w:asciiTheme="minorHAnsi" w:hAnsiTheme="minorHAnsi"/>
          <w:color w:val="444448" w:themeColor="accent4"/>
          <w:sz w:val="22"/>
          <w:szCs w:val="22"/>
        </w:rPr>
        <w:lastRenderedPageBreak/>
        <w:t>N</w:t>
      </w:r>
      <w:r w:rsidR="00F6292F">
        <w:rPr>
          <w:rFonts w:asciiTheme="minorHAnsi" w:hAnsiTheme="minorHAnsi"/>
          <w:color w:val="444448" w:themeColor="accent4"/>
          <w:sz w:val="22"/>
          <w:szCs w:val="22"/>
        </w:rPr>
        <w:t xml:space="preserve">ear </w:t>
      </w:r>
      <w:r w:rsidRPr="00254AD2">
        <w:rPr>
          <w:rFonts w:asciiTheme="minorHAnsi" w:hAnsiTheme="minorHAnsi"/>
          <w:color w:val="444448" w:themeColor="accent4"/>
          <w:sz w:val="22"/>
          <w:szCs w:val="22"/>
        </w:rPr>
        <w:t xml:space="preserve">surface disposal </w:t>
      </w:r>
      <w:r>
        <w:rPr>
          <w:rFonts w:asciiTheme="minorHAnsi" w:hAnsiTheme="minorHAnsi"/>
          <w:color w:val="444448" w:themeColor="accent4"/>
          <w:sz w:val="22"/>
          <w:szCs w:val="22"/>
        </w:rPr>
        <w:t>is</w:t>
      </w:r>
      <w:r w:rsidRPr="00254AD2">
        <w:rPr>
          <w:rFonts w:asciiTheme="minorHAnsi" w:hAnsiTheme="minorHAnsi"/>
          <w:color w:val="444448" w:themeColor="accent4"/>
          <w:sz w:val="22"/>
          <w:szCs w:val="22"/>
        </w:rPr>
        <w:t xml:space="preserve"> primarily suitable for solid, chemically inert waste containing mainly short lived radionuclides </w:t>
      </w:r>
      <w:r w:rsidR="004658EF">
        <w:rPr>
          <w:rFonts w:asciiTheme="minorHAnsi" w:hAnsiTheme="minorHAnsi"/>
          <w:color w:val="444448" w:themeColor="accent4"/>
          <w:sz w:val="22"/>
          <w:szCs w:val="22"/>
        </w:rPr>
        <w:t>with</w:t>
      </w:r>
      <w:r w:rsidRPr="00254AD2">
        <w:rPr>
          <w:rFonts w:asciiTheme="minorHAnsi" w:hAnsiTheme="minorHAnsi"/>
          <w:color w:val="444448" w:themeColor="accent4"/>
          <w:sz w:val="22"/>
          <w:szCs w:val="22"/>
        </w:rPr>
        <w:t xml:space="preserve"> low concentrations of long lived radionuclides (radionucli</w:t>
      </w:r>
      <w:r w:rsidR="009E5DE8">
        <w:rPr>
          <w:rFonts w:asciiTheme="minorHAnsi" w:hAnsiTheme="minorHAnsi"/>
          <w:color w:val="444448" w:themeColor="accent4"/>
          <w:sz w:val="22"/>
          <w:szCs w:val="22"/>
        </w:rPr>
        <w:t xml:space="preserve">des with half-lives of </w:t>
      </w:r>
      <w:r w:rsidR="001017B1">
        <w:rPr>
          <w:rFonts w:asciiTheme="minorHAnsi" w:hAnsiTheme="minorHAnsi"/>
          <w:color w:val="444448" w:themeColor="accent4"/>
          <w:sz w:val="22"/>
          <w:szCs w:val="22"/>
        </w:rPr>
        <w:t xml:space="preserve">up to </w:t>
      </w:r>
      <w:r w:rsidR="009E5DE8">
        <w:rPr>
          <w:rFonts w:asciiTheme="minorHAnsi" w:hAnsiTheme="minorHAnsi"/>
          <w:color w:val="444448" w:themeColor="accent4"/>
          <w:sz w:val="22"/>
          <w:szCs w:val="22"/>
        </w:rPr>
        <w:t>about</w:t>
      </w:r>
      <w:r w:rsidRPr="00254AD2">
        <w:rPr>
          <w:rFonts w:asciiTheme="minorHAnsi" w:hAnsiTheme="minorHAnsi"/>
          <w:color w:val="444448" w:themeColor="accent4"/>
          <w:sz w:val="22"/>
          <w:szCs w:val="22"/>
        </w:rPr>
        <w:t xml:space="preserve"> thirty years are considered to be short lived). Deeper geological disposal facilities are required for disposal of radioactive waste comprising higher levels of radioactivity and/o</w:t>
      </w:r>
      <w:r>
        <w:rPr>
          <w:rFonts w:asciiTheme="minorHAnsi" w:hAnsiTheme="minorHAnsi"/>
          <w:color w:val="444448" w:themeColor="accent4"/>
          <w:sz w:val="22"/>
          <w:szCs w:val="22"/>
        </w:rPr>
        <w:t xml:space="preserve">r higher concentrations of long </w:t>
      </w:r>
      <w:r w:rsidRPr="00254AD2">
        <w:rPr>
          <w:rFonts w:asciiTheme="minorHAnsi" w:hAnsiTheme="minorHAnsi"/>
          <w:color w:val="444448" w:themeColor="accent4"/>
          <w:sz w:val="22"/>
          <w:szCs w:val="22"/>
        </w:rPr>
        <w:t xml:space="preserve">lived radionuclides. </w:t>
      </w:r>
    </w:p>
    <w:p w14:paraId="27A5AEC6" w14:textId="6D89685D" w:rsidR="00AB5B6E" w:rsidRPr="003102CD" w:rsidRDefault="00AB5B6E" w:rsidP="006164E9">
      <w:pPr>
        <w:spacing w:before="200"/>
      </w:pPr>
      <w:r>
        <w:t xml:space="preserve">The </w:t>
      </w:r>
      <w:r w:rsidRPr="00E009BB">
        <w:t xml:space="preserve">ARPANSA Radiation Protection Series </w:t>
      </w:r>
      <w:r>
        <w:t>publication</w:t>
      </w:r>
      <w:r w:rsidR="00E71581" w:rsidRPr="003102CD">
        <w:t>,</w:t>
      </w:r>
      <w:r w:rsidRPr="003102CD">
        <w:t xml:space="preserve"> </w:t>
      </w:r>
      <w:r w:rsidR="00E71581" w:rsidRPr="008A2664">
        <w:t>Fundamentals for</w:t>
      </w:r>
      <w:r w:rsidR="00E71581" w:rsidRPr="003102CD">
        <w:rPr>
          <w:i/>
        </w:rPr>
        <w:t xml:space="preserve"> Protection </w:t>
      </w:r>
      <w:r w:rsidR="008A2664">
        <w:rPr>
          <w:i/>
        </w:rPr>
        <w:t>A</w:t>
      </w:r>
      <w:r w:rsidR="00E71581" w:rsidRPr="003102CD">
        <w:rPr>
          <w:i/>
        </w:rPr>
        <w:t xml:space="preserve">gainst </w:t>
      </w:r>
      <w:r w:rsidR="008A2664">
        <w:rPr>
          <w:i/>
        </w:rPr>
        <w:t>I</w:t>
      </w:r>
      <w:r w:rsidR="00E71581" w:rsidRPr="003102CD">
        <w:rPr>
          <w:i/>
        </w:rPr>
        <w:t>onising Radiation</w:t>
      </w:r>
      <w:r w:rsidR="00E71581" w:rsidRPr="003102CD">
        <w:t xml:space="preserve"> (RPS F-1) </w:t>
      </w:r>
      <w:r w:rsidRPr="003102CD">
        <w:t>(ARPANSA 2014</w:t>
      </w:r>
      <w:r w:rsidR="00640CD1">
        <w:t>a</w:t>
      </w:r>
      <w:r w:rsidRPr="003102CD">
        <w:t>) sets out</w:t>
      </w:r>
      <w:r w:rsidRPr="00AB5B6E">
        <w:t xml:space="preserve"> the underlying principles that form the basis of the system of </w:t>
      </w:r>
      <w:r w:rsidRPr="008F3FA7">
        <w:t>radiation</w:t>
      </w:r>
      <w:r w:rsidRPr="00AB5B6E">
        <w:t xml:space="preserve"> protection used to manage risks from ionising radiation in Australia. The development of RPS F-1 was informed by the International Atomic Energy Agen</w:t>
      </w:r>
      <w:r w:rsidRPr="003102CD">
        <w:t xml:space="preserve">cy (IAEA) </w:t>
      </w:r>
      <w:r w:rsidRPr="003102CD">
        <w:rPr>
          <w:rFonts w:cs="Courier New"/>
          <w:i/>
        </w:rPr>
        <w:t xml:space="preserve">Fundamental Safety Principles, </w:t>
      </w:r>
      <w:r w:rsidRPr="008A2664">
        <w:rPr>
          <w:rFonts w:cs="Courier New"/>
        </w:rPr>
        <w:t>Safety Fundamentals No. SF-1</w:t>
      </w:r>
      <w:r w:rsidR="00E71581" w:rsidRPr="003102CD">
        <w:rPr>
          <w:rFonts w:cs="Courier New"/>
        </w:rPr>
        <w:t xml:space="preserve"> </w:t>
      </w:r>
      <w:r w:rsidR="00D150AD" w:rsidRPr="003102CD">
        <w:rPr>
          <w:rFonts w:cs="Courier New"/>
        </w:rPr>
        <w:t xml:space="preserve">(SF-1) </w:t>
      </w:r>
      <w:r w:rsidRPr="003102CD">
        <w:rPr>
          <w:rFonts w:cs="Courier New"/>
        </w:rPr>
        <w:t>(IAEA 2006), t</w:t>
      </w:r>
      <w:r w:rsidRPr="003102CD">
        <w:t xml:space="preserve">ogether with the </w:t>
      </w:r>
      <w:r w:rsidRPr="008F3FA7">
        <w:t>ICRP</w:t>
      </w:r>
      <w:r w:rsidRPr="003102CD">
        <w:t xml:space="preserve"> </w:t>
      </w:r>
      <w:r w:rsidRPr="008A2664">
        <w:t>Publication 103</w:t>
      </w:r>
      <w:r w:rsidRPr="003102CD">
        <w:t xml:space="preserve"> </w:t>
      </w:r>
      <w:r w:rsidR="00657EC1" w:rsidRPr="003102CD">
        <w:t xml:space="preserve">(ICRP 2007) </w:t>
      </w:r>
      <w:r w:rsidRPr="003102CD">
        <w:t xml:space="preserve">recommendations and the guidance on </w:t>
      </w:r>
      <w:r w:rsidRPr="008F3FA7">
        <w:t>nuclear security</w:t>
      </w:r>
      <w:r w:rsidRPr="003102CD">
        <w:t xml:space="preserve"> developed by the IAEA in collaboration with its </w:t>
      </w:r>
      <w:r w:rsidR="00704346">
        <w:t>m</w:t>
      </w:r>
      <w:r w:rsidRPr="003102CD">
        <w:t xml:space="preserve">ember </w:t>
      </w:r>
      <w:r w:rsidR="00704346">
        <w:t>s</w:t>
      </w:r>
      <w:r w:rsidRPr="003102CD">
        <w:t>tates.</w:t>
      </w:r>
    </w:p>
    <w:p w14:paraId="0EF5038E" w14:textId="59C7964D" w:rsidR="00AB5B6E" w:rsidRPr="003102CD" w:rsidRDefault="000571CE" w:rsidP="000571CE">
      <w:pPr>
        <w:spacing w:before="200"/>
        <w:rPr>
          <w:lang w:val="en-US" w:eastAsia="ja-JP"/>
        </w:rPr>
      </w:pPr>
      <w:r w:rsidRPr="003102CD">
        <w:t xml:space="preserve">The national </w:t>
      </w:r>
      <w:r w:rsidRPr="008A2664">
        <w:t>Code for</w:t>
      </w:r>
      <w:r w:rsidRPr="003102CD">
        <w:rPr>
          <w:i/>
        </w:rPr>
        <w:t xml:space="preserve"> Radiation Protection in Planned Exposure Situations</w:t>
      </w:r>
      <w:r w:rsidRPr="003102CD">
        <w:t xml:space="preserve"> </w:t>
      </w:r>
      <w:r w:rsidR="00E71581" w:rsidRPr="003102CD">
        <w:t xml:space="preserve">(RPS C-1) </w:t>
      </w:r>
      <w:r w:rsidRPr="003102CD">
        <w:t>(</w:t>
      </w:r>
      <w:r w:rsidR="00E71581" w:rsidRPr="003102CD">
        <w:t xml:space="preserve">ARPANSA </w:t>
      </w:r>
      <w:r w:rsidRPr="003102CD">
        <w:t xml:space="preserve">2016) </w:t>
      </w:r>
      <w:r w:rsidR="006164E9" w:rsidRPr="003102CD">
        <w:t>is based on the relevant requirements of the IAEA’s</w:t>
      </w:r>
      <w:r w:rsidR="006164E9" w:rsidRPr="003102CD">
        <w:rPr>
          <w:i/>
          <w:lang w:val="en-US" w:eastAsia="ja-JP"/>
        </w:rPr>
        <w:t xml:space="preserve"> Radiation Protection and Safety of Radiation Sources: International Basic Safety Standards</w:t>
      </w:r>
      <w:r w:rsidR="00980F2E">
        <w:rPr>
          <w:i/>
          <w:lang w:val="en-US" w:eastAsia="ja-JP"/>
        </w:rPr>
        <w:t>,</w:t>
      </w:r>
      <w:r w:rsidR="006164E9" w:rsidRPr="003102CD">
        <w:rPr>
          <w:i/>
          <w:lang w:val="en-US" w:eastAsia="ja-JP"/>
        </w:rPr>
        <w:t xml:space="preserve"> </w:t>
      </w:r>
      <w:r w:rsidR="006164E9" w:rsidRPr="008A2664">
        <w:rPr>
          <w:lang w:val="en-US" w:eastAsia="ja-JP"/>
        </w:rPr>
        <w:t xml:space="preserve">General Safety Requirements </w:t>
      </w:r>
      <w:r w:rsidR="00980F2E" w:rsidRPr="008A2664">
        <w:rPr>
          <w:lang w:val="en-US" w:eastAsia="ja-JP"/>
        </w:rPr>
        <w:t>No.</w:t>
      </w:r>
      <w:r w:rsidR="006164E9" w:rsidRPr="008A2664">
        <w:rPr>
          <w:lang w:val="en-US" w:eastAsia="ja-JP"/>
        </w:rPr>
        <w:t xml:space="preserve"> GSR Part 3</w:t>
      </w:r>
      <w:r w:rsidR="006164E9" w:rsidRPr="003102CD">
        <w:rPr>
          <w:i/>
          <w:lang w:val="en-US" w:eastAsia="ja-JP"/>
        </w:rPr>
        <w:t xml:space="preserve"> </w:t>
      </w:r>
      <w:r w:rsidR="00A945FC" w:rsidRPr="003102CD">
        <w:rPr>
          <w:lang w:val="en-US" w:eastAsia="ja-JP"/>
        </w:rPr>
        <w:t xml:space="preserve">(GSR Part 3) </w:t>
      </w:r>
      <w:r w:rsidR="006164E9" w:rsidRPr="003102CD">
        <w:rPr>
          <w:lang w:val="en-US" w:eastAsia="ja-JP"/>
        </w:rPr>
        <w:t>(IAEA 2014)</w:t>
      </w:r>
      <w:r w:rsidRPr="003102CD">
        <w:rPr>
          <w:lang w:val="en-US" w:eastAsia="ja-JP"/>
        </w:rPr>
        <w:t xml:space="preserve">. </w:t>
      </w:r>
    </w:p>
    <w:p w14:paraId="3E7ADDD9" w14:textId="645963F6" w:rsidR="003467C2" w:rsidRDefault="000571CE" w:rsidP="003102CD">
      <w:pPr>
        <w:spacing w:before="200"/>
      </w:pPr>
      <w:r w:rsidRPr="003102CD">
        <w:rPr>
          <w:lang w:val="en-US" w:eastAsia="ja-JP"/>
        </w:rPr>
        <w:t xml:space="preserve">This </w:t>
      </w:r>
      <w:r w:rsidR="00AB5B6E" w:rsidRPr="003102CD">
        <w:rPr>
          <w:lang w:val="en-US" w:eastAsia="ja-JP"/>
        </w:rPr>
        <w:t>C</w:t>
      </w:r>
      <w:r w:rsidRPr="003102CD">
        <w:rPr>
          <w:lang w:val="en-US" w:eastAsia="ja-JP"/>
        </w:rPr>
        <w:t>ode</w:t>
      </w:r>
      <w:r w:rsidR="006164E9" w:rsidRPr="003102CD">
        <w:rPr>
          <w:lang w:val="en-US" w:eastAsia="ja-JP"/>
        </w:rPr>
        <w:t xml:space="preserve">, </w:t>
      </w:r>
      <w:r w:rsidRPr="003102CD">
        <w:t>which is a subsidiary document to RPS C-1</w:t>
      </w:r>
      <w:r w:rsidR="00E71581" w:rsidRPr="003102CD">
        <w:t xml:space="preserve"> (ARPANSA 2016)</w:t>
      </w:r>
      <w:r w:rsidRPr="003102CD">
        <w:t>, includes</w:t>
      </w:r>
      <w:r w:rsidR="00AB5B6E" w:rsidRPr="003102CD">
        <w:t xml:space="preserve"> </w:t>
      </w:r>
      <w:r w:rsidR="00704346">
        <w:t xml:space="preserve">specific </w:t>
      </w:r>
      <w:r w:rsidR="00AB5B6E" w:rsidRPr="003102CD">
        <w:t>Australian requirements for the disposal of solid radioactive waste as well as</w:t>
      </w:r>
      <w:r w:rsidRPr="003102CD">
        <w:t xml:space="preserve"> the relevant </w:t>
      </w:r>
      <w:r w:rsidR="00704346">
        <w:t xml:space="preserve">international best practice </w:t>
      </w:r>
      <w:r w:rsidRPr="003102CD">
        <w:t xml:space="preserve">requirements from the IAEA </w:t>
      </w:r>
      <w:r w:rsidRPr="003102CD">
        <w:rPr>
          <w:i/>
        </w:rPr>
        <w:t>Disposal of Radioactive Waste</w:t>
      </w:r>
      <w:r w:rsidRPr="003102CD">
        <w:t xml:space="preserve"> </w:t>
      </w:r>
      <w:r w:rsidR="00D150AD" w:rsidRPr="003102CD">
        <w:t xml:space="preserve">(SSR-5) </w:t>
      </w:r>
      <w:r w:rsidRPr="003102CD">
        <w:t>(IAEA 2011</w:t>
      </w:r>
      <w:r w:rsidR="002B1125">
        <w:t>a</w:t>
      </w:r>
      <w:r w:rsidRPr="003102CD">
        <w:t>)</w:t>
      </w:r>
      <w:r w:rsidR="00AB5B6E" w:rsidRPr="003102CD">
        <w:t xml:space="preserve">. </w:t>
      </w:r>
      <w:r w:rsidR="00C80C34">
        <w:t>It</w:t>
      </w:r>
      <w:r w:rsidR="00C80C34" w:rsidRPr="00C80C34">
        <w:t xml:space="preserve"> supersedes the Radiation Health Series (RHS) No. 35 </w:t>
      </w:r>
      <w:r w:rsidR="00C80C34" w:rsidRPr="00C80C34">
        <w:rPr>
          <w:i/>
        </w:rPr>
        <w:t>Code of practice for the near-surface disposal of radioactive waste in Australia (1992)</w:t>
      </w:r>
      <w:r w:rsidR="00C80C34" w:rsidRPr="00C80C34">
        <w:t xml:space="preserve"> (NHMRC 1992), while maintaining the protective intent of RHS 35.</w:t>
      </w:r>
    </w:p>
    <w:p w14:paraId="2B73CA8E" w14:textId="3CFF9BE6" w:rsidR="00F805A7" w:rsidRPr="000F2D0C" w:rsidRDefault="00F805A7" w:rsidP="003102CD">
      <w:pPr>
        <w:spacing w:before="200"/>
      </w:pPr>
      <w:r>
        <w:t xml:space="preserve">Any facility for disposal of radioactive waste will also be subject to other </w:t>
      </w:r>
      <w:r w:rsidR="00EE15CD">
        <w:t xml:space="preserve">relevant </w:t>
      </w:r>
      <w:r>
        <w:t xml:space="preserve">Commonwealth, State and Territory legislation (for example, environment legislation, legislation governing work health and safety, maintenance of records, </w:t>
      </w:r>
      <w:r w:rsidR="00984321" w:rsidRPr="00984321">
        <w:t xml:space="preserve">Aboriginal and Torres Strait Islander </w:t>
      </w:r>
      <w:r>
        <w:t xml:space="preserve">land ownership). </w:t>
      </w:r>
    </w:p>
    <w:p w14:paraId="3A8A99EE" w14:textId="77777777" w:rsidR="003467C2" w:rsidRPr="00EB09AF" w:rsidRDefault="003467C2" w:rsidP="006C2926">
      <w:pPr>
        <w:pStyle w:val="Heading2"/>
      </w:pPr>
      <w:bookmarkStart w:id="9" w:name="_Toc496690636"/>
      <w:bookmarkStart w:id="10" w:name="_Toc496700027"/>
      <w:bookmarkStart w:id="11" w:name="_Toc495493158"/>
      <w:bookmarkStart w:id="12" w:name="_Toc524085202"/>
      <w:bookmarkEnd w:id="9"/>
      <w:bookmarkEnd w:id="10"/>
      <w:r w:rsidRPr="006F4B74">
        <w:t>Purpose</w:t>
      </w:r>
      <w:bookmarkEnd w:id="11"/>
      <w:bookmarkEnd w:id="12"/>
    </w:p>
    <w:p w14:paraId="724008E3" w14:textId="1C90D1E9" w:rsidR="003467C2" w:rsidRPr="001618F3" w:rsidRDefault="00AB5B6E" w:rsidP="006C2926">
      <w:pPr>
        <w:pStyle w:val="StyleRPSBodyTextNumbered"/>
        <w:tabs>
          <w:tab w:val="left" w:pos="0"/>
        </w:tabs>
        <w:spacing w:before="240"/>
        <w:jc w:val="left"/>
        <w:rPr>
          <w:rFonts w:asciiTheme="minorHAnsi" w:hAnsiTheme="minorHAnsi"/>
          <w:color w:val="444448" w:themeColor="accent4"/>
          <w:sz w:val="22"/>
          <w:szCs w:val="22"/>
        </w:rPr>
      </w:pPr>
      <w:r>
        <w:rPr>
          <w:rFonts w:asciiTheme="minorHAnsi" w:hAnsiTheme="minorHAnsi"/>
          <w:color w:val="444448" w:themeColor="accent4"/>
          <w:sz w:val="22"/>
          <w:szCs w:val="22"/>
        </w:rPr>
        <w:t xml:space="preserve">This </w:t>
      </w:r>
      <w:r w:rsidR="00016C17">
        <w:rPr>
          <w:rFonts w:asciiTheme="minorHAnsi" w:hAnsiTheme="minorHAnsi"/>
          <w:i/>
          <w:color w:val="444448" w:themeColor="accent4"/>
          <w:sz w:val="22"/>
          <w:szCs w:val="22"/>
        </w:rPr>
        <w:t>Disposal Facilities Code</w:t>
      </w:r>
      <w:r w:rsidR="003467C2" w:rsidRPr="001618F3">
        <w:rPr>
          <w:rFonts w:asciiTheme="minorHAnsi" w:hAnsiTheme="minorHAnsi"/>
          <w:color w:val="444448" w:themeColor="accent4"/>
          <w:sz w:val="22"/>
          <w:szCs w:val="22"/>
        </w:rPr>
        <w:t xml:space="preserve"> sets out:</w:t>
      </w:r>
    </w:p>
    <w:p w14:paraId="1DA1ECF8" w14:textId="5BD3C46B" w:rsidR="003467C2" w:rsidRPr="001618F3" w:rsidRDefault="003467C2" w:rsidP="00E80C19">
      <w:pPr>
        <w:pStyle w:val="StyleRPSBodyTextNumbered"/>
        <w:numPr>
          <w:ilvl w:val="0"/>
          <w:numId w:val="53"/>
        </w:numPr>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 xml:space="preserve">the radiation protection principles and regulatory requirements for the safety and security of disposal of solid radioactive waste that will ensure that the </w:t>
      </w:r>
      <w:r w:rsidR="005C0553">
        <w:rPr>
          <w:rFonts w:asciiTheme="minorHAnsi" w:hAnsiTheme="minorHAnsi"/>
          <w:color w:val="444448" w:themeColor="accent4"/>
          <w:sz w:val="22"/>
          <w:szCs w:val="22"/>
        </w:rPr>
        <w:t>protection against radiation</w:t>
      </w:r>
      <w:r w:rsidR="005C0553" w:rsidRPr="001618F3">
        <w:rPr>
          <w:rFonts w:asciiTheme="minorHAnsi" w:hAnsiTheme="minorHAnsi"/>
          <w:color w:val="444448" w:themeColor="accent4"/>
          <w:sz w:val="22"/>
          <w:szCs w:val="22"/>
        </w:rPr>
        <w:t xml:space="preserve"> </w:t>
      </w:r>
      <w:r w:rsidRPr="001618F3">
        <w:rPr>
          <w:rFonts w:asciiTheme="minorHAnsi" w:hAnsiTheme="minorHAnsi"/>
          <w:color w:val="444448" w:themeColor="accent4"/>
          <w:sz w:val="22"/>
          <w:szCs w:val="22"/>
        </w:rPr>
        <w:t xml:space="preserve">risks for people and the </w:t>
      </w:r>
      <w:r w:rsidRPr="008F3FA7">
        <w:rPr>
          <w:rFonts w:asciiTheme="minorHAnsi" w:eastAsiaTheme="minorHAnsi" w:hAnsiTheme="minorHAnsi" w:cstheme="minorBidi"/>
          <w:iCs w:val="0"/>
          <w:snapToGrid/>
          <w:color w:val="444448" w:themeColor="accent4"/>
          <w:sz w:val="22"/>
          <w:szCs w:val="22"/>
          <w:lang w:eastAsia="en-US"/>
        </w:rPr>
        <w:t xml:space="preserve">environment </w:t>
      </w:r>
      <w:r w:rsidR="005C0553">
        <w:rPr>
          <w:rFonts w:asciiTheme="minorHAnsi" w:eastAsiaTheme="minorHAnsi" w:hAnsiTheme="minorHAnsi" w:cstheme="minorBidi"/>
          <w:iCs w:val="0"/>
          <w:snapToGrid/>
          <w:color w:val="444448" w:themeColor="accent4"/>
          <w:sz w:val="22"/>
          <w:szCs w:val="22"/>
          <w:lang w:eastAsia="en-US"/>
        </w:rPr>
        <w:t>is</w:t>
      </w:r>
      <w:r w:rsidR="005C0553" w:rsidRPr="008F3FA7">
        <w:rPr>
          <w:rFonts w:asciiTheme="minorHAnsi" w:eastAsiaTheme="minorHAnsi" w:hAnsiTheme="minorHAnsi" w:cstheme="minorBidi"/>
          <w:iCs w:val="0"/>
          <w:snapToGrid/>
          <w:color w:val="444448" w:themeColor="accent4"/>
          <w:sz w:val="22"/>
          <w:szCs w:val="22"/>
          <w:lang w:eastAsia="en-US"/>
        </w:rPr>
        <w:t xml:space="preserve"> </w:t>
      </w:r>
      <w:r w:rsidRPr="008F3FA7">
        <w:rPr>
          <w:rFonts w:asciiTheme="minorHAnsi" w:eastAsiaTheme="minorHAnsi" w:hAnsiTheme="minorHAnsi" w:cstheme="minorBidi"/>
          <w:iCs w:val="0"/>
          <w:snapToGrid/>
          <w:color w:val="444448" w:themeColor="accent4"/>
          <w:sz w:val="22"/>
          <w:szCs w:val="22"/>
          <w:lang w:eastAsia="en-US"/>
        </w:rPr>
        <w:t>optimised</w:t>
      </w:r>
      <w:r w:rsidRPr="001618F3">
        <w:rPr>
          <w:rFonts w:asciiTheme="minorHAnsi" w:hAnsiTheme="minorHAnsi"/>
          <w:color w:val="444448" w:themeColor="accent4"/>
          <w:sz w:val="22"/>
          <w:szCs w:val="22"/>
        </w:rPr>
        <w:t xml:space="preserve"> </w:t>
      </w:r>
    </w:p>
    <w:p w14:paraId="680CAD59" w14:textId="7F76A088" w:rsidR="003467C2" w:rsidRPr="001618F3" w:rsidRDefault="003467C2" w:rsidP="00E80C19">
      <w:pPr>
        <w:pStyle w:val="StyleRPSBodyTextNumbered"/>
        <w:numPr>
          <w:ilvl w:val="0"/>
          <w:numId w:val="53"/>
        </w:numPr>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a nationally uniform framework for the safe and secure disp</w:t>
      </w:r>
      <w:r w:rsidR="00BC62D8">
        <w:rPr>
          <w:rFonts w:asciiTheme="minorHAnsi" w:hAnsiTheme="minorHAnsi"/>
          <w:color w:val="444448" w:themeColor="accent4"/>
          <w:sz w:val="22"/>
          <w:szCs w:val="22"/>
        </w:rPr>
        <w:t>osal of solid radioactive waste</w:t>
      </w:r>
    </w:p>
    <w:p w14:paraId="49632592" w14:textId="2BC5D7C4" w:rsidR="003467C2" w:rsidRPr="001618F3" w:rsidRDefault="00C231E3" w:rsidP="00E80C19">
      <w:pPr>
        <w:pStyle w:val="StyleRPSBodyTextNumbered"/>
        <w:numPr>
          <w:ilvl w:val="0"/>
          <w:numId w:val="53"/>
        </w:numPr>
        <w:jc w:val="left"/>
        <w:rPr>
          <w:rFonts w:asciiTheme="minorHAnsi" w:hAnsiTheme="minorHAnsi"/>
          <w:color w:val="444448" w:themeColor="accent4"/>
          <w:sz w:val="22"/>
          <w:szCs w:val="22"/>
        </w:rPr>
      </w:pPr>
      <w:r>
        <w:rPr>
          <w:rFonts w:asciiTheme="minorHAnsi" w:hAnsiTheme="minorHAnsi"/>
          <w:color w:val="444448" w:themeColor="accent4"/>
          <w:sz w:val="22"/>
          <w:szCs w:val="22"/>
        </w:rPr>
        <w:t>an appropriate authorisation</w:t>
      </w:r>
      <w:r w:rsidR="003467C2" w:rsidRPr="001618F3">
        <w:rPr>
          <w:rFonts w:asciiTheme="minorHAnsi" w:hAnsiTheme="minorHAnsi"/>
          <w:color w:val="444448" w:themeColor="accent4"/>
          <w:sz w:val="22"/>
          <w:szCs w:val="22"/>
        </w:rPr>
        <w:t xml:space="preserve"> framework, including the clear allocation of responsibilities and provision for independent regul</w:t>
      </w:r>
      <w:r w:rsidR="00BC62D8">
        <w:rPr>
          <w:rFonts w:asciiTheme="minorHAnsi" w:hAnsiTheme="minorHAnsi"/>
          <w:color w:val="444448" w:themeColor="accent4"/>
          <w:sz w:val="22"/>
          <w:szCs w:val="22"/>
        </w:rPr>
        <w:t>atory review and inspection</w:t>
      </w:r>
    </w:p>
    <w:p w14:paraId="7BA51DA3" w14:textId="3CB32CF2" w:rsidR="003467C2" w:rsidRPr="001618F3" w:rsidRDefault="003467C2" w:rsidP="00E80C19">
      <w:pPr>
        <w:pStyle w:val="StyleRPSBodyTextNumbered"/>
        <w:numPr>
          <w:ilvl w:val="0"/>
          <w:numId w:val="53"/>
        </w:numPr>
        <w:jc w:val="left"/>
        <w:rPr>
          <w:rFonts w:asciiTheme="minorHAnsi" w:hAnsiTheme="minorHAnsi"/>
          <w:color w:val="444448" w:themeColor="accent4"/>
          <w:sz w:val="22"/>
          <w:szCs w:val="22"/>
        </w:rPr>
      </w:pPr>
      <w:r w:rsidRPr="001618F3">
        <w:rPr>
          <w:rFonts w:asciiTheme="minorHAnsi" w:hAnsiTheme="minorHAnsi"/>
          <w:color w:val="444448" w:themeColor="accent4"/>
          <w:sz w:val="22"/>
          <w:szCs w:val="22"/>
        </w:rPr>
        <w:t>a requirement for the preparation of a ‘safety case’ that draws upon the organisational and technical arrangements put in place, the nature of the waste to be accepted, the characteristics of the s</w:t>
      </w:r>
      <w:r w:rsidR="00347FEE">
        <w:rPr>
          <w:rFonts w:asciiTheme="minorHAnsi" w:hAnsiTheme="minorHAnsi"/>
          <w:color w:val="444448" w:themeColor="accent4"/>
          <w:sz w:val="22"/>
          <w:szCs w:val="22"/>
        </w:rPr>
        <w:t>ite, the design of the facility</w:t>
      </w:r>
      <w:r w:rsidRPr="001618F3">
        <w:rPr>
          <w:rFonts w:asciiTheme="minorHAnsi" w:hAnsiTheme="minorHAnsi"/>
          <w:color w:val="444448" w:themeColor="accent4"/>
          <w:sz w:val="22"/>
          <w:szCs w:val="22"/>
        </w:rPr>
        <w:t xml:space="preserve"> including engineered barriers, and the arrangements for its construction, operation, </w:t>
      </w:r>
      <w:r w:rsidRPr="008F3FA7">
        <w:rPr>
          <w:rFonts w:asciiTheme="minorHAnsi" w:eastAsiaTheme="minorHAnsi" w:hAnsiTheme="minorHAnsi" w:cstheme="minorBidi"/>
          <w:iCs w:val="0"/>
          <w:snapToGrid/>
          <w:color w:val="444448" w:themeColor="accent4"/>
          <w:sz w:val="22"/>
          <w:szCs w:val="22"/>
          <w:lang w:eastAsia="en-US"/>
        </w:rPr>
        <w:t>closure and post</w:t>
      </w:r>
      <w:r w:rsidRPr="001618F3">
        <w:rPr>
          <w:rFonts w:asciiTheme="minorHAnsi" w:hAnsiTheme="minorHAnsi"/>
          <w:color w:val="444448" w:themeColor="accent4"/>
          <w:sz w:val="22"/>
          <w:szCs w:val="22"/>
        </w:rPr>
        <w:t>-closure stages.</w:t>
      </w:r>
    </w:p>
    <w:p w14:paraId="65546568" w14:textId="7DAF2666" w:rsidR="00347FEE" w:rsidRDefault="003467C2" w:rsidP="003467C2">
      <w:pPr>
        <w:tabs>
          <w:tab w:val="left" w:pos="0"/>
        </w:tabs>
        <w:autoSpaceDE w:val="0"/>
        <w:autoSpaceDN w:val="0"/>
        <w:adjustRightInd w:val="0"/>
      </w:pPr>
      <w:r w:rsidRPr="00EB09AF">
        <w:t xml:space="preserve">Radioactive waste may arise initially in various gaseous, liquid and solid forms. In waste management activities, the waste is </w:t>
      </w:r>
      <w:r>
        <w:t>either discharged</w:t>
      </w:r>
      <w:r w:rsidRPr="00EB09AF">
        <w:t xml:space="preserve"> </w:t>
      </w:r>
      <w:r>
        <w:t xml:space="preserve">directly as gas or liquid, or </w:t>
      </w:r>
      <w:r w:rsidRPr="00EB09AF">
        <w:t>processed to</w:t>
      </w:r>
      <w:r>
        <w:t xml:space="preserve"> produce stable and solid forms and</w:t>
      </w:r>
      <w:r w:rsidRPr="00EB09AF">
        <w:t xml:space="preserve"> reduced in volume and im</w:t>
      </w:r>
      <w:r>
        <w:t>mobilised as far as practicable</w:t>
      </w:r>
      <w:r w:rsidRPr="00EB09AF">
        <w:t xml:space="preserve"> to facilitate </w:t>
      </w:r>
      <w:r w:rsidRPr="008F3FA7">
        <w:t>storage</w:t>
      </w:r>
      <w:r w:rsidRPr="00EB09AF">
        <w:t>, transport and disposal</w:t>
      </w:r>
      <w:r w:rsidR="00005866">
        <w:t xml:space="preserve"> (guidance is available in</w:t>
      </w:r>
      <w:r w:rsidR="00016C17">
        <w:t xml:space="preserve"> the Safety Guide for the</w:t>
      </w:r>
      <w:r w:rsidR="00005866">
        <w:t xml:space="preserve"> </w:t>
      </w:r>
      <w:r w:rsidR="00005866" w:rsidRPr="00005866">
        <w:rPr>
          <w:i/>
        </w:rPr>
        <w:t xml:space="preserve">Predisposal Management of Radioactive Waste </w:t>
      </w:r>
      <w:r w:rsidR="00005866">
        <w:lastRenderedPageBreak/>
        <w:t>(ARPANSA 2008))</w:t>
      </w:r>
      <w:r w:rsidRPr="00EB09AF">
        <w:t xml:space="preserve">. This </w:t>
      </w:r>
      <w:r w:rsidR="00016C17">
        <w:rPr>
          <w:i/>
        </w:rPr>
        <w:t>Disposal Facilities Code</w:t>
      </w:r>
      <w:r w:rsidRPr="00EB09AF">
        <w:t xml:space="preserve"> is concerned with the stage of disposal of solid or solidified materials, which is the last step in the process of radioactive waste management.</w:t>
      </w:r>
    </w:p>
    <w:p w14:paraId="2585864F" w14:textId="2FC16178" w:rsidR="003467C2" w:rsidRPr="00EB09AF" w:rsidRDefault="003467C2" w:rsidP="003467C2">
      <w:pPr>
        <w:tabs>
          <w:tab w:val="left" w:pos="0"/>
        </w:tabs>
        <w:autoSpaceDE w:val="0"/>
        <w:autoSpaceDN w:val="0"/>
        <w:adjustRightInd w:val="0"/>
      </w:pPr>
      <w:r w:rsidRPr="00EB09AF">
        <w:t>This Code is intended for use by those involved in site selection, design, safety assessment, construction, operation, closure and regulation of a radioactive waste disposal fac</w:t>
      </w:r>
      <w:r w:rsidR="00175726">
        <w:t xml:space="preserve">ility. </w:t>
      </w:r>
      <w:r w:rsidRPr="00EB09AF">
        <w:t xml:space="preserve">It also </w:t>
      </w:r>
      <w:r>
        <w:t>informs</w:t>
      </w:r>
      <w:r w:rsidRPr="00EB09AF">
        <w:t xml:space="preserve"> </w:t>
      </w:r>
      <w:r>
        <w:t xml:space="preserve">the public and other </w:t>
      </w:r>
      <w:r w:rsidRPr="008F3FA7">
        <w:t>stakeholders</w:t>
      </w:r>
      <w:r>
        <w:t>,</w:t>
      </w:r>
      <w:r w:rsidRPr="00EB09AF">
        <w:t xml:space="preserve"> </w:t>
      </w:r>
      <w:r>
        <w:t xml:space="preserve">including </w:t>
      </w:r>
      <w:r w:rsidRPr="00EB09AF">
        <w:t>those who generate radioactive waste for which disposal is required</w:t>
      </w:r>
      <w:r>
        <w:t>, of the issues that must be addressed in safely disposing of solid radioactive waste</w:t>
      </w:r>
      <w:r w:rsidRPr="00EB09AF">
        <w:t>.</w:t>
      </w:r>
    </w:p>
    <w:p w14:paraId="0E7E5879" w14:textId="48049FDC" w:rsidR="003467C2" w:rsidRPr="00EB09AF" w:rsidRDefault="003467C2" w:rsidP="003467C2">
      <w:pPr>
        <w:tabs>
          <w:tab w:val="left" w:pos="0"/>
        </w:tabs>
        <w:autoSpaceDE w:val="0"/>
        <w:autoSpaceDN w:val="0"/>
        <w:adjustRightInd w:val="0"/>
      </w:pPr>
      <w:r w:rsidRPr="00EB09AF">
        <w:t xml:space="preserve">It is intended that the Code can be incorporated into regulatory instruments, such as conditions attached to waste management </w:t>
      </w:r>
      <w:r w:rsidR="00C231E3">
        <w:t>authorisations</w:t>
      </w:r>
      <w:r>
        <w:t>,</w:t>
      </w:r>
      <w:r w:rsidRPr="00EB09AF">
        <w:t xml:space="preserve"> as appropriate.</w:t>
      </w:r>
    </w:p>
    <w:p w14:paraId="2014D048" w14:textId="77777777" w:rsidR="003467C2" w:rsidRPr="006F4B74" w:rsidRDefault="003467C2" w:rsidP="006C2926">
      <w:pPr>
        <w:pStyle w:val="Heading2"/>
      </w:pPr>
      <w:bookmarkStart w:id="13" w:name="_Toc495493159"/>
      <w:bookmarkStart w:id="14" w:name="_Toc524085203"/>
      <w:r w:rsidRPr="006F4B74">
        <w:t>Scope</w:t>
      </w:r>
      <w:bookmarkEnd w:id="13"/>
      <w:bookmarkEnd w:id="14"/>
    </w:p>
    <w:p w14:paraId="59872815" w14:textId="04336111" w:rsidR="003467C2" w:rsidRDefault="003467C2" w:rsidP="003467C2">
      <w:pPr>
        <w:pStyle w:val="StyleRPSBodyTextNumbered"/>
        <w:rPr>
          <w:rFonts w:asciiTheme="minorHAnsi" w:hAnsiTheme="minorHAnsi"/>
          <w:color w:val="444448" w:themeColor="accent4"/>
          <w:sz w:val="22"/>
          <w:szCs w:val="22"/>
        </w:rPr>
      </w:pPr>
      <w:r w:rsidRPr="001618F3">
        <w:rPr>
          <w:rFonts w:asciiTheme="minorHAnsi" w:hAnsiTheme="minorHAnsi"/>
          <w:color w:val="444448" w:themeColor="accent4"/>
          <w:sz w:val="22"/>
          <w:szCs w:val="22"/>
        </w:rPr>
        <w:t xml:space="preserve">As well as providing the Australian context and specific requirements for the </w:t>
      </w:r>
      <w:r w:rsidR="00347FEE">
        <w:rPr>
          <w:rFonts w:asciiTheme="minorHAnsi" w:hAnsiTheme="minorHAnsi"/>
          <w:color w:val="444448" w:themeColor="accent4"/>
          <w:sz w:val="22"/>
          <w:szCs w:val="22"/>
        </w:rPr>
        <w:t xml:space="preserve">safe and secure </w:t>
      </w:r>
      <w:r w:rsidRPr="001618F3">
        <w:rPr>
          <w:rFonts w:asciiTheme="minorHAnsi" w:hAnsiTheme="minorHAnsi"/>
          <w:color w:val="444448" w:themeColor="accent4"/>
          <w:sz w:val="22"/>
          <w:szCs w:val="22"/>
        </w:rPr>
        <w:t xml:space="preserve">disposal of solid radioactive waste, this Code implements in </w:t>
      </w:r>
      <w:r w:rsidRPr="003102CD">
        <w:rPr>
          <w:rFonts w:asciiTheme="minorHAnsi" w:hAnsiTheme="minorHAnsi"/>
          <w:color w:val="444448" w:themeColor="accent4"/>
          <w:sz w:val="22"/>
          <w:szCs w:val="22"/>
        </w:rPr>
        <w:t>Australia the IAEA Safety Standard</w:t>
      </w:r>
      <w:r w:rsidR="00016C17">
        <w:rPr>
          <w:rFonts w:asciiTheme="minorHAnsi" w:hAnsiTheme="minorHAnsi"/>
          <w:color w:val="444448" w:themeColor="accent4"/>
          <w:sz w:val="22"/>
          <w:szCs w:val="22"/>
        </w:rPr>
        <w:t>:</w:t>
      </w:r>
      <w:r w:rsidRPr="003102CD">
        <w:rPr>
          <w:rFonts w:asciiTheme="minorHAnsi" w:hAnsiTheme="minorHAnsi"/>
          <w:color w:val="444448" w:themeColor="accent4"/>
          <w:sz w:val="22"/>
          <w:szCs w:val="22"/>
        </w:rPr>
        <w:t xml:space="preserve"> </w:t>
      </w:r>
      <w:r w:rsidRPr="008A2664">
        <w:rPr>
          <w:rFonts w:asciiTheme="minorHAnsi" w:hAnsiTheme="minorHAnsi"/>
          <w:color w:val="444448" w:themeColor="accent4"/>
          <w:sz w:val="22"/>
          <w:szCs w:val="22"/>
        </w:rPr>
        <w:t xml:space="preserve">Specific Safety Requirements for </w:t>
      </w:r>
      <w:r w:rsidRPr="00D85557">
        <w:rPr>
          <w:rFonts w:asciiTheme="minorHAnsi" w:hAnsiTheme="minorHAnsi"/>
          <w:i/>
          <w:color w:val="444448" w:themeColor="accent4"/>
          <w:sz w:val="22"/>
          <w:szCs w:val="22"/>
        </w:rPr>
        <w:t>Disposal of Radioactive Waste</w:t>
      </w:r>
      <w:r w:rsidRPr="003102CD">
        <w:rPr>
          <w:rFonts w:asciiTheme="minorHAnsi" w:hAnsiTheme="minorHAnsi"/>
          <w:color w:val="444448" w:themeColor="accent4"/>
          <w:sz w:val="22"/>
          <w:szCs w:val="22"/>
        </w:rPr>
        <w:t xml:space="preserve"> (SSR</w:t>
      </w:r>
      <w:r w:rsidRPr="003102CD">
        <w:rPr>
          <w:rFonts w:asciiTheme="minorHAnsi" w:hAnsiTheme="minorHAnsi"/>
          <w:color w:val="444448" w:themeColor="accent4"/>
          <w:sz w:val="22"/>
          <w:szCs w:val="22"/>
        </w:rPr>
        <w:noBreakHyphen/>
        <w:t>5</w:t>
      </w:r>
      <w:r w:rsidR="00A945FC" w:rsidRPr="003102CD">
        <w:rPr>
          <w:rFonts w:asciiTheme="minorHAnsi" w:hAnsiTheme="minorHAnsi"/>
          <w:color w:val="444448" w:themeColor="accent4"/>
          <w:sz w:val="22"/>
          <w:szCs w:val="22"/>
        </w:rPr>
        <w:t>)</w:t>
      </w:r>
      <w:r w:rsidRPr="003102CD">
        <w:rPr>
          <w:rFonts w:asciiTheme="minorHAnsi" w:hAnsiTheme="minorHAnsi"/>
          <w:color w:val="444448" w:themeColor="accent4"/>
          <w:sz w:val="22"/>
          <w:szCs w:val="22"/>
        </w:rPr>
        <w:t xml:space="preserve"> </w:t>
      </w:r>
      <w:r w:rsidR="00A945FC" w:rsidRPr="003102CD">
        <w:rPr>
          <w:rFonts w:asciiTheme="minorHAnsi" w:hAnsiTheme="minorHAnsi"/>
          <w:color w:val="444448" w:themeColor="accent4"/>
          <w:sz w:val="22"/>
          <w:szCs w:val="22"/>
        </w:rPr>
        <w:t xml:space="preserve">(IAEA </w:t>
      </w:r>
      <w:r w:rsidRPr="003102CD">
        <w:rPr>
          <w:rFonts w:asciiTheme="minorHAnsi" w:hAnsiTheme="minorHAnsi"/>
          <w:color w:val="444448" w:themeColor="accent4"/>
          <w:sz w:val="22"/>
          <w:szCs w:val="22"/>
        </w:rPr>
        <w:t>2011</w:t>
      </w:r>
      <w:r w:rsidR="002B1125">
        <w:rPr>
          <w:rFonts w:asciiTheme="minorHAnsi" w:hAnsiTheme="minorHAnsi"/>
          <w:color w:val="444448" w:themeColor="accent4"/>
          <w:sz w:val="22"/>
          <w:szCs w:val="22"/>
        </w:rPr>
        <w:t>a</w:t>
      </w:r>
      <w:r w:rsidRPr="003102CD">
        <w:rPr>
          <w:rFonts w:asciiTheme="minorHAnsi" w:hAnsiTheme="minorHAnsi"/>
          <w:color w:val="444448" w:themeColor="accent4"/>
          <w:sz w:val="22"/>
          <w:szCs w:val="22"/>
        </w:rPr>
        <w:t>).</w:t>
      </w:r>
    </w:p>
    <w:p w14:paraId="66E24245" w14:textId="441F95DE" w:rsidR="00D85557" w:rsidRPr="001618F3" w:rsidRDefault="003A2C61" w:rsidP="003467C2">
      <w:pPr>
        <w:pStyle w:val="StyleRPSBodyTextNumbered"/>
        <w:rPr>
          <w:rFonts w:asciiTheme="minorHAnsi" w:hAnsiTheme="minorHAnsi"/>
          <w:color w:val="444448" w:themeColor="accent4"/>
          <w:sz w:val="22"/>
          <w:szCs w:val="22"/>
        </w:rPr>
      </w:pPr>
      <w:r>
        <w:rPr>
          <w:rFonts w:asciiTheme="minorHAnsi" w:hAnsiTheme="minorHAnsi"/>
          <w:color w:val="444448" w:themeColor="accent4"/>
          <w:sz w:val="22"/>
          <w:szCs w:val="22"/>
        </w:rPr>
        <w:t xml:space="preserve">The Code applies to </w:t>
      </w:r>
      <w:r w:rsidRPr="003A2C61">
        <w:rPr>
          <w:rFonts w:asciiTheme="minorHAnsi" w:hAnsiTheme="minorHAnsi"/>
          <w:color w:val="444448" w:themeColor="accent4"/>
          <w:sz w:val="22"/>
          <w:szCs w:val="22"/>
        </w:rPr>
        <w:t>all</w:t>
      </w:r>
      <w:r w:rsidR="00D85557">
        <w:rPr>
          <w:rFonts w:asciiTheme="minorHAnsi" w:hAnsiTheme="minorHAnsi"/>
          <w:color w:val="444448" w:themeColor="accent4"/>
          <w:sz w:val="22"/>
          <w:szCs w:val="22"/>
        </w:rPr>
        <w:t xml:space="preserve"> new</w:t>
      </w:r>
      <w:r w:rsidRPr="003A2C61">
        <w:rPr>
          <w:rFonts w:asciiTheme="minorHAnsi" w:hAnsiTheme="minorHAnsi"/>
          <w:color w:val="444448" w:themeColor="accent4"/>
          <w:sz w:val="22"/>
          <w:szCs w:val="22"/>
        </w:rPr>
        <w:t xml:space="preserve"> facilities</w:t>
      </w:r>
      <w:r w:rsidR="00D85557" w:rsidDel="00D85557">
        <w:rPr>
          <w:rFonts w:asciiTheme="minorHAnsi" w:hAnsiTheme="minorHAnsi"/>
          <w:color w:val="444448" w:themeColor="accent4"/>
          <w:sz w:val="22"/>
          <w:szCs w:val="22"/>
        </w:rPr>
        <w:t xml:space="preserve"> </w:t>
      </w:r>
      <w:r w:rsidRPr="003A2C61">
        <w:rPr>
          <w:rFonts w:asciiTheme="minorHAnsi" w:hAnsiTheme="minorHAnsi"/>
          <w:color w:val="444448" w:themeColor="accent4"/>
          <w:sz w:val="22"/>
          <w:szCs w:val="22"/>
        </w:rPr>
        <w:t xml:space="preserve">for disposal of solid </w:t>
      </w:r>
      <w:r>
        <w:rPr>
          <w:rFonts w:asciiTheme="minorHAnsi" w:hAnsiTheme="minorHAnsi"/>
          <w:color w:val="444448" w:themeColor="accent4"/>
          <w:sz w:val="22"/>
          <w:szCs w:val="22"/>
        </w:rPr>
        <w:t>waste of classification VLLW, LLW and ILW.</w:t>
      </w:r>
      <w:r w:rsidR="00D85557">
        <w:rPr>
          <w:rFonts w:asciiTheme="minorHAnsi" w:hAnsiTheme="minorHAnsi"/>
          <w:color w:val="444448" w:themeColor="accent4"/>
          <w:sz w:val="22"/>
          <w:szCs w:val="22"/>
        </w:rPr>
        <w:t xml:space="preserve"> </w:t>
      </w:r>
      <w:r w:rsidR="00D85557" w:rsidRPr="00D85557">
        <w:rPr>
          <w:rFonts w:asciiTheme="minorHAnsi" w:hAnsiTheme="minorHAnsi"/>
          <w:color w:val="444448" w:themeColor="accent4"/>
          <w:sz w:val="22"/>
          <w:szCs w:val="22"/>
        </w:rPr>
        <w:t>The Code may also apply to disposal facilities established prior to its implementation</w:t>
      </w:r>
      <w:r w:rsidR="00983DD5">
        <w:rPr>
          <w:rFonts w:asciiTheme="minorHAnsi" w:hAnsiTheme="minorHAnsi"/>
          <w:color w:val="444448" w:themeColor="accent4"/>
          <w:sz w:val="22"/>
          <w:szCs w:val="22"/>
        </w:rPr>
        <w:t xml:space="preserve"> </w:t>
      </w:r>
      <w:r w:rsidR="0020220A" w:rsidRPr="00D85557">
        <w:rPr>
          <w:rFonts w:asciiTheme="minorHAnsi" w:hAnsiTheme="minorHAnsi"/>
          <w:color w:val="444448" w:themeColor="accent4"/>
          <w:sz w:val="22"/>
          <w:szCs w:val="22"/>
        </w:rPr>
        <w:t>as agreed with the relevant regulatory authority</w:t>
      </w:r>
      <w:r w:rsidR="0020220A">
        <w:rPr>
          <w:rFonts w:asciiTheme="minorHAnsi" w:hAnsiTheme="minorHAnsi"/>
          <w:color w:val="444448" w:themeColor="accent4"/>
          <w:sz w:val="22"/>
          <w:szCs w:val="22"/>
        </w:rPr>
        <w:t>,</w:t>
      </w:r>
      <w:r w:rsidR="0020220A" w:rsidRPr="00D85557">
        <w:rPr>
          <w:rFonts w:asciiTheme="minorHAnsi" w:hAnsiTheme="minorHAnsi"/>
          <w:color w:val="444448" w:themeColor="accent4"/>
          <w:sz w:val="22"/>
          <w:szCs w:val="22"/>
        </w:rPr>
        <w:t xml:space="preserve"> </w:t>
      </w:r>
      <w:r w:rsidR="00D85557" w:rsidRPr="00D85557">
        <w:rPr>
          <w:rFonts w:asciiTheme="minorHAnsi" w:hAnsiTheme="minorHAnsi"/>
          <w:color w:val="444448" w:themeColor="accent4"/>
          <w:sz w:val="22"/>
          <w:szCs w:val="22"/>
        </w:rPr>
        <w:t>economic and soci</w:t>
      </w:r>
      <w:r w:rsidR="009E0051">
        <w:rPr>
          <w:rFonts w:asciiTheme="minorHAnsi" w:hAnsiTheme="minorHAnsi"/>
          <w:color w:val="444448" w:themeColor="accent4"/>
          <w:sz w:val="22"/>
          <w:szCs w:val="22"/>
        </w:rPr>
        <w:t>etal factors taken into account</w:t>
      </w:r>
      <w:r w:rsidR="00D85557">
        <w:rPr>
          <w:rFonts w:asciiTheme="minorHAnsi" w:hAnsiTheme="minorHAnsi"/>
          <w:color w:val="444448" w:themeColor="accent4"/>
          <w:sz w:val="22"/>
          <w:szCs w:val="22"/>
        </w:rPr>
        <w:t>.</w:t>
      </w:r>
    </w:p>
    <w:p w14:paraId="311983DF" w14:textId="7782C5A5" w:rsidR="003467C2" w:rsidRPr="001618F3" w:rsidRDefault="003467C2" w:rsidP="003467C2">
      <w:pPr>
        <w:tabs>
          <w:tab w:val="left" w:pos="0"/>
        </w:tabs>
        <w:autoSpaceDE w:val="0"/>
        <w:autoSpaceDN w:val="0"/>
        <w:adjustRightInd w:val="0"/>
      </w:pPr>
      <w:r w:rsidRPr="001618F3">
        <w:t xml:space="preserve">The requirements </w:t>
      </w:r>
      <w:r w:rsidR="006164E9">
        <w:t xml:space="preserve">apply to </w:t>
      </w:r>
      <w:r w:rsidRPr="001618F3">
        <w:t xml:space="preserve">solid </w:t>
      </w:r>
      <w:r w:rsidR="006164E9">
        <w:t xml:space="preserve">radioactive </w:t>
      </w:r>
      <w:r w:rsidRPr="001618F3">
        <w:t>waste</w:t>
      </w:r>
      <w:r w:rsidR="008A2664">
        <w:t xml:space="preserve"> for disposal at such facilities</w:t>
      </w:r>
      <w:r w:rsidR="000F2D0C">
        <w:t xml:space="preserve">, </w:t>
      </w:r>
      <w:r w:rsidR="006164E9">
        <w:t>including:</w:t>
      </w:r>
    </w:p>
    <w:p w14:paraId="3AE4DE79" w14:textId="55296071"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waste arising from the medical, industrial an</w:t>
      </w:r>
      <w:r w:rsidR="0040349B">
        <w:rPr>
          <w:rFonts w:asciiTheme="minorHAnsi" w:hAnsiTheme="minorHAnsi"/>
          <w:color w:val="444448" w:themeColor="accent4"/>
          <w:sz w:val="22"/>
        </w:rPr>
        <w:t>d research use of radioisotopes</w:t>
      </w:r>
    </w:p>
    <w:p w14:paraId="7937A756" w14:textId="0BF45379"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contaminated plant and equipment resulting from handling or processing of naturally occurring materials which contain radioactive material in low but non</w:t>
      </w:r>
      <w:r w:rsidR="0040349B">
        <w:rPr>
          <w:rFonts w:asciiTheme="minorHAnsi" w:hAnsiTheme="minorHAnsi"/>
          <w:color w:val="444448" w:themeColor="accent4"/>
          <w:sz w:val="22"/>
        </w:rPr>
        <w:noBreakHyphen/>
        <w:t>trivial amounts</w:t>
      </w:r>
    </w:p>
    <w:p w14:paraId="36C685B2" w14:textId="35EBDEC1" w:rsidR="003A2C61" w:rsidRDefault="003467C2" w:rsidP="00563EF9">
      <w:pPr>
        <w:pStyle w:val="StyleRPSBodyTextNumbered"/>
        <w:numPr>
          <w:ilvl w:val="0"/>
          <w:numId w:val="15"/>
        </w:numPr>
        <w:tabs>
          <w:tab w:val="left" w:pos="0"/>
        </w:tabs>
        <w:jc w:val="left"/>
        <w:rPr>
          <w:rFonts w:asciiTheme="minorHAnsi" w:hAnsiTheme="minorHAnsi"/>
          <w:color w:val="444448" w:themeColor="accent4"/>
          <w:sz w:val="22"/>
        </w:rPr>
      </w:pPr>
      <w:r w:rsidRPr="001618F3">
        <w:rPr>
          <w:rFonts w:asciiTheme="minorHAnsi" w:hAnsiTheme="minorHAnsi"/>
          <w:color w:val="444448" w:themeColor="accent4"/>
          <w:sz w:val="22"/>
        </w:rPr>
        <w:t xml:space="preserve">waste arising from processing of minerals </w:t>
      </w:r>
      <w:r w:rsidR="006D5B09">
        <w:rPr>
          <w:rFonts w:asciiTheme="minorHAnsi" w:hAnsiTheme="minorHAnsi"/>
          <w:color w:val="444448" w:themeColor="accent4"/>
          <w:sz w:val="22"/>
        </w:rPr>
        <w:t xml:space="preserve"> </w:t>
      </w:r>
      <w:r w:rsidR="003A2C61">
        <w:rPr>
          <w:rFonts w:asciiTheme="minorHAnsi" w:hAnsiTheme="minorHAnsi"/>
          <w:color w:val="444448" w:themeColor="accent4"/>
          <w:sz w:val="22"/>
        </w:rPr>
        <w:t xml:space="preserve">that is </w:t>
      </w:r>
      <w:r w:rsidR="003A2C61" w:rsidRPr="006D5B09">
        <w:rPr>
          <w:rFonts w:asciiTheme="minorHAnsi" w:hAnsiTheme="minorHAnsi"/>
          <w:color w:val="444448" w:themeColor="accent4"/>
          <w:sz w:val="22"/>
        </w:rPr>
        <w:t xml:space="preserve"> </w:t>
      </w:r>
      <w:r w:rsidR="006D5B09" w:rsidRPr="00563EF9">
        <w:rPr>
          <w:rFonts w:asciiTheme="minorHAnsi" w:hAnsiTheme="minorHAnsi"/>
          <w:color w:val="444448" w:themeColor="accent4"/>
          <w:sz w:val="22"/>
        </w:rPr>
        <w:t xml:space="preserve">not covered under the </w:t>
      </w:r>
      <w:r w:rsidR="006D5B09" w:rsidRPr="008A2664">
        <w:rPr>
          <w:rFonts w:asciiTheme="minorHAnsi" w:hAnsiTheme="minorHAnsi"/>
          <w:color w:val="444448" w:themeColor="accent4"/>
          <w:sz w:val="22"/>
        </w:rPr>
        <w:t>Code of Practice and Safety Guide for</w:t>
      </w:r>
      <w:r w:rsidR="006D5B09" w:rsidRPr="00563EF9">
        <w:rPr>
          <w:rFonts w:asciiTheme="minorHAnsi" w:hAnsiTheme="minorHAnsi"/>
          <w:i/>
          <w:color w:val="444448" w:themeColor="accent4"/>
          <w:sz w:val="22"/>
        </w:rPr>
        <w:t xml:space="preserve"> Radiation Protection and Radioactive Waste Management in Mining and Mineral Processing </w:t>
      </w:r>
      <w:r w:rsidR="006D5B09" w:rsidRPr="00563EF9">
        <w:rPr>
          <w:rFonts w:asciiTheme="minorHAnsi" w:hAnsiTheme="minorHAnsi"/>
          <w:color w:val="444448" w:themeColor="accent4"/>
          <w:sz w:val="22"/>
        </w:rPr>
        <w:t>(RPS 9) (ARPANSA 2005)</w:t>
      </w:r>
    </w:p>
    <w:p w14:paraId="2884CDF5" w14:textId="3B30FAD1" w:rsidR="003467C2" w:rsidRPr="00563EF9" w:rsidRDefault="003467C2" w:rsidP="00563EF9">
      <w:pPr>
        <w:pStyle w:val="StyleRPSBodyTextNumbered"/>
        <w:numPr>
          <w:ilvl w:val="0"/>
          <w:numId w:val="15"/>
        </w:numPr>
        <w:tabs>
          <w:tab w:val="left" w:pos="0"/>
        </w:tabs>
        <w:jc w:val="left"/>
        <w:rPr>
          <w:rFonts w:asciiTheme="minorHAnsi" w:hAnsiTheme="minorHAnsi"/>
          <w:color w:val="444448" w:themeColor="accent4"/>
          <w:sz w:val="22"/>
        </w:rPr>
      </w:pPr>
      <w:r w:rsidRPr="00563EF9">
        <w:rPr>
          <w:rFonts w:asciiTheme="minorHAnsi" w:hAnsiTheme="minorHAnsi"/>
          <w:color w:val="444448" w:themeColor="accent4"/>
          <w:sz w:val="22"/>
        </w:rPr>
        <w:t xml:space="preserve">bulk quantities of VLLW and LLW including legacy waste not covered under the </w:t>
      </w:r>
      <w:r w:rsidRPr="00D85557">
        <w:rPr>
          <w:rFonts w:asciiTheme="minorHAnsi" w:hAnsiTheme="minorHAnsi"/>
          <w:color w:val="444448" w:themeColor="accent4"/>
          <w:sz w:val="22"/>
        </w:rPr>
        <w:t xml:space="preserve">Code of Practice and Safety Guide for </w:t>
      </w:r>
      <w:r w:rsidRPr="00563EF9">
        <w:rPr>
          <w:rFonts w:asciiTheme="minorHAnsi" w:hAnsiTheme="minorHAnsi"/>
          <w:i/>
          <w:color w:val="444448" w:themeColor="accent4"/>
          <w:sz w:val="22"/>
        </w:rPr>
        <w:t xml:space="preserve">Radiation Protection and Radioactive Waste Management in Mining and Mineral Processing </w:t>
      </w:r>
      <w:r w:rsidRPr="00563EF9">
        <w:rPr>
          <w:rFonts w:asciiTheme="minorHAnsi" w:hAnsiTheme="minorHAnsi"/>
          <w:color w:val="444448" w:themeColor="accent4"/>
          <w:sz w:val="22"/>
        </w:rPr>
        <w:t>(RPS</w:t>
      </w:r>
      <w:r w:rsidR="00E71581" w:rsidRPr="00563EF9">
        <w:rPr>
          <w:rFonts w:asciiTheme="minorHAnsi" w:hAnsiTheme="minorHAnsi"/>
          <w:color w:val="444448" w:themeColor="accent4"/>
          <w:sz w:val="22"/>
        </w:rPr>
        <w:t xml:space="preserve"> </w:t>
      </w:r>
      <w:r w:rsidRPr="00563EF9">
        <w:rPr>
          <w:rFonts w:asciiTheme="minorHAnsi" w:hAnsiTheme="minorHAnsi"/>
          <w:color w:val="444448" w:themeColor="accent4"/>
          <w:sz w:val="22"/>
        </w:rPr>
        <w:t>9)</w:t>
      </w:r>
      <w:r w:rsidR="00E71581" w:rsidRPr="00563EF9">
        <w:rPr>
          <w:rFonts w:asciiTheme="minorHAnsi" w:hAnsiTheme="minorHAnsi"/>
          <w:color w:val="444448" w:themeColor="accent4"/>
          <w:sz w:val="22"/>
        </w:rPr>
        <w:t xml:space="preserve"> (ARPANSA 2005)</w:t>
      </w:r>
    </w:p>
    <w:p w14:paraId="09DDF398" w14:textId="7A212E53"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 xml:space="preserve">legacy </w:t>
      </w:r>
      <w:r w:rsidR="008A28B1">
        <w:rPr>
          <w:rFonts w:asciiTheme="minorHAnsi" w:hAnsiTheme="minorHAnsi"/>
          <w:color w:val="444448" w:themeColor="accent4"/>
          <w:sz w:val="22"/>
        </w:rPr>
        <w:t xml:space="preserve">sources </w:t>
      </w:r>
      <w:r w:rsidR="00CB07EB">
        <w:rPr>
          <w:rFonts w:asciiTheme="minorHAnsi" w:hAnsiTheme="minorHAnsi"/>
          <w:color w:val="444448" w:themeColor="accent4"/>
          <w:sz w:val="22"/>
        </w:rPr>
        <w:t xml:space="preserve">and </w:t>
      </w:r>
      <w:r w:rsidR="008A28B1">
        <w:rPr>
          <w:rFonts w:asciiTheme="minorHAnsi" w:hAnsiTheme="minorHAnsi"/>
          <w:color w:val="444448" w:themeColor="accent4"/>
          <w:sz w:val="22"/>
        </w:rPr>
        <w:t xml:space="preserve">disused sealed radioactive sources </w:t>
      </w:r>
      <w:r w:rsidR="0040349B">
        <w:rPr>
          <w:rFonts w:asciiTheme="minorHAnsi" w:hAnsiTheme="minorHAnsi"/>
          <w:color w:val="444448" w:themeColor="accent4"/>
          <w:sz w:val="22"/>
        </w:rPr>
        <w:t>classified as ILW</w:t>
      </w:r>
    </w:p>
    <w:p w14:paraId="22D6BB8D" w14:textId="1FB02865"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1618F3">
        <w:rPr>
          <w:rFonts w:asciiTheme="minorHAnsi" w:hAnsiTheme="minorHAnsi"/>
          <w:color w:val="444448" w:themeColor="accent4"/>
          <w:sz w:val="22"/>
        </w:rPr>
        <w:t>other ILW including vitrified ILW arising from</w:t>
      </w:r>
      <w:r w:rsidR="0040349B">
        <w:rPr>
          <w:rFonts w:asciiTheme="minorHAnsi" w:hAnsiTheme="minorHAnsi"/>
          <w:color w:val="444448" w:themeColor="accent4"/>
          <w:sz w:val="22"/>
        </w:rPr>
        <w:t xml:space="preserve"> reprocessing of spent fuel</w:t>
      </w:r>
    </w:p>
    <w:p w14:paraId="22E5E5F1" w14:textId="77777777" w:rsidR="003467C2" w:rsidRPr="001618F3" w:rsidRDefault="003467C2" w:rsidP="0040349B">
      <w:pPr>
        <w:pStyle w:val="StyleRPSBodyTextNumbered"/>
        <w:numPr>
          <w:ilvl w:val="0"/>
          <w:numId w:val="15"/>
        </w:numPr>
        <w:tabs>
          <w:tab w:val="left" w:pos="0"/>
        </w:tabs>
        <w:ind w:left="714" w:hanging="357"/>
        <w:jc w:val="left"/>
        <w:rPr>
          <w:rFonts w:asciiTheme="minorHAnsi" w:hAnsiTheme="minorHAnsi"/>
          <w:color w:val="444448" w:themeColor="accent4"/>
          <w:sz w:val="22"/>
          <w:szCs w:val="22"/>
        </w:rPr>
      </w:pPr>
      <w:r w:rsidRPr="001618F3">
        <w:rPr>
          <w:rFonts w:asciiTheme="minorHAnsi" w:hAnsiTheme="minorHAnsi"/>
          <w:color w:val="444448" w:themeColor="accent4"/>
          <w:sz w:val="22"/>
        </w:rPr>
        <w:t xml:space="preserve">waste arising from the rehabilitation, decontamination </w:t>
      </w:r>
      <w:r w:rsidRPr="008F3FA7">
        <w:rPr>
          <w:rFonts w:asciiTheme="minorHAnsi" w:eastAsiaTheme="minorHAnsi" w:hAnsiTheme="minorHAnsi" w:cstheme="minorBidi"/>
          <w:iCs w:val="0"/>
          <w:snapToGrid/>
          <w:color w:val="444448" w:themeColor="accent4"/>
          <w:sz w:val="22"/>
          <w:szCs w:val="22"/>
          <w:lang w:eastAsia="en-US"/>
        </w:rPr>
        <w:t>or decommissioning</w:t>
      </w:r>
      <w:r w:rsidRPr="001618F3">
        <w:rPr>
          <w:rFonts w:asciiTheme="minorHAnsi" w:hAnsiTheme="minorHAnsi"/>
          <w:color w:val="444448" w:themeColor="accent4"/>
          <w:sz w:val="22"/>
        </w:rPr>
        <w:t xml:space="preserve"> of sites or facilities where radioactive materials have been produced, stored, used or dispersed.</w:t>
      </w:r>
      <w:r w:rsidRPr="001618F3">
        <w:rPr>
          <w:rFonts w:asciiTheme="minorHAnsi" w:hAnsiTheme="minorHAnsi"/>
          <w:color w:val="444448" w:themeColor="accent4"/>
          <w:sz w:val="22"/>
          <w:szCs w:val="22"/>
        </w:rPr>
        <w:t xml:space="preserve"> </w:t>
      </w:r>
    </w:p>
    <w:p w14:paraId="68B32098" w14:textId="73D389C3" w:rsidR="003467C2" w:rsidRDefault="003467C2" w:rsidP="003467C2">
      <w:pPr>
        <w:tabs>
          <w:tab w:val="left" w:pos="0"/>
        </w:tabs>
        <w:autoSpaceDE w:val="0"/>
        <w:autoSpaceDN w:val="0"/>
        <w:adjustRightInd w:val="0"/>
      </w:pPr>
      <w:r>
        <w:t>This Code</w:t>
      </w:r>
      <w:r w:rsidR="000F2D0C">
        <w:t xml:space="preserve"> </w:t>
      </w:r>
      <w:r w:rsidR="000A0265">
        <w:t>does not apply to</w:t>
      </w:r>
      <w:r>
        <w:t xml:space="preserve">: </w:t>
      </w:r>
    </w:p>
    <w:p w14:paraId="3AF66373" w14:textId="235CC03F" w:rsidR="003467C2" w:rsidRPr="001618F3"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1618F3">
        <w:rPr>
          <w:rFonts w:asciiTheme="minorHAnsi" w:hAnsiTheme="minorHAnsi"/>
          <w:color w:val="444448" w:themeColor="accent4"/>
          <w:sz w:val="22"/>
          <w:szCs w:val="22"/>
        </w:rPr>
        <w:tab/>
        <w:t xml:space="preserve">disposal of </w:t>
      </w:r>
      <w:r w:rsidRPr="001618F3">
        <w:rPr>
          <w:rFonts w:asciiTheme="minorHAnsi" w:hAnsiTheme="minorHAnsi"/>
          <w:color w:val="444448" w:themeColor="accent4"/>
          <w:sz w:val="22"/>
        </w:rPr>
        <w:t>material below the exemption level prescribed by the relevant regulatory authority</w:t>
      </w:r>
    </w:p>
    <w:p w14:paraId="195212C3" w14:textId="118C25E2" w:rsidR="003467C2"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szCs w:val="22"/>
        </w:rPr>
      </w:pPr>
      <w:r w:rsidRPr="001618F3">
        <w:rPr>
          <w:rFonts w:asciiTheme="minorHAnsi" w:hAnsiTheme="minorHAnsi"/>
          <w:color w:val="444448" w:themeColor="accent4"/>
          <w:sz w:val="22"/>
        </w:rPr>
        <w:t>dealings with material</w:t>
      </w:r>
      <w:r w:rsidRPr="001618F3">
        <w:rPr>
          <w:rFonts w:asciiTheme="minorHAnsi" w:hAnsiTheme="minorHAnsi"/>
          <w:color w:val="444448" w:themeColor="accent4"/>
          <w:sz w:val="22"/>
          <w:szCs w:val="22"/>
        </w:rPr>
        <w:t xml:space="preserve"> below </w:t>
      </w:r>
      <w:r w:rsidRPr="008F3FA7">
        <w:rPr>
          <w:rFonts w:asciiTheme="minorHAnsi" w:eastAsiaTheme="minorHAnsi" w:hAnsiTheme="minorHAnsi" w:cstheme="minorBidi"/>
          <w:iCs w:val="0"/>
          <w:snapToGrid/>
          <w:color w:val="444448" w:themeColor="accent4"/>
          <w:sz w:val="22"/>
          <w:szCs w:val="22"/>
          <w:lang w:eastAsia="en-US"/>
        </w:rPr>
        <w:t>the clearance</w:t>
      </w:r>
      <w:r w:rsidRPr="001618F3">
        <w:rPr>
          <w:rFonts w:asciiTheme="minorHAnsi" w:hAnsiTheme="minorHAnsi"/>
          <w:color w:val="444448" w:themeColor="accent4"/>
          <w:sz w:val="22"/>
          <w:szCs w:val="22"/>
        </w:rPr>
        <w:t xml:space="preserve"> level prescr</w:t>
      </w:r>
      <w:r w:rsidR="00CB07EB">
        <w:rPr>
          <w:rFonts w:asciiTheme="minorHAnsi" w:hAnsiTheme="minorHAnsi"/>
          <w:color w:val="444448" w:themeColor="accent4"/>
          <w:sz w:val="22"/>
          <w:szCs w:val="22"/>
        </w:rPr>
        <w:t>ibed by the relevant authority</w:t>
      </w:r>
    </w:p>
    <w:p w14:paraId="1AD00B33" w14:textId="1FF68D12" w:rsidR="0018115D" w:rsidRDefault="00CB07EB" w:rsidP="00913A13">
      <w:pPr>
        <w:pStyle w:val="StyleRPSBodyTextNumbered"/>
        <w:numPr>
          <w:ilvl w:val="0"/>
          <w:numId w:val="15"/>
        </w:numPr>
        <w:tabs>
          <w:tab w:val="left" w:pos="0"/>
        </w:tabs>
        <w:ind w:left="714" w:hanging="357"/>
        <w:jc w:val="left"/>
        <w:rPr>
          <w:rFonts w:asciiTheme="minorHAnsi" w:hAnsiTheme="minorHAnsi"/>
          <w:color w:val="444448" w:themeColor="accent4"/>
          <w:sz w:val="22"/>
          <w:szCs w:val="22"/>
        </w:rPr>
      </w:pPr>
      <w:r>
        <w:rPr>
          <w:rFonts w:asciiTheme="minorHAnsi" w:hAnsiTheme="minorHAnsi"/>
          <w:color w:val="444448" w:themeColor="accent4"/>
          <w:sz w:val="22"/>
          <w:szCs w:val="22"/>
        </w:rPr>
        <w:t xml:space="preserve">radioactive residues from mining and mineral processing which are subject to the </w:t>
      </w:r>
      <w:r w:rsidRPr="00D85557">
        <w:rPr>
          <w:rFonts w:asciiTheme="minorHAnsi" w:hAnsiTheme="minorHAnsi"/>
          <w:color w:val="444448" w:themeColor="accent4"/>
          <w:sz w:val="22"/>
          <w:szCs w:val="22"/>
        </w:rPr>
        <w:t>Code of Practice and Safety Guide for</w:t>
      </w:r>
      <w:r>
        <w:rPr>
          <w:rFonts w:asciiTheme="minorHAnsi" w:hAnsiTheme="minorHAnsi"/>
          <w:i/>
          <w:color w:val="444448" w:themeColor="accent4"/>
          <w:sz w:val="22"/>
          <w:szCs w:val="22"/>
        </w:rPr>
        <w:t xml:space="preserve"> Radiation protection and Radioactive Waste Management in Mining and Mineral Processing</w:t>
      </w:r>
      <w:r>
        <w:rPr>
          <w:rFonts w:asciiTheme="minorHAnsi" w:hAnsiTheme="minorHAnsi"/>
          <w:color w:val="444448" w:themeColor="accent4"/>
          <w:sz w:val="22"/>
          <w:szCs w:val="22"/>
        </w:rPr>
        <w:t xml:space="preserve"> (RPS9) (ARPANSA 2005)</w:t>
      </w:r>
    </w:p>
    <w:p w14:paraId="1B1261D2" w14:textId="7F33365B" w:rsidR="00CB07EB" w:rsidRPr="001618F3" w:rsidRDefault="0018115D" w:rsidP="00913A13">
      <w:pPr>
        <w:pStyle w:val="StyleRPSBodyTextNumbered"/>
        <w:numPr>
          <w:ilvl w:val="0"/>
          <w:numId w:val="15"/>
        </w:numPr>
        <w:tabs>
          <w:tab w:val="left" w:pos="0"/>
        </w:tabs>
        <w:ind w:left="714" w:hanging="357"/>
        <w:jc w:val="left"/>
        <w:rPr>
          <w:rFonts w:asciiTheme="minorHAnsi" w:hAnsiTheme="minorHAnsi"/>
          <w:color w:val="444448" w:themeColor="accent4"/>
          <w:sz w:val="22"/>
          <w:szCs w:val="22"/>
        </w:rPr>
      </w:pPr>
      <w:r>
        <w:rPr>
          <w:rFonts w:asciiTheme="minorHAnsi" w:hAnsiTheme="minorHAnsi"/>
          <w:color w:val="444448" w:themeColor="accent4"/>
          <w:sz w:val="22"/>
          <w:szCs w:val="22"/>
        </w:rPr>
        <w:lastRenderedPageBreak/>
        <w:t xml:space="preserve">waste containing radioactivity at concentrations addressed by </w:t>
      </w:r>
      <w:r w:rsidRPr="00D85557">
        <w:rPr>
          <w:rFonts w:asciiTheme="minorHAnsi" w:hAnsiTheme="minorHAnsi"/>
          <w:color w:val="444448" w:themeColor="accent4"/>
          <w:sz w:val="22"/>
          <w:szCs w:val="22"/>
        </w:rPr>
        <w:t xml:space="preserve">the </w:t>
      </w:r>
      <w:r w:rsidRPr="00436548">
        <w:rPr>
          <w:rFonts w:asciiTheme="minorHAnsi" w:hAnsiTheme="minorHAnsi"/>
          <w:color w:val="444448" w:themeColor="accent4"/>
          <w:sz w:val="22"/>
          <w:szCs w:val="22"/>
        </w:rPr>
        <w:t>Code</w:t>
      </w:r>
      <w:r w:rsidR="0094161D" w:rsidRPr="00436548">
        <w:rPr>
          <w:rFonts w:asciiTheme="minorHAnsi" w:hAnsiTheme="minorHAnsi"/>
          <w:color w:val="444448" w:themeColor="accent4"/>
          <w:sz w:val="22"/>
          <w:szCs w:val="22"/>
        </w:rPr>
        <w:t xml:space="preserve"> </w:t>
      </w:r>
      <w:r w:rsidR="009D0263" w:rsidRPr="00436548">
        <w:rPr>
          <w:rFonts w:asciiTheme="minorHAnsi" w:hAnsiTheme="minorHAnsi"/>
          <w:color w:val="444448" w:themeColor="accent4"/>
          <w:sz w:val="22"/>
          <w:szCs w:val="22"/>
        </w:rPr>
        <w:t>for</w:t>
      </w:r>
      <w:r w:rsidR="009D0263" w:rsidRPr="00436548">
        <w:rPr>
          <w:rFonts w:asciiTheme="minorHAnsi" w:hAnsiTheme="minorHAnsi"/>
          <w:i/>
          <w:color w:val="444448" w:themeColor="accent4"/>
          <w:sz w:val="22"/>
          <w:szCs w:val="22"/>
        </w:rPr>
        <w:t xml:space="preserve"> </w:t>
      </w:r>
      <w:r w:rsidR="0050177B" w:rsidRPr="00436548">
        <w:rPr>
          <w:rFonts w:asciiTheme="minorHAnsi" w:hAnsiTheme="minorHAnsi"/>
          <w:i/>
          <w:color w:val="444448" w:themeColor="accent4"/>
          <w:sz w:val="22"/>
          <w:szCs w:val="22"/>
        </w:rPr>
        <w:t>Dis</w:t>
      </w:r>
      <w:r w:rsidR="008269F5" w:rsidRPr="00436548">
        <w:rPr>
          <w:rFonts w:asciiTheme="minorHAnsi" w:hAnsiTheme="minorHAnsi"/>
          <w:i/>
          <w:color w:val="444448" w:themeColor="accent4"/>
          <w:sz w:val="22"/>
          <w:szCs w:val="22"/>
        </w:rPr>
        <w:t xml:space="preserve">posal </w:t>
      </w:r>
      <w:r w:rsidR="009D0263" w:rsidRPr="00436548">
        <w:rPr>
          <w:rFonts w:asciiTheme="minorHAnsi" w:hAnsiTheme="minorHAnsi"/>
          <w:i/>
          <w:color w:val="444448" w:themeColor="accent4"/>
          <w:sz w:val="22"/>
          <w:szCs w:val="22"/>
        </w:rPr>
        <w:t xml:space="preserve">of </w:t>
      </w:r>
      <w:r w:rsidR="0050177B" w:rsidRPr="00436548">
        <w:rPr>
          <w:rFonts w:asciiTheme="minorHAnsi" w:hAnsiTheme="minorHAnsi"/>
          <w:i/>
          <w:color w:val="444448" w:themeColor="accent4"/>
          <w:sz w:val="22"/>
          <w:szCs w:val="22"/>
        </w:rPr>
        <w:t>Radioactive Waste</w:t>
      </w:r>
      <w:r w:rsidR="008269F5" w:rsidRPr="00436548">
        <w:rPr>
          <w:rFonts w:asciiTheme="minorHAnsi" w:hAnsiTheme="minorHAnsi"/>
          <w:i/>
          <w:color w:val="444448" w:themeColor="accent4"/>
          <w:sz w:val="22"/>
          <w:szCs w:val="22"/>
        </w:rPr>
        <w:t xml:space="preserve"> by the User</w:t>
      </w:r>
      <w:r w:rsidR="0050177B" w:rsidRPr="00436548">
        <w:rPr>
          <w:rFonts w:asciiTheme="minorHAnsi" w:hAnsiTheme="minorHAnsi"/>
          <w:color w:val="444448" w:themeColor="accent4"/>
          <w:sz w:val="22"/>
          <w:szCs w:val="22"/>
        </w:rPr>
        <w:t xml:space="preserve"> </w:t>
      </w:r>
      <w:r w:rsidR="0094161D" w:rsidRPr="00436548">
        <w:rPr>
          <w:rFonts w:asciiTheme="minorHAnsi" w:hAnsiTheme="minorHAnsi"/>
          <w:color w:val="444448" w:themeColor="accent4"/>
          <w:sz w:val="22"/>
          <w:szCs w:val="22"/>
        </w:rPr>
        <w:t>(</w:t>
      </w:r>
      <w:r w:rsidR="008269F5" w:rsidRPr="00436548">
        <w:rPr>
          <w:rFonts w:asciiTheme="minorHAnsi" w:hAnsiTheme="minorHAnsi"/>
          <w:color w:val="444448" w:themeColor="accent4"/>
          <w:sz w:val="22"/>
          <w:szCs w:val="22"/>
        </w:rPr>
        <w:t>ARPANSA 2018)</w:t>
      </w:r>
      <w:r w:rsidR="00F01232" w:rsidRPr="00436548">
        <w:rPr>
          <w:rFonts w:asciiTheme="minorHAnsi" w:hAnsiTheme="minorHAnsi"/>
          <w:color w:val="444448" w:themeColor="accent4"/>
          <w:sz w:val="22"/>
          <w:szCs w:val="22"/>
        </w:rPr>
        <w:t>.</w:t>
      </w:r>
      <w:r w:rsidR="008269F5">
        <w:rPr>
          <w:rFonts w:asciiTheme="minorHAnsi" w:hAnsiTheme="minorHAnsi"/>
          <w:color w:val="444448" w:themeColor="accent4"/>
          <w:sz w:val="22"/>
          <w:szCs w:val="22"/>
        </w:rPr>
        <w:t xml:space="preserve"> </w:t>
      </w:r>
    </w:p>
    <w:p w14:paraId="7CA69076" w14:textId="7E906366" w:rsidR="003467C2" w:rsidRPr="001618F3" w:rsidRDefault="000A0265" w:rsidP="000A0265">
      <w:pPr>
        <w:pStyle w:val="StyleRPSBodyTextNumbered"/>
        <w:tabs>
          <w:tab w:val="left" w:pos="0"/>
        </w:tabs>
        <w:rPr>
          <w:rFonts w:asciiTheme="minorHAnsi" w:hAnsiTheme="minorHAnsi"/>
          <w:color w:val="444448" w:themeColor="accent4"/>
          <w:sz w:val="22"/>
          <w:szCs w:val="22"/>
        </w:rPr>
      </w:pPr>
      <w:r>
        <w:rPr>
          <w:rFonts w:asciiTheme="minorHAnsi" w:hAnsiTheme="minorHAnsi"/>
          <w:color w:val="444448" w:themeColor="accent4"/>
          <w:sz w:val="22"/>
          <w:szCs w:val="22"/>
        </w:rPr>
        <w:t>This code should be used in conjunction with other national codes when applicable</w:t>
      </w:r>
      <w:r w:rsidR="00CB07EB">
        <w:rPr>
          <w:rFonts w:asciiTheme="minorHAnsi" w:hAnsiTheme="minorHAnsi"/>
          <w:color w:val="444448" w:themeColor="accent4"/>
          <w:sz w:val="22"/>
          <w:szCs w:val="22"/>
        </w:rPr>
        <w:t>.</w:t>
      </w:r>
    </w:p>
    <w:p w14:paraId="1D0105F7" w14:textId="743EA9B7" w:rsidR="003467C2" w:rsidRPr="00317B7D" w:rsidRDefault="003467C2" w:rsidP="003467C2">
      <w:pPr>
        <w:tabs>
          <w:tab w:val="left" w:pos="0"/>
        </w:tabs>
        <w:autoSpaceDE w:val="0"/>
        <w:autoSpaceDN w:val="0"/>
        <w:adjustRightInd w:val="0"/>
      </w:pPr>
      <w:r w:rsidRPr="00EB09AF">
        <w:t xml:space="preserve">The Code does not cover nuclear safeguards requirements for </w:t>
      </w:r>
      <w:r w:rsidRPr="008F3FA7">
        <w:t>nuclear material</w:t>
      </w:r>
      <w:r w:rsidR="00175726">
        <w:t xml:space="preserve">. </w:t>
      </w:r>
      <w:r w:rsidRPr="00EB09AF">
        <w:t>For advice on nuclear safeguards requirements, contact Australian Safeguards and Non-Proliferation Office (ASNO).</w:t>
      </w:r>
    </w:p>
    <w:p w14:paraId="4B4E9B63" w14:textId="28B2D854" w:rsidR="003467C2" w:rsidRPr="006F4B74" w:rsidRDefault="001357B0" w:rsidP="006C2926">
      <w:pPr>
        <w:pStyle w:val="Heading2"/>
      </w:pPr>
      <w:bookmarkStart w:id="15" w:name="_Toc495493107"/>
      <w:bookmarkStart w:id="16" w:name="_Toc495493160"/>
      <w:bookmarkStart w:id="17" w:name="_Toc495493109"/>
      <w:bookmarkStart w:id="18" w:name="_Toc495493162"/>
      <w:bookmarkStart w:id="19" w:name="_Toc495493110"/>
      <w:bookmarkStart w:id="20" w:name="_Toc495493163"/>
      <w:bookmarkStart w:id="21" w:name="_Toc495493111"/>
      <w:bookmarkStart w:id="22" w:name="_Toc495493164"/>
      <w:bookmarkStart w:id="23" w:name="_Toc494870367"/>
      <w:bookmarkStart w:id="24" w:name="_Toc494876752"/>
      <w:bookmarkStart w:id="25" w:name="_Toc495493165"/>
      <w:bookmarkStart w:id="26" w:name="_Toc524085204"/>
      <w:bookmarkEnd w:id="15"/>
      <w:bookmarkEnd w:id="16"/>
      <w:bookmarkEnd w:id="17"/>
      <w:bookmarkEnd w:id="18"/>
      <w:bookmarkEnd w:id="19"/>
      <w:bookmarkEnd w:id="20"/>
      <w:bookmarkEnd w:id="21"/>
      <w:bookmarkEnd w:id="22"/>
      <w:bookmarkEnd w:id="23"/>
      <w:bookmarkEnd w:id="24"/>
      <w:r>
        <w:t xml:space="preserve">Structure and </w:t>
      </w:r>
      <w:r w:rsidR="00000133">
        <w:t>i</w:t>
      </w:r>
      <w:r w:rsidR="003467C2" w:rsidRPr="006F4B74">
        <w:t>nterpretation</w:t>
      </w:r>
      <w:bookmarkEnd w:id="25"/>
      <w:bookmarkEnd w:id="26"/>
    </w:p>
    <w:p w14:paraId="72C626F9" w14:textId="3B4CFB0B" w:rsidR="001357B0" w:rsidRDefault="001357B0" w:rsidP="003467C2">
      <w:pPr>
        <w:tabs>
          <w:tab w:val="left" w:pos="0"/>
        </w:tabs>
        <w:autoSpaceDE w:val="0"/>
        <w:autoSpaceDN w:val="0"/>
        <w:adjustRightInd w:val="0"/>
        <w:rPr>
          <w:snapToGrid w:val="0"/>
        </w:rPr>
      </w:pPr>
      <w:r>
        <w:rPr>
          <w:snapToGrid w:val="0"/>
        </w:rPr>
        <w:t>This publication consists of:</w:t>
      </w:r>
    </w:p>
    <w:p w14:paraId="79FA3AD0" w14:textId="6914A487" w:rsidR="00A35D80" w:rsidRDefault="00A35D80" w:rsidP="00F01972">
      <w:pPr>
        <w:pStyle w:val="StyleRPSBodyTextNumbered"/>
        <w:numPr>
          <w:ilvl w:val="0"/>
          <w:numId w:val="15"/>
        </w:numPr>
        <w:tabs>
          <w:tab w:val="left" w:pos="0"/>
        </w:tabs>
        <w:ind w:left="714" w:hanging="357"/>
        <w:rPr>
          <w:rFonts w:asciiTheme="minorHAnsi" w:hAnsiTheme="minorHAnsi"/>
          <w:color w:val="444448" w:themeColor="accent4"/>
          <w:sz w:val="22"/>
        </w:rPr>
      </w:pPr>
      <w:r>
        <w:rPr>
          <w:rFonts w:asciiTheme="minorHAnsi" w:hAnsiTheme="minorHAnsi"/>
          <w:color w:val="444448" w:themeColor="accent4"/>
          <w:sz w:val="22"/>
        </w:rPr>
        <w:t>Section 1: introductory material</w:t>
      </w:r>
    </w:p>
    <w:p w14:paraId="1347B2BC" w14:textId="194B54A0" w:rsidR="001357B0" w:rsidRPr="00F01972" w:rsidRDefault="0050177B" w:rsidP="00F01972">
      <w:pPr>
        <w:pStyle w:val="StyleRPSBodyTextNumbered"/>
        <w:numPr>
          <w:ilvl w:val="0"/>
          <w:numId w:val="15"/>
        </w:numPr>
        <w:tabs>
          <w:tab w:val="left" w:pos="0"/>
        </w:tabs>
        <w:ind w:left="714" w:hanging="357"/>
        <w:rPr>
          <w:rFonts w:asciiTheme="minorHAnsi" w:hAnsiTheme="minorHAnsi"/>
          <w:color w:val="444448" w:themeColor="accent4"/>
          <w:sz w:val="22"/>
        </w:rPr>
      </w:pPr>
      <w:r>
        <w:rPr>
          <w:rFonts w:asciiTheme="minorHAnsi" w:hAnsiTheme="minorHAnsi"/>
          <w:color w:val="444448" w:themeColor="accent4"/>
          <w:sz w:val="22"/>
        </w:rPr>
        <w:t xml:space="preserve">Section 2: </w:t>
      </w:r>
      <w:r w:rsidR="00F01972">
        <w:rPr>
          <w:rFonts w:asciiTheme="minorHAnsi" w:hAnsiTheme="minorHAnsi"/>
          <w:color w:val="444448" w:themeColor="accent4"/>
          <w:sz w:val="22"/>
        </w:rPr>
        <w:t>a</w:t>
      </w:r>
      <w:r w:rsidR="001357B0" w:rsidRPr="00F01972">
        <w:rPr>
          <w:rFonts w:asciiTheme="minorHAnsi" w:hAnsiTheme="minorHAnsi"/>
          <w:color w:val="444448" w:themeColor="accent4"/>
          <w:sz w:val="22"/>
        </w:rPr>
        <w:t xml:space="preserve">n overview of </w:t>
      </w:r>
      <w:r w:rsidR="00F01972" w:rsidRPr="00F01972">
        <w:rPr>
          <w:rFonts w:asciiTheme="minorHAnsi" w:hAnsiTheme="minorHAnsi"/>
          <w:color w:val="444448" w:themeColor="accent4"/>
          <w:sz w:val="22"/>
        </w:rPr>
        <w:t xml:space="preserve">principles to be considered when disposing of solid radioactive waste </w:t>
      </w:r>
    </w:p>
    <w:p w14:paraId="3E83161A" w14:textId="531CDCDB" w:rsidR="001357B0" w:rsidRPr="00F01972" w:rsidRDefault="0050177B" w:rsidP="00F01972">
      <w:pPr>
        <w:pStyle w:val="StyleRPSBodyTextNumbered"/>
        <w:numPr>
          <w:ilvl w:val="0"/>
          <w:numId w:val="15"/>
        </w:numPr>
        <w:tabs>
          <w:tab w:val="left" w:pos="0"/>
        </w:tabs>
        <w:ind w:left="714" w:hanging="357"/>
        <w:rPr>
          <w:rFonts w:asciiTheme="minorHAnsi" w:hAnsiTheme="minorHAnsi"/>
          <w:color w:val="444448" w:themeColor="accent4"/>
          <w:sz w:val="22"/>
        </w:rPr>
      </w:pPr>
      <w:r>
        <w:rPr>
          <w:rFonts w:asciiTheme="minorHAnsi" w:hAnsiTheme="minorHAnsi"/>
          <w:color w:val="444448" w:themeColor="accent4"/>
          <w:sz w:val="22"/>
        </w:rPr>
        <w:t xml:space="preserve">Section 3: </w:t>
      </w:r>
      <w:r w:rsidR="001357B0" w:rsidRPr="00F01972">
        <w:rPr>
          <w:rFonts w:asciiTheme="minorHAnsi" w:hAnsiTheme="minorHAnsi"/>
          <w:color w:val="444448" w:themeColor="accent4"/>
          <w:sz w:val="22"/>
        </w:rPr>
        <w:t>mandatory requirements necessary for the disposal of solid radioactive waste</w:t>
      </w:r>
      <w:r w:rsidR="00F01972">
        <w:rPr>
          <w:rFonts w:asciiTheme="minorHAnsi" w:hAnsiTheme="minorHAnsi"/>
          <w:color w:val="444448" w:themeColor="accent4"/>
          <w:sz w:val="22"/>
        </w:rPr>
        <w:t xml:space="preserve"> </w:t>
      </w:r>
    </w:p>
    <w:p w14:paraId="7AF9B74F" w14:textId="030A00E9" w:rsidR="001357B0" w:rsidRPr="00F01972" w:rsidRDefault="0050177B" w:rsidP="00F01972">
      <w:pPr>
        <w:pStyle w:val="StyleRPSBodyTextNumbered"/>
        <w:numPr>
          <w:ilvl w:val="0"/>
          <w:numId w:val="15"/>
        </w:numPr>
        <w:tabs>
          <w:tab w:val="left" w:pos="0"/>
        </w:tabs>
        <w:ind w:left="714" w:hanging="357"/>
        <w:rPr>
          <w:rFonts w:asciiTheme="minorHAnsi" w:hAnsiTheme="minorHAnsi"/>
          <w:color w:val="444448" w:themeColor="accent4"/>
          <w:sz w:val="22"/>
        </w:rPr>
      </w:pPr>
      <w:r>
        <w:rPr>
          <w:rFonts w:asciiTheme="minorHAnsi" w:hAnsiTheme="minorHAnsi"/>
          <w:color w:val="444448" w:themeColor="accent4"/>
          <w:sz w:val="22"/>
        </w:rPr>
        <w:t>A</w:t>
      </w:r>
      <w:r w:rsidR="001357B0" w:rsidRPr="00F01972">
        <w:rPr>
          <w:rFonts w:asciiTheme="minorHAnsi" w:hAnsiTheme="minorHAnsi"/>
          <w:color w:val="444448" w:themeColor="accent4"/>
          <w:sz w:val="22"/>
        </w:rPr>
        <w:t>nnexes that provide information and guidance supplementary to the requirements embodied in the Code. Annexes provide material that will help</w:t>
      </w:r>
      <w:r w:rsidR="00000133">
        <w:rPr>
          <w:rFonts w:asciiTheme="minorHAnsi" w:hAnsiTheme="minorHAnsi"/>
          <w:color w:val="444448" w:themeColor="accent4"/>
          <w:sz w:val="22"/>
        </w:rPr>
        <w:t xml:space="preserve"> in interpretation of the Code.</w:t>
      </w:r>
    </w:p>
    <w:p w14:paraId="21AC09D2" w14:textId="03BD59CD" w:rsidR="003467C2" w:rsidRPr="000F2D0C" w:rsidRDefault="003467C2" w:rsidP="003467C2">
      <w:pPr>
        <w:tabs>
          <w:tab w:val="left" w:pos="0"/>
        </w:tabs>
        <w:autoSpaceDE w:val="0"/>
        <w:autoSpaceDN w:val="0"/>
        <w:adjustRightInd w:val="0"/>
        <w:rPr>
          <w:snapToGrid w:val="0"/>
        </w:rPr>
      </w:pPr>
      <w:r w:rsidRPr="00EB09AF">
        <w:rPr>
          <w:snapToGrid w:val="0"/>
        </w:rPr>
        <w:t xml:space="preserve">The presence of the word ‘must’ in a section indicates that the requirement to which it refers </w:t>
      </w:r>
      <w:r w:rsidRPr="000F2D0C">
        <w:rPr>
          <w:snapToGrid w:val="0"/>
        </w:rPr>
        <w:t xml:space="preserve">is mandatory.  </w:t>
      </w:r>
    </w:p>
    <w:p w14:paraId="6001837F" w14:textId="4BD48846" w:rsidR="003467C2" w:rsidRPr="000F2D0C" w:rsidRDefault="003467C2" w:rsidP="003467C2">
      <w:pPr>
        <w:pStyle w:val="StyleRPSBodyTextNumbered"/>
        <w:tabs>
          <w:tab w:val="left" w:pos="0"/>
        </w:tabs>
        <w:spacing w:before="240"/>
        <w:jc w:val="left"/>
        <w:rPr>
          <w:rFonts w:asciiTheme="minorHAnsi" w:hAnsiTheme="minorHAnsi"/>
          <w:color w:val="444448" w:themeColor="accent4"/>
          <w:sz w:val="22"/>
          <w:szCs w:val="22"/>
        </w:rPr>
      </w:pPr>
      <w:r w:rsidRPr="000F2D0C">
        <w:rPr>
          <w:rFonts w:asciiTheme="minorHAnsi" w:hAnsiTheme="minorHAnsi"/>
          <w:color w:val="444448" w:themeColor="accent4"/>
          <w:sz w:val="22"/>
          <w:szCs w:val="22"/>
        </w:rPr>
        <w:t xml:space="preserve">All of the specified relevant requirements for safety and security </w:t>
      </w:r>
      <w:r w:rsidRPr="003102CD">
        <w:rPr>
          <w:rFonts w:asciiTheme="minorHAnsi" w:hAnsiTheme="minorHAnsi"/>
          <w:color w:val="444448" w:themeColor="accent4"/>
          <w:sz w:val="22"/>
          <w:szCs w:val="22"/>
        </w:rPr>
        <w:t xml:space="preserve">in SSR-5 </w:t>
      </w:r>
      <w:r w:rsidR="00A945FC" w:rsidRPr="003102CD">
        <w:rPr>
          <w:rFonts w:asciiTheme="minorHAnsi" w:hAnsiTheme="minorHAnsi"/>
          <w:color w:val="444448" w:themeColor="accent4"/>
          <w:sz w:val="22"/>
          <w:szCs w:val="22"/>
        </w:rPr>
        <w:t>(IAEA</w:t>
      </w:r>
      <w:r w:rsidR="00A945FC">
        <w:rPr>
          <w:rFonts w:asciiTheme="minorHAnsi" w:hAnsiTheme="minorHAnsi"/>
          <w:color w:val="444448" w:themeColor="accent4"/>
          <w:sz w:val="22"/>
          <w:szCs w:val="22"/>
        </w:rPr>
        <w:t xml:space="preserve"> 2011</w:t>
      </w:r>
      <w:r w:rsidR="002B1125">
        <w:rPr>
          <w:rFonts w:asciiTheme="minorHAnsi" w:hAnsiTheme="minorHAnsi"/>
          <w:color w:val="444448" w:themeColor="accent4"/>
          <w:sz w:val="22"/>
          <w:szCs w:val="22"/>
        </w:rPr>
        <w:t>a</w:t>
      </w:r>
      <w:r w:rsidR="00A945FC">
        <w:rPr>
          <w:rFonts w:asciiTheme="minorHAnsi" w:hAnsiTheme="minorHAnsi"/>
          <w:color w:val="444448" w:themeColor="accent4"/>
          <w:sz w:val="22"/>
          <w:szCs w:val="22"/>
        </w:rPr>
        <w:t xml:space="preserve">) </w:t>
      </w:r>
      <w:r w:rsidRPr="00AB5B6E">
        <w:rPr>
          <w:rFonts w:asciiTheme="minorHAnsi" w:hAnsiTheme="minorHAnsi"/>
          <w:color w:val="444448" w:themeColor="accent4"/>
          <w:sz w:val="22"/>
          <w:szCs w:val="22"/>
        </w:rPr>
        <w:t>apply</w:t>
      </w:r>
      <w:r w:rsidRPr="000F2D0C">
        <w:rPr>
          <w:rFonts w:asciiTheme="minorHAnsi" w:hAnsiTheme="minorHAnsi"/>
          <w:color w:val="444448" w:themeColor="accent4"/>
          <w:sz w:val="22"/>
          <w:szCs w:val="22"/>
        </w:rPr>
        <w:t xml:space="preserve"> and are to be read as ‘must’ statements, except where there is any alternative specific to the Australian context that is detailed in this Code or in another Australian Code or Standard in which case the Australian alternative takes precedence.</w:t>
      </w:r>
    </w:p>
    <w:p w14:paraId="351E808B" w14:textId="1666F10D" w:rsidR="003467C2" w:rsidRDefault="003467C2" w:rsidP="003467C2">
      <w:pPr>
        <w:tabs>
          <w:tab w:val="left" w:pos="0"/>
        </w:tabs>
        <w:autoSpaceDE w:val="0"/>
        <w:autoSpaceDN w:val="0"/>
        <w:adjustRightInd w:val="0"/>
        <w:rPr>
          <w:snapToGrid w:val="0"/>
        </w:rPr>
      </w:pPr>
      <w:r w:rsidRPr="00EB09AF">
        <w:rPr>
          <w:snapToGrid w:val="0"/>
        </w:rPr>
        <w:t>The meanings of various terms used in this Code that have technical or legal significance, and others that are central to the national radiation protection framework or to radioactive waste safety, are defined in the Glossary.</w:t>
      </w:r>
    </w:p>
    <w:p w14:paraId="063A2C3C" w14:textId="25D0537E" w:rsidR="00AC3BEA" w:rsidRPr="00AC3BEA" w:rsidRDefault="00AC3BEA" w:rsidP="00AC3BEA">
      <w:pPr>
        <w:tabs>
          <w:tab w:val="left" w:pos="0"/>
        </w:tabs>
        <w:autoSpaceDE w:val="0"/>
        <w:autoSpaceDN w:val="0"/>
        <w:adjustRightInd w:val="0"/>
        <w:rPr>
          <w:snapToGrid w:val="0"/>
        </w:rPr>
      </w:pPr>
      <w:r w:rsidRPr="00AC3BEA">
        <w:rPr>
          <w:snapToGrid w:val="0"/>
        </w:rPr>
        <w:t>In this Code the term ‘stakeholder’ means any interested party (person or group) impacted by a proposed or existing disposal facility</w:t>
      </w:r>
      <w:r w:rsidR="002646B1">
        <w:rPr>
          <w:snapToGrid w:val="0"/>
        </w:rPr>
        <w:t xml:space="preserve"> or has other legitimate interests in such facility</w:t>
      </w:r>
      <w:r w:rsidR="00A35D80">
        <w:rPr>
          <w:snapToGrid w:val="0"/>
        </w:rPr>
        <w:t>.</w:t>
      </w:r>
    </w:p>
    <w:p w14:paraId="24B4C611" w14:textId="77777777" w:rsidR="00D800AA" w:rsidRPr="00EB09AF" w:rsidRDefault="00D800AA" w:rsidP="003467C2">
      <w:pPr>
        <w:tabs>
          <w:tab w:val="left" w:pos="0"/>
        </w:tabs>
        <w:autoSpaceDE w:val="0"/>
        <w:autoSpaceDN w:val="0"/>
        <w:adjustRightInd w:val="0"/>
        <w:rPr>
          <w:snapToGrid w:val="0"/>
        </w:rPr>
      </w:pPr>
    </w:p>
    <w:p w14:paraId="6E36336E" w14:textId="77777777" w:rsidR="003467C2" w:rsidRPr="006944BF" w:rsidRDefault="003467C2" w:rsidP="003467C2">
      <w:pPr>
        <w:tabs>
          <w:tab w:val="left" w:pos="0"/>
        </w:tabs>
        <w:autoSpaceDE w:val="0"/>
        <w:autoSpaceDN w:val="0"/>
        <w:adjustRightInd w:val="0"/>
        <w:jc w:val="both"/>
        <w:rPr>
          <w:snapToGrid w:val="0"/>
        </w:rPr>
        <w:sectPr w:rsidR="003467C2" w:rsidRPr="006944BF" w:rsidSect="00344FF6">
          <w:pgSz w:w="11906" w:h="16838"/>
          <w:pgMar w:top="1134" w:right="1134" w:bottom="1134" w:left="1134" w:header="720" w:footer="720" w:gutter="0"/>
          <w:pgNumType w:start="1"/>
          <w:cols w:space="720"/>
        </w:sectPr>
      </w:pPr>
    </w:p>
    <w:p w14:paraId="305FE21F" w14:textId="5AF16A51" w:rsidR="003467C2" w:rsidRPr="00D85557" w:rsidRDefault="003F1F93" w:rsidP="00000133">
      <w:pPr>
        <w:pStyle w:val="Heading1"/>
        <w:pBdr>
          <w:bottom w:val="single" w:sz="4" w:space="4" w:color="4E1A74" w:themeColor="text2"/>
        </w:pBdr>
        <w:spacing w:before="0"/>
        <w:rPr>
          <w:caps/>
        </w:rPr>
      </w:pPr>
      <w:bookmarkStart w:id="27" w:name="_Toc181166644"/>
      <w:bookmarkStart w:id="28" w:name="_Toc495493166"/>
      <w:bookmarkStart w:id="29" w:name="_Toc524085205"/>
      <w:bookmarkStart w:id="30" w:name="_Toc46123637"/>
      <w:r w:rsidRPr="00D85557">
        <w:lastRenderedPageBreak/>
        <w:t xml:space="preserve">Radiation protection </w:t>
      </w:r>
      <w:bookmarkEnd w:id="27"/>
      <w:bookmarkEnd w:id="28"/>
      <w:r w:rsidR="009D0263" w:rsidRPr="00D85557">
        <w:t>and safety principles</w:t>
      </w:r>
      <w:bookmarkEnd w:id="29"/>
    </w:p>
    <w:p w14:paraId="69728D1C" w14:textId="5F1360C2" w:rsidR="003467C2" w:rsidRPr="001A2A2F" w:rsidRDefault="003467C2" w:rsidP="003467C2">
      <w:pPr>
        <w:spacing w:before="200"/>
        <w:rPr>
          <w:rFonts w:cs="Calibri"/>
        </w:rPr>
      </w:pPr>
      <w:r w:rsidRPr="00D85557">
        <w:t xml:space="preserve">The </w:t>
      </w:r>
      <w:r w:rsidR="000F6297" w:rsidRPr="00D85557">
        <w:t>Fundamentals</w:t>
      </w:r>
      <w:r w:rsidR="00A12F24" w:rsidRPr="00D85557">
        <w:t xml:space="preserve"> for</w:t>
      </w:r>
      <w:r w:rsidR="00A12F24" w:rsidRPr="00A12F24">
        <w:rPr>
          <w:i/>
        </w:rPr>
        <w:t xml:space="preserve"> Protection Against </w:t>
      </w:r>
      <w:r w:rsidR="00D85557">
        <w:rPr>
          <w:i/>
        </w:rPr>
        <w:t>I</w:t>
      </w:r>
      <w:r w:rsidR="00A12F24" w:rsidRPr="00A12F24">
        <w:rPr>
          <w:i/>
        </w:rPr>
        <w:t>onising Radiation</w:t>
      </w:r>
      <w:r w:rsidRPr="003102CD">
        <w:t xml:space="preserve"> </w:t>
      </w:r>
      <w:r w:rsidR="0053394C">
        <w:t xml:space="preserve">(RPS F-1) </w:t>
      </w:r>
      <w:r w:rsidR="000F6297">
        <w:t>(ARPANSA 2014</w:t>
      </w:r>
      <w:r w:rsidR="00640CD1">
        <w:t>a</w:t>
      </w:r>
      <w:r w:rsidR="000F6297">
        <w:t xml:space="preserve">) </w:t>
      </w:r>
      <w:r w:rsidRPr="00FB74B9">
        <w:t>outlines the system</w:t>
      </w:r>
      <w:r w:rsidRPr="001A2A2F">
        <w:rPr>
          <w:rFonts w:cs="Calibri"/>
        </w:rPr>
        <w:t xml:space="preserve"> of radiation protection in Australia. Section 4 of the </w:t>
      </w:r>
      <w:r w:rsidRPr="001A2A2F">
        <w:rPr>
          <w:rFonts w:cs="Calibri"/>
          <w:i/>
        </w:rPr>
        <w:t>Fundamentals</w:t>
      </w:r>
      <w:r w:rsidRPr="001A2A2F">
        <w:rPr>
          <w:rFonts w:cs="Calibri"/>
        </w:rPr>
        <w:t xml:space="preserve"> describes the </w:t>
      </w:r>
      <w:r w:rsidRPr="001A2A2F">
        <w:t>ten</w:t>
      </w:r>
      <w:r w:rsidRPr="001A2A2F">
        <w:rPr>
          <w:rFonts w:cs="Calibri"/>
        </w:rPr>
        <w:t xml:space="preserve"> principles that guide actions to manage radiation risks to protect human health and the environment from the possible harmful effects of ionising radiation, namely: </w:t>
      </w:r>
    </w:p>
    <w:p w14:paraId="6A9C60CF"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 xml:space="preserve">Clear division of responsibilities </w:t>
      </w:r>
    </w:p>
    <w:p w14:paraId="0C3AC5C9"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Legislative and regulatory framework</w:t>
      </w:r>
    </w:p>
    <w:p w14:paraId="45C268AA" w14:textId="77777777" w:rsidR="003467C2" w:rsidRPr="008F3FA7" w:rsidRDefault="003467C2" w:rsidP="000562A3">
      <w:pPr>
        <w:pStyle w:val="ListParagraph"/>
        <w:numPr>
          <w:ilvl w:val="0"/>
          <w:numId w:val="21"/>
        </w:numPr>
        <w:tabs>
          <w:tab w:val="left" w:pos="851"/>
        </w:tabs>
        <w:spacing w:before="80" w:after="120" w:line="276" w:lineRule="auto"/>
        <w:ind w:left="851" w:hanging="567"/>
        <w:contextualSpacing/>
      </w:pPr>
      <w:r w:rsidRPr="008F3FA7">
        <w:t>Leadership and management for safety</w:t>
      </w:r>
    </w:p>
    <w:p w14:paraId="4E3627E2" w14:textId="77777777" w:rsidR="003467C2" w:rsidRPr="008F3FA7" w:rsidRDefault="003467C2" w:rsidP="000562A3">
      <w:pPr>
        <w:pStyle w:val="ListParagraph"/>
        <w:numPr>
          <w:ilvl w:val="0"/>
          <w:numId w:val="21"/>
        </w:numPr>
        <w:tabs>
          <w:tab w:val="left" w:pos="851"/>
        </w:tabs>
        <w:spacing w:before="80" w:after="120" w:line="276" w:lineRule="auto"/>
        <w:ind w:left="851" w:hanging="567"/>
        <w:contextualSpacing/>
      </w:pPr>
      <w:r w:rsidRPr="008F3FA7">
        <w:t>Justification</w:t>
      </w:r>
    </w:p>
    <w:p w14:paraId="0EA4F90C"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Optimisation of protection</w:t>
      </w:r>
    </w:p>
    <w:p w14:paraId="69F30312"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Limitation of risks</w:t>
      </w:r>
    </w:p>
    <w:p w14:paraId="2AC9AED8"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Protection of present and future generations</w:t>
      </w:r>
    </w:p>
    <w:p w14:paraId="16455E20"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Prevention of accidents and malicious acts</w:t>
      </w:r>
    </w:p>
    <w:p w14:paraId="7E38BA4D"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Emergency preparedness and response</w:t>
      </w:r>
    </w:p>
    <w:p w14:paraId="61502384" w14:textId="77777777" w:rsidR="003467C2" w:rsidRPr="001A2A2F" w:rsidRDefault="003467C2" w:rsidP="000562A3">
      <w:pPr>
        <w:pStyle w:val="ListParagraph"/>
        <w:numPr>
          <w:ilvl w:val="0"/>
          <w:numId w:val="21"/>
        </w:numPr>
        <w:tabs>
          <w:tab w:val="left" w:pos="851"/>
        </w:tabs>
        <w:spacing w:before="80" w:after="120" w:line="276" w:lineRule="auto"/>
        <w:ind w:left="851" w:hanging="567"/>
        <w:contextualSpacing/>
      </w:pPr>
      <w:r w:rsidRPr="001A2A2F">
        <w:t>Protective actions to reduce existing or unregulated radiation risks.</w:t>
      </w:r>
    </w:p>
    <w:p w14:paraId="5A6F6F6B" w14:textId="672D0E3E" w:rsidR="003467C2" w:rsidRPr="003102CD" w:rsidRDefault="003467C2" w:rsidP="003467C2">
      <w:pPr>
        <w:spacing w:before="200"/>
      </w:pPr>
      <w:r w:rsidRPr="001A2A2F">
        <w:rPr>
          <w:rFonts w:cs="Calibri"/>
        </w:rPr>
        <w:t xml:space="preserve">The approach to radiation protection taken in the </w:t>
      </w:r>
      <w:r w:rsidRPr="001A2A2F">
        <w:rPr>
          <w:rFonts w:cs="Calibri"/>
          <w:i/>
        </w:rPr>
        <w:t>Fundamentals</w:t>
      </w:r>
      <w:r w:rsidRPr="001A2A2F">
        <w:rPr>
          <w:rFonts w:cs="Calibri"/>
          <w:lang w:val="en-US"/>
        </w:rPr>
        <w:t xml:space="preserve"> is based on</w:t>
      </w:r>
      <w:r w:rsidR="009C253E">
        <w:rPr>
          <w:rFonts w:cs="Calibri"/>
          <w:lang w:val="en-US"/>
        </w:rPr>
        <w:t xml:space="preserve"> </w:t>
      </w:r>
      <w:r w:rsidRPr="001A2A2F">
        <w:rPr>
          <w:rFonts w:cs="Calibri"/>
          <w:lang w:val="en-US"/>
        </w:rPr>
        <w:t xml:space="preserve">radiation exposure </w:t>
      </w:r>
      <w:r w:rsidR="009D0263">
        <w:rPr>
          <w:rFonts w:cs="Calibri"/>
          <w:lang w:val="en-US"/>
        </w:rPr>
        <w:t>from</w:t>
      </w:r>
      <w:r w:rsidRPr="001A2A2F">
        <w:rPr>
          <w:rFonts w:cs="Calibri"/>
          <w:lang w:val="en-US"/>
        </w:rPr>
        <w:t xml:space="preserve"> planned, emergency and existing exposure</w:t>
      </w:r>
      <w:r w:rsidR="00274D35">
        <w:rPr>
          <w:rFonts w:cs="Calibri"/>
          <w:lang w:val="en-US"/>
        </w:rPr>
        <w:t xml:space="preserve"> situations</w:t>
      </w:r>
      <w:r w:rsidRPr="001A2A2F">
        <w:rPr>
          <w:rFonts w:cs="Calibri"/>
          <w:lang w:val="en-US"/>
        </w:rPr>
        <w:t>, consistent with</w:t>
      </w:r>
      <w:r w:rsidR="00F07D6F">
        <w:rPr>
          <w:rFonts w:cs="Calibri"/>
          <w:lang w:val="en-US"/>
        </w:rPr>
        <w:t xml:space="preserve">, </w:t>
      </w:r>
      <w:r w:rsidR="00A12F24" w:rsidRPr="00D85557">
        <w:rPr>
          <w:rFonts w:cs="Calibri"/>
          <w:i/>
          <w:lang w:val="en-US"/>
        </w:rPr>
        <w:t>T</w:t>
      </w:r>
      <w:r w:rsidR="00F07D6F" w:rsidRPr="00D85557">
        <w:rPr>
          <w:rFonts w:cs="Calibri"/>
          <w:i/>
          <w:lang w:val="en-US"/>
        </w:rPr>
        <w:t xml:space="preserve">he </w:t>
      </w:r>
      <w:r w:rsidR="00A12F24" w:rsidRPr="00D85557">
        <w:rPr>
          <w:rFonts w:cs="Calibri"/>
          <w:i/>
          <w:lang w:val="en-US"/>
        </w:rPr>
        <w:t>2007</w:t>
      </w:r>
      <w:r w:rsidR="00A12F24">
        <w:rPr>
          <w:rFonts w:cs="Calibri"/>
          <w:lang w:val="en-US"/>
        </w:rPr>
        <w:t xml:space="preserve"> </w:t>
      </w:r>
      <w:r w:rsidR="00A945FC" w:rsidRPr="003102CD">
        <w:rPr>
          <w:i/>
        </w:rPr>
        <w:t>Recommendations of the International Commission on Radiological Protection</w:t>
      </w:r>
      <w:r w:rsidR="00A945FC" w:rsidRPr="00D85557">
        <w:t>, ICRP Publication 103</w:t>
      </w:r>
      <w:r w:rsidRPr="003102CD">
        <w:rPr>
          <w:i/>
        </w:rPr>
        <w:t xml:space="preserve"> </w:t>
      </w:r>
      <w:r w:rsidRPr="00EA71D1">
        <w:t>(</w:t>
      </w:r>
      <w:r w:rsidRPr="003102CD">
        <w:rPr>
          <w:rFonts w:cs="Calibri"/>
          <w:lang w:val="en-US"/>
        </w:rPr>
        <w:t>ICRP 2007).</w:t>
      </w:r>
    </w:p>
    <w:p w14:paraId="00124E5E" w14:textId="77777777" w:rsidR="003467C2" w:rsidRPr="003102CD" w:rsidRDefault="003467C2" w:rsidP="003467C2">
      <w:pPr>
        <w:spacing w:before="200"/>
      </w:pPr>
      <w:r w:rsidRPr="003102CD">
        <w:rPr>
          <w:rFonts w:cs="Georgia"/>
          <w:lang w:val="en"/>
        </w:rPr>
        <w:t xml:space="preserve">Disposal of radioactive waste </w:t>
      </w:r>
      <w:r w:rsidRPr="008F3FA7">
        <w:rPr>
          <w:rFonts w:cs="Calibri"/>
        </w:rPr>
        <w:t>is a planned exposure situation. In such situations, radiation protection can be planned in advance before exposures occur and</w:t>
      </w:r>
      <w:r w:rsidRPr="003102CD">
        <w:t xml:space="preserve"> the magnitude and extent of exposures can be reasonably predicted. </w:t>
      </w:r>
    </w:p>
    <w:p w14:paraId="59550E3D" w14:textId="44FDA4FC" w:rsidR="003467C2" w:rsidRPr="001A2A2F" w:rsidRDefault="003467C2" w:rsidP="003467C2">
      <w:pPr>
        <w:spacing w:before="200"/>
        <w:rPr>
          <w:rFonts w:cs="Calibri"/>
          <w:lang w:val="en-US"/>
        </w:rPr>
      </w:pPr>
      <w:r w:rsidRPr="003102CD">
        <w:rPr>
          <w:rFonts w:cs="Calibri"/>
          <w:lang w:val="en-US"/>
        </w:rPr>
        <w:t xml:space="preserve">The approach to managing radiation risks in planned exposure situations is guided by principles 1 – 8 and is described in </w:t>
      </w:r>
      <w:r w:rsidR="0053394C" w:rsidRPr="003102CD">
        <w:rPr>
          <w:rFonts w:cs="Calibri"/>
          <w:lang w:val="en-US"/>
        </w:rPr>
        <w:t>RPS C-1</w:t>
      </w:r>
      <w:r w:rsidRPr="003102CD">
        <w:rPr>
          <w:rFonts w:cs="Calibri"/>
          <w:lang w:val="en-US"/>
        </w:rPr>
        <w:t xml:space="preserve"> (</w:t>
      </w:r>
      <w:r w:rsidR="000F6297" w:rsidRPr="003102CD">
        <w:rPr>
          <w:rFonts w:cs="Calibri"/>
          <w:lang w:val="en-US"/>
        </w:rPr>
        <w:t xml:space="preserve">ARPANSA </w:t>
      </w:r>
      <w:r w:rsidRPr="003102CD">
        <w:rPr>
          <w:rFonts w:cs="Calibri"/>
          <w:lang w:val="en-US"/>
        </w:rPr>
        <w:t xml:space="preserve">2016). As such, all requirements in </w:t>
      </w:r>
      <w:r w:rsidR="0053394C" w:rsidRPr="003102CD">
        <w:rPr>
          <w:rFonts w:cs="Calibri"/>
          <w:lang w:val="en-US"/>
        </w:rPr>
        <w:t>RPS C-1</w:t>
      </w:r>
      <w:r w:rsidRPr="003102CD">
        <w:rPr>
          <w:rFonts w:cs="Calibri"/>
          <w:lang w:val="en-US"/>
        </w:rPr>
        <w:t xml:space="preserve"> (</w:t>
      </w:r>
      <w:r w:rsidR="000F6297" w:rsidRPr="003102CD">
        <w:rPr>
          <w:rFonts w:cs="Calibri"/>
          <w:lang w:val="en-US"/>
        </w:rPr>
        <w:t xml:space="preserve">ARPANSA </w:t>
      </w:r>
      <w:r w:rsidRPr="003102CD">
        <w:rPr>
          <w:rFonts w:cs="Calibri"/>
          <w:lang w:val="en-US"/>
        </w:rPr>
        <w:t>2016) apply to the disposal of radioactive waste.</w:t>
      </w:r>
    </w:p>
    <w:p w14:paraId="2F102CCE" w14:textId="2D40EB8C" w:rsidR="003467C2" w:rsidRPr="000F2D0C" w:rsidRDefault="003467C2" w:rsidP="003467C2">
      <w:pPr>
        <w:pStyle w:val="StyleRPSBodyTextCharLeft0cm"/>
        <w:tabs>
          <w:tab w:val="left" w:pos="0"/>
        </w:tabs>
        <w:spacing w:after="0"/>
        <w:jc w:val="left"/>
        <w:rPr>
          <w:rFonts w:asciiTheme="minorHAnsi" w:hAnsiTheme="minorHAnsi"/>
          <w:color w:val="444448" w:themeColor="accent4"/>
          <w:sz w:val="22"/>
          <w:szCs w:val="22"/>
        </w:rPr>
      </w:pPr>
      <w:r w:rsidRPr="000F2D0C">
        <w:rPr>
          <w:rFonts w:asciiTheme="minorHAnsi" w:hAnsiTheme="minorHAnsi" w:cs="Calibri"/>
          <w:snapToGrid/>
          <w:color w:val="444448" w:themeColor="accent4"/>
          <w:sz w:val="22"/>
          <w:szCs w:val="22"/>
          <w:lang w:val="en-US" w:eastAsia="en-AU"/>
        </w:rPr>
        <w:t>Controlling exposure</w:t>
      </w:r>
      <w:r w:rsidRPr="000F2D0C">
        <w:rPr>
          <w:rFonts w:asciiTheme="minorHAnsi" w:hAnsiTheme="minorHAnsi"/>
          <w:color w:val="444448" w:themeColor="accent4"/>
          <w:sz w:val="22"/>
          <w:szCs w:val="22"/>
        </w:rPr>
        <w:t xml:space="preserve"> associated with the disposal of radioactive waste is achieved through good </w:t>
      </w:r>
      <w:r w:rsidR="004F1A0C">
        <w:rPr>
          <w:rFonts w:asciiTheme="minorHAnsi" w:hAnsiTheme="minorHAnsi"/>
          <w:color w:val="444448" w:themeColor="accent4"/>
          <w:sz w:val="22"/>
          <w:szCs w:val="22"/>
        </w:rPr>
        <w:t xml:space="preserve">engineering </w:t>
      </w:r>
      <w:r w:rsidRPr="000F2D0C">
        <w:rPr>
          <w:rFonts w:asciiTheme="minorHAnsi" w:hAnsiTheme="minorHAnsi"/>
          <w:color w:val="444448" w:themeColor="accent4"/>
          <w:sz w:val="22"/>
          <w:szCs w:val="22"/>
        </w:rPr>
        <w:t>design of facilities, equipment, adherence to established operating procedures, and effective implementation of the radiation management plan. In that manner, protection of those</w:t>
      </w:r>
      <w:r w:rsidR="004F1A0C">
        <w:rPr>
          <w:rFonts w:asciiTheme="minorHAnsi" w:hAnsiTheme="minorHAnsi"/>
          <w:color w:val="444448" w:themeColor="accent4"/>
          <w:sz w:val="22"/>
          <w:szCs w:val="22"/>
        </w:rPr>
        <w:t xml:space="preserve"> who may be potentially</w:t>
      </w:r>
      <w:r w:rsidRPr="000F2D0C">
        <w:rPr>
          <w:rFonts w:asciiTheme="minorHAnsi" w:hAnsiTheme="minorHAnsi"/>
          <w:color w:val="444448" w:themeColor="accent4"/>
          <w:sz w:val="22"/>
          <w:szCs w:val="22"/>
        </w:rPr>
        <w:t xml:space="preserve"> exposed (e.g. workers</w:t>
      </w:r>
      <w:r w:rsidR="004F1A0C">
        <w:rPr>
          <w:rFonts w:asciiTheme="minorHAnsi" w:hAnsiTheme="minorHAnsi"/>
          <w:color w:val="444448" w:themeColor="accent4"/>
          <w:sz w:val="22"/>
          <w:szCs w:val="22"/>
        </w:rPr>
        <w:t>, the public and</w:t>
      </w:r>
      <w:r w:rsidRPr="000F2D0C">
        <w:rPr>
          <w:rFonts w:asciiTheme="minorHAnsi" w:hAnsiTheme="minorHAnsi"/>
          <w:color w:val="444448" w:themeColor="accent4"/>
          <w:sz w:val="22"/>
          <w:szCs w:val="22"/>
        </w:rPr>
        <w:t xml:space="preserve"> the environment) can be optimised (</w:t>
      </w:r>
      <w:r w:rsidRPr="00E569A8">
        <w:rPr>
          <w:rFonts w:asciiTheme="minorHAnsi" w:hAnsiTheme="minorHAnsi"/>
          <w:color w:val="444448" w:themeColor="accent4"/>
          <w:sz w:val="22"/>
          <w:szCs w:val="22"/>
        </w:rPr>
        <w:t xml:space="preserve">see </w:t>
      </w:r>
      <w:r w:rsidR="00E569A8">
        <w:rPr>
          <w:rFonts w:asciiTheme="minorHAnsi" w:hAnsiTheme="minorHAnsi"/>
          <w:color w:val="444448" w:themeColor="accent4"/>
          <w:sz w:val="22"/>
          <w:szCs w:val="22"/>
        </w:rPr>
        <w:fldChar w:fldCharType="begin"/>
      </w:r>
      <w:r w:rsidR="00E569A8">
        <w:rPr>
          <w:rFonts w:asciiTheme="minorHAnsi" w:hAnsiTheme="minorHAnsi"/>
          <w:color w:val="444448" w:themeColor="accent4"/>
          <w:sz w:val="22"/>
          <w:szCs w:val="22"/>
        </w:rPr>
        <w:instrText xml:space="preserve"> REF _Ref162409896 \r \h </w:instrText>
      </w:r>
      <w:r w:rsidR="00E569A8">
        <w:rPr>
          <w:rFonts w:asciiTheme="minorHAnsi" w:hAnsiTheme="minorHAnsi"/>
          <w:color w:val="444448" w:themeColor="accent4"/>
          <w:sz w:val="22"/>
          <w:szCs w:val="22"/>
        </w:rPr>
      </w:r>
      <w:r w:rsidR="00E569A8">
        <w:rPr>
          <w:rFonts w:asciiTheme="minorHAnsi" w:hAnsiTheme="minorHAnsi"/>
          <w:color w:val="444448" w:themeColor="accent4"/>
          <w:sz w:val="22"/>
          <w:szCs w:val="22"/>
        </w:rPr>
        <w:fldChar w:fldCharType="separate"/>
      </w:r>
      <w:r w:rsidR="00C022DF">
        <w:rPr>
          <w:rFonts w:asciiTheme="minorHAnsi" w:hAnsiTheme="minorHAnsi"/>
          <w:color w:val="444448" w:themeColor="accent4"/>
          <w:sz w:val="22"/>
          <w:szCs w:val="22"/>
        </w:rPr>
        <w:t>2.2</w:t>
      </w:r>
      <w:r w:rsidR="00E569A8">
        <w:rPr>
          <w:rFonts w:asciiTheme="minorHAnsi" w:hAnsiTheme="minorHAnsi"/>
          <w:color w:val="444448" w:themeColor="accent4"/>
          <w:sz w:val="22"/>
          <w:szCs w:val="22"/>
        </w:rPr>
        <w:fldChar w:fldCharType="end"/>
      </w:r>
      <w:r w:rsidRPr="000F2D0C">
        <w:rPr>
          <w:rFonts w:asciiTheme="minorHAnsi" w:hAnsiTheme="minorHAnsi"/>
          <w:color w:val="444448" w:themeColor="accent4"/>
          <w:sz w:val="22"/>
          <w:szCs w:val="22"/>
        </w:rPr>
        <w:t xml:space="preserve">). In the case of workers and the </w:t>
      </w:r>
      <w:r w:rsidRPr="008F3FA7">
        <w:rPr>
          <w:rFonts w:asciiTheme="minorHAnsi" w:eastAsiaTheme="minorHAnsi" w:hAnsiTheme="minorHAnsi" w:cs="Calibri"/>
          <w:snapToGrid/>
          <w:color w:val="444448" w:themeColor="accent4"/>
          <w:sz w:val="22"/>
          <w:szCs w:val="22"/>
        </w:rPr>
        <w:t>public, dose</w:t>
      </w:r>
      <w:r w:rsidRPr="000F2D0C">
        <w:rPr>
          <w:rFonts w:asciiTheme="minorHAnsi" w:hAnsiTheme="minorHAnsi"/>
          <w:color w:val="444448" w:themeColor="accent4"/>
          <w:sz w:val="22"/>
          <w:szCs w:val="22"/>
        </w:rPr>
        <w:t xml:space="preserve"> limits are set and must be complied with in order to ensure</w:t>
      </w:r>
      <w:r w:rsidRPr="000F2D0C">
        <w:rPr>
          <w:rFonts w:asciiTheme="minorHAnsi" w:hAnsiTheme="minorHAnsi" w:cs="Georgia"/>
          <w:color w:val="444448" w:themeColor="accent4"/>
          <w:sz w:val="22"/>
          <w:szCs w:val="22"/>
          <w:lang w:val="en"/>
        </w:rPr>
        <w:t xml:space="preserve"> there is an adequate level of radiation protection.</w:t>
      </w:r>
    </w:p>
    <w:p w14:paraId="1A939881" w14:textId="77777777" w:rsidR="003467C2" w:rsidRPr="006F4B74" w:rsidRDefault="003467C2" w:rsidP="006C2926">
      <w:pPr>
        <w:pStyle w:val="Heading2"/>
      </w:pPr>
      <w:bookmarkStart w:id="31" w:name="_Toc495493167"/>
      <w:bookmarkStart w:id="32" w:name="_Toc524085206"/>
      <w:r w:rsidRPr="006F4B74">
        <w:t>Justification</w:t>
      </w:r>
      <w:bookmarkEnd w:id="31"/>
      <w:bookmarkEnd w:id="32"/>
    </w:p>
    <w:p w14:paraId="13FF0642" w14:textId="04BB4CD7" w:rsidR="00EA3978" w:rsidRPr="00E76592" w:rsidRDefault="00EA3978" w:rsidP="00E76592">
      <w:pPr>
        <w:pStyle w:val="StyleRPSBodyTextCharLeft0cm"/>
        <w:tabs>
          <w:tab w:val="left" w:pos="0"/>
        </w:tabs>
        <w:spacing w:after="0"/>
        <w:jc w:val="left"/>
        <w:rPr>
          <w:rFonts w:asciiTheme="minorHAnsi" w:hAnsiTheme="minorHAnsi"/>
          <w:color w:val="444448" w:themeColor="accent4"/>
          <w:sz w:val="22"/>
        </w:rPr>
      </w:pPr>
      <w:r w:rsidRPr="00E76592">
        <w:rPr>
          <w:rFonts w:asciiTheme="minorHAnsi" w:hAnsiTheme="minorHAnsi"/>
          <w:color w:val="444448" w:themeColor="accent4"/>
          <w:sz w:val="22"/>
        </w:rPr>
        <w:t>The principle of justification requires that any decision that alters radiation exposure should do more good than harm. Introducing a new radiation source, reducing existing exposure or reducing the risk of potential exposure should achieve a sufficient individual or societal benefit to offset any detriment caused. When activities involving an increased or decreased level of radiation exposure, or a risk of potential exposure, are being considered, the expected change in radiation detriment should be explicitly included in the decision-making process.</w:t>
      </w:r>
    </w:p>
    <w:p w14:paraId="2B4E5326" w14:textId="1D01D021" w:rsidR="003467C2" w:rsidRPr="00A80F9D" w:rsidRDefault="003467C2" w:rsidP="003467C2">
      <w:pPr>
        <w:pStyle w:val="StyleRPSBodyTextCharLeft0cm"/>
        <w:tabs>
          <w:tab w:val="left" w:pos="0"/>
        </w:tabs>
        <w:spacing w:after="0"/>
        <w:jc w:val="left"/>
        <w:rPr>
          <w:rFonts w:asciiTheme="minorHAnsi" w:hAnsiTheme="minorHAnsi"/>
          <w:color w:val="444448" w:themeColor="accent4"/>
          <w:sz w:val="22"/>
        </w:rPr>
      </w:pPr>
      <w:r w:rsidRPr="00A80F9D">
        <w:rPr>
          <w:rFonts w:asciiTheme="minorHAnsi" w:hAnsiTheme="minorHAnsi"/>
          <w:color w:val="444448" w:themeColor="accent4"/>
          <w:sz w:val="22"/>
        </w:rPr>
        <w:t xml:space="preserve">As the benefits and detriments to be considered encompass all aspects of the proposed practice, the decision-making process covers far more than radiation protection alone and should involve all </w:t>
      </w:r>
      <w:r w:rsidRPr="003102CD">
        <w:rPr>
          <w:rFonts w:asciiTheme="minorHAnsi" w:hAnsiTheme="minorHAnsi"/>
          <w:color w:val="444448" w:themeColor="accent4"/>
          <w:sz w:val="22"/>
        </w:rPr>
        <w:t xml:space="preserve">appropriate </w:t>
      </w:r>
      <w:r w:rsidRPr="003102CD">
        <w:rPr>
          <w:rFonts w:asciiTheme="minorHAnsi" w:hAnsiTheme="minorHAnsi"/>
          <w:color w:val="444448" w:themeColor="accent4"/>
          <w:sz w:val="22"/>
        </w:rPr>
        <w:lastRenderedPageBreak/>
        <w:t>deci</w:t>
      </w:r>
      <w:r w:rsidR="00BA3640">
        <w:rPr>
          <w:rFonts w:asciiTheme="minorHAnsi" w:hAnsiTheme="minorHAnsi"/>
          <w:color w:val="444448" w:themeColor="accent4"/>
          <w:sz w:val="22"/>
        </w:rPr>
        <w:t>sion-making agencies</w:t>
      </w:r>
      <w:r w:rsidR="00C05D88">
        <w:rPr>
          <w:rFonts w:asciiTheme="minorHAnsi" w:hAnsiTheme="minorHAnsi"/>
          <w:color w:val="444448" w:themeColor="accent4"/>
          <w:sz w:val="22"/>
        </w:rPr>
        <w:t xml:space="preserve"> in consultation with stakeholders</w:t>
      </w:r>
      <w:r w:rsidR="00BA3640">
        <w:rPr>
          <w:rFonts w:asciiTheme="minorHAnsi" w:hAnsiTheme="minorHAnsi"/>
          <w:color w:val="444448" w:themeColor="accent4"/>
          <w:sz w:val="22"/>
        </w:rPr>
        <w:t xml:space="preserve">. </w:t>
      </w:r>
      <w:r w:rsidRPr="003102CD">
        <w:rPr>
          <w:rFonts w:asciiTheme="minorHAnsi" w:hAnsiTheme="minorHAnsi"/>
          <w:color w:val="444448" w:themeColor="accent4"/>
          <w:sz w:val="22"/>
        </w:rPr>
        <w:t>Further details of this principle are found in RPS F-1</w:t>
      </w:r>
      <w:r w:rsidR="000F6297" w:rsidRPr="003102CD">
        <w:rPr>
          <w:rFonts w:asciiTheme="minorHAnsi" w:hAnsiTheme="minorHAnsi"/>
          <w:color w:val="444448" w:themeColor="accent4"/>
          <w:sz w:val="22"/>
        </w:rPr>
        <w:t xml:space="preserve"> (ARPANSA 2014</w:t>
      </w:r>
      <w:r w:rsidR="00640CD1">
        <w:rPr>
          <w:rFonts w:asciiTheme="minorHAnsi" w:hAnsiTheme="minorHAnsi"/>
          <w:color w:val="444448" w:themeColor="accent4"/>
          <w:sz w:val="22"/>
        </w:rPr>
        <w:t>a</w:t>
      </w:r>
      <w:r w:rsidR="000F6297" w:rsidRPr="003102CD">
        <w:rPr>
          <w:rFonts w:asciiTheme="minorHAnsi" w:hAnsiTheme="minorHAnsi"/>
          <w:color w:val="444448" w:themeColor="accent4"/>
          <w:sz w:val="22"/>
        </w:rPr>
        <w:t>)</w:t>
      </w:r>
      <w:r w:rsidRPr="003102CD">
        <w:rPr>
          <w:rFonts w:asciiTheme="minorHAnsi" w:hAnsiTheme="minorHAnsi"/>
          <w:i/>
          <w:color w:val="444448" w:themeColor="accent4"/>
          <w:sz w:val="22"/>
        </w:rPr>
        <w:t>.</w:t>
      </w:r>
    </w:p>
    <w:p w14:paraId="76D89AD0" w14:textId="77777777" w:rsidR="003467C2" w:rsidRPr="006F4B74" w:rsidRDefault="003467C2" w:rsidP="006C2926">
      <w:pPr>
        <w:pStyle w:val="Heading2"/>
      </w:pPr>
      <w:bookmarkStart w:id="33" w:name="_Toc139436208"/>
      <w:bookmarkStart w:id="34" w:name="_Toc139436209"/>
      <w:bookmarkStart w:id="35" w:name="_Toc139436211"/>
      <w:bookmarkStart w:id="36" w:name="_Toc139436216"/>
      <w:bookmarkStart w:id="37" w:name="_Toc139436217"/>
      <w:bookmarkStart w:id="38" w:name="_Toc139436218"/>
      <w:bookmarkStart w:id="39" w:name="_Ref162409896"/>
      <w:bookmarkStart w:id="40" w:name="_Toc495493168"/>
      <w:bookmarkStart w:id="41" w:name="_Toc524085207"/>
      <w:bookmarkStart w:id="42" w:name="6"/>
      <w:bookmarkEnd w:id="33"/>
      <w:bookmarkEnd w:id="34"/>
      <w:bookmarkEnd w:id="35"/>
      <w:bookmarkEnd w:id="36"/>
      <w:bookmarkEnd w:id="37"/>
      <w:bookmarkEnd w:id="38"/>
      <w:r w:rsidRPr="006F4B74">
        <w:t>Optimisation</w:t>
      </w:r>
      <w:bookmarkEnd w:id="39"/>
      <w:bookmarkEnd w:id="40"/>
      <w:bookmarkEnd w:id="41"/>
      <w:r>
        <w:t xml:space="preserve"> </w:t>
      </w:r>
    </w:p>
    <w:p w14:paraId="1679DBB0" w14:textId="77777777" w:rsidR="00EB6CDC" w:rsidRDefault="007742B6" w:rsidP="008F3FA7">
      <w:pPr>
        <w:spacing w:before="200"/>
      </w:pPr>
      <w:r w:rsidRPr="008F3FA7">
        <w:rPr>
          <w:rFonts w:cs="Calibri"/>
        </w:rPr>
        <w:t>O</w:t>
      </w:r>
      <w:r w:rsidR="003467C2" w:rsidRPr="008F3FA7">
        <w:rPr>
          <w:rFonts w:cs="Calibri"/>
        </w:rPr>
        <w:t xml:space="preserve">ptimisation </w:t>
      </w:r>
      <w:r w:rsidR="00EB6CDC">
        <w:t>aims to achieve the best level of radiation protection under the prevailing circumstances through an ongoing, iterative process that involves:</w:t>
      </w:r>
    </w:p>
    <w:p w14:paraId="75103593" w14:textId="77777777" w:rsidR="00EB6CDC" w:rsidRPr="00EB6CDC" w:rsidRDefault="00EB6CDC" w:rsidP="00EB6CDC">
      <w:pPr>
        <w:pStyle w:val="StyleRPSBodyTextNumbered"/>
        <w:numPr>
          <w:ilvl w:val="0"/>
          <w:numId w:val="15"/>
        </w:numPr>
        <w:tabs>
          <w:tab w:val="left" w:pos="0"/>
        </w:tabs>
        <w:ind w:left="714" w:hanging="357"/>
        <w:rPr>
          <w:rFonts w:asciiTheme="minorHAnsi" w:hAnsiTheme="minorHAnsi"/>
          <w:color w:val="444448" w:themeColor="accent4"/>
          <w:sz w:val="22"/>
        </w:rPr>
      </w:pPr>
      <w:r w:rsidRPr="00EB6CDC">
        <w:rPr>
          <w:rFonts w:asciiTheme="minorHAnsi" w:hAnsiTheme="minorHAnsi"/>
          <w:color w:val="444448" w:themeColor="accent4"/>
          <w:sz w:val="22"/>
        </w:rPr>
        <w:t>Evaluation of the exposure situation, including any potential exposures</w:t>
      </w:r>
    </w:p>
    <w:p w14:paraId="6CAFD06A" w14:textId="77777777" w:rsidR="00EB6CDC" w:rsidRPr="00EB6CDC" w:rsidRDefault="00EB6CDC" w:rsidP="00EB6CDC">
      <w:pPr>
        <w:pStyle w:val="StyleRPSBodyTextNumbered"/>
        <w:numPr>
          <w:ilvl w:val="0"/>
          <w:numId w:val="15"/>
        </w:numPr>
        <w:tabs>
          <w:tab w:val="left" w:pos="0"/>
        </w:tabs>
        <w:ind w:left="714" w:hanging="357"/>
        <w:rPr>
          <w:rFonts w:asciiTheme="minorHAnsi" w:hAnsiTheme="minorHAnsi"/>
          <w:color w:val="444448" w:themeColor="accent4"/>
          <w:sz w:val="22"/>
        </w:rPr>
      </w:pPr>
      <w:r w:rsidRPr="00EB6CDC">
        <w:rPr>
          <w:rFonts w:asciiTheme="minorHAnsi" w:hAnsiTheme="minorHAnsi"/>
          <w:color w:val="444448" w:themeColor="accent4"/>
          <w:sz w:val="22"/>
        </w:rPr>
        <w:t>Selection of an appropriate value for the constraint or reference level</w:t>
      </w:r>
    </w:p>
    <w:p w14:paraId="08437CF3" w14:textId="77777777" w:rsidR="00EB6CDC" w:rsidRPr="00EB6CDC" w:rsidRDefault="00EB6CDC" w:rsidP="00EB6CDC">
      <w:pPr>
        <w:pStyle w:val="StyleRPSBodyTextNumbered"/>
        <w:numPr>
          <w:ilvl w:val="0"/>
          <w:numId w:val="15"/>
        </w:numPr>
        <w:tabs>
          <w:tab w:val="left" w:pos="0"/>
        </w:tabs>
        <w:ind w:left="714" w:hanging="357"/>
        <w:rPr>
          <w:rFonts w:asciiTheme="minorHAnsi" w:hAnsiTheme="minorHAnsi"/>
          <w:color w:val="444448" w:themeColor="accent4"/>
          <w:sz w:val="22"/>
        </w:rPr>
      </w:pPr>
      <w:r w:rsidRPr="00EB6CDC">
        <w:rPr>
          <w:rFonts w:asciiTheme="minorHAnsi" w:hAnsiTheme="minorHAnsi"/>
          <w:color w:val="444448" w:themeColor="accent4"/>
          <w:sz w:val="22"/>
        </w:rPr>
        <w:t>Identification of the possible protection options</w:t>
      </w:r>
    </w:p>
    <w:p w14:paraId="7EB64875" w14:textId="0C657ADF" w:rsidR="00EB6CDC" w:rsidRPr="00EB6CDC" w:rsidRDefault="00EB6CDC" w:rsidP="00EB6CDC">
      <w:pPr>
        <w:pStyle w:val="StyleRPSBodyTextNumbered"/>
        <w:numPr>
          <w:ilvl w:val="0"/>
          <w:numId w:val="15"/>
        </w:numPr>
        <w:tabs>
          <w:tab w:val="left" w:pos="0"/>
        </w:tabs>
        <w:ind w:left="714" w:hanging="357"/>
        <w:rPr>
          <w:rFonts w:asciiTheme="minorHAnsi" w:hAnsiTheme="minorHAnsi"/>
          <w:color w:val="444448" w:themeColor="accent4"/>
          <w:sz w:val="22"/>
        </w:rPr>
      </w:pPr>
      <w:r w:rsidRPr="00EB6CDC">
        <w:rPr>
          <w:rFonts w:asciiTheme="minorHAnsi" w:hAnsiTheme="minorHAnsi"/>
          <w:color w:val="444448" w:themeColor="accent4"/>
          <w:sz w:val="22"/>
        </w:rPr>
        <w:t>Selection of the best option under the prevailing circumstances</w:t>
      </w:r>
    </w:p>
    <w:p w14:paraId="2C59CD75" w14:textId="77777777" w:rsidR="00EB6CDC" w:rsidRPr="00EB6CDC" w:rsidRDefault="00EB6CDC" w:rsidP="00EB6CDC">
      <w:pPr>
        <w:pStyle w:val="StyleRPSBodyTextNumbered"/>
        <w:numPr>
          <w:ilvl w:val="0"/>
          <w:numId w:val="15"/>
        </w:numPr>
        <w:tabs>
          <w:tab w:val="left" w:pos="0"/>
        </w:tabs>
        <w:ind w:left="714" w:hanging="357"/>
        <w:rPr>
          <w:rFonts w:asciiTheme="minorHAnsi" w:hAnsiTheme="minorHAnsi"/>
          <w:color w:val="444448" w:themeColor="accent4"/>
          <w:sz w:val="22"/>
        </w:rPr>
      </w:pPr>
      <w:r w:rsidRPr="00EB6CDC">
        <w:rPr>
          <w:rFonts w:asciiTheme="minorHAnsi" w:hAnsiTheme="minorHAnsi"/>
          <w:color w:val="444448" w:themeColor="accent4"/>
          <w:sz w:val="22"/>
        </w:rPr>
        <w:t>Implementation of the selected option.</w:t>
      </w:r>
    </w:p>
    <w:p w14:paraId="5FB7073A" w14:textId="4BCDF979" w:rsidR="00192557" w:rsidRPr="00F236A9" w:rsidRDefault="00192557" w:rsidP="00EB6CDC">
      <w:pPr>
        <w:spacing w:before="200"/>
      </w:pPr>
      <w:r w:rsidRPr="00F236A9">
        <w:t xml:space="preserve">There is a potential </w:t>
      </w:r>
      <w:r>
        <w:t xml:space="preserve">for the principle of optimisation to be misunderstood as implying a need to </w:t>
      </w:r>
      <w:r w:rsidRPr="00F236A9">
        <w:t>minimi</w:t>
      </w:r>
      <w:r>
        <w:t>s</w:t>
      </w:r>
      <w:r w:rsidRPr="00F236A9">
        <w:t>e exposure</w:t>
      </w:r>
      <w:r>
        <w:t>s</w:t>
      </w:r>
      <w:r w:rsidRPr="00F236A9">
        <w:t xml:space="preserve"> regardless of cost</w:t>
      </w:r>
      <w:r>
        <w:t xml:space="preserve">. This is partly because the </w:t>
      </w:r>
      <w:r w:rsidR="006B7360">
        <w:t>linear no thr</w:t>
      </w:r>
      <w:r w:rsidR="00601BF3">
        <w:t>eshold (</w:t>
      </w:r>
      <w:r>
        <w:t>LNT</w:t>
      </w:r>
      <w:r w:rsidR="00601BF3">
        <w:t>)</w:t>
      </w:r>
      <w:r>
        <w:t xml:space="preserve"> hypothesis postulates that there is no level of exposure below which there is no risk</w:t>
      </w:r>
      <w:r w:rsidRPr="00F236A9">
        <w:t>.</w:t>
      </w:r>
      <w:r>
        <w:t xml:space="preserve"> </w:t>
      </w:r>
      <w:r w:rsidRPr="00F236A9">
        <w:t>The optimisation principle</w:t>
      </w:r>
      <w:r>
        <w:t xml:space="preserve">, however, offers a means to take a </w:t>
      </w:r>
      <w:r w:rsidRPr="00EB6CDC">
        <w:rPr>
          <w:rFonts w:cs="Calibri"/>
        </w:rPr>
        <w:t>graded</w:t>
      </w:r>
      <w:r w:rsidRPr="00EB6CDC">
        <w:rPr>
          <w:b/>
        </w:rPr>
        <w:t xml:space="preserve"> </w:t>
      </w:r>
      <w:r w:rsidRPr="00EB6CDC">
        <w:rPr>
          <w:rFonts w:cs="Calibri"/>
        </w:rPr>
        <w:t>approach</w:t>
      </w:r>
      <w:r w:rsidRPr="00D21F8F">
        <w:t xml:space="preserve"> to</w:t>
      </w:r>
      <w:r>
        <w:t xml:space="preserve"> management of radiation risks and</w:t>
      </w:r>
      <w:r w:rsidRPr="00F236A9">
        <w:t xml:space="preserve"> focuses on achieving an ethically acceptable outcome</w:t>
      </w:r>
      <w:r>
        <w:t>, within the boundaries of the legal system,</w:t>
      </w:r>
      <w:r w:rsidRPr="00F236A9">
        <w:t xml:space="preserve"> based on balancing risks and benefits.</w:t>
      </w:r>
      <w:r w:rsidR="007742B6">
        <w:t xml:space="preserve"> For example, the level of isolation and containment of any particular type of radioactive waste should be commensurate with the risks posed to people and the environment by that waste.</w:t>
      </w:r>
    </w:p>
    <w:p w14:paraId="366B9273" w14:textId="40B3F376" w:rsidR="00FE0B99" w:rsidRDefault="003467C2" w:rsidP="00192557">
      <w:pPr>
        <w:pStyle w:val="PlainText"/>
      </w:pPr>
      <w:r w:rsidRPr="001A2A2F">
        <w:t xml:space="preserve">For activities that may give rise to environmental concern, it is important that assessments consider both human health and environmental endpoints, so that the best decision can be taken on the basis of a holistic understanding of radiation risks. </w:t>
      </w:r>
    </w:p>
    <w:p w14:paraId="2895E375" w14:textId="6F1C9420" w:rsidR="00192557" w:rsidRDefault="00192557" w:rsidP="00192557">
      <w:pPr>
        <w:pStyle w:val="PlainText"/>
      </w:pPr>
      <w:r w:rsidRPr="004F221F">
        <w:t>The measures</w:t>
      </w:r>
      <w:r>
        <w:t xml:space="preserve"> to reduce exposures</w:t>
      </w:r>
      <w:r w:rsidRPr="004F221F">
        <w:t xml:space="preserve"> that are applied to facilities</w:t>
      </w:r>
      <w:r>
        <w:fldChar w:fldCharType="begin"/>
      </w:r>
      <w:r>
        <w:instrText xml:space="preserve"> XE "</w:instrText>
      </w:r>
      <w:r w:rsidRPr="00957C77">
        <w:instrText>facility</w:instrText>
      </w:r>
      <w:r>
        <w:instrText xml:space="preserve">" </w:instrText>
      </w:r>
      <w:r>
        <w:fldChar w:fldCharType="end"/>
      </w:r>
      <w:r w:rsidRPr="004F221F">
        <w:t xml:space="preserve"> and activities that give rise to radiation risks are considered optimi</w:t>
      </w:r>
      <w:r>
        <w:t>s</w:t>
      </w:r>
      <w:r w:rsidRPr="004F221F">
        <w:t xml:space="preserve">ed if they provide the highest level of </w:t>
      </w:r>
      <w:r>
        <w:t>protection</w:t>
      </w:r>
      <w:r w:rsidRPr="004F221F">
        <w:t xml:space="preserve"> that can reasonably be achieved throughout the lifetime of the facility or activity, without unduly limiting its utili</w:t>
      </w:r>
      <w:r>
        <w:t>s</w:t>
      </w:r>
      <w:r w:rsidRPr="004F221F">
        <w:t>ation.</w:t>
      </w:r>
      <w:r>
        <w:t xml:space="preserve"> R</w:t>
      </w:r>
      <w:r w:rsidRPr="004F221F">
        <w:t xml:space="preserve">adiation risks </w:t>
      </w:r>
      <w:r>
        <w:t>need to</w:t>
      </w:r>
      <w:r w:rsidRPr="004F221F">
        <w:t xml:space="preserve"> be assessed </w:t>
      </w:r>
      <w:r w:rsidRPr="00AC47CA">
        <w:rPr>
          <w:i/>
        </w:rPr>
        <w:t>a priori</w:t>
      </w:r>
      <w:r w:rsidRPr="004F221F">
        <w:t xml:space="preserve"> and periodically reassessed throughout the lifetime of facilities and activities.</w:t>
      </w:r>
    </w:p>
    <w:p w14:paraId="6EB81EBD" w14:textId="392A8C66" w:rsidR="003467C2" w:rsidRDefault="003467C2" w:rsidP="003467C2">
      <w:pPr>
        <w:spacing w:before="200"/>
      </w:pPr>
      <w:r w:rsidRPr="0046248C">
        <w:t xml:space="preserve">Further details of this principle are found </w:t>
      </w:r>
      <w:r w:rsidRPr="003102CD">
        <w:t xml:space="preserve">in RPS F-1 </w:t>
      </w:r>
      <w:r w:rsidR="000F6297" w:rsidRPr="003102CD">
        <w:t>(ARPANSA 2014</w:t>
      </w:r>
      <w:r w:rsidR="00640CD1">
        <w:t>a</w:t>
      </w:r>
      <w:r w:rsidR="000F6297" w:rsidRPr="003102CD">
        <w:t xml:space="preserve">) </w:t>
      </w:r>
      <w:r w:rsidRPr="003102CD">
        <w:t xml:space="preserve">and in the </w:t>
      </w:r>
      <w:r w:rsidRPr="00D85557">
        <w:t>ICRP Publication 101b</w:t>
      </w:r>
      <w:r w:rsidRPr="003102CD">
        <w:t xml:space="preserve"> </w:t>
      </w:r>
      <w:r w:rsidRPr="003102CD">
        <w:rPr>
          <w:i/>
        </w:rPr>
        <w:t>The Optimisation of Radiological Protection - Broadening the Process</w:t>
      </w:r>
      <w:r w:rsidRPr="003102CD">
        <w:t xml:space="preserve"> (ICRP 2006).</w:t>
      </w:r>
    </w:p>
    <w:p w14:paraId="3E695E0B" w14:textId="71E4DE66" w:rsidR="00EB6CDC" w:rsidRDefault="00EB6CDC" w:rsidP="00EB6CDC">
      <w:pPr>
        <w:pStyle w:val="Heading2"/>
      </w:pPr>
      <w:bookmarkStart w:id="43" w:name="_Toc524085208"/>
      <w:r>
        <w:t>Dose constraints and risk targets</w:t>
      </w:r>
      <w:bookmarkEnd w:id="43"/>
    </w:p>
    <w:p w14:paraId="78732AC3" w14:textId="696E1004" w:rsidR="00192557" w:rsidRPr="00F236A9" w:rsidRDefault="00192557" w:rsidP="00EB6CDC">
      <w:pPr>
        <w:spacing w:before="200"/>
      </w:pPr>
      <w:r w:rsidRPr="003D5EBA">
        <w:t xml:space="preserve">A </w:t>
      </w:r>
      <w:r w:rsidRPr="00EB6CDC">
        <w:t>dose constraint</w:t>
      </w:r>
      <w:r w:rsidRPr="00EB6CDC">
        <w:fldChar w:fldCharType="begin"/>
      </w:r>
      <w:r w:rsidRPr="00EB6CDC">
        <w:instrText xml:space="preserve"> XE "dose:constraint" </w:instrText>
      </w:r>
      <w:r w:rsidRPr="00EB6CDC">
        <w:fldChar w:fldCharType="end"/>
      </w:r>
      <w:r w:rsidRPr="00F236A9">
        <w:t xml:space="preserve"> </w:t>
      </w:r>
      <w:r>
        <w:t>is a prospective source–related restriction on the individual dose from a source in planned exposure situations</w:t>
      </w:r>
      <w:r>
        <w:fldChar w:fldCharType="begin"/>
      </w:r>
      <w:r>
        <w:instrText xml:space="preserve"> XE "</w:instrText>
      </w:r>
      <w:r w:rsidRPr="00EB6CDC">
        <w:instrText>exposure situation:planned"</w:instrText>
      </w:r>
      <w:r>
        <w:instrText xml:space="preserve"> </w:instrText>
      </w:r>
      <w:r>
        <w:fldChar w:fldCharType="end"/>
      </w:r>
      <w:r>
        <w:t>, which serves as an upper bound on the predicted dose in the optimisation</w:t>
      </w:r>
      <w:r>
        <w:fldChar w:fldCharType="begin"/>
      </w:r>
      <w:r>
        <w:instrText xml:space="preserve"> XE "</w:instrText>
      </w:r>
      <w:r w:rsidRPr="00957C77">
        <w:instrText>optimisation</w:instrText>
      </w:r>
      <w:r>
        <w:instrText xml:space="preserve">" </w:instrText>
      </w:r>
      <w:r>
        <w:fldChar w:fldCharType="end"/>
      </w:r>
      <w:r>
        <w:t xml:space="preserve"> of protection for a source. For </w:t>
      </w:r>
      <w:r w:rsidRPr="00EB6CDC">
        <w:t>occupational exposure</w:t>
      </w:r>
      <w:r w:rsidRPr="00EB6CDC">
        <w:fldChar w:fldCharType="begin"/>
      </w:r>
      <w:r w:rsidRPr="00EB6CDC">
        <w:instrText xml:space="preserve"> XE "exposure:occupational" </w:instrText>
      </w:r>
      <w:r w:rsidRPr="00EB6CDC">
        <w:fldChar w:fldCharType="end"/>
      </w:r>
      <w:r>
        <w:t xml:space="preserve"> it is a value of individual dose used to limit</w:t>
      </w:r>
      <w:r>
        <w:fldChar w:fldCharType="begin"/>
      </w:r>
      <w:r>
        <w:instrText xml:space="preserve"> XE "</w:instrText>
      </w:r>
      <w:r w:rsidRPr="00957C77">
        <w:instrText>limit</w:instrText>
      </w:r>
      <w:r>
        <w:instrText xml:space="preserve">" </w:instrText>
      </w:r>
      <w:r>
        <w:fldChar w:fldCharType="end"/>
      </w:r>
      <w:r>
        <w:t xml:space="preserve"> the range of options such that only values of dose below the constraint are considered in the planning process. For </w:t>
      </w:r>
      <w:r w:rsidRPr="00EB6CDC">
        <w:t>public exposure</w:t>
      </w:r>
      <w:r w:rsidRPr="00EB6CDC">
        <w:fldChar w:fldCharType="begin"/>
      </w:r>
      <w:r w:rsidRPr="00EB6CDC">
        <w:instrText xml:space="preserve"> XE "exposure:public" </w:instrText>
      </w:r>
      <w:r w:rsidRPr="00EB6CDC">
        <w:fldChar w:fldCharType="end"/>
      </w:r>
      <w:r>
        <w:t xml:space="preserve"> the dose constraint is an upper bound on the annual doses that members of the public could receive from a planned operation of a specified controlled source. </w:t>
      </w:r>
      <w:r w:rsidR="00E76592">
        <w:t xml:space="preserve">In each case, the use of a dose constraint </w:t>
      </w:r>
      <w:r w:rsidR="00FF6C0A">
        <w:t>guides the</w:t>
      </w:r>
      <w:r w:rsidR="00E76592">
        <w:t xml:space="preserve"> optimisation</w:t>
      </w:r>
      <w:r w:rsidR="00FF6C0A">
        <w:t xml:space="preserve"> process</w:t>
      </w:r>
      <w:r w:rsidR="00E76592">
        <w:t>.</w:t>
      </w:r>
    </w:p>
    <w:p w14:paraId="753C79EA" w14:textId="086620D0" w:rsidR="00192557" w:rsidRDefault="00192557" w:rsidP="00192557">
      <w:pPr>
        <w:pStyle w:val="PlainText"/>
      </w:pPr>
      <w:r>
        <w:t>In many cases,</w:t>
      </w:r>
      <w:r w:rsidRPr="00F236A9">
        <w:t xml:space="preserve"> experience in similar planned exposure situations</w:t>
      </w:r>
      <w:r>
        <w:fldChar w:fldCharType="begin"/>
      </w:r>
      <w:r>
        <w:instrText xml:space="preserve"> XE "</w:instrText>
      </w:r>
      <w:r>
        <w:rPr>
          <w:lang w:val="en-US"/>
        </w:rPr>
        <w:instrText>exposure situation:planned"</w:instrText>
      </w:r>
      <w:r>
        <w:instrText xml:space="preserve"> </w:instrText>
      </w:r>
      <w:r>
        <w:fldChar w:fldCharType="end"/>
      </w:r>
      <w:r w:rsidRPr="00F236A9">
        <w:t xml:space="preserve"> will allow a dose constraint</w:t>
      </w:r>
      <w:r>
        <w:fldChar w:fldCharType="begin"/>
      </w:r>
      <w:r>
        <w:instrText xml:space="preserve"> XE "</w:instrText>
      </w:r>
      <w:r>
        <w:rPr>
          <w:lang w:val="en-US"/>
        </w:rPr>
        <w:instrText>dose:constraint"</w:instrText>
      </w:r>
      <w:r>
        <w:instrText xml:space="preserve"> </w:instrText>
      </w:r>
      <w:r>
        <w:fldChar w:fldCharType="end"/>
      </w:r>
      <w:r w:rsidRPr="00F236A9">
        <w:t xml:space="preserve"> to be set</w:t>
      </w:r>
      <w:r>
        <w:t xml:space="preserve">. </w:t>
      </w:r>
      <w:r w:rsidRPr="00F236A9">
        <w:t>Protection measures should then be undertaken to optimise protection below the dose constraint.</w:t>
      </w:r>
    </w:p>
    <w:p w14:paraId="2C1E089C" w14:textId="7DAA8098" w:rsidR="00192557" w:rsidRPr="00F236A9" w:rsidRDefault="00192557" w:rsidP="008F3FA7">
      <w:pPr>
        <w:spacing w:before="200"/>
      </w:pPr>
      <w:r w:rsidRPr="00F236A9">
        <w:lastRenderedPageBreak/>
        <w:t>Planned exposures may, as noted earlier, be either normal exposures, which are certain or almost certain to occur, or potential which means that they are not expected to occur but may do so under certain circumstances.</w:t>
      </w:r>
      <w:r>
        <w:t xml:space="preserve"> </w:t>
      </w:r>
      <w:r w:rsidRPr="00F236A9">
        <w:t xml:space="preserve">Such potential exposures may be more appropriately </w:t>
      </w:r>
      <w:r>
        <w:t>approached</w:t>
      </w:r>
      <w:r w:rsidRPr="00F236A9">
        <w:t xml:space="preserve"> by constraining the risk, or setting a </w:t>
      </w:r>
      <w:r w:rsidRPr="008F3FA7">
        <w:rPr>
          <w:rFonts w:cs="Calibri"/>
        </w:rPr>
        <w:t>risk</w:t>
      </w:r>
      <w:r w:rsidRPr="00C05D04">
        <w:rPr>
          <w:b/>
        </w:rPr>
        <w:t xml:space="preserve"> </w:t>
      </w:r>
      <w:r w:rsidRPr="008F3FA7">
        <w:rPr>
          <w:rFonts w:cs="Calibri"/>
        </w:rPr>
        <w:t>target</w:t>
      </w:r>
      <w:r w:rsidRPr="00F236A9">
        <w:t>.</w:t>
      </w:r>
      <w:r>
        <w:t xml:space="preserve"> </w:t>
      </w:r>
      <w:r w:rsidRPr="00F236A9">
        <w:t>The risk constraint or target can be formulated as the product of probability of the exposure (i.e. how likely it is that an exposure occur</w:t>
      </w:r>
      <w:r w:rsidR="00F57C3F">
        <w:t>s</w:t>
      </w:r>
      <w:r w:rsidRPr="00F236A9">
        <w:t xml:space="preserve"> in a given time period), and resulting </w:t>
      </w:r>
      <w:r w:rsidR="00274D35">
        <w:t>harm</w:t>
      </w:r>
      <w:r w:rsidRPr="00F236A9">
        <w:t xml:space="preserve"> should that exposure occur.</w:t>
      </w:r>
      <w:r>
        <w:t xml:space="preserve"> </w:t>
      </w:r>
      <w:r w:rsidRPr="00F236A9">
        <w:t>Optimisation</w:t>
      </w:r>
      <w:r>
        <w:fldChar w:fldCharType="begin"/>
      </w:r>
      <w:r>
        <w:instrText xml:space="preserve"> XE "</w:instrText>
      </w:r>
      <w:r w:rsidRPr="00957C77">
        <w:instrText>optimisation</w:instrText>
      </w:r>
      <w:r>
        <w:instrText xml:space="preserve">" </w:instrText>
      </w:r>
      <w:r>
        <w:fldChar w:fldCharType="end"/>
      </w:r>
      <w:r w:rsidRPr="00F236A9">
        <w:t xml:space="preserve"> can also be applied to reduce the risk.</w:t>
      </w:r>
      <w:r>
        <w:t xml:space="preserve"> </w:t>
      </w:r>
      <w:r w:rsidRPr="00F236A9">
        <w:t>Dose constraints</w:t>
      </w:r>
      <w:r>
        <w:fldChar w:fldCharType="begin"/>
      </w:r>
      <w:r>
        <w:instrText xml:space="preserve"> XE "</w:instrText>
      </w:r>
      <w:r>
        <w:rPr>
          <w:lang w:val="en-US"/>
        </w:rPr>
        <w:instrText>dose:constraint"</w:instrText>
      </w:r>
      <w:r>
        <w:instrText xml:space="preserve"> </w:instrText>
      </w:r>
      <w:r>
        <w:fldChar w:fldCharType="end"/>
      </w:r>
      <w:r w:rsidRPr="00F236A9">
        <w:t xml:space="preserve"> and risk constraints</w:t>
      </w:r>
      <w:r>
        <w:t xml:space="preserve"> or </w:t>
      </w:r>
      <w:r w:rsidRPr="00F236A9">
        <w:t>target</w:t>
      </w:r>
      <w:r>
        <w:t>s</w:t>
      </w:r>
      <w:r w:rsidRPr="00F236A9">
        <w:t xml:space="preserve"> can be used in combination.</w:t>
      </w:r>
    </w:p>
    <w:p w14:paraId="2F225C72" w14:textId="70BCB404" w:rsidR="00192557" w:rsidRPr="003102CD" w:rsidRDefault="00192557" w:rsidP="003467C2">
      <w:pPr>
        <w:spacing w:before="200"/>
        <w:rPr>
          <w:rFonts w:cs="Courier New"/>
        </w:rPr>
      </w:pPr>
      <w:r w:rsidRPr="001A2A2F">
        <w:t>Exceeding a dose constraint does not represent non-compliance with regulatory requirements but should prompt a review of the cause of the dose constraint being exceeded and, if appropriate, follow-up action.</w:t>
      </w:r>
    </w:p>
    <w:p w14:paraId="018F3521" w14:textId="661929C9" w:rsidR="00192557" w:rsidRDefault="00192557" w:rsidP="006C2926">
      <w:pPr>
        <w:pStyle w:val="Heading2"/>
      </w:pPr>
      <w:bookmarkStart w:id="44" w:name="_Toc494876779"/>
      <w:bookmarkStart w:id="45" w:name="_Toc494876780"/>
      <w:bookmarkStart w:id="46" w:name="_Toc494876781"/>
      <w:bookmarkStart w:id="47" w:name="_Toc524085209"/>
      <w:bookmarkStart w:id="48" w:name="_Toc495493170"/>
      <w:bookmarkEnd w:id="44"/>
      <w:bookmarkEnd w:id="45"/>
      <w:bookmarkEnd w:id="46"/>
      <w:r>
        <w:t>Limitation of risks</w:t>
      </w:r>
      <w:bookmarkEnd w:id="47"/>
    </w:p>
    <w:p w14:paraId="12516FAC" w14:textId="6EF2C4C8" w:rsidR="00192557" w:rsidRPr="00F236A9" w:rsidRDefault="00192557" w:rsidP="00192557">
      <w:pPr>
        <w:pStyle w:val="PlainText"/>
      </w:pPr>
      <w:r>
        <w:rPr>
          <w:lang w:eastAsia="en-AU"/>
        </w:rPr>
        <w:t xml:space="preserve">The </w:t>
      </w:r>
      <w:r w:rsidRPr="00CF06E5">
        <w:t>principle of</w:t>
      </w:r>
      <w:r w:rsidRPr="00E84D22">
        <w:t xml:space="preserve"> limitation</w:t>
      </w:r>
      <w:r>
        <w:fldChar w:fldCharType="begin"/>
      </w:r>
      <w:r>
        <w:instrText xml:space="preserve"> XE "</w:instrText>
      </w:r>
      <w:r>
        <w:rPr>
          <w:lang w:val="en-US"/>
        </w:rPr>
        <w:instrText>limitation"</w:instrText>
      </w:r>
      <w:r>
        <w:instrText xml:space="preserve"> </w:instrText>
      </w:r>
      <w:r>
        <w:fldChar w:fldCharType="end"/>
      </w:r>
      <w:r w:rsidRPr="00F236A9">
        <w:t xml:space="preserve"> of an individual’s risk of harm applies to the total dose to any individual from regulated sources in planned exposure situations</w:t>
      </w:r>
      <w:r>
        <w:fldChar w:fldCharType="begin"/>
      </w:r>
      <w:r>
        <w:instrText xml:space="preserve"> XE "</w:instrText>
      </w:r>
      <w:r>
        <w:rPr>
          <w:lang w:val="en-US"/>
        </w:rPr>
        <w:instrText>exposure situation:planned"</w:instrText>
      </w:r>
      <w:r>
        <w:instrText xml:space="preserve"> </w:instrText>
      </w:r>
      <w:r>
        <w:fldChar w:fldCharType="end"/>
      </w:r>
      <w:r w:rsidRPr="00F236A9">
        <w:t xml:space="preserve"> other than medical exposure</w:t>
      </w:r>
      <w:r>
        <w:fldChar w:fldCharType="begin"/>
      </w:r>
      <w:r>
        <w:instrText xml:space="preserve"> XE "</w:instrText>
      </w:r>
      <w:r>
        <w:rPr>
          <w:lang w:val="en-US"/>
        </w:rPr>
        <w:instrText>exposure:medical"</w:instrText>
      </w:r>
      <w:r>
        <w:instrText xml:space="preserve"> </w:instrText>
      </w:r>
      <w:r>
        <w:fldChar w:fldCharType="end"/>
      </w:r>
      <w:r w:rsidRPr="00F236A9">
        <w:t xml:space="preserve"> of the individual as a patient.</w:t>
      </w:r>
      <w:r>
        <w:t xml:space="preserve"> </w:t>
      </w:r>
      <w:r w:rsidRPr="00F236A9">
        <w:t xml:space="preserve">The total dose refers to the increase in radiation dose received by those exposed as a consequence of the conduct of the planned exposure situation and </w:t>
      </w:r>
      <w:r w:rsidR="00A861E4">
        <w:t xml:space="preserve">is </w:t>
      </w:r>
      <w:r>
        <w:t>normally defined in law</w:t>
      </w:r>
      <w:r w:rsidRPr="00F236A9">
        <w:t>.</w:t>
      </w:r>
    </w:p>
    <w:p w14:paraId="6E64EAD2" w14:textId="0420F650" w:rsidR="00192557" w:rsidRDefault="00192557" w:rsidP="003102CD">
      <w:pPr>
        <w:pStyle w:val="PlainText"/>
      </w:pPr>
      <w:r>
        <w:t xml:space="preserve">Limits </w:t>
      </w:r>
      <w:r w:rsidRPr="004F221F">
        <w:t>are insufficient in themselves to ensure the best achievable protection under the circumstances</w:t>
      </w:r>
      <w:r>
        <w:t>, and both t</w:t>
      </w:r>
      <w:r w:rsidRPr="004F221F">
        <w:t>he optimi</w:t>
      </w:r>
      <w:r>
        <w:t>s</w:t>
      </w:r>
      <w:r w:rsidRPr="004F221F">
        <w:t>ation</w:t>
      </w:r>
      <w:r>
        <w:fldChar w:fldCharType="begin"/>
      </w:r>
      <w:r>
        <w:instrText xml:space="preserve"> XE "</w:instrText>
      </w:r>
      <w:r w:rsidRPr="00957C77">
        <w:instrText>optimisation</w:instrText>
      </w:r>
      <w:r>
        <w:instrText xml:space="preserve">" </w:instrText>
      </w:r>
      <w:r>
        <w:fldChar w:fldCharType="end"/>
      </w:r>
      <w:r w:rsidRPr="004F221F">
        <w:t xml:space="preserve"> of protection and the limitation</w:t>
      </w:r>
      <w:r>
        <w:fldChar w:fldCharType="begin"/>
      </w:r>
      <w:r>
        <w:instrText xml:space="preserve"> XE "</w:instrText>
      </w:r>
      <w:r>
        <w:rPr>
          <w:lang w:val="en-US"/>
        </w:rPr>
        <w:instrText>limitation"</w:instrText>
      </w:r>
      <w:r>
        <w:instrText xml:space="preserve"> </w:instrText>
      </w:r>
      <w:r>
        <w:fldChar w:fldCharType="end"/>
      </w:r>
      <w:r w:rsidRPr="004F221F">
        <w:t xml:space="preserve"> of doses and risks to individuals are necessary to achieve the highest standards of safety.</w:t>
      </w:r>
    </w:p>
    <w:p w14:paraId="7F96052B" w14:textId="351F6B8D" w:rsidR="00154849" w:rsidRDefault="00214D1D" w:rsidP="004A7490">
      <w:pPr>
        <w:pStyle w:val="Heading2"/>
      </w:pPr>
      <w:bookmarkStart w:id="49" w:name="_Toc524085210"/>
      <w:r>
        <w:t>Defence in d</w:t>
      </w:r>
      <w:r w:rsidR="00154849">
        <w:t>epth</w:t>
      </w:r>
      <w:bookmarkEnd w:id="49"/>
    </w:p>
    <w:p w14:paraId="3A7FB014" w14:textId="14EEC9A0" w:rsidR="00154849" w:rsidRDefault="00154849" w:rsidP="003102CD">
      <w:pPr>
        <w:pStyle w:val="PlainText"/>
        <w:rPr>
          <w:lang w:val="en"/>
        </w:rPr>
      </w:pPr>
      <w:r>
        <w:rPr>
          <w:lang w:val="en"/>
        </w:rPr>
        <w:t>The concept of defence in depth applies to the protective capability of a facility through a hierarchy of controls and engineering features that perform safety functions independently of each other. Failure of one component of the system should not jeopardise protection of the health and safety of people, and of the environment. </w:t>
      </w:r>
    </w:p>
    <w:p w14:paraId="27B9CC14" w14:textId="56EA5536" w:rsidR="004A7490" w:rsidRPr="00192557" w:rsidRDefault="004A7490" w:rsidP="003102CD">
      <w:pPr>
        <w:pStyle w:val="PlainText"/>
      </w:pPr>
      <w:r>
        <w:rPr>
          <w:lang w:val="en"/>
        </w:rPr>
        <w:t>Commonly, containment of waste is accomplished by multiple physical barriers where the barrier functions are associated with the physical and chemical properties of the waste matrix (e.g. concrete, glass or ceramics), the waste packages and overpacks, material used to backfill a disposal facility, and the environment surrounding the facility. Through application of the defence in depth concept to a facility for radioactive waste storage or disposal, the radioactive substances can be effectively contained and isolated from the surrounding environment. If properly designed, constructed and operated, this will reduce radiation exposure in the vicinity of the facility to extremely low levels.</w:t>
      </w:r>
    </w:p>
    <w:p w14:paraId="578FD166" w14:textId="351BAB81" w:rsidR="003467C2" w:rsidRDefault="003467C2" w:rsidP="006C2926">
      <w:pPr>
        <w:pStyle w:val="Heading2"/>
      </w:pPr>
      <w:bookmarkStart w:id="50" w:name="_Toc524085211"/>
      <w:r>
        <w:t>Aligning safety and security objectives</w:t>
      </w:r>
      <w:bookmarkEnd w:id="48"/>
      <w:bookmarkEnd w:id="50"/>
      <w:r>
        <w:t xml:space="preserve"> </w:t>
      </w:r>
    </w:p>
    <w:p w14:paraId="43612972" w14:textId="6C2598A2" w:rsidR="003467C2" w:rsidRPr="004F4145" w:rsidRDefault="003467C2" w:rsidP="003467C2">
      <w:pPr>
        <w:spacing w:before="200"/>
        <w:rPr>
          <w:rStyle w:val="LineNumber"/>
          <w:rFonts w:cs="AdvPSTim"/>
          <w:color w:val="404040"/>
        </w:rPr>
      </w:pPr>
      <w:r w:rsidRPr="00531F35">
        <w:rPr>
          <w:rStyle w:val="LineNumber"/>
        </w:rPr>
        <w:t>Radiation safety and security</w:t>
      </w:r>
      <w:r>
        <w:rPr>
          <w:rStyle w:val="LineNumber"/>
        </w:rPr>
        <w:t xml:space="preserve"> measures</w:t>
      </w:r>
      <w:r w:rsidRPr="00531F35">
        <w:rPr>
          <w:rStyle w:val="LineNumber"/>
        </w:rPr>
        <w:t xml:space="preserve"> have a common purpose – the protection of people</w:t>
      </w:r>
      <w:r w:rsidR="00175726">
        <w:rPr>
          <w:rStyle w:val="LineNumber"/>
        </w:rPr>
        <w:t>, society, and the environment.</w:t>
      </w:r>
      <w:r w:rsidRPr="00531F35">
        <w:rPr>
          <w:rStyle w:val="LineNumber"/>
        </w:rPr>
        <w:t xml:space="preserve"> Many of the principles to ensure protection are common, including communication and consultation with stakeholders, although t</w:t>
      </w:r>
      <w:r w:rsidR="00175726">
        <w:rPr>
          <w:rStyle w:val="LineNumber"/>
        </w:rPr>
        <w:t>heir implementation may differ.</w:t>
      </w:r>
      <w:r w:rsidRPr="00531F35">
        <w:rPr>
          <w:rStyle w:val="LineNumber"/>
        </w:rPr>
        <w:t xml:space="preserve"> Moreover, many elements or actions serve to enhance both safe</w:t>
      </w:r>
      <w:r w:rsidR="00175726">
        <w:rPr>
          <w:rStyle w:val="LineNumber"/>
        </w:rPr>
        <w:t>ty and security simultaneously.</w:t>
      </w:r>
      <w:r w:rsidRPr="00531F35">
        <w:rPr>
          <w:rStyle w:val="LineNumber"/>
        </w:rPr>
        <w:t xml:space="preserve"> Likewise, there are also circumstances in which actions to serve one objective can be detrimental to the achievement of the other.</w:t>
      </w:r>
      <w:r w:rsidRPr="007217EC">
        <w:t xml:space="preserve"> </w:t>
      </w:r>
      <w:r w:rsidRPr="004F4145">
        <w:rPr>
          <w:rStyle w:val="LineNumber"/>
        </w:rPr>
        <w:t>It is important that safety and security measures are designed and implemented in an integrated manner so that security measures do not compromise safety and safety measures do not compromise security.</w:t>
      </w:r>
    </w:p>
    <w:p w14:paraId="017FC9C4" w14:textId="1DBF58CF" w:rsidR="003467C2" w:rsidRPr="006F4B74" w:rsidRDefault="00F761C9" w:rsidP="006C2926">
      <w:pPr>
        <w:pStyle w:val="Heading2"/>
      </w:pPr>
      <w:bookmarkStart w:id="51" w:name="_Toc495493171"/>
      <w:bookmarkStart w:id="52" w:name="_Toc524085212"/>
      <w:r>
        <w:lastRenderedPageBreak/>
        <w:t>The approvals process/p</w:t>
      </w:r>
      <w:r w:rsidR="003467C2">
        <w:t>hases</w:t>
      </w:r>
      <w:bookmarkEnd w:id="51"/>
      <w:bookmarkEnd w:id="52"/>
    </w:p>
    <w:p w14:paraId="1E6C2565" w14:textId="41F5B549" w:rsidR="003467C2" w:rsidRPr="00EB09AF" w:rsidRDefault="00274D35" w:rsidP="003467C2">
      <w:pPr>
        <w:tabs>
          <w:tab w:val="left" w:pos="0"/>
        </w:tabs>
        <w:autoSpaceDE w:val="0"/>
        <w:autoSpaceDN w:val="0"/>
        <w:adjustRightInd w:val="0"/>
      </w:pPr>
      <w:r>
        <w:t>A</w:t>
      </w:r>
      <w:r w:rsidR="003467C2" w:rsidRPr="00EB09AF">
        <w:t xml:space="preserve"> staged process </w:t>
      </w:r>
      <w:r w:rsidR="003467C2">
        <w:t xml:space="preserve">for the </w:t>
      </w:r>
      <w:r w:rsidR="00C231E3">
        <w:t>authorisation</w:t>
      </w:r>
      <w:r w:rsidR="003467C2" w:rsidRPr="00CC666D">
        <w:t xml:space="preserve"> of a radioactive waste disposal facility </w:t>
      </w:r>
      <w:r w:rsidR="003467C2" w:rsidRPr="00EB09AF">
        <w:t>is consistent with international best practice.</w:t>
      </w:r>
    </w:p>
    <w:p w14:paraId="35E34838" w14:textId="77777777" w:rsidR="003467C2" w:rsidRPr="00A80F9D" w:rsidRDefault="003467C2" w:rsidP="003467C2">
      <w:pPr>
        <w:tabs>
          <w:tab w:val="left" w:pos="0"/>
        </w:tabs>
        <w:autoSpaceDE w:val="0"/>
        <w:autoSpaceDN w:val="0"/>
        <w:adjustRightInd w:val="0"/>
      </w:pPr>
      <w:r w:rsidRPr="00EB09AF">
        <w:t xml:space="preserve">The </w:t>
      </w:r>
      <w:r w:rsidRPr="00A80F9D">
        <w:t>stages (phases) of the approvals process for a radioactive waste disposal facility are typically as follows:</w:t>
      </w:r>
    </w:p>
    <w:p w14:paraId="6B5657FB" w14:textId="7B7CC433" w:rsidR="003467C2" w:rsidRPr="00A80F9D"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A80F9D">
        <w:rPr>
          <w:rFonts w:asciiTheme="minorHAnsi" w:hAnsiTheme="minorHAnsi"/>
          <w:color w:val="444448" w:themeColor="accent4"/>
          <w:sz w:val="22"/>
        </w:rPr>
        <w:t>application to prepare a site (includ</w:t>
      </w:r>
      <w:r w:rsidR="0040349B">
        <w:rPr>
          <w:rFonts w:asciiTheme="minorHAnsi" w:hAnsiTheme="minorHAnsi"/>
          <w:color w:val="444448" w:themeColor="accent4"/>
          <w:sz w:val="22"/>
        </w:rPr>
        <w:t>ing conceptual facility design)</w:t>
      </w:r>
    </w:p>
    <w:p w14:paraId="6A7A3337" w14:textId="26A453C2" w:rsidR="003467C2" w:rsidRPr="00A80F9D" w:rsidRDefault="003467C2" w:rsidP="007C7DE6">
      <w:pPr>
        <w:pStyle w:val="StyleRPSBodyTextNumbered"/>
        <w:numPr>
          <w:ilvl w:val="0"/>
          <w:numId w:val="15"/>
        </w:numPr>
        <w:tabs>
          <w:tab w:val="left" w:pos="0"/>
        </w:tabs>
        <w:ind w:left="714" w:hanging="357"/>
        <w:rPr>
          <w:rFonts w:asciiTheme="minorHAnsi" w:hAnsiTheme="minorHAnsi"/>
          <w:color w:val="444448" w:themeColor="accent4"/>
          <w:sz w:val="22"/>
        </w:rPr>
      </w:pPr>
      <w:r w:rsidRPr="00A80F9D">
        <w:rPr>
          <w:rFonts w:asciiTheme="minorHAnsi" w:hAnsiTheme="minorHAnsi"/>
          <w:color w:val="444448" w:themeColor="accent4"/>
          <w:sz w:val="22"/>
        </w:rPr>
        <w:t>application to cons</w:t>
      </w:r>
      <w:r w:rsidR="0040349B">
        <w:rPr>
          <w:rFonts w:asciiTheme="minorHAnsi" w:hAnsiTheme="minorHAnsi"/>
          <w:color w:val="444448" w:themeColor="accent4"/>
          <w:sz w:val="22"/>
        </w:rPr>
        <w:t>truct</w:t>
      </w:r>
    </w:p>
    <w:p w14:paraId="6D0BA8B5" w14:textId="09B52BFA" w:rsidR="003467C2" w:rsidRPr="00A80F9D" w:rsidRDefault="0040349B" w:rsidP="007C7DE6">
      <w:pPr>
        <w:pStyle w:val="StyleRPSBodyTextNumbered"/>
        <w:numPr>
          <w:ilvl w:val="0"/>
          <w:numId w:val="15"/>
        </w:numPr>
        <w:tabs>
          <w:tab w:val="left" w:pos="0"/>
        </w:tabs>
        <w:ind w:left="714" w:hanging="357"/>
        <w:rPr>
          <w:rFonts w:asciiTheme="minorHAnsi" w:hAnsiTheme="minorHAnsi"/>
          <w:color w:val="444448" w:themeColor="accent4"/>
          <w:sz w:val="22"/>
        </w:rPr>
      </w:pPr>
      <w:r>
        <w:rPr>
          <w:rFonts w:asciiTheme="minorHAnsi" w:hAnsiTheme="minorHAnsi"/>
          <w:color w:val="444448" w:themeColor="accent4"/>
          <w:sz w:val="22"/>
        </w:rPr>
        <w:t>application to operate</w:t>
      </w:r>
    </w:p>
    <w:p w14:paraId="73541EE3" w14:textId="7A96E7FC" w:rsidR="003467C2" w:rsidRPr="00A80F9D" w:rsidRDefault="003467C2" w:rsidP="003C2DB9">
      <w:pPr>
        <w:pStyle w:val="StyleRPSBodyTextNumbered"/>
        <w:numPr>
          <w:ilvl w:val="0"/>
          <w:numId w:val="15"/>
        </w:numPr>
        <w:tabs>
          <w:tab w:val="left" w:pos="0"/>
        </w:tabs>
        <w:ind w:left="714" w:hanging="357"/>
        <w:jc w:val="left"/>
        <w:rPr>
          <w:rFonts w:asciiTheme="minorHAnsi" w:hAnsiTheme="minorHAnsi"/>
          <w:color w:val="444448" w:themeColor="accent4"/>
          <w:sz w:val="22"/>
        </w:rPr>
      </w:pPr>
      <w:r w:rsidRPr="00A80F9D">
        <w:rPr>
          <w:rFonts w:asciiTheme="minorHAnsi" w:hAnsiTheme="minorHAnsi"/>
          <w:color w:val="444448" w:themeColor="accent4"/>
          <w:sz w:val="22"/>
        </w:rPr>
        <w:t>application to decommission (the infrastructure)</w:t>
      </w:r>
      <w:r w:rsidR="00FF6C0A">
        <w:rPr>
          <w:rFonts w:asciiTheme="minorHAnsi" w:hAnsiTheme="minorHAnsi"/>
          <w:color w:val="444448" w:themeColor="accent4"/>
          <w:sz w:val="22"/>
        </w:rPr>
        <w:t xml:space="preserve">, </w:t>
      </w:r>
      <w:r w:rsidR="00261261">
        <w:rPr>
          <w:rFonts w:asciiTheme="minorHAnsi" w:hAnsiTheme="minorHAnsi"/>
          <w:color w:val="444448" w:themeColor="accent4"/>
          <w:sz w:val="22"/>
        </w:rPr>
        <w:t xml:space="preserve">and to </w:t>
      </w:r>
      <w:r w:rsidR="00FF6C0A">
        <w:rPr>
          <w:rFonts w:asciiTheme="minorHAnsi" w:hAnsiTheme="minorHAnsi"/>
          <w:color w:val="444448" w:themeColor="accent4"/>
          <w:sz w:val="22"/>
        </w:rPr>
        <w:t>abandon</w:t>
      </w:r>
      <w:r w:rsidRPr="00A80F9D">
        <w:rPr>
          <w:rFonts w:asciiTheme="minorHAnsi" w:hAnsiTheme="minorHAnsi"/>
          <w:color w:val="444448" w:themeColor="accent4"/>
          <w:sz w:val="22"/>
        </w:rPr>
        <w:t xml:space="preserve"> </w:t>
      </w:r>
      <w:r w:rsidR="00261261">
        <w:rPr>
          <w:rFonts w:asciiTheme="minorHAnsi" w:hAnsiTheme="minorHAnsi"/>
          <w:color w:val="444448" w:themeColor="accent4"/>
          <w:sz w:val="22"/>
        </w:rPr>
        <w:t>(</w:t>
      </w:r>
      <w:r w:rsidRPr="00A80F9D">
        <w:rPr>
          <w:rFonts w:asciiTheme="minorHAnsi" w:hAnsiTheme="minorHAnsi"/>
          <w:color w:val="444448" w:themeColor="accent4"/>
          <w:sz w:val="22"/>
        </w:rPr>
        <w:t>close</w:t>
      </w:r>
      <w:r w:rsidR="00261261">
        <w:rPr>
          <w:rFonts w:asciiTheme="minorHAnsi" w:hAnsiTheme="minorHAnsi"/>
          <w:color w:val="444448" w:themeColor="accent4"/>
          <w:sz w:val="22"/>
        </w:rPr>
        <w:t>)</w:t>
      </w:r>
      <w:r w:rsidRPr="00A80F9D">
        <w:rPr>
          <w:rFonts w:asciiTheme="minorHAnsi" w:hAnsiTheme="minorHAnsi"/>
          <w:color w:val="444448" w:themeColor="accent4"/>
          <w:sz w:val="22"/>
        </w:rPr>
        <w:t xml:space="preserve"> a radioactive waste disposal facility.  </w:t>
      </w:r>
    </w:p>
    <w:p w14:paraId="7D31E378" w14:textId="6ABE0185" w:rsidR="003467C2" w:rsidRPr="00EB09AF" w:rsidRDefault="003467C2" w:rsidP="003467C2">
      <w:pPr>
        <w:tabs>
          <w:tab w:val="left" w:pos="0"/>
        </w:tabs>
        <w:autoSpaceDE w:val="0"/>
        <w:autoSpaceDN w:val="0"/>
        <w:adjustRightInd w:val="0"/>
      </w:pPr>
      <w:r w:rsidRPr="00EB09AF">
        <w:t xml:space="preserve">Additionally in some jurisdictions, the holder of </w:t>
      </w:r>
      <w:r w:rsidR="00C231E3">
        <w:t>an authorisation</w:t>
      </w:r>
      <w:r w:rsidRPr="00EB09AF">
        <w:t xml:space="preserve"> may seek approval to surrender the </w:t>
      </w:r>
      <w:r w:rsidR="00C231E3">
        <w:t>authorisation</w:t>
      </w:r>
      <w:r w:rsidRPr="00EB09AF">
        <w:t>.</w:t>
      </w:r>
    </w:p>
    <w:p w14:paraId="7DF08048" w14:textId="783A3A56" w:rsidR="003467C2" w:rsidRPr="00EB09AF" w:rsidRDefault="003467C2" w:rsidP="003467C2">
      <w:pPr>
        <w:tabs>
          <w:tab w:val="left" w:pos="0"/>
        </w:tabs>
        <w:autoSpaceDE w:val="0"/>
        <w:autoSpaceDN w:val="0"/>
        <w:adjustRightInd w:val="0"/>
        <w:rPr>
          <w:highlight w:val="yellow"/>
        </w:rPr>
      </w:pPr>
      <w:r w:rsidRPr="002753E7">
        <w:t>It should be noted that whilst the overall process is staged, there is strong linkage between each</w:t>
      </w:r>
      <w:r>
        <w:t xml:space="preserve"> successive</w:t>
      </w:r>
      <w:r w:rsidRPr="002753E7">
        <w:t xml:space="preserve"> individual </w:t>
      </w:r>
      <w:r w:rsidR="00C231E3">
        <w:t>authorisation</w:t>
      </w:r>
      <w:r w:rsidRPr="002753E7">
        <w:t xml:space="preserve"> application. The </w:t>
      </w:r>
      <w:r w:rsidR="00C231E3">
        <w:t>authorisation</w:t>
      </w:r>
      <w:r w:rsidRPr="002753E7">
        <w:t xml:space="preserve"> application for each stage needs to be forward looking and contain sufficient information on the safety and security aspects </w:t>
      </w:r>
      <w:r>
        <w:t>to demonstrate that the subsequent stage(s) can be carried out safely and securely</w:t>
      </w:r>
      <w:r w:rsidRPr="002753E7">
        <w:t xml:space="preserve">, </w:t>
      </w:r>
      <w:r>
        <w:t xml:space="preserve">and </w:t>
      </w:r>
      <w:r w:rsidRPr="002753E7">
        <w:t>to allow for an informed decision to be made by the relevant regulatory authority.</w:t>
      </w:r>
    </w:p>
    <w:p w14:paraId="0E763695" w14:textId="44FB06B4" w:rsidR="003467C2" w:rsidRDefault="00F761C9" w:rsidP="006C2926">
      <w:pPr>
        <w:pStyle w:val="Heading2"/>
      </w:pPr>
      <w:bookmarkStart w:id="53" w:name="_Toc494876807"/>
      <w:bookmarkStart w:id="54" w:name="_Toc494876808"/>
      <w:bookmarkStart w:id="55" w:name="_Toc495493172"/>
      <w:bookmarkStart w:id="56" w:name="_Toc524085213"/>
      <w:bookmarkEnd w:id="53"/>
      <w:bookmarkEnd w:id="54"/>
      <w:r>
        <w:t>A graded a</w:t>
      </w:r>
      <w:r w:rsidR="003467C2">
        <w:t>pproach to implementation</w:t>
      </w:r>
      <w:bookmarkEnd w:id="55"/>
      <w:bookmarkEnd w:id="56"/>
    </w:p>
    <w:p w14:paraId="68189F4F"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requirements in this Code and associated guidance for disposal are to be applied in accordance with a graded approach, consistent with the intrinsic hazard presented by the waste to be disposed of.</w:t>
      </w:r>
    </w:p>
    <w:p w14:paraId="13A487D9" w14:textId="29C52CC9" w:rsidR="003467C2" w:rsidRPr="00A80F9D" w:rsidRDefault="003467C2" w:rsidP="008F3FA7">
      <w:pPr>
        <w:spacing w:before="200"/>
        <w:rPr>
          <w:rStyle w:val="LineNumber"/>
        </w:rPr>
      </w:pPr>
      <w:r w:rsidRPr="00A80F9D">
        <w:rPr>
          <w:rStyle w:val="LineNumber"/>
        </w:rPr>
        <w:t xml:space="preserve">The graded approach is to be applied to safety by both the </w:t>
      </w:r>
      <w:r w:rsidRPr="008F3FA7">
        <w:rPr>
          <w:rFonts w:cs="Calibri"/>
        </w:rPr>
        <w:t>operator</w:t>
      </w:r>
      <w:r w:rsidRPr="00A80F9D">
        <w:rPr>
          <w:rStyle w:val="LineNumber"/>
        </w:rPr>
        <w:t xml:space="preserve"> and </w:t>
      </w:r>
      <w:r w:rsidR="002B3CBD">
        <w:rPr>
          <w:rStyle w:val="LineNumber"/>
        </w:rPr>
        <w:t xml:space="preserve">relevant </w:t>
      </w:r>
      <w:r w:rsidRPr="00A80F9D">
        <w:rPr>
          <w:rStyle w:val="LineNumber"/>
        </w:rPr>
        <w:t xml:space="preserve">regulatory </w:t>
      </w:r>
      <w:r w:rsidR="002B3CBD">
        <w:rPr>
          <w:rStyle w:val="LineNumber"/>
        </w:rPr>
        <w:t>authority</w:t>
      </w:r>
      <w:r w:rsidRPr="00A80F9D">
        <w:rPr>
          <w:rStyle w:val="LineNumber"/>
        </w:rPr>
        <w:t>, to ensure that resources are focused on the aspects of the facility that are associated with the highest risk and that present the greatest hazard.</w:t>
      </w:r>
      <w:r w:rsidR="00490667">
        <w:rPr>
          <w:rStyle w:val="LineNumber"/>
        </w:rPr>
        <w:t xml:space="preserve"> It is important to note that the graded approach relates to the </w:t>
      </w:r>
      <w:r w:rsidR="002646B1">
        <w:rPr>
          <w:rStyle w:val="LineNumber"/>
        </w:rPr>
        <w:t>way requirements are implemented,</w:t>
      </w:r>
      <w:r w:rsidR="00490667">
        <w:rPr>
          <w:rStyle w:val="LineNumber"/>
        </w:rPr>
        <w:t xml:space="preserve"> not to the standards of protection –</w:t>
      </w:r>
      <w:r w:rsidR="002B3CBD">
        <w:rPr>
          <w:rStyle w:val="LineNumber"/>
        </w:rPr>
        <w:t xml:space="preserve"> </w:t>
      </w:r>
      <w:r w:rsidR="00490667">
        <w:rPr>
          <w:rStyle w:val="LineNumber"/>
        </w:rPr>
        <w:t>a person (or the environment) must be afforded the same level of protection regardless of level of hazard.</w:t>
      </w:r>
    </w:p>
    <w:p w14:paraId="29FC43C2" w14:textId="29656FEE" w:rsidR="003467C2" w:rsidRPr="00A80F9D" w:rsidRDefault="003467C2" w:rsidP="003467C2">
      <w:pPr>
        <w:pStyle w:val="RPSNumberedBodyText"/>
        <w:numPr>
          <w:ilvl w:val="0"/>
          <w:numId w:val="0"/>
        </w:numPr>
        <w:jc w:val="left"/>
        <w:rPr>
          <w:color w:val="444448" w:themeColor="accent4"/>
        </w:rPr>
      </w:pPr>
      <w:r w:rsidRPr="00A80F9D">
        <w:rPr>
          <w:rStyle w:val="LineNumber"/>
          <w:rFonts w:asciiTheme="minorHAnsi" w:hAnsiTheme="minorHAnsi"/>
          <w:color w:val="444448" w:themeColor="accent4"/>
          <w:sz w:val="22"/>
          <w:szCs w:val="22"/>
        </w:rPr>
        <w:t xml:space="preserve">In accordance with the graded approach, the ability of a chosen disposal system to contain the waste and isolate it from humans and the accessible biosphere is required to be commensurate with the </w:t>
      </w:r>
      <w:r w:rsidR="002B3CBD">
        <w:rPr>
          <w:rStyle w:val="LineNumber"/>
          <w:rFonts w:asciiTheme="minorHAnsi" w:hAnsiTheme="minorHAnsi"/>
          <w:color w:val="444448" w:themeColor="accent4"/>
          <w:sz w:val="22"/>
          <w:szCs w:val="22"/>
        </w:rPr>
        <w:t xml:space="preserve">potential </w:t>
      </w:r>
      <w:r w:rsidRPr="00A80F9D">
        <w:rPr>
          <w:rStyle w:val="LineNumber"/>
          <w:rFonts w:asciiTheme="minorHAnsi" w:hAnsiTheme="minorHAnsi"/>
          <w:color w:val="444448" w:themeColor="accent4"/>
          <w:sz w:val="22"/>
          <w:szCs w:val="22"/>
        </w:rPr>
        <w:t>hazard of the waste. This is achieved primarily by appropriate selection of waste forms and packaging, of the site for the disposal facility and of its design including the type and number of barriers. Disposal facilities are not expected to provide complete containment and isolation of the waste forever; this is neither practicable nor demanded by the hazard of the waste, which dec</w:t>
      </w:r>
      <w:r w:rsidR="004F1A0C">
        <w:rPr>
          <w:rStyle w:val="LineNumber"/>
          <w:rFonts w:asciiTheme="minorHAnsi" w:hAnsiTheme="minorHAnsi"/>
          <w:color w:val="444448" w:themeColor="accent4"/>
          <w:sz w:val="22"/>
          <w:szCs w:val="22"/>
        </w:rPr>
        <w:t>reases</w:t>
      </w:r>
      <w:r w:rsidRPr="00A80F9D">
        <w:rPr>
          <w:rStyle w:val="LineNumber"/>
          <w:rFonts w:asciiTheme="minorHAnsi" w:hAnsiTheme="minorHAnsi"/>
          <w:color w:val="444448" w:themeColor="accent4"/>
          <w:sz w:val="22"/>
          <w:szCs w:val="22"/>
        </w:rPr>
        <w:t xml:space="preserve"> with time.</w:t>
      </w:r>
    </w:p>
    <w:p w14:paraId="4DC03E98" w14:textId="520F626B" w:rsidR="003467C2" w:rsidRDefault="003467C2" w:rsidP="006C2926">
      <w:pPr>
        <w:pStyle w:val="Heading2"/>
      </w:pPr>
      <w:bookmarkStart w:id="57" w:name="_Toc495493173"/>
      <w:bookmarkStart w:id="58" w:name="_Ref496695834"/>
      <w:bookmarkStart w:id="59" w:name="_Toc524085214"/>
      <w:r w:rsidRPr="004C55E4">
        <w:t xml:space="preserve">Safety and the </w:t>
      </w:r>
      <w:r w:rsidR="00D13C18">
        <w:t>s</w:t>
      </w:r>
      <w:r w:rsidRPr="004C55E4">
        <w:t xml:space="preserve">afety </w:t>
      </w:r>
      <w:r w:rsidR="00D13C18">
        <w:t>c</w:t>
      </w:r>
      <w:r w:rsidRPr="004C55E4">
        <w:t>ase</w:t>
      </w:r>
      <w:bookmarkEnd w:id="57"/>
      <w:bookmarkEnd w:id="58"/>
      <w:bookmarkEnd w:id="59"/>
    </w:p>
    <w:p w14:paraId="1B2C0697" w14:textId="18D7A550" w:rsidR="00E569A8" w:rsidRPr="00A80F9D" w:rsidRDefault="003467C2" w:rsidP="00E569A8">
      <w:pPr>
        <w:rPr>
          <w:rStyle w:val="LineNumber"/>
          <w:szCs w:val="24"/>
        </w:rPr>
      </w:pPr>
      <w:r w:rsidRPr="00A80F9D">
        <w:rPr>
          <w:rStyle w:val="LineNumber"/>
        </w:rPr>
        <w:t xml:space="preserve">The international best practice framework for safety of radioactive waste management has been developed around </w:t>
      </w:r>
      <w:r w:rsidR="00E569A8">
        <w:rPr>
          <w:rStyle w:val="LineNumber"/>
        </w:rPr>
        <w:t xml:space="preserve">the concept of the safety case. </w:t>
      </w:r>
      <w:r w:rsidR="00E569A8" w:rsidRPr="00A80F9D">
        <w:t xml:space="preserve">The safety case is the collection of scientific, technical, administrative and managerial arguments and evidence that demonstrate the safety of a disposal facility, covering the suitability of the selected site and the design of the facility, its construction and operation, the </w:t>
      </w:r>
      <w:r w:rsidR="00E569A8" w:rsidRPr="00A80F9D">
        <w:lastRenderedPageBreak/>
        <w:t>assessment of radiation risks and assurance of the adequacy and quality of all of the safety-related work associated with the disposal facility.</w:t>
      </w:r>
    </w:p>
    <w:p w14:paraId="7E97255B" w14:textId="393413C4" w:rsidR="003467C2" w:rsidRPr="00A80F9D" w:rsidRDefault="003467C2" w:rsidP="00325D28">
      <w:r w:rsidRPr="00A80F9D">
        <w:t xml:space="preserve">The safety case and supporting safety assessment provide the basis for demonstration of safety and for </w:t>
      </w:r>
      <w:r w:rsidR="00C231E3">
        <w:t>authorisation</w:t>
      </w:r>
      <w:r w:rsidRPr="00A80F9D">
        <w:t xml:space="preserve">. They will evolve with the development of the disposal facility, and will assist and guide decisions on its siting, design, operation and closure. The safety case will also be the main basis on which confidence in the safety of the disposal facility will be developed and on which dialogue with </w:t>
      </w:r>
      <w:r w:rsidR="005C7CAB">
        <w:t>stakeholders</w:t>
      </w:r>
      <w:r w:rsidRPr="00A80F9D">
        <w:t xml:space="preserve"> will be conducted.</w:t>
      </w:r>
    </w:p>
    <w:p w14:paraId="642B4DBD" w14:textId="77777777" w:rsidR="00B04AA0" w:rsidRPr="00A80F9D" w:rsidRDefault="00B04AA0" w:rsidP="00B04AA0">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safety requirements for radioactive waste disposal include the requirement that a safety case be developed together with a supporting safety assessment.</w:t>
      </w:r>
    </w:p>
    <w:p w14:paraId="7E6BDAA7" w14:textId="1D71BEAB" w:rsidR="003467C2" w:rsidRPr="00A80F9D" w:rsidRDefault="003467C2" w:rsidP="00325D28">
      <w:pPr>
        <w:rPr>
          <w:rStyle w:val="LineNumber"/>
        </w:rPr>
      </w:pPr>
      <w:r w:rsidRPr="00A80F9D">
        <w:rPr>
          <w:rStyle w:val="LineNumber"/>
        </w:rPr>
        <w:t>More details of the safety case and its role in regulation and consultation are presented in</w:t>
      </w:r>
      <w:r w:rsidR="00B04AA0">
        <w:rPr>
          <w:rStyle w:val="LineNumber"/>
        </w:rPr>
        <w:t xml:space="preserve"> Annex A.</w:t>
      </w:r>
    </w:p>
    <w:p w14:paraId="133B9C9A" w14:textId="11795246" w:rsidR="00DC3102" w:rsidRDefault="00F761C9" w:rsidP="006C2926">
      <w:pPr>
        <w:pStyle w:val="Heading2"/>
      </w:pPr>
      <w:bookmarkStart w:id="60" w:name="_Toc524085215"/>
      <w:bookmarkStart w:id="61" w:name="_Toc495493174"/>
      <w:r>
        <w:t>Selecting a s</w:t>
      </w:r>
      <w:r w:rsidR="00DC3102">
        <w:t>ite</w:t>
      </w:r>
      <w:bookmarkEnd w:id="60"/>
    </w:p>
    <w:p w14:paraId="59ADE81A" w14:textId="7D8A5843" w:rsidR="00102FC9" w:rsidRPr="003102CD" w:rsidRDefault="00102FC9" w:rsidP="003102CD">
      <w:pPr>
        <w:pStyle w:val="RPSNumberedBodyText"/>
        <w:numPr>
          <w:ilvl w:val="0"/>
          <w:numId w:val="0"/>
        </w:numPr>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A site for a disposal facility will ideally be located in an area with favourable meteorological, geological and geographical characteristics so that the radioactive waste, once in place, will be adequately isolated from the biosphere for the time that the radionuclides originally present, or their progeny, </w:t>
      </w:r>
      <w:r w:rsidR="003102CD">
        <w:rPr>
          <w:rStyle w:val="LineNumber"/>
          <w:rFonts w:asciiTheme="minorHAnsi" w:hAnsiTheme="minorHAnsi"/>
          <w:color w:val="444448" w:themeColor="accent4"/>
          <w:sz w:val="22"/>
          <w:szCs w:val="22"/>
        </w:rPr>
        <w:t xml:space="preserve">constitute a radiation hazard. </w:t>
      </w:r>
    </w:p>
    <w:p w14:paraId="7FAE1D9C" w14:textId="239C65A8" w:rsidR="00102FC9" w:rsidRPr="003102CD" w:rsidRDefault="00490667" w:rsidP="003102CD">
      <w:pPr>
        <w:pStyle w:val="RPSNumberedBodyText"/>
        <w:numPr>
          <w:ilvl w:val="0"/>
          <w:numId w:val="0"/>
        </w:numPr>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T</w:t>
      </w:r>
      <w:r w:rsidR="00102FC9" w:rsidRPr="003102CD">
        <w:rPr>
          <w:rStyle w:val="LineNumber"/>
          <w:rFonts w:asciiTheme="minorHAnsi" w:hAnsiTheme="minorHAnsi"/>
          <w:color w:val="444448" w:themeColor="accent4"/>
          <w:sz w:val="22"/>
          <w:szCs w:val="22"/>
        </w:rPr>
        <w:t xml:space="preserve">he natural characteristics of the site will provide the </w:t>
      </w:r>
      <w:r>
        <w:rPr>
          <w:rStyle w:val="LineNumber"/>
          <w:rFonts w:asciiTheme="minorHAnsi" w:hAnsiTheme="minorHAnsi"/>
          <w:color w:val="444448" w:themeColor="accent4"/>
          <w:sz w:val="22"/>
          <w:szCs w:val="22"/>
        </w:rPr>
        <w:t>ultimate</w:t>
      </w:r>
      <w:r w:rsidRPr="003102CD">
        <w:rPr>
          <w:rStyle w:val="LineNumber"/>
          <w:rFonts w:asciiTheme="minorHAnsi" w:hAnsiTheme="minorHAnsi"/>
          <w:color w:val="444448" w:themeColor="accent4"/>
          <w:sz w:val="22"/>
          <w:szCs w:val="22"/>
        </w:rPr>
        <w:t xml:space="preserve"> </w:t>
      </w:r>
      <w:r w:rsidR="00102FC9" w:rsidRPr="003102CD">
        <w:rPr>
          <w:rStyle w:val="LineNumber"/>
          <w:rFonts w:asciiTheme="minorHAnsi" w:hAnsiTheme="minorHAnsi"/>
          <w:color w:val="444448" w:themeColor="accent4"/>
          <w:sz w:val="22"/>
          <w:szCs w:val="22"/>
        </w:rPr>
        <w:t xml:space="preserve">effective barrier to the dispersal of radionuclides from the waste or to human intrusion. The location of the disposal site and its characteristics will </w:t>
      </w:r>
      <w:r w:rsidR="008B798A">
        <w:rPr>
          <w:rStyle w:val="LineNumber"/>
          <w:rFonts w:asciiTheme="minorHAnsi" w:hAnsiTheme="minorHAnsi"/>
          <w:color w:val="444448" w:themeColor="accent4"/>
          <w:sz w:val="22"/>
          <w:szCs w:val="22"/>
        </w:rPr>
        <w:t xml:space="preserve">also </w:t>
      </w:r>
      <w:r w:rsidR="00102FC9" w:rsidRPr="003102CD">
        <w:rPr>
          <w:rStyle w:val="LineNumber"/>
          <w:rFonts w:asciiTheme="minorHAnsi" w:hAnsiTheme="minorHAnsi"/>
          <w:color w:val="444448" w:themeColor="accent4"/>
          <w:sz w:val="22"/>
          <w:szCs w:val="22"/>
        </w:rPr>
        <w:t>influence the design of the facility. These</w:t>
      </w:r>
      <w:r>
        <w:rPr>
          <w:rStyle w:val="LineNumber"/>
          <w:rFonts w:asciiTheme="minorHAnsi" w:hAnsiTheme="minorHAnsi"/>
          <w:color w:val="444448" w:themeColor="accent4"/>
          <w:sz w:val="22"/>
          <w:szCs w:val="22"/>
        </w:rPr>
        <w:t xml:space="preserve"> factors</w:t>
      </w:r>
      <w:r w:rsidR="00102FC9" w:rsidRPr="003102CD">
        <w:rPr>
          <w:rStyle w:val="LineNumber"/>
          <w:rFonts w:asciiTheme="minorHAnsi" w:hAnsiTheme="minorHAnsi"/>
          <w:color w:val="444448" w:themeColor="accent4"/>
          <w:sz w:val="22"/>
          <w:szCs w:val="22"/>
        </w:rPr>
        <w:t xml:space="preserve"> will be considered within the safety case when determining the limits to be placed on the total site activity for the facility, on the radionuclide concentrations in the waste and appropriate conditioning for waste packages.</w:t>
      </w:r>
    </w:p>
    <w:p w14:paraId="3363E352" w14:textId="4645F15F" w:rsidR="00102FC9" w:rsidRPr="003102CD" w:rsidRDefault="00102FC9" w:rsidP="003102CD">
      <w:pPr>
        <w:pStyle w:val="RPSNumberedBodyText"/>
        <w:numPr>
          <w:ilvl w:val="0"/>
          <w:numId w:val="0"/>
        </w:numPr>
        <w:jc w:val="left"/>
        <w:rP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Throughout the site selection process, it is imperative </w:t>
      </w:r>
      <w:r w:rsidR="00F85A10">
        <w:rPr>
          <w:rStyle w:val="LineNumber"/>
          <w:rFonts w:asciiTheme="minorHAnsi" w:hAnsiTheme="minorHAnsi"/>
          <w:color w:val="444448" w:themeColor="accent4"/>
          <w:sz w:val="22"/>
          <w:szCs w:val="22"/>
        </w:rPr>
        <w:t xml:space="preserve">for the proponent </w:t>
      </w:r>
      <w:r w:rsidRPr="003102CD">
        <w:rPr>
          <w:rStyle w:val="LineNumber"/>
          <w:rFonts w:asciiTheme="minorHAnsi" w:hAnsiTheme="minorHAnsi"/>
          <w:color w:val="444448" w:themeColor="accent4"/>
          <w:sz w:val="22"/>
          <w:szCs w:val="22"/>
        </w:rPr>
        <w:t>to address the societal dimension of radioactive waste management through effective dialogue with the community</w:t>
      </w:r>
      <w:r w:rsidR="005C7CAB">
        <w:rPr>
          <w:rStyle w:val="LineNumber"/>
          <w:rFonts w:asciiTheme="minorHAnsi" w:hAnsiTheme="minorHAnsi"/>
          <w:color w:val="444448" w:themeColor="accent4"/>
          <w:sz w:val="22"/>
          <w:szCs w:val="22"/>
        </w:rPr>
        <w:t>,</w:t>
      </w:r>
      <w:r w:rsidRPr="003102CD">
        <w:rPr>
          <w:rStyle w:val="LineNumber"/>
          <w:rFonts w:asciiTheme="minorHAnsi" w:hAnsiTheme="minorHAnsi"/>
          <w:color w:val="444448" w:themeColor="accent4"/>
          <w:sz w:val="22"/>
          <w:szCs w:val="22"/>
        </w:rPr>
        <w:t xml:space="preserve"> with a view to </w:t>
      </w:r>
      <w:r w:rsidR="00490667">
        <w:rPr>
          <w:rStyle w:val="LineNumber"/>
          <w:rFonts w:asciiTheme="minorHAnsi" w:hAnsiTheme="minorHAnsi"/>
          <w:color w:val="444448" w:themeColor="accent4"/>
          <w:sz w:val="22"/>
          <w:szCs w:val="22"/>
        </w:rPr>
        <w:t xml:space="preserve">inform and </w:t>
      </w:r>
      <w:r w:rsidRPr="003102CD">
        <w:rPr>
          <w:rStyle w:val="LineNumber"/>
          <w:rFonts w:asciiTheme="minorHAnsi" w:hAnsiTheme="minorHAnsi"/>
          <w:color w:val="444448" w:themeColor="accent4"/>
          <w:sz w:val="22"/>
          <w:szCs w:val="22"/>
        </w:rPr>
        <w:t>strengthen the decision-making processes.</w:t>
      </w:r>
      <w:r w:rsidR="00C2030C">
        <w:rPr>
          <w:rStyle w:val="LineNumber"/>
          <w:rFonts w:asciiTheme="minorHAnsi" w:hAnsiTheme="minorHAnsi"/>
          <w:color w:val="444448" w:themeColor="accent4"/>
          <w:sz w:val="22"/>
          <w:szCs w:val="22"/>
        </w:rPr>
        <w:t xml:space="preserve"> This dialogue with the community may also identify specific local knowledge</w:t>
      </w:r>
      <w:r w:rsidR="009C3989">
        <w:rPr>
          <w:rStyle w:val="LineNumber"/>
          <w:rFonts w:asciiTheme="minorHAnsi" w:hAnsiTheme="minorHAnsi"/>
          <w:color w:val="444448" w:themeColor="accent4"/>
          <w:sz w:val="22"/>
          <w:szCs w:val="22"/>
        </w:rPr>
        <w:t xml:space="preserve"> and cultural considerations</w:t>
      </w:r>
      <w:r w:rsidR="00C2030C">
        <w:rPr>
          <w:rStyle w:val="LineNumber"/>
          <w:rFonts w:asciiTheme="minorHAnsi" w:hAnsiTheme="minorHAnsi"/>
          <w:color w:val="444448" w:themeColor="accent4"/>
          <w:sz w:val="22"/>
          <w:szCs w:val="22"/>
        </w:rPr>
        <w:t xml:space="preserve"> that </w:t>
      </w:r>
      <w:r w:rsidR="009C3989">
        <w:rPr>
          <w:rStyle w:val="LineNumber"/>
          <w:rFonts w:asciiTheme="minorHAnsi" w:hAnsiTheme="minorHAnsi"/>
          <w:color w:val="444448" w:themeColor="accent4"/>
          <w:sz w:val="22"/>
          <w:szCs w:val="22"/>
        </w:rPr>
        <w:t>are</w:t>
      </w:r>
      <w:r w:rsidR="00540AC1">
        <w:rPr>
          <w:rStyle w:val="LineNumber"/>
          <w:rFonts w:asciiTheme="minorHAnsi" w:hAnsiTheme="minorHAnsi"/>
          <w:color w:val="444448" w:themeColor="accent4"/>
          <w:sz w:val="22"/>
          <w:szCs w:val="22"/>
        </w:rPr>
        <w:t xml:space="preserve"> relevant to site selection, </w:t>
      </w:r>
      <w:r w:rsidR="00C2030C">
        <w:rPr>
          <w:rStyle w:val="LineNumber"/>
          <w:rFonts w:asciiTheme="minorHAnsi" w:hAnsiTheme="minorHAnsi"/>
          <w:color w:val="444448" w:themeColor="accent4"/>
          <w:sz w:val="22"/>
          <w:szCs w:val="22"/>
        </w:rPr>
        <w:t>facility design</w:t>
      </w:r>
      <w:r w:rsidR="00540AC1">
        <w:rPr>
          <w:rStyle w:val="LineNumber"/>
          <w:rFonts w:asciiTheme="minorHAnsi" w:hAnsiTheme="minorHAnsi"/>
          <w:color w:val="444448" w:themeColor="accent4"/>
          <w:sz w:val="22"/>
          <w:szCs w:val="22"/>
        </w:rPr>
        <w:t xml:space="preserve"> and regulatory decision making</w:t>
      </w:r>
      <w:r w:rsidR="00C2030C">
        <w:rPr>
          <w:rStyle w:val="LineNumber"/>
          <w:rFonts w:asciiTheme="minorHAnsi" w:hAnsiTheme="minorHAnsi"/>
          <w:color w:val="444448" w:themeColor="accent4"/>
          <w:sz w:val="22"/>
          <w:szCs w:val="22"/>
        </w:rPr>
        <w:t>.</w:t>
      </w:r>
      <w:r w:rsidRPr="003102CD">
        <w:rPr>
          <w:rStyle w:val="LineNumber"/>
          <w:rFonts w:asciiTheme="minorHAnsi" w:hAnsiTheme="minorHAnsi"/>
          <w:color w:val="444448" w:themeColor="accent4"/>
          <w:sz w:val="22"/>
          <w:szCs w:val="22"/>
        </w:rPr>
        <w:t xml:space="preserve"> The safety case </w:t>
      </w:r>
      <w:r w:rsidR="00C2030C">
        <w:rPr>
          <w:rStyle w:val="LineNumber"/>
          <w:rFonts w:asciiTheme="minorHAnsi" w:hAnsiTheme="minorHAnsi"/>
          <w:color w:val="444448" w:themeColor="accent4"/>
          <w:sz w:val="22"/>
          <w:szCs w:val="22"/>
        </w:rPr>
        <w:t xml:space="preserve">and its plain English summary </w:t>
      </w:r>
      <w:r w:rsidRPr="003102CD">
        <w:rPr>
          <w:rStyle w:val="LineNumber"/>
          <w:rFonts w:asciiTheme="minorHAnsi" w:hAnsiTheme="minorHAnsi"/>
          <w:color w:val="444448" w:themeColor="accent4"/>
          <w:sz w:val="22"/>
          <w:szCs w:val="22"/>
        </w:rPr>
        <w:t>will be</w:t>
      </w:r>
      <w:r w:rsidR="00C2030C">
        <w:rPr>
          <w:rStyle w:val="LineNumber"/>
          <w:rFonts w:asciiTheme="minorHAnsi" w:hAnsiTheme="minorHAnsi"/>
          <w:color w:val="444448" w:themeColor="accent4"/>
          <w:sz w:val="22"/>
          <w:szCs w:val="22"/>
        </w:rPr>
        <w:t xml:space="preserve"> on</w:t>
      </w:r>
      <w:r w:rsidR="0018115D">
        <w:rPr>
          <w:rStyle w:val="LineNumber"/>
          <w:rFonts w:asciiTheme="minorHAnsi" w:hAnsiTheme="minorHAnsi"/>
          <w:color w:val="444448" w:themeColor="accent4"/>
          <w:sz w:val="22"/>
          <w:szCs w:val="22"/>
        </w:rPr>
        <w:t>e aspect on which</w:t>
      </w:r>
      <w:r w:rsidR="00C2030C">
        <w:rPr>
          <w:rStyle w:val="LineNumber"/>
          <w:rFonts w:asciiTheme="minorHAnsi" w:hAnsiTheme="minorHAnsi"/>
          <w:color w:val="444448" w:themeColor="accent4"/>
          <w:sz w:val="22"/>
          <w:szCs w:val="22"/>
        </w:rPr>
        <w:t xml:space="preserve"> </w:t>
      </w:r>
      <w:r w:rsidRPr="003102CD">
        <w:rPr>
          <w:rStyle w:val="LineNumber"/>
          <w:rFonts w:asciiTheme="minorHAnsi" w:hAnsiTheme="minorHAnsi"/>
          <w:color w:val="444448" w:themeColor="accent4"/>
          <w:sz w:val="22"/>
          <w:szCs w:val="22"/>
        </w:rPr>
        <w:t xml:space="preserve">dialogue with stakeholders will be conducted and on which confidence in the safety of the facility will be developed. </w:t>
      </w:r>
    </w:p>
    <w:p w14:paraId="0AB02BC3" w14:textId="47627ACD" w:rsidR="003467C2" w:rsidRPr="00EA59D9" w:rsidRDefault="00F761C9" w:rsidP="006C2926">
      <w:pPr>
        <w:pStyle w:val="Heading2"/>
      </w:pPr>
      <w:bookmarkStart w:id="62" w:name="_Toc524085216"/>
      <w:r>
        <w:t>Reversibility and r</w:t>
      </w:r>
      <w:r w:rsidR="003467C2" w:rsidRPr="00EA59D9">
        <w:t>etrievability</w:t>
      </w:r>
      <w:bookmarkEnd w:id="61"/>
      <w:bookmarkEnd w:id="62"/>
    </w:p>
    <w:p w14:paraId="238B8B51" w14:textId="77777777" w:rsidR="003467C2" w:rsidRPr="004C55E4" w:rsidRDefault="003467C2" w:rsidP="007C7DE6">
      <w:pPr>
        <w:pStyle w:val="ListParagraph"/>
        <w:numPr>
          <w:ilvl w:val="1"/>
          <w:numId w:val="12"/>
        </w:numPr>
        <w:spacing w:before="240" w:line="276" w:lineRule="auto"/>
        <w:rPr>
          <w:b/>
          <w:vanish/>
          <w:sz w:val="32"/>
          <w:szCs w:val="36"/>
        </w:rPr>
      </w:pPr>
    </w:p>
    <w:p w14:paraId="3B6C7419" w14:textId="0BB7D76C"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Disposal is defined as ‘emplacement of waste in a purpose-built facility, which will eventually be closed, witho</w:t>
      </w:r>
      <w:r w:rsidR="00175726">
        <w:rPr>
          <w:rStyle w:val="LineNumber"/>
          <w:rFonts w:asciiTheme="minorHAnsi" w:hAnsiTheme="minorHAnsi"/>
          <w:color w:val="444448" w:themeColor="accent4"/>
          <w:sz w:val="22"/>
          <w:szCs w:val="22"/>
        </w:rPr>
        <w:t>ut any intention of retrieval’.</w:t>
      </w:r>
      <w:r w:rsidRPr="00A80F9D">
        <w:rPr>
          <w:rStyle w:val="LineNumber"/>
          <w:rFonts w:asciiTheme="minorHAnsi" w:hAnsiTheme="minorHAnsi"/>
          <w:color w:val="444448" w:themeColor="accent4"/>
          <w:sz w:val="22"/>
          <w:szCs w:val="22"/>
        </w:rPr>
        <w:t xml:space="preserve"> </w:t>
      </w:r>
      <w:r w:rsidR="00F1608F">
        <w:rPr>
          <w:rStyle w:val="LineNumber"/>
          <w:rFonts w:asciiTheme="minorHAnsi" w:hAnsiTheme="minorHAnsi"/>
          <w:color w:val="444448" w:themeColor="accent4"/>
          <w:sz w:val="22"/>
          <w:szCs w:val="22"/>
        </w:rPr>
        <w:t xml:space="preserve">Of </w:t>
      </w:r>
      <w:r w:rsidR="009166B4">
        <w:rPr>
          <w:rStyle w:val="LineNumber"/>
          <w:rFonts w:asciiTheme="minorHAnsi" w:hAnsiTheme="minorHAnsi"/>
          <w:color w:val="444448" w:themeColor="accent4"/>
          <w:sz w:val="22"/>
          <w:szCs w:val="22"/>
        </w:rPr>
        <w:t>signific</w:t>
      </w:r>
      <w:r w:rsidR="00F1608F">
        <w:rPr>
          <w:rStyle w:val="LineNumber"/>
          <w:rFonts w:asciiTheme="minorHAnsi" w:hAnsiTheme="minorHAnsi"/>
          <w:color w:val="444448" w:themeColor="accent4"/>
          <w:sz w:val="22"/>
          <w:szCs w:val="22"/>
        </w:rPr>
        <w:t>ance is that a</w:t>
      </w:r>
      <w:r w:rsidRPr="00A80F9D">
        <w:rPr>
          <w:rStyle w:val="LineNumber"/>
          <w:rFonts w:asciiTheme="minorHAnsi" w:hAnsiTheme="minorHAnsi"/>
          <w:color w:val="444448" w:themeColor="accent4"/>
          <w:sz w:val="22"/>
          <w:szCs w:val="22"/>
        </w:rPr>
        <w:t xml:space="preserve">t the time of disposal, there is </w:t>
      </w:r>
      <w:r w:rsidRPr="00C023D0">
        <w:rPr>
          <w:rStyle w:val="LineNumber"/>
          <w:rFonts w:asciiTheme="minorHAnsi" w:hAnsiTheme="minorHAnsi"/>
          <w:i/>
          <w:color w:val="444448" w:themeColor="accent4"/>
          <w:sz w:val="22"/>
          <w:szCs w:val="22"/>
        </w:rPr>
        <w:t>no intention</w:t>
      </w:r>
      <w:r w:rsidR="00175726">
        <w:rPr>
          <w:rStyle w:val="LineNumber"/>
          <w:rFonts w:asciiTheme="minorHAnsi" w:hAnsiTheme="minorHAnsi"/>
          <w:color w:val="444448" w:themeColor="accent4"/>
          <w:sz w:val="22"/>
          <w:szCs w:val="22"/>
        </w:rPr>
        <w:t xml:space="preserve"> for retrieval. </w:t>
      </w:r>
      <w:r w:rsidRPr="00A80F9D">
        <w:rPr>
          <w:rStyle w:val="LineNumber"/>
          <w:rFonts w:asciiTheme="minorHAnsi" w:hAnsiTheme="minorHAnsi"/>
          <w:color w:val="444448" w:themeColor="accent4"/>
          <w:sz w:val="22"/>
          <w:szCs w:val="22"/>
        </w:rPr>
        <w:t>However, based on international best practice, a</w:t>
      </w:r>
      <w:r w:rsidR="00C231E3">
        <w:rPr>
          <w:rStyle w:val="LineNumber"/>
          <w:rFonts w:asciiTheme="minorHAnsi" w:hAnsiTheme="minorHAnsi"/>
          <w:color w:val="444448" w:themeColor="accent4"/>
          <w:sz w:val="22"/>
          <w:szCs w:val="22"/>
        </w:rPr>
        <w:t xml:space="preserve">n </w:t>
      </w:r>
      <w:r w:rsidR="00C231E3">
        <w:rPr>
          <w:rFonts w:asciiTheme="minorHAnsi" w:hAnsiTheme="minorHAnsi"/>
          <w:color w:val="444448" w:themeColor="accent4"/>
          <w:sz w:val="22"/>
          <w:szCs w:val="22"/>
        </w:rPr>
        <w:t>authorisation</w:t>
      </w:r>
      <w:r w:rsidRPr="00A80F9D">
        <w:rPr>
          <w:rStyle w:val="LineNumber"/>
          <w:rFonts w:asciiTheme="minorHAnsi" w:hAnsiTheme="minorHAnsi"/>
          <w:color w:val="444448" w:themeColor="accent4"/>
          <w:sz w:val="22"/>
          <w:szCs w:val="22"/>
        </w:rPr>
        <w:t xml:space="preserve"> application for the design, construction and/or operation, and for the post-closure phase of a disposal facility is expected, as appropriate, to include</w:t>
      </w:r>
      <w:r w:rsidRPr="00A80F9D" w:rsidDel="00386D40">
        <w:rPr>
          <w:rStyle w:val="LineNumber"/>
          <w:rFonts w:asciiTheme="minorHAnsi" w:hAnsiTheme="minorHAnsi"/>
          <w:color w:val="444448" w:themeColor="accent4"/>
          <w:sz w:val="22"/>
          <w:szCs w:val="22"/>
        </w:rPr>
        <w:t xml:space="preserve"> </w:t>
      </w:r>
      <w:hyperlink r:id="rId34" w:history="1">
        <w:r w:rsidRPr="00A80F9D">
          <w:rPr>
            <w:rStyle w:val="LineNumber"/>
            <w:rFonts w:asciiTheme="minorHAnsi" w:hAnsiTheme="minorHAnsi"/>
            <w:color w:val="444448" w:themeColor="accent4"/>
            <w:sz w:val="22"/>
            <w:szCs w:val="22"/>
          </w:rPr>
          <w:t xml:space="preserve">consideration of </w:t>
        </w:r>
        <w:r w:rsidRPr="008F3FA7">
          <w:rPr>
            <w:rStyle w:val="LineNumber"/>
            <w:rFonts w:asciiTheme="minorHAnsi" w:hAnsiTheme="minorHAnsi"/>
            <w:color w:val="444448" w:themeColor="accent4"/>
            <w:sz w:val="22"/>
            <w:szCs w:val="22"/>
          </w:rPr>
          <w:t>reversibility</w:t>
        </w:r>
        <w:r w:rsidRPr="00A80F9D">
          <w:rPr>
            <w:rStyle w:val="LineNumber"/>
            <w:rFonts w:asciiTheme="minorHAnsi" w:hAnsiTheme="minorHAnsi"/>
            <w:color w:val="444448" w:themeColor="accent4"/>
            <w:sz w:val="22"/>
            <w:szCs w:val="22"/>
          </w:rPr>
          <w:t xml:space="preserve"> and </w:t>
        </w:r>
        <w:r w:rsidRPr="008F3FA7">
          <w:rPr>
            <w:rStyle w:val="LineNumber"/>
            <w:rFonts w:asciiTheme="minorHAnsi" w:hAnsiTheme="minorHAnsi"/>
            <w:color w:val="444448" w:themeColor="accent4"/>
            <w:sz w:val="22"/>
            <w:szCs w:val="22"/>
          </w:rPr>
          <w:t>retrievability</w:t>
        </w:r>
        <w:r w:rsidRPr="00A80F9D">
          <w:rPr>
            <w:rStyle w:val="LineNumber"/>
            <w:rFonts w:asciiTheme="minorHAnsi" w:hAnsiTheme="minorHAnsi"/>
            <w:color w:val="444448" w:themeColor="accent4"/>
            <w:sz w:val="22"/>
            <w:szCs w:val="22"/>
          </w:rPr>
          <w:t xml:space="preserve"> principles</w:t>
        </w:r>
      </w:hyperlink>
      <w:r w:rsidRPr="00A80F9D">
        <w:rPr>
          <w:rStyle w:val="LineNumber"/>
          <w:rFonts w:asciiTheme="minorHAnsi" w:hAnsiTheme="minorHAnsi"/>
          <w:color w:val="444448" w:themeColor="accent4"/>
          <w:sz w:val="22"/>
          <w:szCs w:val="22"/>
        </w:rPr>
        <w:t>.</w:t>
      </w:r>
    </w:p>
    <w:p w14:paraId="4AAEBC79" w14:textId="4BD50B83" w:rsidR="003467C2" w:rsidRPr="00A80F9D" w:rsidRDefault="003467C2" w:rsidP="003467C2">
      <w:pPr>
        <w:pStyle w:val="RPSNumberedBodyText"/>
        <w:numPr>
          <w:ilvl w:val="0"/>
          <w:numId w:val="0"/>
        </w:numPr>
        <w:jc w:val="left"/>
        <w:rPr>
          <w:color w:val="444448" w:themeColor="accent4"/>
          <w:szCs w:val="22"/>
        </w:rPr>
      </w:pPr>
      <w:r w:rsidRPr="00A80F9D">
        <w:rPr>
          <w:rStyle w:val="LineNumber"/>
          <w:rFonts w:asciiTheme="minorHAnsi" w:hAnsiTheme="minorHAnsi"/>
          <w:color w:val="444448" w:themeColor="accent4"/>
          <w:sz w:val="22"/>
        </w:rPr>
        <w:t>These principles acknowledge that development of any disposal facility for long lived radioactive waste will take place over many years and should be open to progress in science and technology, to evolving societal demands and to</w:t>
      </w:r>
      <w:r w:rsidR="00E76592">
        <w:rPr>
          <w:rStyle w:val="LineNumber"/>
          <w:rFonts w:asciiTheme="minorHAnsi" w:hAnsiTheme="minorHAnsi"/>
          <w:color w:val="444448" w:themeColor="accent4"/>
          <w:sz w:val="22"/>
        </w:rPr>
        <w:t xml:space="preserve"> adaptation based on lessons learned.</w:t>
      </w:r>
      <w:r w:rsidRPr="00A80F9D">
        <w:rPr>
          <w:rStyle w:val="LineNumber"/>
          <w:rFonts w:asciiTheme="minorHAnsi" w:hAnsiTheme="minorHAnsi"/>
          <w:color w:val="444448" w:themeColor="accent4"/>
          <w:sz w:val="22"/>
        </w:rPr>
        <w:t xml:space="preserve"> In this regard, selecting technologies that are as reversible as possible is a prudent approach</w:t>
      </w:r>
      <w:r w:rsidR="00F1608F">
        <w:rPr>
          <w:rStyle w:val="LineNumber"/>
          <w:rFonts w:asciiTheme="minorHAnsi" w:hAnsiTheme="minorHAnsi"/>
          <w:color w:val="444448" w:themeColor="accent4"/>
          <w:sz w:val="22"/>
        </w:rPr>
        <w:t>.</w:t>
      </w:r>
      <w:r w:rsidRPr="00A80F9D">
        <w:rPr>
          <w:rStyle w:val="LineNumber"/>
          <w:rFonts w:asciiTheme="minorHAnsi" w:hAnsiTheme="minorHAnsi"/>
          <w:color w:val="444448" w:themeColor="accent4"/>
          <w:sz w:val="22"/>
        </w:rPr>
        <w:t xml:space="preserve"> </w:t>
      </w:r>
      <w:r w:rsidR="00F1608F">
        <w:rPr>
          <w:rStyle w:val="LineNumber"/>
          <w:rFonts w:asciiTheme="minorHAnsi" w:hAnsiTheme="minorHAnsi"/>
          <w:color w:val="444448" w:themeColor="accent4"/>
          <w:sz w:val="22"/>
        </w:rPr>
        <w:t>H</w:t>
      </w:r>
      <w:r w:rsidRPr="00A80F9D">
        <w:rPr>
          <w:rStyle w:val="LineNumber"/>
          <w:rFonts w:asciiTheme="minorHAnsi" w:hAnsiTheme="minorHAnsi"/>
          <w:color w:val="444448" w:themeColor="accent4"/>
          <w:sz w:val="22"/>
        </w:rPr>
        <w:t>owever</w:t>
      </w:r>
      <w:r w:rsidR="00F1608F">
        <w:rPr>
          <w:rStyle w:val="LineNumber"/>
          <w:rFonts w:asciiTheme="minorHAnsi" w:hAnsiTheme="minorHAnsi"/>
          <w:color w:val="444448" w:themeColor="accent4"/>
          <w:sz w:val="22"/>
        </w:rPr>
        <w:t>,</w:t>
      </w:r>
      <w:r w:rsidRPr="00A80F9D">
        <w:rPr>
          <w:rStyle w:val="LineNumber"/>
          <w:rFonts w:asciiTheme="minorHAnsi" w:hAnsiTheme="minorHAnsi"/>
          <w:color w:val="444448" w:themeColor="accent4"/>
          <w:sz w:val="22"/>
        </w:rPr>
        <w:t xml:space="preserve"> it is important that reversibility and retrievability considerations do not jeopardise long-term safety</w:t>
      </w:r>
      <w:r w:rsidRPr="00A80F9D">
        <w:rPr>
          <w:color w:val="444448" w:themeColor="accent4"/>
          <w:szCs w:val="22"/>
        </w:rPr>
        <w:t>.</w:t>
      </w:r>
    </w:p>
    <w:p w14:paraId="2C813C2F" w14:textId="59DFA3D0" w:rsidR="003467C2" w:rsidRPr="004F4145" w:rsidRDefault="00F761C9" w:rsidP="006C2926">
      <w:pPr>
        <w:pStyle w:val="Heading2"/>
      </w:pPr>
      <w:bookmarkStart w:id="63" w:name="_Toc495493175"/>
      <w:bookmarkStart w:id="64" w:name="_Toc524085217"/>
      <w:r>
        <w:lastRenderedPageBreak/>
        <w:t>Defining ‘c</w:t>
      </w:r>
      <w:r w:rsidR="003467C2" w:rsidRPr="004F4145">
        <w:t>ommunity’</w:t>
      </w:r>
      <w:bookmarkEnd w:id="63"/>
      <w:bookmarkEnd w:id="64"/>
    </w:p>
    <w:p w14:paraId="6426BDAB" w14:textId="6CFE8D46" w:rsidR="0050177B" w:rsidRPr="00A80F9D" w:rsidRDefault="003467C2" w:rsidP="0050177B">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In this Code the term ‘community’ is used to define the level of spatial and </w:t>
      </w:r>
      <w:r w:rsidRPr="009C253E">
        <w:rPr>
          <w:rStyle w:val="LineNumber"/>
          <w:rFonts w:asciiTheme="minorHAnsi" w:hAnsiTheme="minorHAnsi"/>
          <w:color w:val="444448" w:themeColor="accent4"/>
          <w:sz w:val="22"/>
          <w:szCs w:val="22"/>
        </w:rPr>
        <w:t>soci</w:t>
      </w:r>
      <w:r w:rsidR="009C253E" w:rsidRPr="009C253E">
        <w:rPr>
          <w:rStyle w:val="LineNumber"/>
          <w:rFonts w:asciiTheme="minorHAnsi" w:hAnsiTheme="minorHAnsi"/>
          <w:color w:val="444448" w:themeColor="accent4"/>
          <w:sz w:val="22"/>
          <w:szCs w:val="22"/>
        </w:rPr>
        <w:t>etal</w:t>
      </w:r>
      <w:r w:rsidRPr="00A80F9D">
        <w:rPr>
          <w:rStyle w:val="LineNumber"/>
          <w:rFonts w:asciiTheme="minorHAnsi" w:hAnsiTheme="minorHAnsi"/>
          <w:color w:val="444448" w:themeColor="accent4"/>
          <w:sz w:val="22"/>
          <w:szCs w:val="22"/>
        </w:rPr>
        <w:t xml:space="preserve"> organisation at which the issue of demographics must be addressed by the </w:t>
      </w:r>
      <w:r w:rsidR="00CE286C">
        <w:rPr>
          <w:rFonts w:asciiTheme="minorHAnsi" w:hAnsiTheme="minorHAnsi"/>
          <w:color w:val="444448" w:themeColor="accent4"/>
          <w:sz w:val="22"/>
          <w:szCs w:val="22"/>
        </w:rPr>
        <w:t>proponent</w:t>
      </w:r>
      <w:r w:rsidRPr="00A80F9D">
        <w:rPr>
          <w:rStyle w:val="LineNumber"/>
          <w:rFonts w:asciiTheme="minorHAnsi" w:hAnsiTheme="minorHAnsi"/>
          <w:color w:val="444448" w:themeColor="accent4"/>
          <w:sz w:val="22"/>
          <w:szCs w:val="22"/>
        </w:rPr>
        <w:t xml:space="preserve"> in terms of the impact of the facility on the community in which the facility is, or is to be situated. </w:t>
      </w:r>
      <w:r w:rsidR="0050177B" w:rsidRPr="00A80F9D">
        <w:rPr>
          <w:rStyle w:val="LineNumber"/>
          <w:rFonts w:asciiTheme="minorHAnsi" w:hAnsiTheme="minorHAnsi"/>
          <w:color w:val="444448" w:themeColor="accent4"/>
          <w:sz w:val="22"/>
          <w:szCs w:val="22"/>
        </w:rPr>
        <w:t xml:space="preserve">It is essential that </w:t>
      </w:r>
      <w:r w:rsidR="0050177B">
        <w:rPr>
          <w:rStyle w:val="LineNumber"/>
          <w:rFonts w:asciiTheme="minorHAnsi" w:hAnsiTheme="minorHAnsi"/>
          <w:color w:val="444448" w:themeColor="accent4"/>
          <w:sz w:val="22"/>
          <w:szCs w:val="22"/>
        </w:rPr>
        <w:t>landowners</w:t>
      </w:r>
      <w:r w:rsidR="0050177B" w:rsidRPr="00A80F9D">
        <w:rPr>
          <w:rStyle w:val="LineNumber"/>
          <w:rFonts w:asciiTheme="minorHAnsi" w:hAnsiTheme="minorHAnsi"/>
          <w:color w:val="444448" w:themeColor="accent4"/>
          <w:sz w:val="22"/>
          <w:szCs w:val="22"/>
        </w:rPr>
        <w:t xml:space="preserve"> at the local level</w:t>
      </w:r>
      <w:r w:rsidR="0050177B">
        <w:rPr>
          <w:rStyle w:val="LineNumber"/>
          <w:rFonts w:asciiTheme="minorHAnsi" w:hAnsiTheme="minorHAnsi"/>
          <w:color w:val="444448" w:themeColor="accent4"/>
          <w:sz w:val="22"/>
          <w:szCs w:val="22"/>
        </w:rPr>
        <w:t xml:space="preserve">, including traditional owners living </w:t>
      </w:r>
      <w:r w:rsidR="000A7191">
        <w:rPr>
          <w:rStyle w:val="LineNumber"/>
          <w:rFonts w:asciiTheme="minorHAnsi" w:hAnsiTheme="minorHAnsi"/>
          <w:color w:val="444448" w:themeColor="accent4"/>
          <w:sz w:val="22"/>
          <w:szCs w:val="22"/>
        </w:rPr>
        <w:t>on</w:t>
      </w:r>
      <w:r w:rsidR="008A2ECA">
        <w:rPr>
          <w:rStyle w:val="LineNumber"/>
          <w:rFonts w:asciiTheme="minorHAnsi" w:hAnsiTheme="minorHAnsi"/>
          <w:color w:val="444448" w:themeColor="accent4"/>
          <w:sz w:val="22"/>
          <w:szCs w:val="22"/>
        </w:rPr>
        <w:t xml:space="preserve">, </w:t>
      </w:r>
      <w:r w:rsidR="0050177B">
        <w:rPr>
          <w:rStyle w:val="LineNumber"/>
          <w:rFonts w:asciiTheme="minorHAnsi" w:hAnsiTheme="minorHAnsi"/>
          <w:color w:val="444448" w:themeColor="accent4"/>
          <w:sz w:val="22"/>
          <w:szCs w:val="22"/>
        </w:rPr>
        <w:t>near or with</w:t>
      </w:r>
      <w:r w:rsidR="000A7191">
        <w:rPr>
          <w:rStyle w:val="LineNumber"/>
          <w:rFonts w:asciiTheme="minorHAnsi" w:hAnsiTheme="minorHAnsi"/>
          <w:color w:val="444448" w:themeColor="accent4"/>
          <w:sz w:val="22"/>
          <w:szCs w:val="22"/>
        </w:rPr>
        <w:t xml:space="preserve"> </w:t>
      </w:r>
      <w:r w:rsidR="0050177B">
        <w:rPr>
          <w:rStyle w:val="LineNumber"/>
          <w:rFonts w:asciiTheme="minorHAnsi" w:hAnsiTheme="minorHAnsi"/>
          <w:color w:val="444448" w:themeColor="accent4"/>
          <w:sz w:val="22"/>
          <w:szCs w:val="22"/>
        </w:rPr>
        <w:t xml:space="preserve">the </w:t>
      </w:r>
      <w:r w:rsidR="000A7191">
        <w:rPr>
          <w:rStyle w:val="LineNumber"/>
          <w:rFonts w:asciiTheme="minorHAnsi" w:hAnsiTheme="minorHAnsi"/>
          <w:color w:val="444448" w:themeColor="accent4"/>
          <w:sz w:val="22"/>
          <w:szCs w:val="22"/>
        </w:rPr>
        <w:t xml:space="preserve">impacted </w:t>
      </w:r>
      <w:r w:rsidR="0050177B">
        <w:rPr>
          <w:rStyle w:val="LineNumber"/>
          <w:rFonts w:asciiTheme="minorHAnsi" w:hAnsiTheme="minorHAnsi"/>
          <w:color w:val="444448" w:themeColor="accent4"/>
          <w:sz w:val="22"/>
          <w:szCs w:val="22"/>
        </w:rPr>
        <w:t>land,</w:t>
      </w:r>
      <w:r w:rsidR="0050177B" w:rsidRPr="00A80F9D">
        <w:rPr>
          <w:rStyle w:val="LineNumber"/>
          <w:rFonts w:asciiTheme="minorHAnsi" w:hAnsiTheme="minorHAnsi"/>
          <w:color w:val="444448" w:themeColor="accent4"/>
          <w:sz w:val="22"/>
          <w:szCs w:val="22"/>
        </w:rPr>
        <w:t xml:space="preserve"> play a part in the process of self</w:t>
      </w:r>
      <w:r w:rsidR="0050177B">
        <w:rPr>
          <w:rStyle w:val="LineNumber"/>
          <w:rFonts w:asciiTheme="minorHAnsi" w:hAnsiTheme="minorHAnsi"/>
          <w:color w:val="444448" w:themeColor="accent4"/>
          <w:sz w:val="22"/>
          <w:szCs w:val="22"/>
        </w:rPr>
        <w:noBreakHyphen/>
      </w:r>
      <w:r w:rsidR="0050177B" w:rsidRPr="00A80F9D">
        <w:rPr>
          <w:rStyle w:val="LineNumber"/>
          <w:rFonts w:asciiTheme="minorHAnsi" w:hAnsiTheme="minorHAnsi"/>
          <w:color w:val="444448" w:themeColor="accent4"/>
          <w:sz w:val="22"/>
          <w:szCs w:val="22"/>
        </w:rPr>
        <w:t>definition of their communities</w:t>
      </w:r>
      <w:r w:rsidR="0050177B">
        <w:rPr>
          <w:rStyle w:val="LineNumber"/>
          <w:rFonts w:asciiTheme="minorHAnsi" w:hAnsiTheme="minorHAnsi"/>
          <w:color w:val="444448" w:themeColor="accent4"/>
          <w:sz w:val="22"/>
          <w:szCs w:val="22"/>
        </w:rPr>
        <w:t xml:space="preserve">. </w:t>
      </w:r>
    </w:p>
    <w:p w14:paraId="6AB189B9" w14:textId="0C2D83E3" w:rsidR="0050177B"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In general usage ‘community’ refers to </w:t>
      </w:r>
      <w:r w:rsidR="00E76592">
        <w:rPr>
          <w:rStyle w:val="LineNumber"/>
          <w:rFonts w:asciiTheme="minorHAnsi" w:hAnsiTheme="minorHAnsi"/>
          <w:color w:val="444448" w:themeColor="accent4"/>
          <w:sz w:val="22"/>
          <w:szCs w:val="22"/>
        </w:rPr>
        <w:t>a geographical area defined f</w:t>
      </w:r>
      <w:r w:rsidR="000D477A">
        <w:rPr>
          <w:rStyle w:val="LineNumber"/>
          <w:rFonts w:asciiTheme="minorHAnsi" w:hAnsiTheme="minorHAnsi"/>
          <w:color w:val="444448" w:themeColor="accent4"/>
          <w:sz w:val="22"/>
          <w:szCs w:val="22"/>
        </w:rPr>
        <w:t>or the purpose of consultation</w:t>
      </w:r>
      <w:r w:rsidRPr="00A80F9D">
        <w:rPr>
          <w:rStyle w:val="LineNumber"/>
          <w:rFonts w:asciiTheme="minorHAnsi" w:hAnsiTheme="minorHAnsi"/>
          <w:color w:val="444448" w:themeColor="accent4"/>
          <w:sz w:val="22"/>
          <w:szCs w:val="22"/>
        </w:rPr>
        <w:t xml:space="preserve">. If the facility impacts on </w:t>
      </w:r>
      <w:r w:rsidR="000D477A">
        <w:rPr>
          <w:rStyle w:val="LineNumber"/>
          <w:rFonts w:asciiTheme="minorHAnsi" w:hAnsiTheme="minorHAnsi"/>
          <w:color w:val="444448" w:themeColor="accent4"/>
          <w:sz w:val="22"/>
          <w:szCs w:val="22"/>
        </w:rPr>
        <w:t>a community</w:t>
      </w:r>
      <w:r w:rsidRPr="00A80F9D">
        <w:rPr>
          <w:rStyle w:val="LineNumber"/>
          <w:rFonts w:asciiTheme="minorHAnsi" w:hAnsiTheme="minorHAnsi"/>
          <w:color w:val="444448" w:themeColor="accent4"/>
          <w:sz w:val="22"/>
          <w:szCs w:val="22"/>
        </w:rPr>
        <w:t xml:space="preserve"> without definite spatial boundaries/limitations</w:t>
      </w:r>
      <w:r w:rsidR="000D477A">
        <w:rPr>
          <w:rStyle w:val="LineNumber"/>
          <w:rFonts w:asciiTheme="minorHAnsi" w:hAnsiTheme="minorHAnsi"/>
          <w:color w:val="444448" w:themeColor="accent4"/>
          <w:sz w:val="22"/>
          <w:szCs w:val="22"/>
        </w:rPr>
        <w:t xml:space="preserve"> (e.g. </w:t>
      </w:r>
      <w:r w:rsidR="00984321" w:rsidRPr="00984321">
        <w:rPr>
          <w:rStyle w:val="LineNumber"/>
          <w:rFonts w:asciiTheme="minorHAnsi" w:hAnsiTheme="minorHAnsi"/>
          <w:color w:val="444448" w:themeColor="accent4"/>
          <w:sz w:val="22"/>
          <w:szCs w:val="22"/>
        </w:rPr>
        <w:t xml:space="preserve">Aboriginal and Torres Strait Islander </w:t>
      </w:r>
      <w:r w:rsidR="00984321">
        <w:rPr>
          <w:rStyle w:val="LineNumber"/>
          <w:rFonts w:asciiTheme="minorHAnsi" w:hAnsiTheme="minorHAnsi"/>
          <w:color w:val="444448" w:themeColor="accent4"/>
          <w:sz w:val="22"/>
          <w:szCs w:val="22"/>
        </w:rPr>
        <w:t>communities</w:t>
      </w:r>
      <w:r w:rsidR="000D477A">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the term itself is ambiguous and hence defining the appropriate community will always be open to interpretation and conjecture. The proponent will need to apply cultural interpretations of what constitutes the appropriate community.</w:t>
      </w:r>
    </w:p>
    <w:p w14:paraId="6BBC406E" w14:textId="2FD963FC" w:rsidR="00093E5D" w:rsidRPr="00093E5D" w:rsidRDefault="00093E5D" w:rsidP="00B518FD">
      <w:pPr>
        <w:pStyle w:val="Heading1"/>
        <w:numPr>
          <w:ilvl w:val="0"/>
          <w:numId w:val="0"/>
        </w:numPr>
        <w:pBdr>
          <w:bottom w:val="single" w:sz="4" w:space="4" w:color="4E1A74" w:themeColor="text2"/>
        </w:pBdr>
        <w:ind w:left="851" w:hanging="851"/>
        <w:sectPr w:rsidR="00093E5D" w:rsidRPr="00093E5D" w:rsidSect="00912E5D">
          <w:headerReference w:type="even" r:id="rId35"/>
          <w:headerReference w:type="default" r:id="rId36"/>
          <w:headerReference w:type="first" r:id="rId37"/>
          <w:pgSz w:w="11906" w:h="16838"/>
          <w:pgMar w:top="1134" w:right="1134" w:bottom="1134" w:left="1134" w:header="720" w:footer="720" w:gutter="0"/>
          <w:cols w:space="720"/>
        </w:sectPr>
      </w:pPr>
      <w:bookmarkStart w:id="65" w:name="_Toc494870410"/>
      <w:bookmarkStart w:id="66" w:name="_Toc494876812"/>
      <w:bookmarkStart w:id="67" w:name="_Toc495493176"/>
      <w:bookmarkEnd w:id="30"/>
      <w:bookmarkEnd w:id="42"/>
      <w:bookmarkEnd w:id="65"/>
      <w:bookmarkEnd w:id="66"/>
    </w:p>
    <w:p w14:paraId="75E659CB" w14:textId="7DC13B52" w:rsidR="003467C2" w:rsidRPr="0073116F" w:rsidRDefault="003F1F93" w:rsidP="00F761C9">
      <w:pPr>
        <w:pStyle w:val="Heading1"/>
        <w:pBdr>
          <w:bottom w:val="single" w:sz="4" w:space="4" w:color="4E1A74" w:themeColor="text2"/>
        </w:pBdr>
        <w:spacing w:before="0"/>
        <w:rPr>
          <w:caps/>
        </w:rPr>
      </w:pPr>
      <w:bookmarkStart w:id="68" w:name="_Toc524085218"/>
      <w:r w:rsidRPr="0073116F">
        <w:lastRenderedPageBreak/>
        <w:t>Safety requirements for disposal of radioactive waste</w:t>
      </w:r>
      <w:bookmarkEnd w:id="67"/>
      <w:bookmarkEnd w:id="68"/>
    </w:p>
    <w:p w14:paraId="210FA53A" w14:textId="344E1A59" w:rsidR="007D65A7" w:rsidRPr="007D65A7" w:rsidRDefault="003467C2" w:rsidP="007C7DE6">
      <w:pPr>
        <w:pStyle w:val="Heading2"/>
      </w:pPr>
      <w:bookmarkStart w:id="69" w:name="_Toc495493177"/>
      <w:bookmarkStart w:id="70" w:name="_Toc524085219"/>
      <w:r>
        <w:t xml:space="preserve">General </w:t>
      </w:r>
      <w:r w:rsidR="00F761C9">
        <w:t>r</w:t>
      </w:r>
      <w:r>
        <w:t>equirements</w:t>
      </w:r>
      <w:bookmarkEnd w:id="69"/>
      <w:bookmarkEnd w:id="70"/>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3F3146FE" w14:textId="77777777" w:rsidTr="00841F85">
        <w:tc>
          <w:tcPr>
            <w:tcW w:w="8720" w:type="dxa"/>
            <w:shd w:val="clear" w:color="auto" w:fill="4E1A74" w:themeFill="text2"/>
          </w:tcPr>
          <w:p w14:paraId="70426BDF" w14:textId="24E48E6B" w:rsidR="00841F85" w:rsidRPr="00AD6C06" w:rsidRDefault="00841F85" w:rsidP="005028FE">
            <w:pPr>
              <w:spacing w:before="120" w:after="120"/>
              <w:ind w:left="1985" w:hanging="1985"/>
              <w:rPr>
                <w:rFonts w:cstheme="minorHAnsi"/>
                <w:b/>
                <w:color w:val="FFFFFF"/>
              </w:rPr>
            </w:pPr>
            <w:r w:rsidRPr="00AD6C06">
              <w:rPr>
                <w:rFonts w:cstheme="minorHAnsi"/>
                <w:b/>
                <w:color w:val="FFFFFF"/>
              </w:rPr>
              <w:t>Application of the principles of</w:t>
            </w:r>
            <w:r w:rsidR="00D81352">
              <w:rPr>
                <w:rFonts w:cstheme="minorHAnsi"/>
                <w:b/>
                <w:color w:val="FFFFFF"/>
              </w:rPr>
              <w:t xml:space="preserve"> safety and</w:t>
            </w:r>
            <w:r w:rsidRPr="00AD6C06">
              <w:rPr>
                <w:rFonts w:cstheme="minorHAnsi"/>
                <w:b/>
                <w:color w:val="FFFFFF"/>
              </w:rPr>
              <w:t xml:space="preserve"> radiation protection</w:t>
            </w:r>
          </w:p>
        </w:tc>
      </w:tr>
    </w:tbl>
    <w:p w14:paraId="6F0E7D96" w14:textId="77777777" w:rsidR="008A2ECA" w:rsidRDefault="0078399D" w:rsidP="008A2ECA">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information in an application for </w:t>
      </w:r>
      <w:r w:rsidR="00C231E3">
        <w:rPr>
          <w:rFonts w:asciiTheme="minorHAnsi" w:hAnsiTheme="minorHAnsi"/>
          <w:color w:val="444448" w:themeColor="accent4"/>
          <w:sz w:val="22"/>
          <w:szCs w:val="22"/>
        </w:rPr>
        <w:t>authorisation</w:t>
      </w:r>
      <w:r w:rsidR="00C231E3" w:rsidRPr="00A80F9D">
        <w:rPr>
          <w:rStyle w:val="LineNumber"/>
          <w:rFonts w:asciiTheme="minorHAnsi" w:hAnsiTheme="minorHAnsi"/>
          <w:color w:val="444448" w:themeColor="accent4"/>
          <w:sz w:val="22"/>
          <w:szCs w:val="22"/>
        </w:rPr>
        <w:t xml:space="preserve"> </w:t>
      </w:r>
      <w:r w:rsidR="00C231E3">
        <w:rPr>
          <w:rStyle w:val="LineNumber"/>
          <w:rFonts w:asciiTheme="minorHAnsi" w:hAnsiTheme="minorHAnsi"/>
          <w:color w:val="444448" w:themeColor="accent4"/>
          <w:sz w:val="22"/>
          <w:szCs w:val="22"/>
        </w:rPr>
        <w:t>of</w:t>
      </w:r>
      <w:r w:rsidRPr="00A80F9D">
        <w:rPr>
          <w:rStyle w:val="LineNumber"/>
          <w:rFonts w:asciiTheme="minorHAnsi" w:hAnsiTheme="minorHAnsi"/>
          <w:color w:val="444448" w:themeColor="accent4"/>
          <w:sz w:val="22"/>
          <w:szCs w:val="22"/>
        </w:rPr>
        <w:t xml:space="preserve"> a radioactive waste disposal facility must establish that the proposed conduct can be carried out without undue risk to the health and safety of people, and to the environment.</w:t>
      </w:r>
      <w:r>
        <w:rPr>
          <w:rStyle w:val="LineNumber"/>
          <w:rFonts w:asciiTheme="minorHAnsi" w:hAnsiTheme="minorHAnsi"/>
          <w:color w:val="444448" w:themeColor="accent4"/>
          <w:sz w:val="22"/>
          <w:szCs w:val="22"/>
        </w:rPr>
        <w:t xml:space="preserve"> </w:t>
      </w:r>
    </w:p>
    <w:p w14:paraId="19B33DA7" w14:textId="204AC258" w:rsidR="005D0D35" w:rsidRPr="008A2ECA" w:rsidRDefault="004F1A0C" w:rsidP="008A2ECA">
      <w:pPr>
        <w:pStyle w:val="RPSNumberedBodyText"/>
        <w:tabs>
          <w:tab w:val="num" w:pos="0"/>
        </w:tabs>
        <w:ind w:left="709" w:hanging="709"/>
        <w:jc w:val="left"/>
        <w:rPr>
          <w:rStyle w:val="LineNumber"/>
          <w:rFonts w:asciiTheme="minorHAnsi" w:hAnsiTheme="minorHAnsi"/>
          <w:color w:val="444448" w:themeColor="accent4"/>
          <w:sz w:val="22"/>
          <w:szCs w:val="22"/>
        </w:rPr>
      </w:pPr>
      <w:r w:rsidRPr="008A2ECA">
        <w:rPr>
          <w:rStyle w:val="LineNumber"/>
          <w:rFonts w:asciiTheme="minorHAnsi" w:hAnsiTheme="minorHAnsi"/>
          <w:color w:val="444448" w:themeColor="accent4"/>
          <w:sz w:val="22"/>
          <w:szCs w:val="22"/>
        </w:rPr>
        <w:t>The</w:t>
      </w:r>
      <w:r w:rsidR="006C2926" w:rsidRPr="008A2ECA">
        <w:rPr>
          <w:rStyle w:val="LineNumber"/>
          <w:rFonts w:asciiTheme="minorHAnsi" w:hAnsiTheme="minorHAnsi"/>
          <w:color w:val="444448" w:themeColor="accent4"/>
          <w:sz w:val="22"/>
          <w:szCs w:val="22"/>
        </w:rPr>
        <w:t xml:space="preserve"> principles of radiation protection</w:t>
      </w:r>
      <w:r w:rsidRPr="008A2ECA">
        <w:rPr>
          <w:rStyle w:val="LineNumber"/>
          <w:rFonts w:asciiTheme="minorHAnsi" w:hAnsiTheme="minorHAnsi"/>
          <w:color w:val="444448" w:themeColor="accent4"/>
          <w:sz w:val="22"/>
          <w:szCs w:val="22"/>
        </w:rPr>
        <w:t xml:space="preserve"> must be applied.</w:t>
      </w:r>
    </w:p>
    <w:p w14:paraId="45A22DF5" w14:textId="69267988"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siting and design of a disposal facility, its associated equipment and operating methods must be selected to ensure that the radiation doses received by occupationally exposed persons and members of the public are kept as low as reasonably achievable, economic and </w:t>
      </w:r>
      <w:r w:rsidR="0007483C" w:rsidRPr="00A80F9D">
        <w:rPr>
          <w:rStyle w:val="LineNumber"/>
          <w:rFonts w:asciiTheme="minorHAnsi" w:hAnsiTheme="minorHAnsi"/>
          <w:color w:val="444448" w:themeColor="accent4"/>
          <w:sz w:val="22"/>
          <w:szCs w:val="22"/>
        </w:rPr>
        <w:t>socie</w:t>
      </w:r>
      <w:r w:rsidR="0007483C">
        <w:rPr>
          <w:rStyle w:val="LineNumber"/>
          <w:rFonts w:asciiTheme="minorHAnsi" w:hAnsiTheme="minorHAnsi"/>
          <w:color w:val="444448" w:themeColor="accent4"/>
          <w:sz w:val="22"/>
          <w:szCs w:val="22"/>
        </w:rPr>
        <w:t>tal</w:t>
      </w:r>
      <w:r w:rsidRPr="00A80F9D">
        <w:rPr>
          <w:rStyle w:val="LineNumber"/>
          <w:rFonts w:asciiTheme="minorHAnsi" w:hAnsiTheme="minorHAnsi"/>
          <w:color w:val="444448" w:themeColor="accent4"/>
          <w:sz w:val="22"/>
          <w:szCs w:val="22"/>
        </w:rPr>
        <w:t xml:space="preserve"> factors being taken into account.</w:t>
      </w:r>
    </w:p>
    <w:p w14:paraId="79C9D9BB" w14:textId="0CE43EC4"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concept of </w:t>
      </w:r>
      <w:r w:rsidRPr="008F3FA7">
        <w:rPr>
          <w:rStyle w:val="LineNumber"/>
          <w:rFonts w:asciiTheme="minorHAnsi" w:hAnsiTheme="minorHAnsi"/>
          <w:color w:val="444448" w:themeColor="accent4"/>
          <w:sz w:val="22"/>
          <w:szCs w:val="22"/>
        </w:rPr>
        <w:t>best available techniques</w:t>
      </w:r>
      <w:r w:rsidRPr="00A80F9D">
        <w:rPr>
          <w:rStyle w:val="LineNumber"/>
          <w:rFonts w:asciiTheme="minorHAnsi" w:hAnsiTheme="minorHAnsi"/>
          <w:color w:val="444448" w:themeColor="accent4"/>
          <w:sz w:val="22"/>
          <w:szCs w:val="22"/>
        </w:rPr>
        <w:t xml:space="preserve"> (BAT) must be incorporated in </w:t>
      </w:r>
      <w:r w:rsidR="00CE711E">
        <w:rPr>
          <w:rStyle w:val="LineNumber"/>
          <w:rFonts w:asciiTheme="minorHAnsi" w:hAnsiTheme="minorHAnsi"/>
          <w:color w:val="444448" w:themeColor="accent4"/>
          <w:sz w:val="22"/>
          <w:szCs w:val="22"/>
        </w:rPr>
        <w:t xml:space="preserve">the </w:t>
      </w:r>
      <w:r w:rsidR="005D0D35">
        <w:rPr>
          <w:rStyle w:val="LineNumber"/>
          <w:rFonts w:asciiTheme="minorHAnsi" w:hAnsiTheme="minorHAnsi"/>
          <w:color w:val="444448" w:themeColor="accent4"/>
          <w:sz w:val="22"/>
          <w:szCs w:val="22"/>
        </w:rPr>
        <w:t xml:space="preserve">development </w:t>
      </w:r>
      <w:r w:rsidR="00CE711E">
        <w:rPr>
          <w:rStyle w:val="LineNumber"/>
          <w:rFonts w:asciiTheme="minorHAnsi" w:hAnsiTheme="minorHAnsi"/>
          <w:color w:val="444448" w:themeColor="accent4"/>
          <w:sz w:val="22"/>
          <w:szCs w:val="22"/>
        </w:rPr>
        <w:t>of the facility including i</w:t>
      </w:r>
      <w:r w:rsidR="005D0D35">
        <w:rPr>
          <w:rStyle w:val="LineNumber"/>
          <w:rFonts w:asciiTheme="minorHAnsi" w:hAnsiTheme="minorHAnsi"/>
          <w:color w:val="444448" w:themeColor="accent4"/>
          <w:sz w:val="22"/>
          <w:szCs w:val="22"/>
        </w:rPr>
        <w:t>t</w:t>
      </w:r>
      <w:r w:rsidR="00CE711E">
        <w:rPr>
          <w:rStyle w:val="LineNumber"/>
          <w:rFonts w:asciiTheme="minorHAnsi" w:hAnsiTheme="minorHAnsi"/>
          <w:color w:val="444448" w:themeColor="accent4"/>
          <w:sz w:val="22"/>
          <w:szCs w:val="22"/>
        </w:rPr>
        <w:t xml:space="preserve">s barriers, </w:t>
      </w:r>
      <w:r w:rsidR="005D0D35">
        <w:rPr>
          <w:rStyle w:val="LineNumber"/>
          <w:rFonts w:asciiTheme="minorHAnsi" w:hAnsiTheme="minorHAnsi"/>
          <w:color w:val="444448" w:themeColor="accent4"/>
          <w:sz w:val="22"/>
          <w:szCs w:val="22"/>
        </w:rPr>
        <w:t xml:space="preserve">by use of </w:t>
      </w:r>
      <w:r w:rsidR="00CE711E">
        <w:rPr>
          <w:rStyle w:val="LineNumber"/>
          <w:rFonts w:asciiTheme="minorHAnsi" w:hAnsiTheme="minorHAnsi"/>
          <w:color w:val="444448" w:themeColor="accent4"/>
          <w:sz w:val="22"/>
          <w:szCs w:val="22"/>
        </w:rPr>
        <w:t xml:space="preserve">a graded approach. </w:t>
      </w:r>
      <w:r w:rsidRPr="00A80F9D">
        <w:rPr>
          <w:rStyle w:val="LineNumber"/>
          <w:rFonts w:asciiTheme="minorHAnsi" w:hAnsiTheme="minorHAnsi"/>
          <w:color w:val="444448" w:themeColor="accent4"/>
          <w:sz w:val="22"/>
          <w:szCs w:val="22"/>
        </w:rPr>
        <w:t xml:space="preserve">It is the responsibility of the proponent to suggest the techniques that may be considered BAT (technical, </w:t>
      </w:r>
      <w:r w:rsidR="0007483C" w:rsidRPr="00A80F9D">
        <w:rPr>
          <w:rStyle w:val="LineNumber"/>
          <w:rFonts w:asciiTheme="minorHAnsi" w:hAnsiTheme="minorHAnsi"/>
          <w:color w:val="444448" w:themeColor="accent4"/>
          <w:sz w:val="22"/>
          <w:szCs w:val="22"/>
        </w:rPr>
        <w:t>soc</w:t>
      </w:r>
      <w:r w:rsidR="0007483C">
        <w:rPr>
          <w:rStyle w:val="LineNumber"/>
          <w:rFonts w:asciiTheme="minorHAnsi" w:hAnsiTheme="minorHAnsi"/>
          <w:color w:val="444448" w:themeColor="accent4"/>
          <w:sz w:val="22"/>
          <w:szCs w:val="22"/>
        </w:rPr>
        <w:t>ietal</w:t>
      </w:r>
      <w:r w:rsidR="0007483C" w:rsidRPr="00A80F9D">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and economic elements considered) for radioactive waste storage and disposal</w:t>
      </w:r>
      <w:r w:rsidR="00093E5D">
        <w:rPr>
          <w:rStyle w:val="LineNumber"/>
          <w:rFonts w:asciiTheme="minorHAnsi" w:hAnsiTheme="minorHAnsi"/>
          <w:color w:val="444448" w:themeColor="accent4"/>
          <w:sz w:val="22"/>
          <w:szCs w:val="22"/>
        </w:rPr>
        <w:t>, and these must be agreed with the relevant regulatory authority</w:t>
      </w:r>
      <w:r w:rsidRPr="00A80F9D">
        <w:rPr>
          <w:rStyle w:val="LineNumber"/>
          <w:rFonts w:asciiTheme="minorHAnsi" w:hAnsiTheme="minorHAnsi"/>
          <w:color w:val="444448" w:themeColor="accent4"/>
          <w:sz w:val="22"/>
          <w:szCs w:val="22"/>
        </w:rPr>
        <w:t>.</w:t>
      </w:r>
    </w:p>
    <w:p w14:paraId="4FB2D0F2"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Use of best available techniques must be considered in parallel with optimisation, as the two principles reinforce each other in strengthening radiological outcomes.</w:t>
      </w:r>
    </w:p>
    <w:p w14:paraId="1A06B10D" w14:textId="60AC82C6"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It must be demonstrated that the design and operation of the facility provide for the protection of workers and members of the public during the operational phase of a disposal facility, such that:</w:t>
      </w:r>
    </w:p>
    <w:p w14:paraId="78FF872E" w14:textId="7E97866C" w:rsidR="005D0D35" w:rsidRPr="005D0D35" w:rsidRDefault="003467C2" w:rsidP="00C757E3">
      <w:pPr>
        <w:pStyle w:val="RPSNumberedBodyText"/>
        <w:numPr>
          <w:ilvl w:val="0"/>
          <w:numId w:val="49"/>
        </w:numPr>
        <w:jc w:val="left"/>
        <w:rPr>
          <w:rStyle w:val="LineNumber"/>
          <w:rFonts w:asciiTheme="minorHAnsi" w:eastAsiaTheme="minorHAnsi" w:hAnsiTheme="minorHAnsi" w:cstheme="minorBidi"/>
          <w:color w:val="444448" w:themeColor="accent4"/>
          <w:sz w:val="22"/>
          <w:szCs w:val="22"/>
          <w:lang w:eastAsia="en-US"/>
        </w:rPr>
      </w:pPr>
      <w:r w:rsidRPr="00A80F9D">
        <w:rPr>
          <w:rStyle w:val="LineNumber"/>
          <w:rFonts w:asciiTheme="minorHAnsi" w:hAnsiTheme="minorHAnsi"/>
          <w:color w:val="444448" w:themeColor="accent4"/>
          <w:sz w:val="22"/>
        </w:rPr>
        <w:t xml:space="preserve">radiation doses to the public and workers as a </w:t>
      </w:r>
      <w:r w:rsidRPr="00D21F8F">
        <w:rPr>
          <w:rStyle w:val="LineNumber"/>
          <w:rFonts w:asciiTheme="minorHAnsi" w:hAnsiTheme="minorHAnsi"/>
          <w:color w:val="444448" w:themeColor="accent4"/>
          <w:sz w:val="22"/>
        </w:rPr>
        <w:t xml:space="preserve">consequence of waste management and disposal activities do not exceed the dose limits in RPS </w:t>
      </w:r>
      <w:r w:rsidR="000F6297" w:rsidRPr="00D21F8F">
        <w:rPr>
          <w:rStyle w:val="LineNumber"/>
          <w:rFonts w:asciiTheme="minorHAnsi" w:hAnsiTheme="minorHAnsi"/>
          <w:color w:val="444448" w:themeColor="accent4"/>
          <w:sz w:val="22"/>
        </w:rPr>
        <w:t>C-1</w:t>
      </w:r>
      <w:r w:rsidRPr="00D21F8F">
        <w:rPr>
          <w:rStyle w:val="LineNumber"/>
          <w:rFonts w:asciiTheme="minorHAnsi" w:hAnsiTheme="minorHAnsi"/>
          <w:iCs/>
          <w:color w:val="444448" w:themeColor="accent4"/>
          <w:sz w:val="22"/>
        </w:rPr>
        <w:t xml:space="preserve"> (</w:t>
      </w:r>
      <w:r w:rsidR="000F6297" w:rsidRPr="00D21F8F">
        <w:rPr>
          <w:rStyle w:val="LineNumber"/>
          <w:rFonts w:asciiTheme="minorHAnsi" w:hAnsiTheme="minorHAnsi"/>
          <w:iCs/>
          <w:color w:val="444448" w:themeColor="accent4"/>
          <w:sz w:val="22"/>
        </w:rPr>
        <w:t>ARPANSA</w:t>
      </w:r>
      <w:r w:rsidRPr="00D21F8F">
        <w:rPr>
          <w:rStyle w:val="LineNumber"/>
          <w:rFonts w:asciiTheme="minorHAnsi" w:hAnsiTheme="minorHAnsi"/>
          <w:iCs/>
          <w:color w:val="444448" w:themeColor="accent4"/>
          <w:sz w:val="22"/>
        </w:rPr>
        <w:t xml:space="preserve"> 2016)</w:t>
      </w:r>
    </w:p>
    <w:p w14:paraId="0F73A99A" w14:textId="69EDA3BA" w:rsidR="003467C2" w:rsidRPr="00D21F8F" w:rsidRDefault="003467C2" w:rsidP="00C757E3">
      <w:pPr>
        <w:pStyle w:val="RPSNumberedBodyText"/>
        <w:numPr>
          <w:ilvl w:val="0"/>
          <w:numId w:val="49"/>
        </w:numPr>
        <w:jc w:val="left"/>
        <w:rPr>
          <w:rStyle w:val="LineNumber"/>
          <w:rFonts w:asciiTheme="minorHAnsi" w:eastAsiaTheme="minorHAnsi" w:hAnsiTheme="minorHAnsi" w:cstheme="minorBidi"/>
          <w:color w:val="444448" w:themeColor="accent4"/>
          <w:sz w:val="22"/>
          <w:szCs w:val="22"/>
          <w:lang w:eastAsia="en-US"/>
        </w:rPr>
      </w:pPr>
      <w:r w:rsidRPr="00D21F8F">
        <w:rPr>
          <w:rStyle w:val="LineNumber"/>
          <w:rFonts w:asciiTheme="minorHAnsi" w:hAnsiTheme="minorHAnsi"/>
          <w:color w:val="444448" w:themeColor="accent4"/>
          <w:sz w:val="22"/>
        </w:rPr>
        <w:t xml:space="preserve">facilities are </w:t>
      </w:r>
      <w:r w:rsidRPr="00D21F8F">
        <w:rPr>
          <w:rStyle w:val="LineNumber"/>
          <w:rFonts w:asciiTheme="minorHAnsi" w:hAnsiTheme="minorHAnsi"/>
          <w:color w:val="444448" w:themeColor="accent4"/>
          <w:sz w:val="22"/>
          <w:szCs w:val="22"/>
        </w:rPr>
        <w:t>designed</w:t>
      </w:r>
      <w:r w:rsidRPr="00D21F8F">
        <w:rPr>
          <w:rStyle w:val="LineNumber"/>
          <w:rFonts w:asciiTheme="minorHAnsi" w:hAnsiTheme="minorHAnsi"/>
          <w:color w:val="444448" w:themeColor="accent4"/>
          <w:sz w:val="22"/>
        </w:rPr>
        <w:t xml:space="preserve"> and operated in such a way that radiation protection of workers and members of the public is optimised according to the principles described in RPS F</w:t>
      </w:r>
      <w:r w:rsidR="00AD6C06">
        <w:rPr>
          <w:rStyle w:val="LineNumber"/>
          <w:rFonts w:asciiTheme="minorHAnsi" w:hAnsiTheme="minorHAnsi"/>
          <w:color w:val="444448" w:themeColor="accent4"/>
          <w:sz w:val="22"/>
        </w:rPr>
        <w:noBreakHyphen/>
      </w:r>
      <w:r w:rsidRPr="00D21F8F">
        <w:rPr>
          <w:rStyle w:val="LineNumber"/>
          <w:rFonts w:asciiTheme="minorHAnsi" w:hAnsiTheme="minorHAnsi"/>
          <w:color w:val="444448" w:themeColor="accent4"/>
          <w:sz w:val="22"/>
        </w:rPr>
        <w:t>1</w:t>
      </w:r>
      <w:r w:rsidR="000F6297" w:rsidRPr="00D21F8F">
        <w:rPr>
          <w:rStyle w:val="LineNumber"/>
          <w:rFonts w:asciiTheme="minorHAnsi" w:hAnsiTheme="minorHAnsi"/>
          <w:color w:val="444448" w:themeColor="accent4"/>
          <w:sz w:val="22"/>
        </w:rPr>
        <w:t xml:space="preserve"> (ARPANSA 2014</w:t>
      </w:r>
      <w:r w:rsidR="00640CD1">
        <w:rPr>
          <w:rStyle w:val="LineNumber"/>
          <w:rFonts w:asciiTheme="minorHAnsi" w:hAnsiTheme="minorHAnsi"/>
          <w:color w:val="444448" w:themeColor="accent4"/>
          <w:sz w:val="22"/>
        </w:rPr>
        <w:t>a</w:t>
      </w:r>
      <w:r w:rsidR="000F6297" w:rsidRPr="00D21F8F">
        <w:rPr>
          <w:rStyle w:val="LineNumber"/>
          <w:rFonts w:asciiTheme="minorHAnsi" w:hAnsiTheme="minorHAnsi"/>
          <w:color w:val="444448" w:themeColor="accent4"/>
          <w:sz w:val="22"/>
        </w:rPr>
        <w:t>)</w:t>
      </w:r>
    </w:p>
    <w:p w14:paraId="633E314A" w14:textId="74F3E372" w:rsidR="003467C2" w:rsidRPr="00D21F8F" w:rsidRDefault="003467C2" w:rsidP="00C757E3">
      <w:pPr>
        <w:pStyle w:val="RPSNumberedBodyText"/>
        <w:numPr>
          <w:ilvl w:val="0"/>
          <w:numId w:val="49"/>
        </w:numPr>
        <w:jc w:val="left"/>
        <w:rPr>
          <w:rStyle w:val="LineNumber"/>
          <w:rFonts w:asciiTheme="minorHAnsi" w:hAnsiTheme="minorHAnsi"/>
          <w:color w:val="444448" w:themeColor="accent4"/>
          <w:sz w:val="22"/>
        </w:rPr>
      </w:pPr>
      <w:r w:rsidRPr="00D21F8F">
        <w:rPr>
          <w:rStyle w:val="LineNumber"/>
          <w:rFonts w:asciiTheme="minorHAnsi" w:hAnsiTheme="minorHAnsi"/>
          <w:color w:val="444448" w:themeColor="accent4"/>
          <w:sz w:val="22"/>
        </w:rPr>
        <w:t xml:space="preserve">the consequences of any reasonably foreseeable fault or accident condition are such that </w:t>
      </w:r>
      <w:r w:rsidRPr="00D21F8F">
        <w:rPr>
          <w:rStyle w:val="LineNumber"/>
          <w:rFonts w:asciiTheme="minorHAnsi" w:hAnsiTheme="minorHAnsi"/>
          <w:color w:val="444448" w:themeColor="accent4"/>
          <w:sz w:val="22"/>
          <w:szCs w:val="22"/>
        </w:rPr>
        <w:t>radiation</w:t>
      </w:r>
      <w:r w:rsidRPr="00D21F8F">
        <w:rPr>
          <w:rStyle w:val="LineNumber"/>
          <w:rFonts w:asciiTheme="minorHAnsi" w:hAnsiTheme="minorHAnsi"/>
          <w:color w:val="444448" w:themeColor="accent4"/>
          <w:sz w:val="22"/>
        </w:rPr>
        <w:t xml:space="preserve"> protection of workers and the public is optimised according to the principles described in RPS F-1</w:t>
      </w:r>
      <w:r w:rsidR="000F6297" w:rsidRPr="00D21F8F">
        <w:rPr>
          <w:rStyle w:val="LineNumber"/>
          <w:rFonts w:asciiTheme="minorHAnsi" w:hAnsiTheme="minorHAnsi"/>
          <w:color w:val="444448" w:themeColor="accent4"/>
          <w:sz w:val="22"/>
        </w:rPr>
        <w:t xml:space="preserve"> (ARPANSA 2014</w:t>
      </w:r>
      <w:r w:rsidR="00640CD1">
        <w:rPr>
          <w:rStyle w:val="LineNumber"/>
          <w:rFonts w:asciiTheme="minorHAnsi" w:hAnsiTheme="minorHAnsi"/>
          <w:color w:val="444448" w:themeColor="accent4"/>
          <w:sz w:val="22"/>
        </w:rPr>
        <w:t>a</w:t>
      </w:r>
      <w:r w:rsidR="000F6297" w:rsidRPr="00D21F8F">
        <w:rPr>
          <w:rStyle w:val="LineNumber"/>
          <w:rFonts w:asciiTheme="minorHAnsi" w:hAnsiTheme="minorHAnsi"/>
          <w:color w:val="444448" w:themeColor="accent4"/>
          <w:sz w:val="22"/>
        </w:rPr>
        <w:t>)</w:t>
      </w:r>
    </w:p>
    <w:p w14:paraId="44A6408F" w14:textId="1B5460A2" w:rsidR="00C757E3" w:rsidRDefault="003467C2" w:rsidP="00C757E3">
      <w:pPr>
        <w:pStyle w:val="RPSNumberedBodyText"/>
        <w:numPr>
          <w:ilvl w:val="0"/>
          <w:numId w:val="49"/>
        </w:numPr>
        <w:jc w:val="left"/>
        <w:rPr>
          <w:rStyle w:val="LineNumber"/>
          <w:rFonts w:asciiTheme="minorHAnsi" w:hAnsiTheme="minorHAnsi"/>
          <w:color w:val="444448" w:themeColor="accent4"/>
          <w:sz w:val="22"/>
          <w:szCs w:val="22"/>
        </w:rPr>
      </w:pPr>
      <w:r w:rsidRPr="00D21F8F">
        <w:rPr>
          <w:rStyle w:val="LineNumber"/>
          <w:rFonts w:asciiTheme="minorHAnsi" w:hAnsiTheme="minorHAnsi"/>
          <w:color w:val="444448" w:themeColor="accent4"/>
          <w:sz w:val="22"/>
          <w:szCs w:val="22"/>
        </w:rPr>
        <w:t xml:space="preserve">a dose constraint for workers </w:t>
      </w:r>
      <w:r w:rsidR="00907536">
        <w:rPr>
          <w:rStyle w:val="LineNumber"/>
          <w:rFonts w:asciiTheme="minorHAnsi" w:hAnsiTheme="minorHAnsi"/>
          <w:color w:val="444448" w:themeColor="accent4"/>
          <w:sz w:val="22"/>
          <w:szCs w:val="22"/>
        </w:rPr>
        <w:t>is</w:t>
      </w:r>
      <w:r w:rsidRPr="00D21F8F">
        <w:rPr>
          <w:rStyle w:val="LineNumber"/>
          <w:rFonts w:asciiTheme="minorHAnsi" w:hAnsiTheme="minorHAnsi"/>
          <w:color w:val="444448" w:themeColor="accent4"/>
          <w:sz w:val="22"/>
          <w:szCs w:val="22"/>
        </w:rPr>
        <w:t xml:space="preserve"> proposed below which protection will be optimised, in accordance with the national standards documents RPS F-1</w:t>
      </w:r>
      <w:r w:rsidR="000F6297" w:rsidRPr="00D21F8F">
        <w:rPr>
          <w:rStyle w:val="LineNumber"/>
          <w:rFonts w:asciiTheme="minorHAnsi" w:hAnsiTheme="minorHAnsi"/>
          <w:color w:val="444448" w:themeColor="accent4"/>
          <w:sz w:val="22"/>
          <w:szCs w:val="22"/>
        </w:rPr>
        <w:t xml:space="preserve"> </w:t>
      </w:r>
      <w:r w:rsidR="000F6297" w:rsidRPr="00D21F8F">
        <w:rPr>
          <w:rStyle w:val="LineNumber"/>
          <w:rFonts w:asciiTheme="minorHAnsi" w:hAnsiTheme="minorHAnsi"/>
          <w:color w:val="444448" w:themeColor="accent4"/>
          <w:sz w:val="22"/>
        </w:rPr>
        <w:t>(ARPANSA 2014</w:t>
      </w:r>
      <w:r w:rsidR="00640CD1">
        <w:rPr>
          <w:rStyle w:val="LineNumber"/>
          <w:rFonts w:asciiTheme="minorHAnsi" w:hAnsiTheme="minorHAnsi"/>
          <w:color w:val="444448" w:themeColor="accent4"/>
          <w:sz w:val="22"/>
        </w:rPr>
        <w:t>a</w:t>
      </w:r>
      <w:r w:rsidR="000F6297" w:rsidRPr="00D21F8F">
        <w:rPr>
          <w:rStyle w:val="LineNumber"/>
          <w:rFonts w:asciiTheme="minorHAnsi" w:hAnsiTheme="minorHAnsi"/>
          <w:color w:val="444448" w:themeColor="accent4"/>
          <w:sz w:val="22"/>
        </w:rPr>
        <w:t>)</w:t>
      </w:r>
      <w:r w:rsidRPr="00D21F8F">
        <w:rPr>
          <w:rStyle w:val="LineNumber"/>
          <w:rFonts w:asciiTheme="minorHAnsi" w:hAnsiTheme="minorHAnsi"/>
          <w:color w:val="444448" w:themeColor="accent4"/>
          <w:sz w:val="22"/>
          <w:szCs w:val="22"/>
        </w:rPr>
        <w:t xml:space="preserve"> and RPS C-1</w:t>
      </w:r>
      <w:r w:rsidR="000F6297">
        <w:rPr>
          <w:rStyle w:val="LineNumber"/>
          <w:rFonts w:asciiTheme="minorHAnsi" w:hAnsiTheme="minorHAnsi"/>
          <w:color w:val="444448" w:themeColor="accent4"/>
          <w:sz w:val="22"/>
          <w:szCs w:val="22"/>
        </w:rPr>
        <w:t xml:space="preserve"> </w:t>
      </w:r>
      <w:r w:rsidR="000F6297">
        <w:rPr>
          <w:rStyle w:val="LineNumber"/>
          <w:rFonts w:asciiTheme="minorHAnsi" w:hAnsiTheme="minorHAnsi"/>
          <w:color w:val="444448" w:themeColor="accent4"/>
          <w:sz w:val="22"/>
        </w:rPr>
        <w:t>(ARPANSA 2016)</w:t>
      </w:r>
      <w:r w:rsidRPr="00A80F9D">
        <w:rPr>
          <w:rStyle w:val="LineNumber"/>
          <w:rFonts w:asciiTheme="minorHAnsi" w:hAnsiTheme="minorHAnsi"/>
          <w:color w:val="444448" w:themeColor="accent4"/>
          <w:sz w:val="22"/>
          <w:szCs w:val="22"/>
        </w:rPr>
        <w:t xml:space="preserve"> and which is agreed to by the </w:t>
      </w:r>
      <w:r w:rsidR="00093E5D">
        <w:rPr>
          <w:rStyle w:val="LineNumber"/>
          <w:rFonts w:asciiTheme="minorHAnsi" w:hAnsiTheme="minorHAnsi"/>
          <w:color w:val="444448" w:themeColor="accent4"/>
          <w:sz w:val="22"/>
          <w:szCs w:val="22"/>
        </w:rPr>
        <w:t>r</w:t>
      </w:r>
      <w:r w:rsidRPr="00A80F9D">
        <w:rPr>
          <w:rStyle w:val="LineNumber"/>
          <w:rFonts w:asciiTheme="minorHAnsi" w:hAnsiTheme="minorHAnsi"/>
          <w:color w:val="444448" w:themeColor="accent4"/>
          <w:sz w:val="22"/>
          <w:szCs w:val="22"/>
        </w:rPr>
        <w:t xml:space="preserve">elevant </w:t>
      </w:r>
      <w:r w:rsidR="00093E5D">
        <w:rPr>
          <w:rStyle w:val="LineNumber"/>
          <w:rFonts w:asciiTheme="minorHAnsi" w:hAnsiTheme="minorHAnsi"/>
          <w:color w:val="444448" w:themeColor="accent4"/>
          <w:sz w:val="22"/>
          <w:szCs w:val="22"/>
        </w:rPr>
        <w:t>r</w:t>
      </w:r>
      <w:r w:rsidR="004F1A0C">
        <w:rPr>
          <w:rStyle w:val="LineNumber"/>
          <w:rFonts w:asciiTheme="minorHAnsi" w:hAnsiTheme="minorHAnsi"/>
          <w:color w:val="444448" w:themeColor="accent4"/>
          <w:sz w:val="22"/>
          <w:szCs w:val="22"/>
        </w:rPr>
        <w:t xml:space="preserve">egulatory </w:t>
      </w:r>
      <w:r w:rsidR="00093E5D">
        <w:rPr>
          <w:rStyle w:val="LineNumber"/>
          <w:rFonts w:asciiTheme="minorHAnsi" w:hAnsiTheme="minorHAnsi"/>
          <w:color w:val="444448" w:themeColor="accent4"/>
          <w:sz w:val="22"/>
          <w:szCs w:val="22"/>
        </w:rPr>
        <w:t>a</w:t>
      </w:r>
      <w:r w:rsidRPr="00A80F9D">
        <w:rPr>
          <w:rStyle w:val="LineNumber"/>
          <w:rFonts w:asciiTheme="minorHAnsi" w:hAnsiTheme="minorHAnsi"/>
          <w:color w:val="444448" w:themeColor="accent4"/>
          <w:sz w:val="22"/>
          <w:szCs w:val="22"/>
        </w:rPr>
        <w:t>uthority</w:t>
      </w:r>
    </w:p>
    <w:p w14:paraId="0C63C710" w14:textId="4F6D3385" w:rsidR="00907536" w:rsidRPr="00C757E3" w:rsidRDefault="00EC25BD" w:rsidP="00C757E3">
      <w:pPr>
        <w:pStyle w:val="RPSNumberedBodyText"/>
        <w:numPr>
          <w:ilvl w:val="0"/>
          <w:numId w:val="49"/>
        </w:numPr>
        <w:jc w:val="left"/>
        <w:rPr>
          <w:rStyle w:val="LineNumber"/>
          <w:rFonts w:asciiTheme="minorHAnsi" w:hAnsiTheme="minorHAnsi"/>
          <w:color w:val="444448" w:themeColor="accent4"/>
          <w:sz w:val="22"/>
          <w:szCs w:val="22"/>
        </w:rPr>
      </w:pPr>
      <w:r w:rsidRPr="00C757E3">
        <w:rPr>
          <w:rStyle w:val="LineNumber"/>
          <w:rFonts w:asciiTheme="minorHAnsi" w:hAnsiTheme="minorHAnsi"/>
          <w:color w:val="444448" w:themeColor="accent4"/>
          <w:sz w:val="22"/>
          <w:szCs w:val="22"/>
        </w:rPr>
        <w:t>for normal evolution</w:t>
      </w:r>
      <w:r w:rsidR="001F0D25">
        <w:rPr>
          <w:rStyle w:val="LineNumber"/>
          <w:rFonts w:asciiTheme="minorHAnsi" w:hAnsiTheme="minorHAnsi"/>
          <w:color w:val="444448" w:themeColor="accent4"/>
          <w:sz w:val="22"/>
          <w:szCs w:val="22"/>
        </w:rPr>
        <w:t xml:space="preserve"> after closure of the disposal facility</w:t>
      </w:r>
      <w:r w:rsidRPr="00C757E3">
        <w:rPr>
          <w:rStyle w:val="LineNumber"/>
          <w:rFonts w:asciiTheme="minorHAnsi" w:hAnsiTheme="minorHAnsi"/>
          <w:color w:val="444448" w:themeColor="accent4"/>
          <w:sz w:val="22"/>
          <w:szCs w:val="22"/>
        </w:rPr>
        <w:t xml:space="preserve">, including reasonably foreseeable natural disruptive events, optimisation and use of best available techniques must aim at </w:t>
      </w:r>
      <w:r w:rsidRPr="00C757E3">
        <w:rPr>
          <w:rStyle w:val="LineNumber"/>
          <w:rFonts w:asciiTheme="minorHAnsi" w:hAnsiTheme="minorHAnsi"/>
          <w:color w:val="444448" w:themeColor="accent4"/>
          <w:sz w:val="22"/>
          <w:szCs w:val="22"/>
        </w:rPr>
        <w:lastRenderedPageBreak/>
        <w:t>reducing the annual risk for health detriment</w:t>
      </w:r>
      <w:r>
        <w:rPr>
          <w:rStyle w:val="FootnoteReference"/>
          <w:rFonts w:asciiTheme="minorHAnsi" w:hAnsiTheme="minorHAnsi"/>
          <w:color w:val="444448" w:themeColor="accent4"/>
          <w:sz w:val="22"/>
          <w:szCs w:val="22"/>
        </w:rPr>
        <w:footnoteReference w:id="1"/>
      </w:r>
      <w:r w:rsidRPr="00C757E3">
        <w:rPr>
          <w:rStyle w:val="LineNumber"/>
          <w:rFonts w:asciiTheme="minorHAnsi" w:hAnsiTheme="minorHAnsi"/>
          <w:color w:val="444448" w:themeColor="accent4"/>
          <w:sz w:val="22"/>
          <w:szCs w:val="22"/>
        </w:rPr>
        <w:t xml:space="preserve"> for a member of the public to within the range 10</w:t>
      </w:r>
      <w:r w:rsidRPr="00C757E3">
        <w:rPr>
          <w:rStyle w:val="LineNumber"/>
          <w:rFonts w:asciiTheme="minorHAnsi" w:hAnsiTheme="minorHAnsi"/>
          <w:color w:val="444448" w:themeColor="accent4"/>
          <w:sz w:val="22"/>
          <w:szCs w:val="22"/>
          <w:vertAlign w:val="superscript"/>
        </w:rPr>
        <w:t xml:space="preserve">-5 </w:t>
      </w:r>
      <w:r w:rsidRPr="00C757E3">
        <w:rPr>
          <w:rStyle w:val="LineNumber"/>
          <w:rFonts w:asciiTheme="minorHAnsi" w:hAnsiTheme="minorHAnsi"/>
          <w:color w:val="444448" w:themeColor="accent4"/>
          <w:sz w:val="22"/>
          <w:szCs w:val="22"/>
        </w:rPr>
        <w:t>to 10</w:t>
      </w:r>
      <w:r w:rsidRPr="00C757E3">
        <w:rPr>
          <w:rStyle w:val="LineNumber"/>
          <w:rFonts w:asciiTheme="minorHAnsi" w:hAnsiTheme="minorHAnsi"/>
          <w:color w:val="444448" w:themeColor="accent4"/>
          <w:sz w:val="22"/>
          <w:szCs w:val="22"/>
          <w:vertAlign w:val="superscript"/>
        </w:rPr>
        <w:t>-6</w:t>
      </w:r>
      <w:r w:rsidRPr="00C757E3">
        <w:rPr>
          <w:rStyle w:val="LineNumber"/>
          <w:rFonts w:asciiTheme="minorHAnsi" w:hAnsiTheme="minorHAnsi"/>
          <w:color w:val="444448" w:themeColor="accent4"/>
          <w:sz w:val="22"/>
          <w:szCs w:val="22"/>
        </w:rPr>
        <w:t xml:space="preserve"> or less.</w:t>
      </w:r>
    </w:p>
    <w:p w14:paraId="5C7CD6E3" w14:textId="77777777" w:rsidR="00841F85" w:rsidRPr="001A2A2F" w:rsidRDefault="00841F85" w:rsidP="00841F85">
      <w:pPr>
        <w:pStyle w:val="RPSNumberedBodyText"/>
        <w:numPr>
          <w:ilvl w:val="0"/>
          <w:numId w:val="0"/>
        </w:numPr>
        <w:jc w:val="left"/>
        <w:rP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65E961E8" w14:textId="77777777" w:rsidTr="005028FE">
        <w:tc>
          <w:tcPr>
            <w:tcW w:w="8720" w:type="dxa"/>
            <w:shd w:val="clear" w:color="auto" w:fill="4E1A74" w:themeFill="text2"/>
          </w:tcPr>
          <w:p w14:paraId="3C4CB5DB"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Preparation of the Radiation Management Plan</w:t>
            </w:r>
          </w:p>
        </w:tc>
      </w:tr>
    </w:tbl>
    <w:p w14:paraId="455DE8D5" w14:textId="77C112EA" w:rsidR="00841F85"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Before the commencement of any stage of an operation to which this Code applies, a Radiation Management Plan </w:t>
      </w:r>
      <w:r w:rsidR="00B7363C">
        <w:rPr>
          <w:rStyle w:val="LineNumber"/>
          <w:rFonts w:asciiTheme="minorHAnsi" w:hAnsiTheme="minorHAnsi"/>
          <w:color w:val="444448" w:themeColor="accent4"/>
          <w:sz w:val="22"/>
          <w:szCs w:val="22"/>
        </w:rPr>
        <w:t xml:space="preserve">(RMP) </w:t>
      </w:r>
      <w:r w:rsidRPr="00A80F9D">
        <w:rPr>
          <w:rStyle w:val="LineNumber"/>
          <w:rFonts w:asciiTheme="minorHAnsi" w:hAnsiTheme="minorHAnsi"/>
          <w:color w:val="444448" w:themeColor="accent4"/>
          <w:sz w:val="22"/>
          <w:szCs w:val="22"/>
        </w:rPr>
        <w:t xml:space="preserve">for that stage must be devised and presented to the relevant regulatory authority for approval. The Plan must be directed towards meeting the objectives of this Code </w:t>
      </w:r>
      <w:r w:rsidR="000D477A">
        <w:rPr>
          <w:rStyle w:val="LineNumber"/>
          <w:rFonts w:asciiTheme="minorHAnsi" w:hAnsiTheme="minorHAnsi"/>
          <w:color w:val="444448" w:themeColor="accent4"/>
          <w:sz w:val="22"/>
          <w:szCs w:val="22"/>
        </w:rPr>
        <w:t xml:space="preserve">and the </w:t>
      </w:r>
      <w:r w:rsidR="00B7363C">
        <w:rPr>
          <w:rStyle w:val="LineNumber"/>
          <w:rFonts w:asciiTheme="minorHAnsi" w:hAnsiTheme="minorHAnsi"/>
          <w:color w:val="444448" w:themeColor="accent4"/>
          <w:sz w:val="22"/>
          <w:szCs w:val="22"/>
        </w:rPr>
        <w:t>‘</w:t>
      </w:r>
      <w:r w:rsidR="000D477A" w:rsidRPr="00A73DFA">
        <w:rPr>
          <w:rStyle w:val="LineNumber"/>
          <w:rFonts w:asciiTheme="minorHAnsi" w:hAnsiTheme="minorHAnsi"/>
          <w:i/>
          <w:color w:val="444448" w:themeColor="accent4"/>
          <w:sz w:val="22"/>
          <w:szCs w:val="22"/>
        </w:rPr>
        <w:t>Planned Exposure Code</w:t>
      </w:r>
      <w:r w:rsidR="00B7363C">
        <w:rPr>
          <w:rStyle w:val="LineNumber"/>
          <w:rFonts w:asciiTheme="minorHAnsi" w:hAnsiTheme="minorHAnsi"/>
          <w:i/>
          <w:color w:val="444448" w:themeColor="accent4"/>
          <w:sz w:val="22"/>
          <w:szCs w:val="22"/>
        </w:rPr>
        <w:t>’</w:t>
      </w:r>
      <w:r w:rsidR="000D477A" w:rsidRPr="00A73DFA">
        <w:rPr>
          <w:rStyle w:val="LineNumber"/>
          <w:rFonts w:asciiTheme="minorHAnsi" w:hAnsiTheme="minorHAnsi"/>
          <w:i/>
          <w:color w:val="444448" w:themeColor="accent4"/>
          <w:sz w:val="22"/>
          <w:szCs w:val="22"/>
        </w:rPr>
        <w:t xml:space="preserve"> </w:t>
      </w:r>
      <w:r w:rsidR="000D477A">
        <w:rPr>
          <w:rStyle w:val="LineNumber"/>
          <w:rFonts w:asciiTheme="minorHAnsi" w:hAnsiTheme="minorHAnsi"/>
          <w:color w:val="444448" w:themeColor="accent4"/>
          <w:sz w:val="22"/>
          <w:szCs w:val="22"/>
        </w:rPr>
        <w:t>(</w:t>
      </w:r>
      <w:r w:rsidR="00E85675">
        <w:rPr>
          <w:rStyle w:val="LineNumber"/>
          <w:rFonts w:asciiTheme="minorHAnsi" w:hAnsiTheme="minorHAnsi"/>
          <w:color w:val="444448" w:themeColor="accent4"/>
          <w:sz w:val="22"/>
          <w:szCs w:val="22"/>
        </w:rPr>
        <w:t>ARPANSA 2016</w:t>
      </w:r>
      <w:r w:rsidR="000D477A">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and must be in accordance with best practicable technology and take into account the po</w:t>
      </w:r>
      <w:r w:rsidR="00841F85" w:rsidRPr="00A80F9D">
        <w:rPr>
          <w:rStyle w:val="LineNumber"/>
          <w:rFonts w:asciiTheme="minorHAnsi" w:hAnsiTheme="minorHAnsi"/>
          <w:color w:val="444448" w:themeColor="accent4"/>
          <w:sz w:val="22"/>
          <w:szCs w:val="22"/>
        </w:rPr>
        <w:t>tential dose delivery pathways.</w:t>
      </w:r>
      <w:r w:rsidR="004F1A0C">
        <w:rPr>
          <w:rStyle w:val="LineNumber"/>
          <w:rFonts w:asciiTheme="minorHAnsi" w:hAnsiTheme="minorHAnsi"/>
          <w:color w:val="444448" w:themeColor="accent4"/>
          <w:sz w:val="22"/>
          <w:szCs w:val="22"/>
        </w:rPr>
        <w:t xml:space="preserve"> The </w:t>
      </w:r>
      <w:r w:rsidR="00B7363C">
        <w:rPr>
          <w:rStyle w:val="LineNumber"/>
          <w:rFonts w:asciiTheme="minorHAnsi" w:hAnsiTheme="minorHAnsi"/>
          <w:color w:val="444448" w:themeColor="accent4"/>
          <w:sz w:val="22"/>
          <w:szCs w:val="22"/>
        </w:rPr>
        <w:t xml:space="preserve">RMP </w:t>
      </w:r>
      <w:r w:rsidR="004F1A0C">
        <w:rPr>
          <w:rStyle w:val="LineNumber"/>
          <w:rFonts w:asciiTheme="minorHAnsi" w:hAnsiTheme="minorHAnsi"/>
          <w:color w:val="444448" w:themeColor="accent4"/>
          <w:sz w:val="22"/>
          <w:szCs w:val="22"/>
        </w:rPr>
        <w:t xml:space="preserve">forms part of the </w:t>
      </w:r>
      <w:r w:rsidR="00B7363C">
        <w:rPr>
          <w:rStyle w:val="LineNumber"/>
          <w:rFonts w:asciiTheme="minorHAnsi" w:hAnsiTheme="minorHAnsi"/>
          <w:color w:val="444448" w:themeColor="accent4"/>
          <w:sz w:val="22"/>
          <w:szCs w:val="22"/>
        </w:rPr>
        <w:t>s</w:t>
      </w:r>
      <w:r w:rsidR="004F1A0C">
        <w:rPr>
          <w:rStyle w:val="LineNumber"/>
          <w:rFonts w:asciiTheme="minorHAnsi" w:hAnsiTheme="minorHAnsi"/>
          <w:color w:val="444448" w:themeColor="accent4"/>
          <w:sz w:val="22"/>
          <w:szCs w:val="22"/>
        </w:rPr>
        <w:t xml:space="preserve">afety </w:t>
      </w:r>
      <w:r w:rsidR="00B7363C">
        <w:rPr>
          <w:rStyle w:val="LineNumber"/>
          <w:rFonts w:asciiTheme="minorHAnsi" w:hAnsiTheme="minorHAnsi"/>
          <w:color w:val="444448" w:themeColor="accent4"/>
          <w:sz w:val="22"/>
          <w:szCs w:val="22"/>
        </w:rPr>
        <w:t>c</w:t>
      </w:r>
      <w:r w:rsidR="004F1A0C">
        <w:rPr>
          <w:rStyle w:val="LineNumber"/>
          <w:rFonts w:asciiTheme="minorHAnsi" w:hAnsiTheme="minorHAnsi"/>
          <w:color w:val="444448" w:themeColor="accent4"/>
          <w:sz w:val="22"/>
          <w:szCs w:val="22"/>
        </w:rPr>
        <w:t>ase.</w:t>
      </w:r>
    </w:p>
    <w:p w14:paraId="02C22D36" w14:textId="77777777" w:rsidR="00841F85" w:rsidRPr="009E11F8" w:rsidRDefault="00841F85" w:rsidP="00841F85">
      <w:pPr>
        <w:pStyle w:val="RPSNumberedBodyText"/>
        <w:numPr>
          <w:ilvl w:val="0"/>
          <w:numId w:val="0"/>
        </w:numPr>
        <w:jc w:val="left"/>
        <w:rPr>
          <w:rStyle w:val="LineNumber"/>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1D77A08A" w14:textId="77777777" w:rsidTr="005028FE">
        <w:tc>
          <w:tcPr>
            <w:tcW w:w="8720" w:type="dxa"/>
            <w:shd w:val="clear" w:color="auto" w:fill="4E1A74" w:themeFill="text2"/>
          </w:tcPr>
          <w:p w14:paraId="6E4D104F" w14:textId="504793B8" w:rsidR="00841F85" w:rsidRPr="00AD6C06" w:rsidRDefault="00841F85" w:rsidP="00841F85">
            <w:pPr>
              <w:spacing w:before="120" w:after="120"/>
              <w:ind w:left="1985" w:hanging="1985"/>
              <w:rPr>
                <w:rFonts w:cstheme="minorHAnsi"/>
                <w:b/>
                <w:color w:val="FFFFFF"/>
              </w:rPr>
            </w:pPr>
            <w:r w:rsidRPr="00AD6C06">
              <w:rPr>
                <w:rFonts w:cstheme="minorHAnsi"/>
                <w:b/>
                <w:color w:val="FFFFFF"/>
              </w:rPr>
              <w:t xml:space="preserve">Approvals and </w:t>
            </w:r>
            <w:r w:rsidR="00B7363C">
              <w:rPr>
                <w:rFonts w:cstheme="minorHAnsi"/>
                <w:b/>
                <w:color w:val="FFFFFF"/>
              </w:rPr>
              <w:t>a</w:t>
            </w:r>
            <w:r w:rsidRPr="00AD6C06">
              <w:rPr>
                <w:rFonts w:cstheme="minorHAnsi"/>
                <w:b/>
                <w:color w:val="FFFFFF"/>
              </w:rPr>
              <w:t>uthorisations</w:t>
            </w:r>
          </w:p>
        </w:tc>
      </w:tr>
    </w:tbl>
    <w:p w14:paraId="11567FAA" w14:textId="77777777" w:rsidR="003467C2" w:rsidRPr="005858DA" w:rsidRDefault="003467C2" w:rsidP="007C7DE6">
      <w:pPr>
        <w:pStyle w:val="ListParagraph"/>
        <w:numPr>
          <w:ilvl w:val="1"/>
          <w:numId w:val="12"/>
        </w:numPr>
        <w:spacing w:before="240" w:line="276" w:lineRule="auto"/>
        <w:rPr>
          <w:b/>
          <w:vanish/>
          <w:sz w:val="32"/>
          <w:szCs w:val="36"/>
        </w:rPr>
      </w:pPr>
    </w:p>
    <w:p w14:paraId="3E6C52B5" w14:textId="17E2B7DD"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Prior to the commencement of any stage of </w:t>
      </w:r>
      <w:r w:rsidR="00616624">
        <w:rPr>
          <w:rStyle w:val="LineNumber"/>
          <w:rFonts w:asciiTheme="minorHAnsi" w:hAnsiTheme="minorHAnsi"/>
          <w:color w:val="444448" w:themeColor="accent4"/>
          <w:sz w:val="22"/>
          <w:szCs w:val="22"/>
        </w:rPr>
        <w:t>the life-cycle of any facility</w:t>
      </w:r>
      <w:r w:rsidRPr="00A80F9D">
        <w:rPr>
          <w:rStyle w:val="LineNumber"/>
          <w:rFonts w:asciiTheme="minorHAnsi" w:hAnsiTheme="minorHAnsi"/>
          <w:color w:val="444448" w:themeColor="accent4"/>
          <w:sz w:val="22"/>
          <w:szCs w:val="22"/>
        </w:rPr>
        <w:t xml:space="preserve"> to which this Code applies, the operator must obtain approval for the </w:t>
      </w:r>
      <w:r w:rsidR="00304744">
        <w:rPr>
          <w:rStyle w:val="LineNumber"/>
          <w:rFonts w:asciiTheme="minorHAnsi" w:hAnsiTheme="minorHAnsi"/>
          <w:color w:val="444448" w:themeColor="accent4"/>
          <w:sz w:val="22"/>
          <w:szCs w:val="22"/>
        </w:rPr>
        <w:t>s</w:t>
      </w:r>
      <w:r w:rsidR="00E30C43">
        <w:rPr>
          <w:rStyle w:val="LineNumber"/>
          <w:rFonts w:asciiTheme="minorHAnsi" w:hAnsiTheme="minorHAnsi"/>
          <w:color w:val="444448" w:themeColor="accent4"/>
          <w:sz w:val="22"/>
          <w:szCs w:val="22"/>
        </w:rPr>
        <w:t xml:space="preserve">afety </w:t>
      </w:r>
      <w:r w:rsidR="00304744">
        <w:rPr>
          <w:rStyle w:val="LineNumber"/>
          <w:rFonts w:asciiTheme="minorHAnsi" w:hAnsiTheme="minorHAnsi"/>
          <w:color w:val="444448" w:themeColor="accent4"/>
          <w:sz w:val="22"/>
          <w:szCs w:val="22"/>
        </w:rPr>
        <w:t>c</w:t>
      </w:r>
      <w:r w:rsidR="00E30C43">
        <w:rPr>
          <w:rStyle w:val="LineNumber"/>
          <w:rFonts w:asciiTheme="minorHAnsi" w:hAnsiTheme="minorHAnsi"/>
          <w:color w:val="444448" w:themeColor="accent4"/>
          <w:sz w:val="22"/>
          <w:szCs w:val="22"/>
        </w:rPr>
        <w:t xml:space="preserve">ase (including the </w:t>
      </w:r>
      <w:r w:rsidRPr="00A80F9D">
        <w:rPr>
          <w:rStyle w:val="LineNumber"/>
          <w:rFonts w:asciiTheme="minorHAnsi" w:hAnsiTheme="minorHAnsi"/>
          <w:color w:val="444448" w:themeColor="accent4"/>
          <w:sz w:val="22"/>
          <w:szCs w:val="22"/>
        </w:rPr>
        <w:t>Radiation Management Plan</w:t>
      </w:r>
      <w:r w:rsidR="00E30C43">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appropriate for the proposed activities at that stage.</w:t>
      </w:r>
    </w:p>
    <w:p w14:paraId="5CADBB33" w14:textId="7777777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An operator must not commence any of the steps of construction, operation, decommissioning, closure or rehabilitation of any part of a disposal facility to which this Code applies without </w:t>
      </w:r>
      <w:r w:rsidRPr="008F3FA7">
        <w:rPr>
          <w:rStyle w:val="LineNumber"/>
          <w:rFonts w:asciiTheme="minorHAnsi" w:hAnsiTheme="minorHAnsi"/>
          <w:color w:val="444448" w:themeColor="accent4"/>
          <w:sz w:val="22"/>
          <w:szCs w:val="22"/>
        </w:rPr>
        <w:t>authorisation</w:t>
      </w:r>
      <w:r w:rsidRPr="00A80F9D">
        <w:rPr>
          <w:rStyle w:val="LineNumber"/>
          <w:rFonts w:asciiTheme="minorHAnsi" w:hAnsiTheme="minorHAnsi"/>
          <w:color w:val="444448" w:themeColor="accent4"/>
          <w:sz w:val="22"/>
          <w:szCs w:val="22"/>
        </w:rPr>
        <w:t xml:space="preserve"> from the relevant regulatory authority.</w:t>
      </w:r>
    </w:p>
    <w:p w14:paraId="0FF37E61" w14:textId="3E2C9540"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The operator must inform the relevant regulatory authority of any proposal for significant changes to an operation to which an approved </w:t>
      </w:r>
      <w:r w:rsidR="009665DD">
        <w:rPr>
          <w:rStyle w:val="LineNumber"/>
          <w:rFonts w:asciiTheme="minorHAnsi" w:hAnsiTheme="minorHAnsi"/>
          <w:color w:val="444448" w:themeColor="accent4"/>
          <w:sz w:val="22"/>
          <w:szCs w:val="22"/>
        </w:rPr>
        <w:t>s</w:t>
      </w:r>
      <w:r w:rsidR="00E30C43">
        <w:rPr>
          <w:rStyle w:val="LineNumber"/>
          <w:rFonts w:asciiTheme="minorHAnsi" w:hAnsiTheme="minorHAnsi"/>
          <w:color w:val="444448" w:themeColor="accent4"/>
          <w:sz w:val="22"/>
          <w:szCs w:val="22"/>
        </w:rPr>
        <w:t xml:space="preserve">afety </w:t>
      </w:r>
      <w:r w:rsidR="009665DD">
        <w:rPr>
          <w:rStyle w:val="LineNumber"/>
          <w:rFonts w:asciiTheme="minorHAnsi" w:hAnsiTheme="minorHAnsi"/>
          <w:color w:val="444448" w:themeColor="accent4"/>
          <w:sz w:val="22"/>
          <w:szCs w:val="22"/>
        </w:rPr>
        <w:t>c</w:t>
      </w:r>
      <w:r w:rsidR="00E30C43">
        <w:rPr>
          <w:rStyle w:val="LineNumber"/>
          <w:rFonts w:asciiTheme="minorHAnsi" w:hAnsiTheme="minorHAnsi"/>
          <w:color w:val="444448" w:themeColor="accent4"/>
          <w:sz w:val="22"/>
          <w:szCs w:val="22"/>
        </w:rPr>
        <w:t xml:space="preserve">ase and </w:t>
      </w:r>
      <w:r w:rsidRPr="00A80F9D">
        <w:rPr>
          <w:rStyle w:val="LineNumber"/>
          <w:rFonts w:asciiTheme="minorHAnsi" w:hAnsiTheme="minorHAnsi"/>
          <w:color w:val="444448" w:themeColor="accent4"/>
          <w:sz w:val="22"/>
          <w:szCs w:val="22"/>
        </w:rPr>
        <w:t>Rad</w:t>
      </w:r>
      <w:r w:rsidR="00175726">
        <w:rPr>
          <w:rStyle w:val="LineNumber"/>
          <w:rFonts w:asciiTheme="minorHAnsi" w:hAnsiTheme="minorHAnsi"/>
          <w:color w:val="444448" w:themeColor="accent4"/>
          <w:sz w:val="22"/>
          <w:szCs w:val="22"/>
        </w:rPr>
        <w:t>iation Management Plan applies.</w:t>
      </w:r>
      <w:r w:rsidRPr="00A80F9D">
        <w:rPr>
          <w:rStyle w:val="LineNumber"/>
          <w:rFonts w:asciiTheme="minorHAnsi" w:hAnsiTheme="minorHAnsi"/>
          <w:color w:val="444448" w:themeColor="accent4"/>
          <w:sz w:val="22"/>
          <w:szCs w:val="22"/>
        </w:rPr>
        <w:t xml:space="preserve"> The relevant regulatory authority may, on receipt of such notification, direct that a new </w:t>
      </w:r>
      <w:r w:rsidR="009665DD">
        <w:rPr>
          <w:rStyle w:val="LineNumber"/>
          <w:rFonts w:asciiTheme="minorHAnsi" w:hAnsiTheme="minorHAnsi"/>
          <w:color w:val="444448" w:themeColor="accent4"/>
          <w:sz w:val="22"/>
          <w:szCs w:val="22"/>
        </w:rPr>
        <w:t>s</w:t>
      </w:r>
      <w:r w:rsidR="00E30C43">
        <w:rPr>
          <w:rStyle w:val="LineNumber"/>
          <w:rFonts w:asciiTheme="minorHAnsi" w:hAnsiTheme="minorHAnsi"/>
          <w:color w:val="444448" w:themeColor="accent4"/>
          <w:sz w:val="22"/>
          <w:szCs w:val="22"/>
        </w:rPr>
        <w:t xml:space="preserve">afety </w:t>
      </w:r>
      <w:r w:rsidR="009665DD">
        <w:rPr>
          <w:rStyle w:val="LineNumber"/>
          <w:rFonts w:asciiTheme="minorHAnsi" w:hAnsiTheme="minorHAnsi"/>
          <w:color w:val="444448" w:themeColor="accent4"/>
          <w:sz w:val="22"/>
          <w:szCs w:val="22"/>
        </w:rPr>
        <w:t>c</w:t>
      </w:r>
      <w:r w:rsidR="00E30C43">
        <w:rPr>
          <w:rStyle w:val="LineNumber"/>
          <w:rFonts w:asciiTheme="minorHAnsi" w:hAnsiTheme="minorHAnsi"/>
          <w:color w:val="444448" w:themeColor="accent4"/>
          <w:sz w:val="22"/>
          <w:szCs w:val="22"/>
        </w:rPr>
        <w:t>ase</w:t>
      </w:r>
      <w:r w:rsidRPr="00A80F9D">
        <w:rPr>
          <w:rStyle w:val="LineNumber"/>
          <w:rFonts w:asciiTheme="minorHAnsi" w:hAnsiTheme="minorHAnsi"/>
          <w:color w:val="444448" w:themeColor="accent4"/>
          <w:sz w:val="22"/>
          <w:szCs w:val="22"/>
        </w:rPr>
        <w:t xml:space="preserve"> or part thereof must be submitted, and that those changes must not be brought into operation without authorisation.</w:t>
      </w:r>
    </w:p>
    <w:p w14:paraId="0B440378" w14:textId="2D1C0CBC" w:rsidR="003467C2" w:rsidRPr="00A80F9D" w:rsidRDefault="003467C2" w:rsidP="007C04EC">
      <w:pPr>
        <w:pStyle w:val="RPSNumberedBodyText"/>
        <w:tabs>
          <w:tab w:val="num" w:pos="0"/>
        </w:tabs>
        <w:ind w:left="709" w:hanging="709"/>
        <w:jc w:val="left"/>
        <w:rPr>
          <w:color w:val="444448" w:themeColor="accent4"/>
        </w:rPr>
      </w:pPr>
      <w:r w:rsidRPr="00A80F9D">
        <w:rPr>
          <w:rStyle w:val="LineNumber"/>
          <w:rFonts w:asciiTheme="minorHAnsi" w:hAnsiTheme="minorHAnsi"/>
          <w:color w:val="444448" w:themeColor="accent4"/>
          <w:sz w:val="22"/>
          <w:szCs w:val="22"/>
        </w:rPr>
        <w:t xml:space="preserve">The operator must review the </w:t>
      </w:r>
      <w:r w:rsidR="009665DD">
        <w:rPr>
          <w:rStyle w:val="LineNumber"/>
          <w:rFonts w:asciiTheme="minorHAnsi" w:hAnsiTheme="minorHAnsi"/>
          <w:color w:val="444448" w:themeColor="accent4"/>
          <w:sz w:val="22"/>
          <w:szCs w:val="22"/>
        </w:rPr>
        <w:t>s</w:t>
      </w:r>
      <w:r w:rsidR="00E30C43">
        <w:rPr>
          <w:rStyle w:val="LineNumber"/>
          <w:rFonts w:asciiTheme="minorHAnsi" w:hAnsiTheme="minorHAnsi"/>
          <w:color w:val="444448" w:themeColor="accent4"/>
          <w:sz w:val="22"/>
          <w:szCs w:val="22"/>
        </w:rPr>
        <w:t xml:space="preserve">afety </w:t>
      </w:r>
      <w:r w:rsidR="009665DD">
        <w:rPr>
          <w:rStyle w:val="LineNumber"/>
          <w:rFonts w:asciiTheme="minorHAnsi" w:hAnsiTheme="minorHAnsi"/>
          <w:color w:val="444448" w:themeColor="accent4"/>
          <w:sz w:val="22"/>
          <w:szCs w:val="22"/>
        </w:rPr>
        <w:t>c</w:t>
      </w:r>
      <w:r w:rsidR="00E30C43">
        <w:rPr>
          <w:rStyle w:val="LineNumber"/>
          <w:rFonts w:asciiTheme="minorHAnsi" w:hAnsiTheme="minorHAnsi"/>
          <w:color w:val="444448" w:themeColor="accent4"/>
          <w:sz w:val="22"/>
          <w:szCs w:val="22"/>
        </w:rPr>
        <w:t>ase</w:t>
      </w:r>
      <w:r w:rsidRPr="00A80F9D">
        <w:rPr>
          <w:rStyle w:val="LineNumber"/>
          <w:rFonts w:asciiTheme="minorHAnsi" w:hAnsiTheme="minorHAnsi"/>
          <w:color w:val="444448" w:themeColor="accent4"/>
          <w:sz w:val="22"/>
          <w:szCs w:val="22"/>
        </w:rPr>
        <w:t xml:space="preserve"> and submit any revised plans for approval, at intervals determined by the relevant regulatory authority</w:t>
      </w:r>
      <w:r w:rsidRPr="00A80F9D">
        <w:rPr>
          <w:color w:val="444448" w:themeColor="accent4"/>
        </w:rPr>
        <w:t>.</w:t>
      </w:r>
    </w:p>
    <w:p w14:paraId="4B45B6DC" w14:textId="77777777" w:rsidR="00841F85" w:rsidRDefault="00841F85" w:rsidP="003467C2">
      <w:pPr>
        <w:pStyle w:val="RPSNumberedBodyText"/>
        <w:numPr>
          <w:ilvl w:val="0"/>
          <w:numId w:val="0"/>
        </w:numPr>
        <w:jc w:val="left"/>
        <w:rPr>
          <w:rStyle w:val="IntenseReference"/>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22706334" w14:textId="77777777" w:rsidTr="005028FE">
        <w:tc>
          <w:tcPr>
            <w:tcW w:w="8720" w:type="dxa"/>
            <w:shd w:val="clear" w:color="auto" w:fill="4E1A74" w:themeFill="text2"/>
          </w:tcPr>
          <w:p w14:paraId="4C84EC77" w14:textId="149D6C35" w:rsidR="00841F85" w:rsidRPr="00AD6C06" w:rsidRDefault="00A442B8" w:rsidP="00A442B8">
            <w:pPr>
              <w:spacing w:before="120" w:after="120"/>
              <w:ind w:left="1985" w:hanging="1985"/>
              <w:rPr>
                <w:rFonts w:cstheme="minorHAnsi"/>
                <w:b/>
                <w:color w:val="FFFFFF"/>
              </w:rPr>
            </w:pPr>
            <w:r w:rsidRPr="00AD6C06">
              <w:rPr>
                <w:rFonts w:cstheme="minorHAnsi"/>
                <w:b/>
                <w:color w:val="FFFFFF"/>
              </w:rPr>
              <w:t>Consultation</w:t>
            </w:r>
          </w:p>
        </w:tc>
      </w:tr>
    </w:tbl>
    <w:p w14:paraId="4C9A90CA" w14:textId="3F973658"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Consultation with stakeholders, including the public, must be an integral pa</w:t>
      </w:r>
      <w:r w:rsidR="00175726">
        <w:rPr>
          <w:rStyle w:val="LineNumber"/>
          <w:rFonts w:asciiTheme="minorHAnsi" w:hAnsiTheme="minorHAnsi"/>
          <w:color w:val="444448" w:themeColor="accent4"/>
          <w:sz w:val="22"/>
          <w:szCs w:val="22"/>
        </w:rPr>
        <w:t>rt of the regulatory processes.</w:t>
      </w:r>
      <w:r w:rsidRPr="00A80F9D">
        <w:rPr>
          <w:rStyle w:val="LineNumber"/>
          <w:rFonts w:asciiTheme="minorHAnsi" w:hAnsiTheme="minorHAnsi"/>
          <w:color w:val="444448" w:themeColor="accent4"/>
          <w:sz w:val="22"/>
          <w:szCs w:val="22"/>
        </w:rPr>
        <w:t xml:space="preserve"> Stakeholders are to be regarded by both proponent and regulator</w:t>
      </w:r>
      <w:r w:rsidR="00D3529D">
        <w:rPr>
          <w:rStyle w:val="LineNumber"/>
          <w:rFonts w:asciiTheme="minorHAnsi" w:hAnsiTheme="minorHAnsi"/>
          <w:color w:val="444448" w:themeColor="accent4"/>
          <w:sz w:val="22"/>
          <w:szCs w:val="22"/>
        </w:rPr>
        <w:t>y authorities</w:t>
      </w:r>
      <w:r w:rsidRPr="00A80F9D">
        <w:rPr>
          <w:rStyle w:val="LineNumber"/>
          <w:rFonts w:asciiTheme="minorHAnsi" w:hAnsiTheme="minorHAnsi"/>
          <w:color w:val="444448" w:themeColor="accent4"/>
          <w:sz w:val="22"/>
          <w:szCs w:val="22"/>
        </w:rPr>
        <w:t xml:space="preserve"> as an asset that will contribute knowledge </w:t>
      </w:r>
      <w:r w:rsidR="00AD6C06">
        <w:rPr>
          <w:rStyle w:val="LineNumber"/>
          <w:rFonts w:asciiTheme="minorHAnsi" w:hAnsiTheme="minorHAnsi"/>
          <w:color w:val="444448" w:themeColor="accent4"/>
          <w:sz w:val="22"/>
          <w:szCs w:val="22"/>
        </w:rPr>
        <w:t xml:space="preserve">to those processes. </w:t>
      </w:r>
      <w:r w:rsidRPr="00A80F9D">
        <w:rPr>
          <w:rStyle w:val="LineNumber"/>
          <w:rFonts w:asciiTheme="minorHAnsi" w:hAnsiTheme="minorHAnsi"/>
          <w:color w:val="444448" w:themeColor="accent4"/>
          <w:sz w:val="22"/>
          <w:szCs w:val="22"/>
        </w:rPr>
        <w:t xml:space="preserve">The role of stakeholders and their interaction with the </w:t>
      </w:r>
      <w:r w:rsidR="004E656C">
        <w:rPr>
          <w:rStyle w:val="LineNumber"/>
          <w:rFonts w:asciiTheme="minorHAnsi" w:hAnsiTheme="minorHAnsi"/>
          <w:color w:val="444448" w:themeColor="accent4"/>
          <w:sz w:val="22"/>
          <w:szCs w:val="22"/>
        </w:rPr>
        <w:t>proponent and regulator</w:t>
      </w:r>
      <w:r w:rsidR="00D3529D">
        <w:rPr>
          <w:rStyle w:val="LineNumber"/>
          <w:rFonts w:asciiTheme="minorHAnsi" w:hAnsiTheme="minorHAnsi"/>
          <w:color w:val="444448" w:themeColor="accent4"/>
          <w:sz w:val="22"/>
          <w:szCs w:val="22"/>
        </w:rPr>
        <w:t>y authorities</w:t>
      </w:r>
      <w:r w:rsidRPr="00A80F9D">
        <w:rPr>
          <w:rStyle w:val="LineNumber"/>
          <w:rFonts w:asciiTheme="minorHAnsi" w:hAnsiTheme="minorHAnsi"/>
          <w:color w:val="444448" w:themeColor="accent4"/>
          <w:sz w:val="22"/>
          <w:szCs w:val="22"/>
        </w:rPr>
        <w:t xml:space="preserve"> has the objective of achieving the most </w:t>
      </w:r>
      <w:r w:rsidRPr="00A80F9D">
        <w:rPr>
          <w:rStyle w:val="LineNumber"/>
          <w:rFonts w:asciiTheme="minorHAnsi" w:hAnsiTheme="minorHAnsi"/>
          <w:color w:val="444448" w:themeColor="accent4"/>
          <w:sz w:val="22"/>
          <w:szCs w:val="22"/>
        </w:rPr>
        <w:lastRenderedPageBreak/>
        <w:t>informed decisions and best practicable outcomes</w:t>
      </w:r>
      <w:r w:rsidR="004E656C">
        <w:rPr>
          <w:rStyle w:val="LineNumber"/>
          <w:rFonts w:asciiTheme="minorHAnsi" w:hAnsiTheme="minorHAnsi"/>
          <w:color w:val="444448" w:themeColor="accent4"/>
          <w:sz w:val="22"/>
          <w:szCs w:val="22"/>
        </w:rPr>
        <w:t xml:space="preserve">. This must include consideration of the </w:t>
      </w:r>
      <w:r w:rsidR="007D089C">
        <w:rPr>
          <w:rStyle w:val="LineNumber"/>
          <w:rFonts w:asciiTheme="minorHAnsi" w:hAnsiTheme="minorHAnsi"/>
          <w:color w:val="444448" w:themeColor="accent4"/>
          <w:sz w:val="22"/>
          <w:szCs w:val="22"/>
        </w:rPr>
        <w:t>health</w:t>
      </w:r>
      <w:r w:rsidR="007D089C">
        <w:rPr>
          <w:rStyle w:val="FootnoteReference"/>
          <w:rFonts w:asciiTheme="minorHAnsi" w:hAnsiTheme="minorHAnsi"/>
          <w:color w:val="444448" w:themeColor="accent4"/>
          <w:sz w:val="22"/>
          <w:szCs w:val="22"/>
        </w:rPr>
        <w:footnoteReference w:id="2"/>
      </w:r>
      <w:r w:rsidR="004E656C">
        <w:rPr>
          <w:rStyle w:val="LineNumber"/>
          <w:rFonts w:asciiTheme="minorHAnsi" w:hAnsiTheme="minorHAnsi"/>
          <w:color w:val="444448" w:themeColor="accent4"/>
          <w:sz w:val="22"/>
          <w:szCs w:val="22"/>
        </w:rPr>
        <w:t xml:space="preserve"> of impacted communities</w:t>
      </w:r>
      <w:r w:rsidR="00CE286C">
        <w:rPr>
          <w:rStyle w:val="LineNumber"/>
          <w:rFonts w:asciiTheme="minorHAnsi" w:hAnsiTheme="minorHAnsi"/>
          <w:color w:val="444448" w:themeColor="accent4"/>
          <w:sz w:val="22"/>
          <w:szCs w:val="22"/>
        </w:rPr>
        <w:t>.</w:t>
      </w:r>
    </w:p>
    <w:p w14:paraId="60B1797C" w14:textId="27050C4D"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Both proponent and </w:t>
      </w:r>
      <w:r w:rsidR="00D3529D">
        <w:rPr>
          <w:rStyle w:val="LineNumber"/>
          <w:rFonts w:asciiTheme="minorHAnsi" w:hAnsiTheme="minorHAnsi"/>
          <w:color w:val="444448" w:themeColor="accent4"/>
          <w:sz w:val="22"/>
          <w:szCs w:val="22"/>
        </w:rPr>
        <w:t xml:space="preserve">relevant </w:t>
      </w:r>
      <w:r w:rsidRPr="00A80F9D">
        <w:rPr>
          <w:rStyle w:val="LineNumber"/>
          <w:rFonts w:asciiTheme="minorHAnsi" w:hAnsiTheme="minorHAnsi"/>
          <w:color w:val="444448" w:themeColor="accent4"/>
          <w:sz w:val="22"/>
          <w:szCs w:val="22"/>
        </w:rPr>
        <w:t>regulator</w:t>
      </w:r>
      <w:r w:rsidR="00D3529D">
        <w:rPr>
          <w:rStyle w:val="LineNumber"/>
          <w:rFonts w:asciiTheme="minorHAnsi" w:hAnsiTheme="minorHAnsi"/>
          <w:color w:val="444448" w:themeColor="accent4"/>
          <w:sz w:val="22"/>
          <w:szCs w:val="22"/>
        </w:rPr>
        <w:t>y authority</w:t>
      </w:r>
      <w:r w:rsidRPr="00A80F9D">
        <w:rPr>
          <w:rStyle w:val="LineNumber"/>
          <w:rFonts w:asciiTheme="minorHAnsi" w:hAnsiTheme="minorHAnsi"/>
          <w:color w:val="444448" w:themeColor="accent4"/>
          <w:sz w:val="22"/>
          <w:szCs w:val="22"/>
        </w:rPr>
        <w:t xml:space="preserve"> must take steps to identify all the relevant stakeholders, and </w:t>
      </w:r>
      <w:r w:rsidR="00FB1C27">
        <w:rPr>
          <w:rStyle w:val="LineNumber"/>
          <w:rFonts w:asciiTheme="minorHAnsi" w:hAnsiTheme="minorHAnsi"/>
          <w:color w:val="444448" w:themeColor="accent4"/>
          <w:sz w:val="22"/>
          <w:szCs w:val="22"/>
        </w:rPr>
        <w:t xml:space="preserve">must </w:t>
      </w:r>
      <w:r w:rsidRPr="00A80F9D">
        <w:rPr>
          <w:rStyle w:val="LineNumber"/>
          <w:rFonts w:asciiTheme="minorHAnsi" w:hAnsiTheme="minorHAnsi"/>
          <w:color w:val="444448" w:themeColor="accent4"/>
          <w:sz w:val="22"/>
          <w:szCs w:val="22"/>
        </w:rPr>
        <w:t>develop strategies for effective and ongoing communication and consultation with those stakeholders.</w:t>
      </w:r>
    </w:p>
    <w:p w14:paraId="138E7DAA" w14:textId="3987D0D6"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8F3FA7">
        <w:rPr>
          <w:rStyle w:val="LineNumber"/>
          <w:rFonts w:asciiTheme="minorHAnsi" w:hAnsiTheme="minorHAnsi"/>
          <w:color w:val="444448" w:themeColor="accent4"/>
          <w:sz w:val="22"/>
          <w:szCs w:val="22"/>
        </w:rPr>
        <w:t>Consultation by the proponent:</w:t>
      </w:r>
      <w:r w:rsidRPr="00A80F9D">
        <w:rPr>
          <w:rStyle w:val="LineNumber"/>
          <w:rFonts w:asciiTheme="minorHAnsi" w:hAnsiTheme="minorHAnsi"/>
          <w:color w:val="444448" w:themeColor="accent4"/>
          <w:sz w:val="22"/>
          <w:szCs w:val="22"/>
        </w:rPr>
        <w:t xml:space="preserve"> The safety case (</w:t>
      </w:r>
      <w:r w:rsidR="00B04AA0">
        <w:rPr>
          <w:rStyle w:val="LineNumber"/>
          <w:rFonts w:asciiTheme="minorHAnsi" w:hAnsiTheme="minorHAnsi"/>
          <w:color w:val="444448" w:themeColor="accent4"/>
          <w:sz w:val="22"/>
          <w:szCs w:val="22"/>
        </w:rPr>
        <w:t xml:space="preserve">see </w:t>
      </w:r>
      <w:r w:rsidR="00B04AA0">
        <w:rPr>
          <w:rStyle w:val="LineNumber"/>
          <w:rFonts w:asciiTheme="minorHAnsi" w:hAnsiTheme="minorHAnsi"/>
          <w:color w:val="444448" w:themeColor="accent4"/>
          <w:sz w:val="22"/>
          <w:szCs w:val="22"/>
        </w:rPr>
        <w:fldChar w:fldCharType="begin"/>
      </w:r>
      <w:r w:rsidR="00B04AA0">
        <w:rPr>
          <w:rStyle w:val="LineNumber"/>
          <w:rFonts w:asciiTheme="minorHAnsi" w:hAnsiTheme="minorHAnsi"/>
          <w:color w:val="444448" w:themeColor="accent4"/>
          <w:sz w:val="22"/>
          <w:szCs w:val="22"/>
        </w:rPr>
        <w:instrText xml:space="preserve"> REF _Ref496695834 \r \h </w:instrText>
      </w:r>
      <w:r w:rsidR="00B04AA0">
        <w:rPr>
          <w:rStyle w:val="LineNumber"/>
          <w:rFonts w:asciiTheme="minorHAnsi" w:hAnsiTheme="minorHAnsi"/>
          <w:color w:val="444448" w:themeColor="accent4"/>
          <w:sz w:val="22"/>
          <w:szCs w:val="22"/>
        </w:rPr>
      </w:r>
      <w:r w:rsidR="00B04AA0">
        <w:rPr>
          <w:rStyle w:val="LineNumber"/>
          <w:rFonts w:asciiTheme="minorHAnsi" w:hAnsiTheme="minorHAnsi"/>
          <w:color w:val="444448" w:themeColor="accent4"/>
          <w:sz w:val="22"/>
          <w:szCs w:val="22"/>
        </w:rPr>
        <w:fldChar w:fldCharType="separate"/>
      </w:r>
      <w:r w:rsidR="00C022DF">
        <w:rPr>
          <w:rStyle w:val="LineNumber"/>
          <w:rFonts w:asciiTheme="minorHAnsi" w:hAnsiTheme="minorHAnsi"/>
          <w:color w:val="444448" w:themeColor="accent4"/>
          <w:sz w:val="22"/>
          <w:szCs w:val="22"/>
        </w:rPr>
        <w:t>2.9</w:t>
      </w:r>
      <w:r w:rsidR="00B04AA0">
        <w:rPr>
          <w:rStyle w:val="LineNumber"/>
          <w:rFonts w:asciiTheme="minorHAnsi" w:hAnsiTheme="minorHAnsi"/>
          <w:color w:val="444448" w:themeColor="accent4"/>
          <w:sz w:val="22"/>
          <w:szCs w:val="22"/>
        </w:rPr>
        <w:fldChar w:fldCharType="end"/>
      </w:r>
      <w:r w:rsidRPr="00A80F9D">
        <w:rPr>
          <w:rStyle w:val="LineNumber"/>
          <w:rFonts w:asciiTheme="minorHAnsi" w:hAnsiTheme="minorHAnsi"/>
          <w:color w:val="444448" w:themeColor="accent4"/>
          <w:sz w:val="22"/>
          <w:szCs w:val="22"/>
        </w:rPr>
        <w:t xml:space="preserve">), which is the responsibility of the proponent, </w:t>
      </w:r>
      <w:r w:rsidR="00FB1C27">
        <w:rPr>
          <w:rStyle w:val="LineNumber"/>
          <w:rFonts w:asciiTheme="minorHAnsi" w:hAnsiTheme="minorHAnsi"/>
          <w:color w:val="444448" w:themeColor="accent4"/>
          <w:sz w:val="22"/>
          <w:szCs w:val="22"/>
        </w:rPr>
        <w:t>must form</w:t>
      </w:r>
      <w:r w:rsidR="00FB1C27" w:rsidRPr="00A80F9D">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the main basis on which dialogue with stakeholders will be conducted and on which confidence in the safety of the facilit</w:t>
      </w:r>
      <w:r w:rsidR="00B04AA0">
        <w:rPr>
          <w:rStyle w:val="LineNumber"/>
          <w:rFonts w:asciiTheme="minorHAnsi" w:hAnsiTheme="minorHAnsi"/>
          <w:color w:val="444448" w:themeColor="accent4"/>
          <w:sz w:val="22"/>
          <w:szCs w:val="22"/>
        </w:rPr>
        <w:t>y or activity will be developed.</w:t>
      </w:r>
    </w:p>
    <w:p w14:paraId="5C77A0A6" w14:textId="0CA34402"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8F3FA7">
        <w:rPr>
          <w:rStyle w:val="LineNumber"/>
          <w:rFonts w:asciiTheme="minorHAnsi" w:hAnsiTheme="minorHAnsi"/>
          <w:color w:val="444448" w:themeColor="accent4"/>
          <w:sz w:val="22"/>
          <w:szCs w:val="22"/>
        </w:rPr>
        <w:t>Consultation by the regulator:</w:t>
      </w:r>
      <w:r w:rsidRPr="00A80F9D">
        <w:rPr>
          <w:rStyle w:val="LineNumber"/>
          <w:rFonts w:asciiTheme="minorHAnsi" w:hAnsiTheme="minorHAnsi"/>
          <w:color w:val="444448" w:themeColor="accent4"/>
          <w:sz w:val="22"/>
          <w:szCs w:val="22"/>
        </w:rPr>
        <w:t xml:space="preserve"> The relevant regulatory authority must promote the establishment of appropriate means of informing and consulting stakeholders </w:t>
      </w:r>
      <w:r w:rsidR="00FB1C27">
        <w:rPr>
          <w:rStyle w:val="LineNumber"/>
          <w:rFonts w:asciiTheme="minorHAnsi" w:hAnsiTheme="minorHAnsi"/>
          <w:color w:val="444448" w:themeColor="accent4"/>
          <w:sz w:val="22"/>
          <w:szCs w:val="22"/>
        </w:rPr>
        <w:t>including</w:t>
      </w:r>
      <w:r w:rsidRPr="00A80F9D">
        <w:rPr>
          <w:rStyle w:val="LineNumber"/>
          <w:rFonts w:asciiTheme="minorHAnsi" w:hAnsiTheme="minorHAnsi"/>
          <w:color w:val="444448" w:themeColor="accent4"/>
          <w:sz w:val="22"/>
          <w:szCs w:val="22"/>
        </w:rPr>
        <w:t xml:space="preserve"> the public about the possible radiation risks associated with disposal facilities and associated activities, and about the processes and decisions of the regulatory authority.</w:t>
      </w:r>
    </w:p>
    <w:p w14:paraId="745ADB7D" w14:textId="385F7B57"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bookmarkStart w:id="71" w:name="_Ref516652384"/>
      <w:r w:rsidRPr="00A80F9D">
        <w:rPr>
          <w:rStyle w:val="LineNumber"/>
          <w:rFonts w:asciiTheme="minorHAnsi" w:hAnsiTheme="minorHAnsi"/>
          <w:color w:val="444448" w:themeColor="accent4"/>
          <w:sz w:val="22"/>
          <w:szCs w:val="22"/>
        </w:rPr>
        <w:t>Upon receiving an application to site, construct, operate</w:t>
      </w:r>
      <w:r w:rsidR="004F1A0C">
        <w:rPr>
          <w:rStyle w:val="LineNumber"/>
          <w:rFonts w:asciiTheme="minorHAnsi" w:hAnsiTheme="minorHAnsi"/>
          <w:color w:val="444448" w:themeColor="accent4"/>
          <w:sz w:val="22"/>
          <w:szCs w:val="22"/>
        </w:rPr>
        <w:t>, possess and control</w:t>
      </w:r>
      <w:r w:rsidRPr="00A80F9D">
        <w:rPr>
          <w:rStyle w:val="LineNumber"/>
          <w:rFonts w:asciiTheme="minorHAnsi" w:hAnsiTheme="minorHAnsi"/>
          <w:color w:val="444448" w:themeColor="accent4"/>
          <w:sz w:val="22"/>
          <w:szCs w:val="22"/>
        </w:rPr>
        <w:t xml:space="preserve"> or close (abandon) a radioactive waste disposal facility, the relevant regulatory authority must publicise the details appropriately, inviting </w:t>
      </w:r>
      <w:r w:rsidR="00FB1C27">
        <w:rPr>
          <w:rStyle w:val="LineNumber"/>
          <w:rFonts w:asciiTheme="minorHAnsi" w:hAnsiTheme="minorHAnsi"/>
          <w:color w:val="444448" w:themeColor="accent4"/>
          <w:sz w:val="22"/>
          <w:szCs w:val="22"/>
        </w:rPr>
        <w:t>all stakeholders</w:t>
      </w:r>
      <w:r w:rsidRPr="00A80F9D">
        <w:rPr>
          <w:rStyle w:val="LineNumber"/>
          <w:rFonts w:asciiTheme="minorHAnsi" w:hAnsiTheme="minorHAnsi"/>
          <w:color w:val="444448" w:themeColor="accent4"/>
          <w:sz w:val="22"/>
          <w:szCs w:val="22"/>
        </w:rPr>
        <w:t xml:space="preserve"> to make submissions for consideration by the regulatory authority prior to any decision on the application.</w:t>
      </w:r>
      <w:bookmarkEnd w:id="71"/>
    </w:p>
    <w:p w14:paraId="5CA34CC9" w14:textId="3ED0A2E2" w:rsidR="003467C2" w:rsidRPr="00A80F9D" w:rsidRDefault="003467C2" w:rsidP="007C04EC">
      <w:pPr>
        <w:pStyle w:val="RPSNumberedBodyText"/>
        <w:tabs>
          <w:tab w:val="num" w:pos="0"/>
        </w:tabs>
        <w:ind w:left="709" w:hanging="709"/>
        <w:jc w:val="left"/>
        <w:rPr>
          <w:rStyle w:val="LineNumber"/>
          <w:snapToGrid w:val="0"/>
          <w:color w:val="444448" w:themeColor="accent4"/>
          <w:lang w:eastAsia="en-US"/>
        </w:rPr>
      </w:pPr>
      <w:r w:rsidRPr="00A80F9D">
        <w:rPr>
          <w:rStyle w:val="LineNumber"/>
          <w:rFonts w:asciiTheme="minorHAnsi" w:hAnsiTheme="minorHAnsi"/>
          <w:color w:val="444448" w:themeColor="accent4"/>
          <w:sz w:val="22"/>
          <w:szCs w:val="22"/>
        </w:rPr>
        <w:t xml:space="preserve">To assist in the processes of consultation, the regulatory authority must notify stakeholders </w:t>
      </w:r>
      <w:r w:rsidR="00FB1C27">
        <w:rPr>
          <w:rStyle w:val="LineNumber"/>
          <w:rFonts w:asciiTheme="minorHAnsi" w:hAnsiTheme="minorHAnsi"/>
          <w:color w:val="444448" w:themeColor="accent4"/>
          <w:sz w:val="22"/>
          <w:szCs w:val="22"/>
        </w:rPr>
        <w:t>including</w:t>
      </w:r>
      <w:r w:rsidR="00FB1C27" w:rsidRPr="00A80F9D">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the public of the principles and associated criteria for safety established in its regulations and guides, and must make its regulations and guides available.</w:t>
      </w:r>
    </w:p>
    <w:p w14:paraId="7FC596F4" w14:textId="77777777" w:rsidR="00841F85" w:rsidRPr="001A2A2F" w:rsidRDefault="00841F85" w:rsidP="00841F85">
      <w:pPr>
        <w:pStyle w:val="RPSNumberedBodyText"/>
        <w:numPr>
          <w:ilvl w:val="0"/>
          <w:numId w:val="0"/>
        </w:numPr>
        <w:jc w:val="left"/>
        <w:rPr>
          <w:rStyle w:val="LineNumber"/>
          <w:snapToGrid w:val="0"/>
          <w:lang w:eastAsia="en-US"/>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72B46EB2" w14:textId="77777777" w:rsidTr="005028FE">
        <w:tc>
          <w:tcPr>
            <w:tcW w:w="8720" w:type="dxa"/>
            <w:shd w:val="clear" w:color="auto" w:fill="4E1A74" w:themeFill="text2"/>
          </w:tcPr>
          <w:p w14:paraId="5A3D09F9" w14:textId="2478A089" w:rsidR="00841F85" w:rsidRPr="00AD6C06" w:rsidRDefault="00841F85" w:rsidP="005028FE">
            <w:pPr>
              <w:spacing w:before="120" w:after="120"/>
              <w:ind w:left="1985" w:hanging="1985"/>
              <w:rPr>
                <w:rFonts w:cstheme="minorHAnsi"/>
                <w:b/>
                <w:color w:val="FFFFFF"/>
              </w:rPr>
            </w:pPr>
            <w:r w:rsidRPr="00AD6C06">
              <w:rPr>
                <w:rFonts w:cstheme="minorHAnsi"/>
                <w:b/>
                <w:color w:val="FFFFFF"/>
              </w:rPr>
              <w:t xml:space="preserve">Protection of the </w:t>
            </w:r>
            <w:r w:rsidR="00304744">
              <w:rPr>
                <w:rFonts w:cstheme="minorHAnsi"/>
                <w:b/>
                <w:color w:val="FFFFFF"/>
              </w:rPr>
              <w:t>e</w:t>
            </w:r>
            <w:r w:rsidRPr="00AD6C06">
              <w:rPr>
                <w:rFonts w:cstheme="minorHAnsi"/>
                <w:b/>
                <w:color w:val="FFFFFF"/>
              </w:rPr>
              <w:t>nvironment</w:t>
            </w:r>
          </w:p>
        </w:tc>
      </w:tr>
    </w:tbl>
    <w:p w14:paraId="2F2BBC92" w14:textId="2ED988DF"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An Environmental Management Plan (EMP)</w:t>
      </w:r>
      <w:r w:rsidR="00FA3A87">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must be established for the disposal site prior to commencement of construction and operations. The purpose of the EMP is to set out management objectives and practices which will provide for the safe and environmentally sound management of the facility during its construction, operational and post-operational phases.</w:t>
      </w:r>
      <w:r w:rsidR="00FA3A87">
        <w:rPr>
          <w:rStyle w:val="LineNumber"/>
          <w:rFonts w:asciiTheme="minorHAnsi" w:hAnsiTheme="minorHAnsi"/>
          <w:color w:val="444448" w:themeColor="accent4"/>
          <w:sz w:val="22"/>
          <w:szCs w:val="22"/>
        </w:rPr>
        <w:t xml:space="preserve"> The EMP may be included as part of the Radiation Management Plan approved by the appropriate authority or </w:t>
      </w:r>
      <w:r w:rsidR="002B5B11">
        <w:rPr>
          <w:rStyle w:val="LineNumber"/>
          <w:rFonts w:asciiTheme="minorHAnsi" w:hAnsiTheme="minorHAnsi"/>
          <w:color w:val="444448" w:themeColor="accent4"/>
          <w:sz w:val="22"/>
          <w:szCs w:val="22"/>
        </w:rPr>
        <w:t xml:space="preserve">may be </w:t>
      </w:r>
      <w:r w:rsidR="00FA3A87">
        <w:rPr>
          <w:rStyle w:val="LineNumber"/>
          <w:rFonts w:asciiTheme="minorHAnsi" w:hAnsiTheme="minorHAnsi"/>
          <w:color w:val="444448" w:themeColor="accent4"/>
          <w:sz w:val="22"/>
          <w:szCs w:val="22"/>
        </w:rPr>
        <w:t>a stand</w:t>
      </w:r>
      <w:r w:rsidR="00284D5A">
        <w:rPr>
          <w:rStyle w:val="LineNumber"/>
          <w:rFonts w:asciiTheme="minorHAnsi" w:hAnsiTheme="minorHAnsi"/>
          <w:color w:val="444448" w:themeColor="accent4"/>
          <w:sz w:val="22"/>
          <w:szCs w:val="22"/>
        </w:rPr>
        <w:t>-</w:t>
      </w:r>
      <w:r w:rsidR="00FA3A87">
        <w:rPr>
          <w:rStyle w:val="LineNumber"/>
          <w:rFonts w:asciiTheme="minorHAnsi" w:hAnsiTheme="minorHAnsi"/>
          <w:color w:val="444448" w:themeColor="accent4"/>
          <w:sz w:val="22"/>
          <w:szCs w:val="22"/>
        </w:rPr>
        <w:t>alone document.</w:t>
      </w:r>
    </w:p>
    <w:p w14:paraId="26C022DE" w14:textId="77777777" w:rsidR="0076701A" w:rsidRPr="00A80F9D" w:rsidRDefault="0076701A" w:rsidP="0076701A">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Review of the EMP must be carried out by the operator at intervals of approximately three years during the operational phase of the disposal facility.</w:t>
      </w:r>
    </w:p>
    <w:p w14:paraId="7673E21F" w14:textId="44ADDC33" w:rsidR="0076701A" w:rsidRDefault="0076701A" w:rsidP="007C04EC">
      <w:pPr>
        <w:pStyle w:val="RPSNumberedBodyText"/>
        <w:tabs>
          <w:tab w:val="num" w:pos="0"/>
        </w:tabs>
        <w:ind w:left="709" w:hanging="709"/>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The applicant must:</w:t>
      </w:r>
    </w:p>
    <w:p w14:paraId="78A850DF" w14:textId="04D5123C" w:rsidR="0076701A" w:rsidRPr="008A2ECA" w:rsidRDefault="0076701A" w:rsidP="008A2ECA">
      <w:pPr>
        <w:pStyle w:val="RPSNumberedBodyText"/>
        <w:numPr>
          <w:ilvl w:val="0"/>
          <w:numId w:val="56"/>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t>characterise the environment, including any unique features requiring particular attention in terms of conservation that may influence the feasibility of the site</w:t>
      </w:r>
    </w:p>
    <w:p w14:paraId="6F13FF14" w14:textId="58BADE7B" w:rsidR="0076701A" w:rsidRPr="008A2ECA" w:rsidRDefault="0076701A" w:rsidP="008A2ECA">
      <w:pPr>
        <w:pStyle w:val="RPSNumberedBodyText"/>
        <w:numPr>
          <w:ilvl w:val="0"/>
          <w:numId w:val="56"/>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lastRenderedPageBreak/>
        <w:t xml:space="preserve">before construction of a facility, establish baseline information of the site regarding its radiological characteristics, to inform the development of the </w:t>
      </w:r>
      <w:r w:rsidR="007D55A4" w:rsidRPr="008A2ECA">
        <w:rPr>
          <w:rStyle w:val="LineNumber"/>
          <w:rFonts w:asciiTheme="minorHAnsi" w:hAnsiTheme="minorHAnsi"/>
          <w:color w:val="444448" w:themeColor="accent4"/>
          <w:sz w:val="22"/>
        </w:rPr>
        <w:t>EMP</w:t>
      </w:r>
      <w:r w:rsidRPr="008A2ECA">
        <w:rPr>
          <w:rStyle w:val="LineNumber"/>
          <w:rFonts w:asciiTheme="minorHAnsi" w:hAnsiTheme="minorHAnsi"/>
          <w:color w:val="444448" w:themeColor="accent4"/>
          <w:sz w:val="22"/>
        </w:rPr>
        <w:t xml:space="preserve"> and environmental monitoring</w:t>
      </w:r>
      <w:r w:rsidR="0041684D" w:rsidRPr="008A2ECA">
        <w:rPr>
          <w:rStyle w:val="LineNumber"/>
          <w:rFonts w:asciiTheme="minorHAnsi" w:hAnsiTheme="minorHAnsi"/>
          <w:color w:val="444448" w:themeColor="accent4"/>
          <w:sz w:val="22"/>
        </w:rPr>
        <w:t>, and to assist with demonstrating protection of people and the environment</w:t>
      </w:r>
    </w:p>
    <w:p w14:paraId="45315785" w14:textId="119B416F" w:rsidR="00841F85" w:rsidRPr="007E4C82" w:rsidRDefault="0076701A" w:rsidP="008A2ECA">
      <w:pPr>
        <w:pStyle w:val="RPSNumberedBodyText"/>
        <w:numPr>
          <w:ilvl w:val="0"/>
          <w:numId w:val="56"/>
        </w:numPr>
        <w:jc w:val="left"/>
        <w:rPr>
          <w:rStyle w:val="LineNumber"/>
          <w:rFonts w:asciiTheme="minorHAnsi" w:hAnsiTheme="minorHAnsi"/>
          <w:color w:val="444448" w:themeColor="accent4"/>
          <w:sz w:val="22"/>
          <w:szCs w:val="22"/>
        </w:rPr>
      </w:pPr>
      <w:r w:rsidRPr="008A2ECA">
        <w:rPr>
          <w:rStyle w:val="LineNumber"/>
          <w:rFonts w:asciiTheme="minorHAnsi" w:hAnsiTheme="minorHAnsi"/>
          <w:color w:val="444448" w:themeColor="accent4"/>
          <w:sz w:val="22"/>
        </w:rPr>
        <w:t>undertake a screening assessment of doses to wildlife (i.e. animals and plants living within their natural environment) in the vicinity of the disposal facility by use of one of the internationally accepted screening tools. The objective of radiation protection of wildlife is to maintain biological diversity, the conservation of species and the health of natural ecosystems (</w:t>
      </w:r>
      <w:r w:rsidR="00BC40BB" w:rsidRPr="008A2ECA">
        <w:rPr>
          <w:rStyle w:val="LineNumber"/>
          <w:rFonts w:asciiTheme="minorHAnsi" w:hAnsiTheme="minorHAnsi"/>
          <w:color w:val="444448" w:themeColor="accent4"/>
          <w:sz w:val="22"/>
        </w:rPr>
        <w:t xml:space="preserve">RPS G-1, </w:t>
      </w:r>
      <w:r w:rsidRPr="008A2ECA">
        <w:rPr>
          <w:rStyle w:val="LineNumber"/>
          <w:rFonts w:asciiTheme="minorHAnsi" w:hAnsiTheme="minorHAnsi"/>
          <w:color w:val="444448" w:themeColor="accent4"/>
          <w:sz w:val="22"/>
        </w:rPr>
        <w:t>ARPANSA 2015). If a screening assessment indicates that exposures to relevant wildlife</w:t>
      </w:r>
      <w:r w:rsidRPr="00A80F9D">
        <w:rPr>
          <w:rStyle w:val="LineNumber"/>
          <w:rFonts w:asciiTheme="minorHAnsi" w:hAnsiTheme="minorHAnsi"/>
          <w:color w:val="444448" w:themeColor="accent4"/>
          <w:sz w:val="22"/>
          <w:szCs w:val="22"/>
        </w:rPr>
        <w:t xml:space="preserve"> in the natural environment are likely to be higher than the screening dose rate (defined </w:t>
      </w:r>
      <w:r>
        <w:rPr>
          <w:rStyle w:val="LineNumber"/>
          <w:rFonts w:asciiTheme="minorHAnsi" w:hAnsiTheme="minorHAnsi"/>
          <w:color w:val="444448" w:themeColor="accent4"/>
          <w:sz w:val="22"/>
          <w:szCs w:val="22"/>
        </w:rPr>
        <w:t>in consultation with the regulatory authority)</w:t>
      </w:r>
      <w:r w:rsidR="007D55A4">
        <w:rPr>
          <w:rStyle w:val="LineNumber"/>
          <w:rFonts w:asciiTheme="minorHAnsi" w:hAnsiTheme="minorHAnsi"/>
          <w:color w:val="444448" w:themeColor="accent4"/>
          <w:sz w:val="22"/>
          <w:szCs w:val="22"/>
        </w:rPr>
        <w:t>,</w:t>
      </w:r>
      <w:r>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more detailed assessments of potential environmental impact must b</w:t>
      </w:r>
      <w:r>
        <w:rPr>
          <w:rStyle w:val="LineNumber"/>
          <w:rFonts w:asciiTheme="minorHAnsi" w:hAnsiTheme="minorHAnsi"/>
          <w:color w:val="444448" w:themeColor="accent4"/>
          <w:sz w:val="22"/>
          <w:szCs w:val="22"/>
        </w:rPr>
        <w:t>e undertaken.</w:t>
      </w:r>
    </w:p>
    <w:p w14:paraId="0F075D0C" w14:textId="77777777" w:rsidR="00C55F76" w:rsidRPr="00110289" w:rsidRDefault="00C55F76" w:rsidP="00C55F76">
      <w:pPr>
        <w:pStyle w:val="RPSNumberedBodyText"/>
        <w:numPr>
          <w:ilvl w:val="0"/>
          <w:numId w:val="0"/>
        </w:numPr>
        <w:ind w:left="851"/>
        <w:jc w:val="left"/>
        <w:rPr>
          <w:rStyle w:val="LineNumbe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C55F76" w:rsidRPr="00D2396C" w14:paraId="361DC705" w14:textId="77777777" w:rsidTr="00C55F76">
        <w:tc>
          <w:tcPr>
            <w:tcW w:w="8720" w:type="dxa"/>
            <w:shd w:val="clear" w:color="auto" w:fill="4E1A74" w:themeFill="text2"/>
          </w:tcPr>
          <w:p w14:paraId="28894B62" w14:textId="1A36C28D" w:rsidR="00C55F76" w:rsidRPr="00AD6C06" w:rsidRDefault="00C55F76" w:rsidP="00C55F76">
            <w:pPr>
              <w:spacing w:before="120" w:after="120"/>
              <w:ind w:left="1985" w:hanging="1985"/>
              <w:rPr>
                <w:rFonts w:cstheme="minorHAnsi"/>
                <w:b/>
                <w:color w:val="FFFFFF"/>
              </w:rPr>
            </w:pPr>
            <w:r w:rsidRPr="00AD6C06">
              <w:rPr>
                <w:rFonts w:cstheme="minorHAnsi"/>
                <w:b/>
                <w:color w:val="FFFFFF"/>
              </w:rPr>
              <w:t xml:space="preserve">Site </w:t>
            </w:r>
            <w:r w:rsidR="00304744">
              <w:rPr>
                <w:rFonts w:cstheme="minorHAnsi"/>
                <w:b/>
                <w:color w:val="FFFFFF"/>
              </w:rPr>
              <w:t>s</w:t>
            </w:r>
            <w:r w:rsidRPr="00AD6C06">
              <w:rPr>
                <w:rFonts w:cstheme="minorHAnsi"/>
                <w:b/>
                <w:color w:val="FFFFFF"/>
              </w:rPr>
              <w:t>election</w:t>
            </w:r>
          </w:p>
        </w:tc>
      </w:tr>
    </w:tbl>
    <w:p w14:paraId="2F68CB2E" w14:textId="77777777" w:rsidR="00C55F76" w:rsidRPr="00A92DF8" w:rsidRDefault="00C55F76" w:rsidP="00C55F76">
      <w:pPr>
        <w:pStyle w:val="ListParagraph"/>
        <w:numPr>
          <w:ilvl w:val="1"/>
          <w:numId w:val="12"/>
        </w:numPr>
        <w:spacing w:before="240" w:line="276" w:lineRule="auto"/>
        <w:rPr>
          <w:b/>
          <w:snapToGrid w:val="0"/>
          <w:vanish/>
          <w:sz w:val="32"/>
          <w:szCs w:val="36"/>
        </w:rPr>
      </w:pPr>
    </w:p>
    <w:p w14:paraId="4D4E55CD" w14:textId="1CFB6F71" w:rsidR="00102FC9" w:rsidRPr="003102CD" w:rsidRDefault="00102FC9" w:rsidP="003102CD">
      <w:pPr>
        <w:pStyle w:val="RPSNumberedBodyText"/>
        <w:tabs>
          <w:tab w:val="num" w:pos="0"/>
        </w:tabs>
        <w:ind w:left="709" w:hanging="709"/>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Site selection criteria related to </w:t>
      </w:r>
      <w:r w:rsidR="00F01B12">
        <w:rPr>
          <w:rStyle w:val="LineNumber"/>
          <w:rFonts w:asciiTheme="minorHAnsi" w:hAnsiTheme="minorHAnsi"/>
          <w:color w:val="444448" w:themeColor="accent4"/>
          <w:sz w:val="22"/>
          <w:szCs w:val="22"/>
        </w:rPr>
        <w:t xml:space="preserve">safety and </w:t>
      </w:r>
      <w:r w:rsidRPr="003102CD">
        <w:rPr>
          <w:rStyle w:val="LineNumber"/>
          <w:rFonts w:asciiTheme="minorHAnsi" w:hAnsiTheme="minorHAnsi"/>
          <w:color w:val="444448" w:themeColor="accent4"/>
          <w:sz w:val="22"/>
          <w:szCs w:val="22"/>
        </w:rPr>
        <w:t>radi</w:t>
      </w:r>
      <w:r w:rsidR="00F01B12">
        <w:rPr>
          <w:rStyle w:val="LineNumber"/>
          <w:rFonts w:asciiTheme="minorHAnsi" w:hAnsiTheme="minorHAnsi"/>
          <w:color w:val="444448" w:themeColor="accent4"/>
          <w:sz w:val="22"/>
          <w:szCs w:val="22"/>
        </w:rPr>
        <w:t>ation</w:t>
      </w:r>
      <w:r w:rsidRPr="003102CD">
        <w:rPr>
          <w:rStyle w:val="LineNumber"/>
          <w:rFonts w:asciiTheme="minorHAnsi" w:hAnsiTheme="minorHAnsi"/>
          <w:color w:val="444448" w:themeColor="accent4"/>
          <w:sz w:val="22"/>
          <w:szCs w:val="22"/>
        </w:rPr>
        <w:t xml:space="preserve"> protection that must be considered are listed below. A potential site is not required to comply with all of these criteria. However, there must be compensating factors in the design of the facility to overcome any deficiency in the physi</w:t>
      </w:r>
      <w:r w:rsidR="00D21F8F">
        <w:rPr>
          <w:rStyle w:val="LineNumber"/>
          <w:rFonts w:asciiTheme="minorHAnsi" w:hAnsiTheme="minorHAnsi"/>
          <w:color w:val="444448" w:themeColor="accent4"/>
          <w:sz w:val="22"/>
          <w:szCs w:val="22"/>
        </w:rPr>
        <w:t>cal characteristics of the site</w:t>
      </w:r>
      <w:r w:rsidR="00650111">
        <w:rPr>
          <w:rStyle w:val="LineNumber"/>
          <w:rFonts w:asciiTheme="minorHAnsi" w:hAnsiTheme="minorHAnsi"/>
          <w:color w:val="444448" w:themeColor="accent4"/>
          <w:sz w:val="22"/>
          <w:szCs w:val="22"/>
        </w:rPr>
        <w:t xml:space="preserve"> unless such compensating factors are deemed unreasonable, in which case another site should be identified</w:t>
      </w:r>
      <w:r w:rsidR="00D21F8F">
        <w:rPr>
          <w:rStyle w:val="LineNumber"/>
          <w:rFonts w:asciiTheme="minorHAnsi" w:hAnsiTheme="minorHAnsi"/>
          <w:color w:val="444448" w:themeColor="accent4"/>
          <w:sz w:val="22"/>
          <w:szCs w:val="22"/>
        </w:rPr>
        <w:t>.</w:t>
      </w:r>
    </w:p>
    <w:p w14:paraId="1900F453" w14:textId="76907D94" w:rsidR="00102FC9" w:rsidRPr="003102CD" w:rsidRDefault="00102FC9" w:rsidP="003102CD">
      <w:pPr>
        <w:pStyle w:val="RPSNumberedBodyText"/>
        <w:numPr>
          <w:ilvl w:val="0"/>
          <w:numId w:val="0"/>
        </w:numPr>
        <w:ind w:firstLine="709"/>
        <w:jc w:val="left"/>
        <w:rPr>
          <w:rStyle w:val="LineNumber"/>
          <w:rFonts w:asciiTheme="minorHAnsi" w:hAnsiTheme="minorHAnsi"/>
          <w:color w:val="444448" w:themeColor="accent4"/>
          <w:sz w:val="22"/>
          <w:szCs w:val="22"/>
        </w:rPr>
      </w:pPr>
      <w:r w:rsidRPr="003102CD">
        <w:rPr>
          <w:rStyle w:val="LineNumber"/>
          <w:rFonts w:asciiTheme="minorHAnsi" w:hAnsiTheme="minorHAnsi"/>
          <w:color w:val="444448" w:themeColor="accent4"/>
          <w:sz w:val="22"/>
          <w:szCs w:val="22"/>
        </w:rPr>
        <w:t xml:space="preserve">The criteria </w:t>
      </w:r>
      <w:r w:rsidR="00D21F8F">
        <w:rPr>
          <w:rStyle w:val="LineNumber"/>
          <w:rFonts w:asciiTheme="minorHAnsi" w:hAnsiTheme="minorHAnsi"/>
          <w:color w:val="444448" w:themeColor="accent4"/>
          <w:sz w:val="22"/>
          <w:szCs w:val="22"/>
        </w:rPr>
        <w:t xml:space="preserve">for the site </w:t>
      </w:r>
      <w:r w:rsidRPr="003102CD">
        <w:rPr>
          <w:rStyle w:val="LineNumber"/>
          <w:rFonts w:asciiTheme="minorHAnsi" w:hAnsiTheme="minorHAnsi"/>
          <w:color w:val="444448" w:themeColor="accent4"/>
          <w:sz w:val="22"/>
          <w:szCs w:val="22"/>
        </w:rPr>
        <w:t>are</w:t>
      </w:r>
      <w:r w:rsidR="00D21F8F">
        <w:rPr>
          <w:rStyle w:val="LineNumber"/>
          <w:rFonts w:asciiTheme="minorHAnsi" w:hAnsiTheme="minorHAnsi"/>
          <w:color w:val="444448" w:themeColor="accent4"/>
          <w:sz w:val="22"/>
          <w:szCs w:val="22"/>
        </w:rPr>
        <w:t xml:space="preserve"> that</w:t>
      </w:r>
      <w:r w:rsidRPr="003102CD">
        <w:rPr>
          <w:rStyle w:val="LineNumber"/>
          <w:rFonts w:asciiTheme="minorHAnsi" w:hAnsiTheme="minorHAnsi"/>
          <w:color w:val="444448" w:themeColor="accent4"/>
          <w:sz w:val="22"/>
          <w:szCs w:val="22"/>
        </w:rPr>
        <w:t>:</w:t>
      </w:r>
    </w:p>
    <w:p w14:paraId="746030B8" w14:textId="707E20C9" w:rsidR="00102FC9" w:rsidRPr="008A2ECA" w:rsidRDefault="00D21F8F" w:rsidP="008A2ECA">
      <w:pPr>
        <w:pStyle w:val="RPSNumberedBodyText"/>
        <w:numPr>
          <w:ilvl w:val="0"/>
          <w:numId w:val="58"/>
        </w:numPr>
        <w:jc w:val="left"/>
        <w:rPr>
          <w:rStyle w:val="LineNumber"/>
          <w:rFonts w:asciiTheme="minorHAnsi" w:hAnsiTheme="minorHAnsi"/>
          <w:color w:val="444448" w:themeColor="accent4"/>
          <w:sz w:val="22"/>
        </w:rPr>
      </w:pPr>
      <w:r>
        <w:rPr>
          <w:rStyle w:val="LineNumber"/>
          <w:rFonts w:asciiTheme="minorHAnsi" w:hAnsiTheme="minorHAnsi"/>
          <w:color w:val="444448" w:themeColor="accent4"/>
          <w:sz w:val="22"/>
          <w:szCs w:val="22"/>
        </w:rPr>
        <w:t xml:space="preserve">the site is </w:t>
      </w:r>
      <w:r w:rsidR="00102FC9" w:rsidRPr="003102CD">
        <w:rPr>
          <w:rStyle w:val="LineNumber"/>
          <w:rFonts w:asciiTheme="minorHAnsi" w:hAnsiTheme="minorHAnsi"/>
          <w:color w:val="444448" w:themeColor="accent4"/>
          <w:sz w:val="22"/>
          <w:szCs w:val="22"/>
        </w:rPr>
        <w:t xml:space="preserve">located in an area of low rainfall, free from flooding, with good surface drainage </w:t>
      </w:r>
      <w:r w:rsidR="00102FC9" w:rsidRPr="008A2ECA">
        <w:rPr>
          <w:rStyle w:val="LineNumber"/>
          <w:rFonts w:asciiTheme="minorHAnsi" w:hAnsiTheme="minorHAnsi"/>
          <w:color w:val="444448" w:themeColor="accent4"/>
          <w:sz w:val="22"/>
        </w:rPr>
        <w:t>features, and generally stable geomorpho</w:t>
      </w:r>
      <w:r w:rsidR="0040349B" w:rsidRPr="008A2ECA">
        <w:rPr>
          <w:rStyle w:val="LineNumber"/>
          <w:rFonts w:asciiTheme="minorHAnsi" w:hAnsiTheme="minorHAnsi"/>
          <w:color w:val="444448" w:themeColor="accent4"/>
          <w:sz w:val="22"/>
        </w:rPr>
        <w:t>logy</w:t>
      </w:r>
    </w:p>
    <w:p w14:paraId="69B5B5CE" w14:textId="0C99EA1A" w:rsidR="00102FC9" w:rsidRPr="008A2ECA" w:rsidRDefault="00102FC9" w:rsidP="008A2ECA">
      <w:pPr>
        <w:pStyle w:val="RPSNumberedBodyText"/>
        <w:numPr>
          <w:ilvl w:val="0"/>
          <w:numId w:val="58"/>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t xml:space="preserve">the water table in the area is at a sufficient depth above or below the planned disposal structures to ensure that groundwater </w:t>
      </w:r>
      <w:r w:rsidR="00C06164" w:rsidRPr="008A2ECA">
        <w:rPr>
          <w:rStyle w:val="LineNumber"/>
          <w:rFonts w:asciiTheme="minorHAnsi" w:hAnsiTheme="minorHAnsi"/>
          <w:color w:val="444448" w:themeColor="accent4"/>
          <w:sz w:val="22"/>
        </w:rPr>
        <w:t>will not</w:t>
      </w:r>
      <w:r w:rsidRPr="008A2ECA">
        <w:rPr>
          <w:rStyle w:val="LineNumber"/>
          <w:rFonts w:asciiTheme="minorHAnsi" w:hAnsiTheme="minorHAnsi"/>
          <w:color w:val="444448" w:themeColor="accent4"/>
          <w:sz w:val="22"/>
        </w:rPr>
        <w:t xml:space="preserve"> impact on the waste, and the hydrogeological setting is such that large fluctuations in the water table are </w:t>
      </w:r>
      <w:r w:rsidR="0040349B" w:rsidRPr="008A2ECA">
        <w:rPr>
          <w:rStyle w:val="LineNumber"/>
          <w:rFonts w:asciiTheme="minorHAnsi" w:hAnsiTheme="minorHAnsi"/>
          <w:color w:val="444448" w:themeColor="accent4"/>
          <w:sz w:val="22"/>
        </w:rPr>
        <w:t>unlikely</w:t>
      </w:r>
    </w:p>
    <w:p w14:paraId="1F4D3CED" w14:textId="5EE557FE" w:rsidR="00102FC9" w:rsidRPr="008A2ECA" w:rsidRDefault="00102FC9" w:rsidP="008A2ECA">
      <w:pPr>
        <w:pStyle w:val="RPSNumberedBodyText"/>
        <w:numPr>
          <w:ilvl w:val="0"/>
          <w:numId w:val="58"/>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t>the geological structure and hydrogeological conditions permit modelling of groundwater gradients and movement, and enable prediction of radionucli</w:t>
      </w:r>
      <w:r w:rsidR="0040349B" w:rsidRPr="008A2ECA">
        <w:rPr>
          <w:rStyle w:val="LineNumber"/>
          <w:rFonts w:asciiTheme="minorHAnsi" w:hAnsiTheme="minorHAnsi"/>
          <w:color w:val="444448" w:themeColor="accent4"/>
          <w:sz w:val="22"/>
        </w:rPr>
        <w:t>de migration times and patterns</w:t>
      </w:r>
    </w:p>
    <w:p w14:paraId="1B18CAE2" w14:textId="55F6EA2B" w:rsidR="00102FC9" w:rsidRPr="008A2ECA" w:rsidRDefault="00686DD7" w:rsidP="008A2ECA">
      <w:pPr>
        <w:pStyle w:val="RPSNumberedBodyText"/>
        <w:numPr>
          <w:ilvl w:val="0"/>
          <w:numId w:val="58"/>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t xml:space="preserve">the site is </w:t>
      </w:r>
      <w:r w:rsidR="00102FC9" w:rsidRPr="008A2ECA">
        <w:rPr>
          <w:rStyle w:val="LineNumber"/>
          <w:rFonts w:asciiTheme="minorHAnsi" w:hAnsiTheme="minorHAnsi"/>
          <w:color w:val="444448" w:themeColor="accent4"/>
          <w:sz w:val="22"/>
        </w:rPr>
        <w:t>located away from any known or anticipated seismic, tectonic or volcanic activity of a severity which could compromise the stability of the disposal structures</w:t>
      </w:r>
      <w:r w:rsidR="0040349B" w:rsidRPr="008A2ECA">
        <w:rPr>
          <w:rStyle w:val="LineNumber"/>
          <w:rFonts w:asciiTheme="minorHAnsi" w:hAnsiTheme="minorHAnsi"/>
          <w:color w:val="444448" w:themeColor="accent4"/>
          <w:sz w:val="22"/>
        </w:rPr>
        <w:t xml:space="preserve"> and the integrity of the waste</w:t>
      </w:r>
    </w:p>
    <w:p w14:paraId="41FCD2E5" w14:textId="5B034895" w:rsidR="00102FC9" w:rsidRPr="008A2ECA" w:rsidRDefault="00686DD7" w:rsidP="008A2ECA">
      <w:pPr>
        <w:pStyle w:val="RPSNumberedBodyText"/>
        <w:numPr>
          <w:ilvl w:val="0"/>
          <w:numId w:val="58"/>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t xml:space="preserve">the site is </w:t>
      </w:r>
      <w:r w:rsidR="00102FC9" w:rsidRPr="008A2ECA">
        <w:rPr>
          <w:rStyle w:val="LineNumber"/>
          <w:rFonts w:asciiTheme="minorHAnsi" w:hAnsiTheme="minorHAnsi"/>
          <w:color w:val="444448" w:themeColor="accent4"/>
          <w:sz w:val="22"/>
        </w:rPr>
        <w:t>located in an area of low population density where the projected population growth or the prospects for futur</w:t>
      </w:r>
      <w:r w:rsidR="0040349B" w:rsidRPr="008A2ECA">
        <w:rPr>
          <w:rStyle w:val="LineNumber"/>
          <w:rFonts w:asciiTheme="minorHAnsi" w:hAnsiTheme="minorHAnsi"/>
          <w:color w:val="444448" w:themeColor="accent4"/>
          <w:sz w:val="22"/>
        </w:rPr>
        <w:t>e development are also very low</w:t>
      </w:r>
    </w:p>
    <w:p w14:paraId="662ADCF9" w14:textId="680374A3" w:rsidR="00102FC9" w:rsidRPr="008A2ECA" w:rsidRDefault="00102FC9" w:rsidP="008A2ECA">
      <w:pPr>
        <w:pStyle w:val="RPSNumberedBodyText"/>
        <w:numPr>
          <w:ilvl w:val="0"/>
          <w:numId w:val="58"/>
        </w:numPr>
        <w:jc w:val="left"/>
        <w:rPr>
          <w:rStyle w:val="LineNumber"/>
          <w:rFonts w:asciiTheme="minorHAnsi" w:hAnsiTheme="minorHAnsi"/>
          <w:color w:val="444448" w:themeColor="accent4"/>
          <w:sz w:val="22"/>
        </w:rPr>
      </w:pPr>
      <w:r w:rsidRPr="008A2ECA">
        <w:rPr>
          <w:rStyle w:val="LineNumber"/>
          <w:rFonts w:asciiTheme="minorHAnsi" w:hAnsiTheme="minorHAnsi"/>
          <w:color w:val="444448" w:themeColor="accent4"/>
          <w:sz w:val="22"/>
        </w:rPr>
        <w:t>the</w:t>
      </w:r>
      <w:r w:rsidR="00C06164" w:rsidRPr="008A2ECA">
        <w:rPr>
          <w:rStyle w:val="LineNumber"/>
          <w:rFonts w:asciiTheme="minorHAnsi" w:hAnsiTheme="minorHAnsi"/>
          <w:color w:val="444448" w:themeColor="accent4"/>
          <w:sz w:val="22"/>
        </w:rPr>
        <w:t>re is an</w:t>
      </w:r>
      <w:r w:rsidRPr="008A2ECA">
        <w:rPr>
          <w:rStyle w:val="LineNumber"/>
          <w:rFonts w:asciiTheme="minorHAnsi" w:hAnsiTheme="minorHAnsi"/>
          <w:color w:val="444448" w:themeColor="accent4"/>
          <w:sz w:val="22"/>
        </w:rPr>
        <w:t xml:space="preserve"> absence of groundwater suitable for human consumption, pastoral or agricultural use which may be affected by</w:t>
      </w:r>
      <w:r w:rsidR="0040349B" w:rsidRPr="008A2ECA">
        <w:rPr>
          <w:rStyle w:val="LineNumber"/>
          <w:rFonts w:asciiTheme="minorHAnsi" w:hAnsiTheme="minorHAnsi"/>
          <w:color w:val="444448" w:themeColor="accent4"/>
          <w:sz w:val="22"/>
        </w:rPr>
        <w:t xml:space="preserve"> the presence of a facility</w:t>
      </w:r>
    </w:p>
    <w:p w14:paraId="021BB17F" w14:textId="792C3712" w:rsidR="00102FC9" w:rsidRPr="00D21F8F" w:rsidRDefault="00686DD7" w:rsidP="008A2ECA">
      <w:pPr>
        <w:pStyle w:val="RPSNumberedBodyText"/>
        <w:numPr>
          <w:ilvl w:val="0"/>
          <w:numId w:val="58"/>
        </w:numPr>
        <w:jc w:val="left"/>
        <w:rPr>
          <w:rStyle w:val="LineNumber"/>
          <w:rFonts w:asciiTheme="minorHAnsi" w:hAnsiTheme="minorHAnsi"/>
          <w:color w:val="444448" w:themeColor="accent4"/>
          <w:sz w:val="22"/>
          <w:szCs w:val="22"/>
        </w:rPr>
      </w:pPr>
      <w:r w:rsidRPr="008A2ECA">
        <w:rPr>
          <w:rStyle w:val="LineNumber"/>
          <w:rFonts w:asciiTheme="minorHAnsi" w:hAnsiTheme="minorHAnsi"/>
          <w:color w:val="444448" w:themeColor="accent4"/>
          <w:sz w:val="22"/>
        </w:rPr>
        <w:t xml:space="preserve">there are </w:t>
      </w:r>
      <w:r w:rsidR="00102FC9" w:rsidRPr="008A2ECA">
        <w:rPr>
          <w:rStyle w:val="LineNumber"/>
          <w:rFonts w:asciiTheme="minorHAnsi" w:hAnsiTheme="minorHAnsi"/>
          <w:color w:val="444448" w:themeColor="accent4"/>
          <w:sz w:val="22"/>
        </w:rPr>
        <w:t>suitable geo</w:t>
      </w:r>
      <w:r w:rsidR="00102FC9" w:rsidRPr="00D21F8F">
        <w:rPr>
          <w:rStyle w:val="LineNumber"/>
          <w:rFonts w:asciiTheme="minorHAnsi" w:hAnsiTheme="minorHAnsi"/>
          <w:color w:val="444448" w:themeColor="accent4"/>
          <w:sz w:val="22"/>
          <w:szCs w:val="22"/>
        </w:rPr>
        <w:t xml:space="preserve">chemical and geotechnical properties of the site to </w:t>
      </w:r>
      <w:r w:rsidR="00650111">
        <w:rPr>
          <w:rStyle w:val="LineNumber"/>
          <w:rFonts w:asciiTheme="minorHAnsi" w:hAnsiTheme="minorHAnsi"/>
          <w:color w:val="444448" w:themeColor="accent4"/>
          <w:sz w:val="22"/>
          <w:szCs w:val="22"/>
        </w:rPr>
        <w:t>retard</w:t>
      </w:r>
      <w:r w:rsidR="00650111" w:rsidRPr="00D21F8F">
        <w:rPr>
          <w:rStyle w:val="LineNumber"/>
          <w:rFonts w:asciiTheme="minorHAnsi" w:hAnsiTheme="minorHAnsi"/>
          <w:color w:val="444448" w:themeColor="accent4"/>
          <w:sz w:val="22"/>
          <w:szCs w:val="22"/>
        </w:rPr>
        <w:t xml:space="preserve"> </w:t>
      </w:r>
      <w:r w:rsidR="00102FC9" w:rsidRPr="00D21F8F">
        <w:rPr>
          <w:rStyle w:val="LineNumber"/>
          <w:rFonts w:asciiTheme="minorHAnsi" w:hAnsiTheme="minorHAnsi"/>
          <w:color w:val="444448" w:themeColor="accent4"/>
          <w:sz w:val="22"/>
          <w:szCs w:val="22"/>
        </w:rPr>
        <w:t>migration of radionuclides and to facilitate repository operations.</w:t>
      </w:r>
    </w:p>
    <w:p w14:paraId="19F914FD" w14:textId="7EF1A312" w:rsidR="00102FC9" w:rsidRPr="00913A13" w:rsidRDefault="00102FC9" w:rsidP="003102CD">
      <w:pPr>
        <w:pStyle w:val="RPSNumberedBodyText"/>
        <w:tabs>
          <w:tab w:val="num" w:pos="0"/>
        </w:tabs>
        <w:ind w:left="709" w:hanging="709"/>
        <w:jc w:val="left"/>
        <w:rPr>
          <w:rFonts w:asciiTheme="minorHAnsi" w:hAnsiTheme="minorHAnsi" w:cs="Garamond"/>
          <w:color w:val="444448" w:themeColor="accent4"/>
          <w:sz w:val="22"/>
          <w:szCs w:val="22"/>
        </w:rPr>
      </w:pPr>
      <w:r w:rsidRPr="00913A13">
        <w:rPr>
          <w:rFonts w:asciiTheme="minorHAnsi" w:hAnsiTheme="minorHAnsi" w:cs="Garamond"/>
          <w:color w:val="444448" w:themeColor="accent4"/>
          <w:sz w:val="22"/>
          <w:szCs w:val="22"/>
        </w:rPr>
        <w:lastRenderedPageBreak/>
        <w:t>Other non-radiological site selection crit</w:t>
      </w:r>
      <w:r w:rsidR="00686DD7" w:rsidRPr="00913A13">
        <w:rPr>
          <w:rFonts w:asciiTheme="minorHAnsi" w:hAnsiTheme="minorHAnsi" w:cs="Garamond"/>
          <w:color w:val="444448" w:themeColor="accent4"/>
          <w:sz w:val="22"/>
          <w:szCs w:val="22"/>
        </w:rPr>
        <w:t xml:space="preserve">eria </w:t>
      </w:r>
      <w:r w:rsidR="00C06164">
        <w:rPr>
          <w:rFonts w:asciiTheme="minorHAnsi" w:hAnsiTheme="minorHAnsi" w:cs="Garamond"/>
          <w:color w:val="444448" w:themeColor="accent4"/>
          <w:sz w:val="22"/>
          <w:szCs w:val="22"/>
        </w:rPr>
        <w:t xml:space="preserve">of relevance </w:t>
      </w:r>
      <w:r w:rsidR="00686DD7" w:rsidRPr="00913A13">
        <w:rPr>
          <w:rFonts w:asciiTheme="minorHAnsi" w:hAnsiTheme="minorHAnsi" w:cs="Garamond"/>
          <w:color w:val="444448" w:themeColor="accent4"/>
          <w:sz w:val="22"/>
          <w:szCs w:val="22"/>
        </w:rPr>
        <w:t xml:space="preserve">must also be considered. A </w:t>
      </w:r>
      <w:r w:rsidRPr="00913A13">
        <w:rPr>
          <w:rFonts w:asciiTheme="minorHAnsi" w:hAnsiTheme="minorHAnsi" w:cs="Garamond"/>
          <w:color w:val="444448" w:themeColor="accent4"/>
          <w:sz w:val="22"/>
          <w:szCs w:val="22"/>
        </w:rPr>
        <w:t xml:space="preserve">potential site is not required to comply with all of these criteria. However, </w:t>
      </w:r>
      <w:r w:rsidR="0025569B" w:rsidRPr="00913A13">
        <w:rPr>
          <w:rFonts w:asciiTheme="minorHAnsi" w:hAnsiTheme="minorHAnsi" w:cs="Garamond"/>
          <w:color w:val="444448" w:themeColor="accent4"/>
          <w:sz w:val="22"/>
          <w:szCs w:val="22"/>
        </w:rPr>
        <w:t>supporting, well-founded</w:t>
      </w:r>
      <w:r w:rsidRPr="00913A13">
        <w:rPr>
          <w:rFonts w:asciiTheme="minorHAnsi" w:hAnsiTheme="minorHAnsi" w:cs="Garamond"/>
          <w:color w:val="444448" w:themeColor="accent4"/>
          <w:sz w:val="22"/>
          <w:szCs w:val="22"/>
        </w:rPr>
        <w:t xml:space="preserve"> arguments must be provided in association </w:t>
      </w:r>
      <w:r w:rsidRPr="00913A13">
        <w:rPr>
          <w:rStyle w:val="LineNumber"/>
          <w:rFonts w:asciiTheme="minorHAnsi" w:hAnsiTheme="minorHAnsi"/>
          <w:color w:val="444448" w:themeColor="accent4"/>
          <w:sz w:val="22"/>
          <w:szCs w:val="22"/>
        </w:rPr>
        <w:t>with</w:t>
      </w:r>
      <w:r w:rsidRPr="00913A13">
        <w:rPr>
          <w:rFonts w:asciiTheme="minorHAnsi" w:hAnsiTheme="minorHAnsi" w:cs="Garamond"/>
          <w:color w:val="444448" w:themeColor="accent4"/>
          <w:sz w:val="22"/>
          <w:szCs w:val="22"/>
        </w:rPr>
        <w:t xml:space="preserve"> the safety case to address any criteria that are not fully met.</w:t>
      </w:r>
    </w:p>
    <w:p w14:paraId="351B7963" w14:textId="224746A2" w:rsidR="00102FC9" w:rsidRPr="00913A13" w:rsidRDefault="00102FC9" w:rsidP="003102CD">
      <w:pPr>
        <w:pStyle w:val="RPSNumberedBodyText"/>
        <w:numPr>
          <w:ilvl w:val="0"/>
          <w:numId w:val="0"/>
        </w:numPr>
        <w:ind w:firstLine="709"/>
        <w:jc w:val="left"/>
        <w:rPr>
          <w:rFonts w:asciiTheme="minorHAnsi" w:hAnsiTheme="minorHAnsi" w:cs="Garamond"/>
          <w:color w:val="444448" w:themeColor="accent4"/>
          <w:sz w:val="22"/>
          <w:szCs w:val="22"/>
        </w:rPr>
      </w:pPr>
      <w:r w:rsidRPr="00913A13">
        <w:rPr>
          <w:rFonts w:asciiTheme="minorHAnsi" w:hAnsiTheme="minorHAnsi" w:cs="Garamond"/>
          <w:color w:val="444448" w:themeColor="accent4"/>
          <w:sz w:val="22"/>
          <w:szCs w:val="22"/>
        </w:rPr>
        <w:t>The</w:t>
      </w:r>
      <w:r w:rsidR="00C06164">
        <w:rPr>
          <w:rFonts w:asciiTheme="minorHAnsi" w:hAnsiTheme="minorHAnsi" w:cs="Garamond"/>
          <w:color w:val="444448" w:themeColor="accent4"/>
          <w:sz w:val="22"/>
          <w:szCs w:val="22"/>
        </w:rPr>
        <w:t>se other</w:t>
      </w:r>
      <w:r w:rsidRPr="00913A13">
        <w:rPr>
          <w:rFonts w:asciiTheme="minorHAnsi" w:hAnsiTheme="minorHAnsi" w:cs="Garamond"/>
          <w:color w:val="444448" w:themeColor="accent4"/>
          <w:sz w:val="22"/>
          <w:szCs w:val="22"/>
        </w:rPr>
        <w:t xml:space="preserve"> </w:t>
      </w:r>
      <w:r w:rsidRPr="00913A13">
        <w:rPr>
          <w:rStyle w:val="LineNumber"/>
          <w:rFonts w:asciiTheme="minorHAnsi" w:hAnsiTheme="minorHAnsi"/>
          <w:color w:val="444448" w:themeColor="accent4"/>
          <w:sz w:val="22"/>
          <w:szCs w:val="22"/>
        </w:rPr>
        <w:t>criteria</w:t>
      </w:r>
      <w:r w:rsidRPr="00913A13">
        <w:rPr>
          <w:rFonts w:asciiTheme="minorHAnsi" w:hAnsiTheme="minorHAnsi" w:cs="Garamond"/>
          <w:color w:val="444448" w:themeColor="accent4"/>
          <w:sz w:val="22"/>
          <w:szCs w:val="22"/>
        </w:rPr>
        <w:t xml:space="preserve"> </w:t>
      </w:r>
      <w:r w:rsidR="00C06164">
        <w:rPr>
          <w:rFonts w:asciiTheme="minorHAnsi" w:hAnsiTheme="minorHAnsi" w:cs="Garamond"/>
          <w:color w:val="444448" w:themeColor="accent4"/>
          <w:sz w:val="22"/>
          <w:szCs w:val="22"/>
        </w:rPr>
        <w:t>include</w:t>
      </w:r>
      <w:r w:rsidRPr="00913A13">
        <w:rPr>
          <w:rFonts w:asciiTheme="minorHAnsi" w:hAnsiTheme="minorHAnsi" w:cs="Garamond"/>
          <w:color w:val="444448" w:themeColor="accent4"/>
          <w:sz w:val="22"/>
          <w:szCs w:val="22"/>
        </w:rPr>
        <w:t>:</w:t>
      </w:r>
    </w:p>
    <w:p w14:paraId="7A0C9717" w14:textId="236D669B" w:rsidR="00102FC9" w:rsidRPr="008A2ECA" w:rsidRDefault="00102FC9" w:rsidP="006F2956">
      <w:pPr>
        <w:pStyle w:val="RPSNumberedBodyText"/>
        <w:numPr>
          <w:ilvl w:val="0"/>
          <w:numId w:val="60"/>
        </w:numPr>
        <w:jc w:val="left"/>
        <w:rPr>
          <w:rStyle w:val="LineNumber"/>
          <w:rFonts w:asciiTheme="minorHAnsi" w:hAnsiTheme="minorHAnsi"/>
          <w:color w:val="444448" w:themeColor="accent4"/>
          <w:sz w:val="22"/>
          <w:szCs w:val="22"/>
        </w:rPr>
      </w:pPr>
      <w:r w:rsidRPr="008A2ECA">
        <w:rPr>
          <w:rStyle w:val="LineNumber"/>
          <w:rFonts w:asciiTheme="minorHAnsi" w:hAnsiTheme="minorHAnsi"/>
          <w:color w:val="444448" w:themeColor="accent4"/>
          <w:sz w:val="22"/>
          <w:szCs w:val="22"/>
        </w:rPr>
        <w:t>the immediate vicinity of the facility h</w:t>
      </w:r>
      <w:r w:rsidR="00686DD7" w:rsidRPr="008A2ECA">
        <w:rPr>
          <w:rStyle w:val="LineNumber"/>
          <w:rFonts w:asciiTheme="minorHAnsi" w:hAnsiTheme="minorHAnsi"/>
          <w:color w:val="444448" w:themeColor="accent4"/>
          <w:sz w:val="22"/>
          <w:szCs w:val="22"/>
        </w:rPr>
        <w:t xml:space="preserve">as no known significant natural </w:t>
      </w:r>
      <w:r w:rsidRPr="008A2ECA">
        <w:rPr>
          <w:rStyle w:val="LineNumber"/>
          <w:rFonts w:asciiTheme="minorHAnsi" w:hAnsiTheme="minorHAnsi"/>
          <w:color w:val="444448" w:themeColor="accent4"/>
          <w:sz w:val="22"/>
          <w:szCs w:val="22"/>
        </w:rPr>
        <w:t>resources, including potentially valuable mineral deposits, and has little or no potential for agricult</w:t>
      </w:r>
      <w:r w:rsidR="0040349B" w:rsidRPr="008A2ECA">
        <w:rPr>
          <w:rStyle w:val="LineNumber"/>
          <w:rFonts w:asciiTheme="minorHAnsi" w:hAnsiTheme="minorHAnsi"/>
          <w:color w:val="444448" w:themeColor="accent4"/>
          <w:sz w:val="22"/>
          <w:szCs w:val="22"/>
        </w:rPr>
        <w:t>ure or outdoor recreational use</w:t>
      </w:r>
    </w:p>
    <w:p w14:paraId="26CA56B4" w14:textId="3A960008" w:rsidR="00102FC9" w:rsidRPr="008A2ECA" w:rsidRDefault="00102FC9" w:rsidP="006F2956">
      <w:pPr>
        <w:pStyle w:val="RPSNumberedBodyText"/>
        <w:numPr>
          <w:ilvl w:val="0"/>
          <w:numId w:val="60"/>
        </w:numPr>
        <w:jc w:val="left"/>
        <w:rPr>
          <w:rStyle w:val="LineNumber"/>
          <w:rFonts w:asciiTheme="minorHAnsi" w:hAnsiTheme="minorHAnsi"/>
          <w:color w:val="444448" w:themeColor="accent4"/>
          <w:sz w:val="22"/>
          <w:szCs w:val="22"/>
        </w:rPr>
      </w:pPr>
      <w:r w:rsidRPr="008A2ECA">
        <w:rPr>
          <w:rStyle w:val="LineNumber"/>
          <w:rFonts w:asciiTheme="minorHAnsi" w:hAnsiTheme="minorHAnsi"/>
          <w:color w:val="444448" w:themeColor="accent4"/>
          <w:sz w:val="22"/>
          <w:szCs w:val="22"/>
        </w:rPr>
        <w:t>there is reasonable access for the transport of materials and equipment during construction and operation, and for the t</w:t>
      </w:r>
      <w:r w:rsidR="0040349B" w:rsidRPr="008A2ECA">
        <w:rPr>
          <w:rStyle w:val="LineNumber"/>
          <w:rFonts w:asciiTheme="minorHAnsi" w:hAnsiTheme="minorHAnsi"/>
          <w:color w:val="444448" w:themeColor="accent4"/>
          <w:sz w:val="22"/>
          <w:szCs w:val="22"/>
        </w:rPr>
        <w:t>ransport of waste into the site</w:t>
      </w:r>
    </w:p>
    <w:p w14:paraId="5D02323E" w14:textId="50A55156" w:rsidR="00102FC9" w:rsidRPr="008A2ECA" w:rsidRDefault="00102FC9" w:rsidP="006F2956">
      <w:pPr>
        <w:pStyle w:val="RPSNumberedBodyText"/>
        <w:numPr>
          <w:ilvl w:val="0"/>
          <w:numId w:val="60"/>
        </w:numPr>
        <w:jc w:val="left"/>
        <w:rPr>
          <w:rStyle w:val="LineNumber"/>
          <w:rFonts w:asciiTheme="minorHAnsi" w:hAnsiTheme="minorHAnsi"/>
          <w:color w:val="444448" w:themeColor="accent4"/>
          <w:sz w:val="22"/>
          <w:szCs w:val="22"/>
        </w:rPr>
      </w:pPr>
      <w:r w:rsidRPr="008A2ECA">
        <w:rPr>
          <w:rStyle w:val="LineNumber"/>
          <w:rFonts w:asciiTheme="minorHAnsi" w:hAnsiTheme="minorHAnsi"/>
          <w:color w:val="444448" w:themeColor="accent4"/>
          <w:sz w:val="22"/>
          <w:szCs w:val="22"/>
        </w:rPr>
        <w:t>the immediate vicinity of the facility has no special environmental attraction or appeal, no notable ecological significance, and is not the known</w:t>
      </w:r>
      <w:r w:rsidR="0040349B" w:rsidRPr="008A2ECA">
        <w:rPr>
          <w:rStyle w:val="LineNumber"/>
          <w:rFonts w:asciiTheme="minorHAnsi" w:hAnsiTheme="minorHAnsi"/>
          <w:color w:val="444448" w:themeColor="accent4"/>
          <w:sz w:val="22"/>
          <w:szCs w:val="22"/>
        </w:rPr>
        <w:t xml:space="preserve"> habitat of rare fauna or flora</w:t>
      </w:r>
    </w:p>
    <w:p w14:paraId="2EC7FB78" w14:textId="4697C367" w:rsidR="00102FC9" w:rsidRDefault="00102FC9" w:rsidP="006F2956">
      <w:pPr>
        <w:pStyle w:val="RPSNumberedBodyText"/>
        <w:numPr>
          <w:ilvl w:val="0"/>
          <w:numId w:val="60"/>
        </w:numPr>
        <w:jc w:val="left"/>
        <w:rPr>
          <w:rStyle w:val="LineNumber"/>
          <w:rFonts w:asciiTheme="minorHAnsi" w:hAnsiTheme="minorHAnsi"/>
          <w:color w:val="444448" w:themeColor="accent4"/>
          <w:sz w:val="22"/>
          <w:szCs w:val="22"/>
        </w:rPr>
      </w:pPr>
      <w:r w:rsidRPr="006F2956">
        <w:rPr>
          <w:rStyle w:val="LineNumber"/>
          <w:rFonts w:asciiTheme="minorHAnsi" w:hAnsiTheme="minorHAnsi"/>
          <w:color w:val="444448" w:themeColor="accent4"/>
          <w:sz w:val="22"/>
          <w:szCs w:val="22"/>
        </w:rPr>
        <w:t>the immediate vicinity of the facility has no special cultural</w:t>
      </w:r>
      <w:r w:rsidR="0040349B" w:rsidRPr="006F2956">
        <w:rPr>
          <w:rStyle w:val="LineNumber"/>
          <w:rFonts w:asciiTheme="minorHAnsi" w:hAnsiTheme="minorHAnsi"/>
          <w:color w:val="444448" w:themeColor="accent4"/>
          <w:sz w:val="22"/>
          <w:szCs w:val="22"/>
        </w:rPr>
        <w:t xml:space="preserve"> or historical significance</w:t>
      </w:r>
    </w:p>
    <w:p w14:paraId="47302D72" w14:textId="24FCE2F0" w:rsidR="006F2956" w:rsidRPr="006F2956" w:rsidRDefault="006F2956" w:rsidP="006F2956">
      <w:pPr>
        <w:pStyle w:val="RPSNumberedBodyText"/>
        <w:numPr>
          <w:ilvl w:val="0"/>
          <w:numId w:val="60"/>
        </w:numPr>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there are no land ownership rights or controls that compromise retention  of long-term control over the facility.</w:t>
      </w:r>
    </w:p>
    <w:p w14:paraId="6C97D40C" w14:textId="4AA6F997" w:rsidR="00C55F76" w:rsidRPr="006F2956" w:rsidRDefault="00C55F76" w:rsidP="003102CD">
      <w:pPr>
        <w:pStyle w:val="RPSNumberedBodyText"/>
        <w:numPr>
          <w:ilvl w:val="0"/>
          <w:numId w:val="0"/>
        </w:numPr>
        <w:jc w:val="left"/>
        <w:rPr>
          <w:rStyle w:val="LineNumbe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6F2956" w14:paraId="7B64E111" w14:textId="77777777" w:rsidTr="005028FE">
        <w:tc>
          <w:tcPr>
            <w:tcW w:w="8720" w:type="dxa"/>
            <w:shd w:val="clear" w:color="auto" w:fill="4E1A74" w:themeFill="text2"/>
          </w:tcPr>
          <w:p w14:paraId="10F7542C" w14:textId="77777777" w:rsidR="00841F85" w:rsidRPr="006F2956" w:rsidRDefault="00841F85" w:rsidP="005028FE">
            <w:pPr>
              <w:spacing w:before="120" w:after="120"/>
              <w:ind w:left="1985" w:hanging="1985"/>
              <w:rPr>
                <w:rFonts w:cstheme="minorHAnsi"/>
                <w:b/>
                <w:color w:val="FFFFFF"/>
              </w:rPr>
            </w:pPr>
            <w:r w:rsidRPr="006F2956">
              <w:rPr>
                <w:rFonts w:cstheme="minorHAnsi"/>
                <w:b/>
                <w:color w:val="FFFFFF"/>
              </w:rPr>
              <w:t>Collocation of facilities</w:t>
            </w:r>
          </w:p>
        </w:tc>
      </w:tr>
    </w:tbl>
    <w:p w14:paraId="681B3525" w14:textId="77777777" w:rsidR="003467C2" w:rsidRPr="00A92DF8" w:rsidRDefault="003467C2" w:rsidP="007C7DE6">
      <w:pPr>
        <w:pStyle w:val="ListParagraph"/>
        <w:numPr>
          <w:ilvl w:val="1"/>
          <w:numId w:val="12"/>
        </w:numPr>
        <w:spacing w:before="240" w:line="276" w:lineRule="auto"/>
        <w:rPr>
          <w:b/>
          <w:snapToGrid w:val="0"/>
          <w:vanish/>
          <w:sz w:val="32"/>
          <w:szCs w:val="36"/>
        </w:rPr>
      </w:pPr>
    </w:p>
    <w:p w14:paraId="76D2C2E6" w14:textId="40EF347E" w:rsidR="003467C2" w:rsidRPr="00A80F9D"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If a disposal site is proposed close to or adjacent to another new or existing facility, the impact of each facility on the safety of the other must be considered by the proponent and </w:t>
      </w:r>
      <w:r w:rsidR="00C06164">
        <w:rPr>
          <w:rStyle w:val="LineNumber"/>
          <w:rFonts w:asciiTheme="minorHAnsi" w:hAnsiTheme="minorHAnsi"/>
          <w:color w:val="444448" w:themeColor="accent4"/>
          <w:sz w:val="22"/>
          <w:szCs w:val="22"/>
        </w:rPr>
        <w:t xml:space="preserve">relevant </w:t>
      </w:r>
      <w:r w:rsidRPr="00A80F9D">
        <w:rPr>
          <w:rStyle w:val="LineNumber"/>
          <w:rFonts w:asciiTheme="minorHAnsi" w:hAnsiTheme="minorHAnsi"/>
          <w:color w:val="444448" w:themeColor="accent4"/>
          <w:sz w:val="22"/>
          <w:szCs w:val="22"/>
        </w:rPr>
        <w:t>regulator</w:t>
      </w:r>
      <w:r w:rsidR="00C06164">
        <w:rPr>
          <w:rStyle w:val="LineNumber"/>
          <w:rFonts w:asciiTheme="minorHAnsi" w:hAnsiTheme="minorHAnsi"/>
          <w:color w:val="444448" w:themeColor="accent4"/>
          <w:sz w:val="22"/>
          <w:szCs w:val="22"/>
        </w:rPr>
        <w:t>y authority</w:t>
      </w:r>
      <w:r w:rsidRPr="00A80F9D">
        <w:rPr>
          <w:rStyle w:val="LineNumber"/>
          <w:rFonts w:asciiTheme="minorHAnsi" w:hAnsiTheme="minorHAnsi"/>
          <w:color w:val="444448" w:themeColor="accent4"/>
          <w:sz w:val="22"/>
          <w:szCs w:val="22"/>
        </w:rPr>
        <w:t>, including with regard to impacts on redundancy of safety systems.</w:t>
      </w:r>
    </w:p>
    <w:p w14:paraId="0E8BF86E" w14:textId="77777777" w:rsidR="003467C2"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Where a proposed facility is to be collocated with new or existing facilities, any specific security issues arising from the collocation must be taken into account in the site evaluation for the proposed facility.</w:t>
      </w:r>
    </w:p>
    <w:p w14:paraId="2AC645A4" w14:textId="77777777" w:rsidR="00841F85" w:rsidRDefault="00841F85" w:rsidP="003467C2">
      <w:pPr>
        <w:pStyle w:val="RPSNumberedBodyText"/>
        <w:numPr>
          <w:ilvl w:val="0"/>
          <w:numId w:val="0"/>
        </w:numPr>
        <w:jc w:val="left"/>
        <w:rPr>
          <w:rStyle w:val="IntenseReference"/>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7436666F" w14:textId="77777777" w:rsidTr="005028FE">
        <w:tc>
          <w:tcPr>
            <w:tcW w:w="8720" w:type="dxa"/>
            <w:shd w:val="clear" w:color="auto" w:fill="4E1A74" w:themeFill="text2"/>
          </w:tcPr>
          <w:p w14:paraId="136A6877" w14:textId="20B25254" w:rsidR="00841F85" w:rsidRPr="00AD6C06" w:rsidRDefault="000A104D" w:rsidP="005028FE">
            <w:pPr>
              <w:spacing w:before="120" w:after="120"/>
              <w:ind w:left="1985" w:hanging="1985"/>
              <w:rPr>
                <w:rFonts w:cstheme="minorHAnsi"/>
                <w:b/>
                <w:color w:val="FFFFFF"/>
              </w:rPr>
            </w:pPr>
            <w:r>
              <w:rPr>
                <w:rFonts w:cstheme="minorHAnsi"/>
                <w:b/>
                <w:color w:val="FFFFFF"/>
              </w:rPr>
              <w:t xml:space="preserve">Management </w:t>
            </w:r>
            <w:r w:rsidR="009665DD">
              <w:rPr>
                <w:rFonts w:cstheme="minorHAnsi"/>
                <w:b/>
                <w:color w:val="FFFFFF"/>
              </w:rPr>
              <w:t>s</w:t>
            </w:r>
            <w:r>
              <w:rPr>
                <w:rFonts w:cstheme="minorHAnsi"/>
                <w:b/>
                <w:color w:val="FFFFFF"/>
              </w:rPr>
              <w:t>ystem</w:t>
            </w:r>
          </w:p>
        </w:tc>
      </w:tr>
    </w:tbl>
    <w:p w14:paraId="2BB85DD5" w14:textId="58339CCC" w:rsidR="00CC2FC0" w:rsidRPr="00CC2FC0" w:rsidRDefault="00CC2FC0" w:rsidP="00CC2FC0">
      <w:pPr>
        <w:pStyle w:val="RPSNumberedBodyText"/>
        <w:tabs>
          <w:tab w:val="num" w:pos="0"/>
        </w:tabs>
        <w:ind w:left="709" w:hanging="709"/>
        <w:jc w:val="left"/>
        <w:rPr>
          <w:rStyle w:val="LineNumber"/>
          <w:rFonts w:asciiTheme="minorHAnsi" w:hAnsiTheme="minorHAnsi"/>
          <w:color w:val="444448" w:themeColor="accent4"/>
          <w:sz w:val="22"/>
          <w:szCs w:val="22"/>
        </w:rPr>
      </w:pPr>
      <w:r w:rsidRPr="00CC2FC0">
        <w:rPr>
          <w:rStyle w:val="LineNumber"/>
          <w:rFonts w:asciiTheme="minorHAnsi" w:hAnsiTheme="minorHAnsi"/>
          <w:color w:val="444448" w:themeColor="accent4"/>
          <w:sz w:val="22"/>
          <w:szCs w:val="22"/>
        </w:rPr>
        <w:t xml:space="preserve">The arrangements put in place to establish a disposal facility, and the interdependencies between such arrangements, must be consolidated and documented in a management system. The management system must integrate its elements, including safety, </w:t>
      </w:r>
      <w:r w:rsidR="00D3529D">
        <w:rPr>
          <w:rStyle w:val="LineNumber"/>
          <w:rFonts w:asciiTheme="minorHAnsi" w:hAnsiTheme="minorHAnsi"/>
          <w:color w:val="444448" w:themeColor="accent4"/>
          <w:sz w:val="22"/>
          <w:szCs w:val="22"/>
        </w:rPr>
        <w:t xml:space="preserve">human </w:t>
      </w:r>
      <w:r w:rsidRPr="00CC2FC0">
        <w:rPr>
          <w:rStyle w:val="LineNumber"/>
          <w:rFonts w:asciiTheme="minorHAnsi" w:hAnsiTheme="minorHAnsi"/>
          <w:color w:val="444448" w:themeColor="accent4"/>
          <w:sz w:val="22"/>
          <w:szCs w:val="22"/>
        </w:rPr>
        <w:t>health, environmental</w:t>
      </w:r>
      <w:r w:rsidR="00D3529D">
        <w:rPr>
          <w:rStyle w:val="LineNumber"/>
          <w:rFonts w:asciiTheme="minorHAnsi" w:hAnsiTheme="minorHAnsi"/>
          <w:color w:val="444448" w:themeColor="accent4"/>
          <w:sz w:val="22"/>
          <w:szCs w:val="22"/>
        </w:rPr>
        <w:t xml:space="preserve"> protection</w:t>
      </w:r>
      <w:r w:rsidRPr="00CC2FC0">
        <w:rPr>
          <w:rStyle w:val="LineNumber"/>
          <w:rFonts w:asciiTheme="minorHAnsi" w:hAnsiTheme="minorHAnsi"/>
          <w:color w:val="444448" w:themeColor="accent4"/>
          <w:sz w:val="22"/>
          <w:szCs w:val="22"/>
        </w:rPr>
        <w:t>, security, quality</w:t>
      </w:r>
      <w:r w:rsidR="00D3529D">
        <w:rPr>
          <w:rStyle w:val="LineNumber"/>
          <w:rFonts w:asciiTheme="minorHAnsi" w:hAnsiTheme="minorHAnsi"/>
          <w:color w:val="444448" w:themeColor="accent4"/>
          <w:sz w:val="22"/>
          <w:szCs w:val="22"/>
        </w:rPr>
        <w:t xml:space="preserve"> systems</w:t>
      </w:r>
      <w:r w:rsidRPr="00CC2FC0">
        <w:rPr>
          <w:rStyle w:val="LineNumber"/>
          <w:rFonts w:asciiTheme="minorHAnsi" w:hAnsiTheme="minorHAnsi"/>
          <w:color w:val="444448" w:themeColor="accent4"/>
          <w:sz w:val="22"/>
          <w:szCs w:val="22"/>
        </w:rPr>
        <w:t xml:space="preserve">, human performance, societal and economic </w:t>
      </w:r>
      <w:r w:rsidR="00D3529D">
        <w:rPr>
          <w:rStyle w:val="LineNumber"/>
          <w:rFonts w:asciiTheme="minorHAnsi" w:hAnsiTheme="minorHAnsi"/>
          <w:color w:val="444448" w:themeColor="accent4"/>
          <w:sz w:val="22"/>
          <w:szCs w:val="22"/>
        </w:rPr>
        <w:t>aspec</w:t>
      </w:r>
      <w:r w:rsidR="00D3529D" w:rsidRPr="00CC2FC0">
        <w:rPr>
          <w:rStyle w:val="LineNumber"/>
          <w:rFonts w:asciiTheme="minorHAnsi" w:hAnsiTheme="minorHAnsi"/>
          <w:color w:val="444448" w:themeColor="accent4"/>
          <w:sz w:val="22"/>
          <w:szCs w:val="22"/>
        </w:rPr>
        <w:t>ts</w:t>
      </w:r>
      <w:r w:rsidRPr="00CC2FC0">
        <w:rPr>
          <w:rStyle w:val="LineNumber"/>
          <w:rFonts w:asciiTheme="minorHAnsi" w:hAnsiTheme="minorHAnsi"/>
          <w:color w:val="444448" w:themeColor="accent4"/>
          <w:sz w:val="22"/>
          <w:szCs w:val="22"/>
        </w:rPr>
        <w:t xml:space="preserve">, so that safety </w:t>
      </w:r>
      <w:r w:rsidR="00D3529D">
        <w:rPr>
          <w:rStyle w:val="LineNumber"/>
          <w:rFonts w:asciiTheme="minorHAnsi" w:hAnsiTheme="minorHAnsi"/>
          <w:color w:val="444448" w:themeColor="accent4"/>
          <w:sz w:val="22"/>
          <w:szCs w:val="22"/>
        </w:rPr>
        <w:t>and security are</w:t>
      </w:r>
      <w:r w:rsidR="00D3529D" w:rsidRPr="00CC2FC0">
        <w:rPr>
          <w:rStyle w:val="LineNumber"/>
          <w:rFonts w:asciiTheme="minorHAnsi" w:hAnsiTheme="minorHAnsi"/>
          <w:color w:val="444448" w:themeColor="accent4"/>
          <w:sz w:val="22"/>
          <w:szCs w:val="22"/>
        </w:rPr>
        <w:t xml:space="preserve"> </w:t>
      </w:r>
      <w:r w:rsidRPr="00CC2FC0">
        <w:rPr>
          <w:rStyle w:val="LineNumber"/>
          <w:rFonts w:asciiTheme="minorHAnsi" w:hAnsiTheme="minorHAnsi"/>
          <w:color w:val="444448" w:themeColor="accent4"/>
          <w:sz w:val="22"/>
          <w:szCs w:val="22"/>
        </w:rPr>
        <w:t>not compromised.</w:t>
      </w:r>
    </w:p>
    <w:p w14:paraId="66049BEB" w14:textId="2ECEE5CF" w:rsidR="003467C2" w:rsidRPr="00CC2FC0" w:rsidRDefault="003467C2" w:rsidP="00CC2FC0">
      <w:pPr>
        <w:pStyle w:val="RPSNumberedBodyText"/>
        <w:tabs>
          <w:tab w:val="num" w:pos="0"/>
        </w:tabs>
        <w:ind w:left="709" w:hanging="709"/>
        <w:jc w:val="left"/>
        <w:rPr>
          <w:rStyle w:val="LineNumber"/>
          <w:color w:val="444448" w:themeColor="accent4"/>
        </w:rPr>
      </w:pPr>
      <w:r w:rsidRPr="00CC2FC0">
        <w:rPr>
          <w:rStyle w:val="LineNumber"/>
          <w:rFonts w:asciiTheme="minorHAnsi" w:hAnsiTheme="minorHAnsi"/>
          <w:color w:val="444448" w:themeColor="accent4"/>
          <w:sz w:val="22"/>
          <w:szCs w:val="22"/>
        </w:rPr>
        <w:t>An applicant for any</w:t>
      </w:r>
      <w:r w:rsidR="00C231E3" w:rsidRPr="00C231E3">
        <w:rPr>
          <w:rFonts w:asciiTheme="minorHAnsi" w:hAnsiTheme="minorHAnsi"/>
          <w:color w:val="444448" w:themeColor="accent4"/>
          <w:sz w:val="22"/>
          <w:szCs w:val="22"/>
        </w:rPr>
        <w:t xml:space="preserve"> </w:t>
      </w:r>
      <w:r w:rsidR="00C231E3">
        <w:rPr>
          <w:rFonts w:asciiTheme="minorHAnsi" w:hAnsiTheme="minorHAnsi"/>
          <w:color w:val="444448" w:themeColor="accent4"/>
          <w:sz w:val="22"/>
          <w:szCs w:val="22"/>
        </w:rPr>
        <w:t>authorisation</w:t>
      </w:r>
      <w:r w:rsidR="00C231E3" w:rsidRPr="00CC2FC0">
        <w:rPr>
          <w:rStyle w:val="LineNumber"/>
          <w:rFonts w:asciiTheme="minorHAnsi" w:hAnsiTheme="minorHAnsi"/>
          <w:color w:val="444448" w:themeColor="accent4"/>
          <w:sz w:val="22"/>
          <w:szCs w:val="22"/>
        </w:rPr>
        <w:t xml:space="preserve"> </w:t>
      </w:r>
      <w:r w:rsidRPr="00CC2FC0">
        <w:rPr>
          <w:rStyle w:val="LineNumber"/>
          <w:rFonts w:asciiTheme="minorHAnsi" w:hAnsiTheme="minorHAnsi"/>
          <w:color w:val="444448" w:themeColor="accent4"/>
          <w:sz w:val="22"/>
          <w:szCs w:val="22"/>
        </w:rPr>
        <w:t xml:space="preserve">covered by this Code must, as part of the application, provide information upon which an assessment can be made of the adequacy of the safety and security culture of the applicant organisation. The required information must demonstrate the commitment of senior management within the operator to safety and security, and the establishment and maintenance of a holistic </w:t>
      </w:r>
      <w:r w:rsidR="00CC2FC0" w:rsidRPr="00CC2FC0">
        <w:rPr>
          <w:rStyle w:val="LineNumber"/>
          <w:rFonts w:asciiTheme="minorHAnsi" w:hAnsiTheme="minorHAnsi"/>
          <w:color w:val="444448" w:themeColor="accent4"/>
          <w:sz w:val="22"/>
          <w:szCs w:val="22"/>
        </w:rPr>
        <w:t>safety</w:t>
      </w:r>
      <w:r w:rsidR="00F73368">
        <w:rPr>
          <w:rStyle w:val="LineNumber"/>
          <w:rFonts w:asciiTheme="minorHAnsi" w:hAnsiTheme="minorHAnsi"/>
          <w:color w:val="444448" w:themeColor="accent4"/>
          <w:sz w:val="22"/>
          <w:szCs w:val="22"/>
        </w:rPr>
        <w:t xml:space="preserve"> and security</w:t>
      </w:r>
      <w:r w:rsidR="00B038AD">
        <w:rPr>
          <w:rStyle w:val="LineNumber"/>
          <w:rFonts w:asciiTheme="minorHAnsi" w:hAnsiTheme="minorHAnsi"/>
          <w:color w:val="444448" w:themeColor="accent4"/>
          <w:sz w:val="22"/>
          <w:szCs w:val="22"/>
        </w:rPr>
        <w:t xml:space="preserve"> </w:t>
      </w:r>
      <w:r w:rsidR="007E0BFF">
        <w:rPr>
          <w:rStyle w:val="LineNumber"/>
          <w:rFonts w:asciiTheme="minorHAnsi" w:hAnsiTheme="minorHAnsi"/>
          <w:color w:val="444448" w:themeColor="accent4"/>
          <w:sz w:val="22"/>
          <w:szCs w:val="22"/>
        </w:rPr>
        <w:t xml:space="preserve">regime </w:t>
      </w:r>
      <w:r w:rsidRPr="00CC2FC0">
        <w:rPr>
          <w:rStyle w:val="LineNumber"/>
          <w:rFonts w:asciiTheme="minorHAnsi" w:hAnsiTheme="minorHAnsi"/>
          <w:color w:val="444448" w:themeColor="accent4"/>
          <w:sz w:val="22"/>
          <w:szCs w:val="22"/>
        </w:rPr>
        <w:t>within the facility.</w:t>
      </w:r>
    </w:p>
    <w:p w14:paraId="59DE8047" w14:textId="77777777" w:rsidR="00841F85" w:rsidRPr="001A2A2F" w:rsidRDefault="00841F85" w:rsidP="00841F85">
      <w:pPr>
        <w:pStyle w:val="RPSNumberedBodyText"/>
        <w:numPr>
          <w:ilvl w:val="0"/>
          <w:numId w:val="0"/>
        </w:numPr>
        <w:jc w:val="left"/>
        <w:rPr>
          <w:rStyle w:val="LineNumber"/>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4678FE7A" w14:textId="77777777" w:rsidTr="005028FE">
        <w:tc>
          <w:tcPr>
            <w:tcW w:w="8720" w:type="dxa"/>
            <w:shd w:val="clear" w:color="auto" w:fill="4E1A74" w:themeFill="text2"/>
          </w:tcPr>
          <w:p w14:paraId="47EC11F0"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Security</w:t>
            </w:r>
          </w:p>
        </w:tc>
      </w:tr>
    </w:tbl>
    <w:p w14:paraId="2AC76371" w14:textId="77777777" w:rsidR="003467C2" w:rsidRPr="00A80F9D" w:rsidRDefault="003467C2" w:rsidP="007C04EC">
      <w:pPr>
        <w:pStyle w:val="RPSNumberedBodyText"/>
        <w:tabs>
          <w:tab w:val="num" w:pos="0"/>
        </w:tabs>
        <w:ind w:left="709" w:hanging="709"/>
        <w:jc w:val="left"/>
        <w:rPr>
          <w:snapToGrid w:val="0"/>
          <w:color w:val="444448" w:themeColor="accent4"/>
          <w:lang w:eastAsia="en-US"/>
        </w:rPr>
      </w:pPr>
      <w:r w:rsidRPr="00A80F9D">
        <w:rPr>
          <w:rStyle w:val="LineNumber"/>
          <w:rFonts w:asciiTheme="minorHAnsi" w:hAnsiTheme="minorHAnsi"/>
          <w:color w:val="444448" w:themeColor="accent4"/>
          <w:sz w:val="22"/>
          <w:szCs w:val="22"/>
        </w:rPr>
        <w:t>In implementing measures to meet the requirements contained in this Code, due consideration for security principles must be taken to ensure that they will not create adverse effects to the security system. For example, certain sensitive information may not be able to be publicly disclosed.</w:t>
      </w:r>
    </w:p>
    <w:p w14:paraId="3E3EA6B7" w14:textId="6E6F816C" w:rsidR="003467C2" w:rsidRPr="00686DD7"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All security issues relevant for the appropriate phase of a disposal facility (e.g. siting, construction, operation, closure) must be addressed by the proponent/operator as required under</w:t>
      </w:r>
      <w:r w:rsidR="00FB193F">
        <w:rPr>
          <w:rStyle w:val="LineNumber"/>
          <w:rFonts w:asciiTheme="minorHAnsi" w:hAnsiTheme="minorHAnsi"/>
          <w:color w:val="444448" w:themeColor="accent4"/>
          <w:sz w:val="22"/>
          <w:szCs w:val="22"/>
        </w:rPr>
        <w:t xml:space="preserve"> the</w:t>
      </w:r>
      <w:r w:rsidRPr="00A80F9D">
        <w:rPr>
          <w:rStyle w:val="LineNumber"/>
          <w:rFonts w:asciiTheme="minorHAnsi" w:hAnsiTheme="minorHAnsi"/>
          <w:color w:val="444448" w:themeColor="accent4"/>
          <w:sz w:val="22"/>
          <w:szCs w:val="22"/>
        </w:rPr>
        <w:t xml:space="preserve"> </w:t>
      </w:r>
      <w:r w:rsidRPr="006F2956">
        <w:rPr>
          <w:rStyle w:val="LineNumber"/>
          <w:rFonts w:asciiTheme="minorHAnsi" w:hAnsiTheme="minorHAnsi"/>
          <w:color w:val="444448" w:themeColor="accent4"/>
          <w:sz w:val="22"/>
          <w:szCs w:val="22"/>
        </w:rPr>
        <w:t>Code of Practice for the</w:t>
      </w:r>
      <w:r w:rsidRPr="00686DD7">
        <w:rPr>
          <w:rStyle w:val="LineNumber"/>
          <w:rFonts w:asciiTheme="minorHAnsi" w:hAnsiTheme="minorHAnsi"/>
          <w:i/>
          <w:color w:val="444448" w:themeColor="accent4"/>
          <w:sz w:val="22"/>
          <w:szCs w:val="22"/>
        </w:rPr>
        <w:t xml:space="preserve"> </w:t>
      </w:r>
      <w:r w:rsidRPr="00F1509B">
        <w:rPr>
          <w:rStyle w:val="LineNumber"/>
          <w:rFonts w:asciiTheme="minorHAnsi" w:hAnsiTheme="minorHAnsi"/>
          <w:i/>
          <w:color w:val="444448" w:themeColor="accent4"/>
          <w:sz w:val="22"/>
          <w:szCs w:val="22"/>
        </w:rPr>
        <w:t>Security</w:t>
      </w:r>
      <w:r w:rsidRPr="00686DD7">
        <w:rPr>
          <w:rStyle w:val="LineNumber"/>
          <w:rFonts w:asciiTheme="minorHAnsi" w:hAnsiTheme="minorHAnsi"/>
          <w:i/>
          <w:color w:val="444448" w:themeColor="accent4"/>
          <w:sz w:val="22"/>
          <w:szCs w:val="22"/>
        </w:rPr>
        <w:t xml:space="preserve"> of Radioactive Sources</w:t>
      </w:r>
      <w:r w:rsidRPr="00686DD7">
        <w:rPr>
          <w:rStyle w:val="LineNumber"/>
          <w:rFonts w:asciiTheme="minorHAnsi" w:hAnsiTheme="minorHAnsi"/>
          <w:color w:val="444448" w:themeColor="accent4"/>
          <w:sz w:val="22"/>
          <w:szCs w:val="22"/>
        </w:rPr>
        <w:t xml:space="preserve"> </w:t>
      </w:r>
      <w:r w:rsidR="005F4B25" w:rsidRPr="00686DD7">
        <w:rPr>
          <w:rStyle w:val="LineNumber"/>
          <w:rFonts w:asciiTheme="minorHAnsi" w:hAnsiTheme="minorHAnsi"/>
          <w:color w:val="444448" w:themeColor="accent4"/>
          <w:sz w:val="22"/>
          <w:szCs w:val="22"/>
        </w:rPr>
        <w:t xml:space="preserve">(RPS 11) </w:t>
      </w:r>
      <w:r w:rsidRPr="00686DD7">
        <w:rPr>
          <w:rStyle w:val="LineNumber"/>
          <w:rFonts w:asciiTheme="minorHAnsi" w:hAnsiTheme="minorHAnsi"/>
          <w:color w:val="444448" w:themeColor="accent4"/>
          <w:sz w:val="22"/>
          <w:szCs w:val="22"/>
        </w:rPr>
        <w:t>(</w:t>
      </w:r>
      <w:r w:rsidR="005F4B25" w:rsidRPr="00686DD7">
        <w:rPr>
          <w:rStyle w:val="LineNumber"/>
          <w:rFonts w:asciiTheme="minorHAnsi" w:hAnsiTheme="minorHAnsi"/>
          <w:color w:val="444448" w:themeColor="accent4"/>
          <w:sz w:val="22"/>
          <w:szCs w:val="22"/>
        </w:rPr>
        <w:t xml:space="preserve">ARPANSA </w:t>
      </w:r>
      <w:r w:rsidRPr="00686DD7">
        <w:rPr>
          <w:rStyle w:val="LineNumber"/>
          <w:rFonts w:asciiTheme="minorHAnsi" w:hAnsiTheme="minorHAnsi"/>
          <w:color w:val="444448" w:themeColor="accent4"/>
          <w:sz w:val="22"/>
          <w:szCs w:val="22"/>
        </w:rPr>
        <w:t>2007).</w:t>
      </w:r>
    </w:p>
    <w:p w14:paraId="048E8AF5" w14:textId="4F0A24B6" w:rsidR="003467C2" w:rsidRPr="00686DD7" w:rsidRDefault="003467C2" w:rsidP="007C04EC">
      <w:pPr>
        <w:pStyle w:val="RPSNumberedBodyText"/>
        <w:tabs>
          <w:tab w:val="num" w:pos="0"/>
        </w:tabs>
        <w:ind w:left="709" w:hanging="709"/>
        <w:jc w:val="left"/>
        <w:rPr>
          <w:rStyle w:val="LineNumber"/>
          <w:rFonts w:asciiTheme="minorHAnsi" w:hAnsiTheme="minorHAnsi"/>
          <w:color w:val="444448" w:themeColor="accent4"/>
          <w:sz w:val="22"/>
          <w:szCs w:val="22"/>
        </w:rPr>
      </w:pPr>
      <w:r w:rsidRPr="00686DD7">
        <w:rPr>
          <w:rStyle w:val="LineNumber"/>
          <w:rFonts w:asciiTheme="minorHAnsi" w:hAnsiTheme="minorHAnsi"/>
          <w:color w:val="444448" w:themeColor="accent4"/>
          <w:sz w:val="22"/>
          <w:szCs w:val="22"/>
        </w:rPr>
        <w:t xml:space="preserve">Other relevant recommendations in the IAEA </w:t>
      </w:r>
      <w:r w:rsidR="000102F6">
        <w:rPr>
          <w:rStyle w:val="LineNumber"/>
          <w:rFonts w:asciiTheme="minorHAnsi" w:hAnsiTheme="minorHAnsi"/>
          <w:color w:val="444448" w:themeColor="accent4"/>
          <w:sz w:val="22"/>
          <w:szCs w:val="22"/>
        </w:rPr>
        <w:t>Nuclear Security Series</w:t>
      </w:r>
      <w:r w:rsidRPr="00686DD7">
        <w:rPr>
          <w:rStyle w:val="LineNumber"/>
          <w:rFonts w:asciiTheme="minorHAnsi" w:hAnsiTheme="minorHAnsi"/>
          <w:color w:val="444448" w:themeColor="accent4"/>
          <w:sz w:val="22"/>
          <w:szCs w:val="22"/>
        </w:rPr>
        <w:t xml:space="preserve">, </w:t>
      </w:r>
      <w:r w:rsidRPr="00686DD7">
        <w:rPr>
          <w:rStyle w:val="LineNumber"/>
          <w:rFonts w:asciiTheme="minorHAnsi" w:hAnsiTheme="minorHAnsi"/>
          <w:i/>
          <w:color w:val="444448" w:themeColor="accent4"/>
          <w:sz w:val="22"/>
          <w:szCs w:val="22"/>
        </w:rPr>
        <w:t>Nuclear Security Recommendations on Physical Protection of Nuclear Material and Nuclear Facilities</w:t>
      </w:r>
      <w:r w:rsidRPr="00686DD7">
        <w:rPr>
          <w:rStyle w:val="LineNumber"/>
          <w:rFonts w:asciiTheme="minorHAnsi" w:hAnsiTheme="minorHAnsi"/>
          <w:color w:val="444448" w:themeColor="accent4"/>
          <w:sz w:val="22"/>
          <w:szCs w:val="22"/>
        </w:rPr>
        <w:t xml:space="preserve"> (IAEA 2011</w:t>
      </w:r>
      <w:r w:rsidR="002B5B11">
        <w:rPr>
          <w:rStyle w:val="LineNumber"/>
          <w:rFonts w:asciiTheme="minorHAnsi" w:hAnsiTheme="minorHAnsi"/>
          <w:color w:val="444448" w:themeColor="accent4"/>
          <w:sz w:val="22"/>
          <w:szCs w:val="22"/>
        </w:rPr>
        <w:t>b</w:t>
      </w:r>
      <w:r w:rsidRPr="00686DD7">
        <w:rPr>
          <w:rStyle w:val="LineNumber"/>
          <w:rFonts w:asciiTheme="minorHAnsi" w:hAnsiTheme="minorHAnsi"/>
          <w:color w:val="444448" w:themeColor="accent4"/>
          <w:sz w:val="22"/>
          <w:szCs w:val="22"/>
        </w:rPr>
        <w:t>)</w:t>
      </w:r>
      <w:r w:rsidR="002B5B11">
        <w:rPr>
          <w:rStyle w:val="LineNumber"/>
          <w:rFonts w:asciiTheme="minorHAnsi" w:hAnsiTheme="minorHAnsi"/>
          <w:color w:val="444448" w:themeColor="accent4"/>
          <w:sz w:val="22"/>
          <w:szCs w:val="22"/>
        </w:rPr>
        <w:t xml:space="preserve"> and </w:t>
      </w:r>
      <w:r w:rsidR="002B5B11">
        <w:rPr>
          <w:rStyle w:val="LineNumber"/>
          <w:rFonts w:asciiTheme="minorHAnsi" w:hAnsiTheme="minorHAnsi"/>
          <w:i/>
          <w:color w:val="444448" w:themeColor="accent4"/>
          <w:sz w:val="22"/>
          <w:szCs w:val="22"/>
        </w:rPr>
        <w:t xml:space="preserve">Nuclear Security Recommendations on Radioactive Material and Associated Facilities </w:t>
      </w:r>
      <w:r w:rsidR="002B5B11">
        <w:rPr>
          <w:rStyle w:val="LineNumber"/>
          <w:rFonts w:asciiTheme="minorHAnsi" w:hAnsiTheme="minorHAnsi"/>
          <w:color w:val="444448" w:themeColor="accent4"/>
          <w:sz w:val="22"/>
          <w:szCs w:val="22"/>
        </w:rPr>
        <w:t>(IAEA 2011c)</w:t>
      </w:r>
      <w:r w:rsidRPr="00686DD7">
        <w:rPr>
          <w:rStyle w:val="LineNumber"/>
          <w:rFonts w:asciiTheme="minorHAnsi" w:hAnsiTheme="minorHAnsi"/>
          <w:color w:val="444448" w:themeColor="accent4"/>
          <w:sz w:val="22"/>
          <w:szCs w:val="22"/>
        </w:rPr>
        <w:t>, must be addressed</w:t>
      </w:r>
      <w:r w:rsidRPr="00686DD7">
        <w:rPr>
          <w:color w:val="444448" w:themeColor="accent4"/>
        </w:rPr>
        <w:t xml:space="preserve"> </w:t>
      </w:r>
      <w:r w:rsidRPr="00686DD7">
        <w:rPr>
          <w:rStyle w:val="LineNumber"/>
          <w:rFonts w:asciiTheme="minorHAnsi" w:hAnsiTheme="minorHAnsi"/>
          <w:color w:val="444448" w:themeColor="accent4"/>
          <w:sz w:val="22"/>
          <w:szCs w:val="22"/>
        </w:rPr>
        <w:t>by the proponent/operator.</w:t>
      </w:r>
    </w:p>
    <w:p w14:paraId="6B758FA0" w14:textId="77777777" w:rsidR="00841F85" w:rsidRPr="001A2A2F" w:rsidRDefault="00841F85" w:rsidP="00841F85">
      <w:pPr>
        <w:pStyle w:val="RPSNumberedBodyText"/>
        <w:numPr>
          <w:ilvl w:val="0"/>
          <w:numId w:val="0"/>
        </w:numPr>
        <w:spacing w:line="240" w:lineRule="auto"/>
        <w:rPr>
          <w:rStyle w:val="LineNumbe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841F85" w:rsidRPr="00D2396C" w14:paraId="4C2907DB" w14:textId="77777777" w:rsidTr="005028FE">
        <w:tc>
          <w:tcPr>
            <w:tcW w:w="8720" w:type="dxa"/>
            <w:shd w:val="clear" w:color="auto" w:fill="4E1A74" w:themeFill="text2"/>
          </w:tcPr>
          <w:p w14:paraId="1813D6ED" w14:textId="77777777" w:rsidR="00841F85" w:rsidRPr="00AD6C06" w:rsidRDefault="00841F85" w:rsidP="005028FE">
            <w:pPr>
              <w:spacing w:before="120" w:after="120"/>
              <w:ind w:left="1985" w:hanging="1985"/>
              <w:rPr>
                <w:rFonts w:cstheme="minorHAnsi"/>
                <w:b/>
                <w:color w:val="FFFFFF"/>
              </w:rPr>
            </w:pPr>
            <w:r w:rsidRPr="00AD6C06">
              <w:rPr>
                <w:rFonts w:cstheme="minorHAnsi"/>
                <w:b/>
                <w:color w:val="FFFFFF"/>
              </w:rPr>
              <w:t>Recordkeeping</w:t>
            </w:r>
          </w:p>
        </w:tc>
      </w:tr>
    </w:tbl>
    <w:p w14:paraId="5D1F3A84" w14:textId="77777777" w:rsidR="003467C2"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Detailed records must be kept by the operator and by an appropriate authority of all waste consigned to, and received at, the disposal facility.</w:t>
      </w:r>
      <w:r w:rsidR="00841F85" w:rsidRPr="00A80F9D">
        <w:rPr>
          <w:rFonts w:asciiTheme="minorHAnsi" w:hAnsiTheme="minorHAnsi"/>
          <w:color w:val="444448" w:themeColor="accent4"/>
          <w:sz w:val="22"/>
          <w:szCs w:val="22"/>
        </w:rPr>
        <w:t xml:space="preserve"> </w:t>
      </w:r>
      <w:r w:rsidRPr="00A80F9D">
        <w:rPr>
          <w:rFonts w:asciiTheme="minorHAnsi" w:hAnsiTheme="minorHAnsi"/>
          <w:snapToGrid w:val="0"/>
          <w:color w:val="444448" w:themeColor="accent4"/>
          <w:sz w:val="22"/>
          <w:szCs w:val="24"/>
          <w:lang w:eastAsia="en-US"/>
        </w:rPr>
        <w:t>This information must include:</w:t>
      </w:r>
    </w:p>
    <w:p w14:paraId="1214D19E" w14:textId="45D5DF6B" w:rsidR="00841F85" w:rsidRPr="00A80F9D" w:rsidRDefault="001C50CE"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the waste generator</w:t>
      </w:r>
    </w:p>
    <w:p w14:paraId="43BA50F2" w14:textId="08F45B38" w:rsidR="00841F85" w:rsidRPr="00A80F9D" w:rsidRDefault="001C50CE"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the type of waste</w:t>
      </w:r>
    </w:p>
    <w:p w14:paraId="5DC036BE" w14:textId="2BFCBF88" w:rsidR="00841F85" w:rsidRPr="00A80F9D" w:rsidRDefault="00A65D41"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Pr>
          <w:rFonts w:asciiTheme="minorHAnsi" w:hAnsiTheme="minorHAnsi"/>
          <w:snapToGrid w:val="0"/>
          <w:color w:val="444448" w:themeColor="accent4"/>
          <w:sz w:val="22"/>
          <w:szCs w:val="22"/>
          <w:lang w:eastAsia="en-US"/>
        </w:rPr>
        <w:t xml:space="preserve">the </w:t>
      </w:r>
      <w:r w:rsidR="001C50CE">
        <w:rPr>
          <w:rFonts w:asciiTheme="minorHAnsi" w:hAnsiTheme="minorHAnsi"/>
          <w:snapToGrid w:val="0"/>
          <w:color w:val="444448" w:themeColor="accent4"/>
          <w:sz w:val="22"/>
          <w:szCs w:val="22"/>
          <w:lang w:eastAsia="en-US"/>
        </w:rPr>
        <w:t>volume and weight</w:t>
      </w:r>
      <w:r>
        <w:rPr>
          <w:rFonts w:asciiTheme="minorHAnsi" w:hAnsiTheme="minorHAnsi"/>
          <w:snapToGrid w:val="0"/>
          <w:color w:val="444448" w:themeColor="accent4"/>
          <w:sz w:val="22"/>
          <w:szCs w:val="22"/>
          <w:lang w:eastAsia="en-US"/>
        </w:rPr>
        <w:t xml:space="preserve"> of waste packages</w:t>
      </w:r>
    </w:p>
    <w:p w14:paraId="32010744" w14:textId="06B525C0" w:rsidR="00841F85" w:rsidRPr="00A80F9D" w:rsidRDefault="003467C2"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the chemical and physical form and concentration of radi</w:t>
      </w:r>
      <w:r w:rsidR="001C50CE">
        <w:rPr>
          <w:rFonts w:asciiTheme="minorHAnsi" w:hAnsiTheme="minorHAnsi"/>
          <w:snapToGrid w:val="0"/>
          <w:color w:val="444448" w:themeColor="accent4"/>
          <w:sz w:val="22"/>
          <w:szCs w:val="22"/>
          <w:lang w:eastAsia="en-US"/>
        </w:rPr>
        <w:t>onuclides in the waste</w:t>
      </w:r>
    </w:p>
    <w:p w14:paraId="6C809949" w14:textId="5AA00761" w:rsidR="003467C2" w:rsidRPr="00A80F9D" w:rsidRDefault="003467C2" w:rsidP="003102CD">
      <w:pPr>
        <w:pStyle w:val="RPSNumberedBodyText"/>
        <w:numPr>
          <w:ilvl w:val="0"/>
          <w:numId w:val="35"/>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 xml:space="preserve">details of </w:t>
      </w:r>
      <w:r w:rsidR="00A65D41">
        <w:rPr>
          <w:rFonts w:asciiTheme="minorHAnsi" w:hAnsiTheme="minorHAnsi"/>
          <w:snapToGrid w:val="0"/>
          <w:color w:val="444448" w:themeColor="accent4"/>
          <w:sz w:val="22"/>
          <w:szCs w:val="22"/>
          <w:lang w:eastAsia="en-US"/>
        </w:rPr>
        <w:t xml:space="preserve">any </w:t>
      </w:r>
      <w:r w:rsidRPr="00A80F9D">
        <w:rPr>
          <w:rFonts w:asciiTheme="minorHAnsi" w:hAnsiTheme="minorHAnsi"/>
          <w:snapToGrid w:val="0"/>
          <w:color w:val="444448" w:themeColor="accent4"/>
          <w:sz w:val="22"/>
          <w:szCs w:val="22"/>
          <w:lang w:eastAsia="en-US"/>
        </w:rPr>
        <w:t>conditioning.</w:t>
      </w:r>
    </w:p>
    <w:p w14:paraId="1C8580B4" w14:textId="77777777" w:rsidR="003467C2" w:rsidRPr="00A80F9D"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Records must also be kept of:</w:t>
      </w:r>
    </w:p>
    <w:p w14:paraId="48A7448B" w14:textId="57157DDB" w:rsidR="007D65A7" w:rsidRPr="00A80F9D" w:rsidRDefault="003467C2" w:rsidP="000562A3">
      <w:pPr>
        <w:pStyle w:val="RPSNumberedBodyText"/>
        <w:numPr>
          <w:ilvl w:val="0"/>
          <w:numId w:val="23"/>
        </w:numPr>
        <w:tabs>
          <w:tab w:val="left" w:pos="0"/>
        </w:tabs>
        <w:spacing w:before="120"/>
        <w:jc w:val="left"/>
        <w:rPr>
          <w:rFonts w:asciiTheme="minorHAnsi" w:hAnsiTheme="minorHAnsi"/>
          <w:b/>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details of any accidents and incidents at the facility including the impact on personnel,</w:t>
      </w:r>
      <w:r w:rsidR="001C50CE">
        <w:rPr>
          <w:rFonts w:asciiTheme="minorHAnsi" w:hAnsiTheme="minorHAnsi"/>
          <w:snapToGrid w:val="0"/>
          <w:color w:val="444448" w:themeColor="accent4"/>
          <w:sz w:val="22"/>
          <w:szCs w:val="22"/>
          <w:lang w:eastAsia="en-US"/>
        </w:rPr>
        <w:t xml:space="preserve"> the public and the environment</w:t>
      </w:r>
    </w:p>
    <w:p w14:paraId="53FD6974" w14:textId="0AA62F8B" w:rsidR="007D65A7" w:rsidRPr="00686DD7" w:rsidRDefault="003467C2" w:rsidP="000562A3">
      <w:pPr>
        <w:pStyle w:val="RPSNumberedBodyText"/>
        <w:numPr>
          <w:ilvl w:val="0"/>
          <w:numId w:val="23"/>
        </w:numPr>
        <w:tabs>
          <w:tab w:val="left" w:pos="0"/>
        </w:tabs>
        <w:spacing w:before="120"/>
        <w:jc w:val="left"/>
        <w:rPr>
          <w:rFonts w:asciiTheme="minorHAnsi" w:hAnsiTheme="minorHAnsi"/>
          <w:b/>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 xml:space="preserve">occupational </w:t>
      </w:r>
      <w:r w:rsidRPr="00686DD7">
        <w:rPr>
          <w:rFonts w:asciiTheme="minorHAnsi" w:hAnsiTheme="minorHAnsi"/>
          <w:snapToGrid w:val="0"/>
          <w:color w:val="444448" w:themeColor="accent4"/>
          <w:sz w:val="22"/>
          <w:szCs w:val="22"/>
          <w:lang w:eastAsia="en-US"/>
        </w:rPr>
        <w:t>exposure records of all radiation workers, in accordance with RPS C-1 (</w:t>
      </w:r>
      <w:r w:rsidR="005F4B25" w:rsidRPr="00686DD7">
        <w:rPr>
          <w:rFonts w:asciiTheme="minorHAnsi" w:hAnsiTheme="minorHAnsi"/>
          <w:snapToGrid w:val="0"/>
          <w:color w:val="444448" w:themeColor="accent4"/>
          <w:sz w:val="22"/>
          <w:szCs w:val="22"/>
          <w:lang w:eastAsia="en-US"/>
        </w:rPr>
        <w:t xml:space="preserve">ARPANSA </w:t>
      </w:r>
      <w:r w:rsidR="001C50CE">
        <w:rPr>
          <w:rFonts w:asciiTheme="minorHAnsi" w:hAnsiTheme="minorHAnsi"/>
          <w:snapToGrid w:val="0"/>
          <w:color w:val="444448" w:themeColor="accent4"/>
          <w:sz w:val="22"/>
          <w:szCs w:val="22"/>
          <w:lang w:eastAsia="en-US"/>
        </w:rPr>
        <w:t>2016)</w:t>
      </w:r>
    </w:p>
    <w:p w14:paraId="3BC362A1" w14:textId="77777777" w:rsidR="003467C2" w:rsidRPr="00A80F9D" w:rsidRDefault="003467C2" w:rsidP="000562A3">
      <w:pPr>
        <w:pStyle w:val="RPSNumberedBodyText"/>
        <w:numPr>
          <w:ilvl w:val="0"/>
          <w:numId w:val="23"/>
        </w:numPr>
        <w:tabs>
          <w:tab w:val="left" w:pos="0"/>
        </w:tabs>
        <w:spacing w:before="120"/>
        <w:jc w:val="left"/>
        <w:rPr>
          <w:rFonts w:asciiTheme="minorHAnsi" w:hAnsiTheme="minorHAnsi"/>
          <w:b/>
          <w:snapToGrid w:val="0"/>
          <w:color w:val="444448" w:themeColor="accent4"/>
          <w:sz w:val="22"/>
          <w:szCs w:val="22"/>
          <w:lang w:eastAsia="en-US"/>
        </w:rPr>
      </w:pPr>
      <w:r w:rsidRPr="00686DD7">
        <w:rPr>
          <w:rFonts w:asciiTheme="minorHAnsi" w:hAnsiTheme="minorHAnsi"/>
          <w:snapToGrid w:val="0"/>
          <w:color w:val="444448" w:themeColor="accent4"/>
          <w:sz w:val="22"/>
          <w:szCs w:val="22"/>
          <w:lang w:eastAsia="en-US"/>
        </w:rPr>
        <w:t>environmental and area</w:t>
      </w:r>
      <w:r w:rsidRPr="00A80F9D">
        <w:rPr>
          <w:rFonts w:asciiTheme="minorHAnsi" w:hAnsiTheme="minorHAnsi"/>
          <w:snapToGrid w:val="0"/>
          <w:color w:val="444448" w:themeColor="accent4"/>
          <w:sz w:val="22"/>
          <w:szCs w:val="22"/>
          <w:lang w:eastAsia="en-US"/>
        </w:rPr>
        <w:t xml:space="preserve"> monitoring data at and around the facility.</w:t>
      </w:r>
    </w:p>
    <w:p w14:paraId="51AB8C02" w14:textId="77777777" w:rsidR="003467C2" w:rsidRPr="00A80F9D"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 xml:space="preserve">Furthermore, site records must be kept at least until the end </w:t>
      </w:r>
      <w:r w:rsidRPr="007C04EC">
        <w:rPr>
          <w:rFonts w:asciiTheme="minorHAnsi" w:hAnsiTheme="minorHAnsi"/>
          <w:snapToGrid w:val="0"/>
          <w:color w:val="444448" w:themeColor="accent4"/>
          <w:sz w:val="22"/>
          <w:szCs w:val="22"/>
          <w:lang w:eastAsia="en-US"/>
        </w:rPr>
        <w:t xml:space="preserve">of the </w:t>
      </w:r>
      <w:r w:rsidRPr="008F3FA7">
        <w:rPr>
          <w:rFonts w:asciiTheme="minorHAnsi" w:hAnsiTheme="minorHAnsi"/>
          <w:snapToGrid w:val="0"/>
          <w:color w:val="444448" w:themeColor="accent4"/>
          <w:sz w:val="22"/>
          <w:szCs w:val="22"/>
          <w:lang w:eastAsia="en-US"/>
        </w:rPr>
        <w:t>institutional control</w:t>
      </w:r>
      <w:r w:rsidRPr="00A80F9D">
        <w:rPr>
          <w:rFonts w:asciiTheme="minorHAnsi" w:hAnsiTheme="minorHAnsi"/>
          <w:snapToGrid w:val="0"/>
          <w:color w:val="444448" w:themeColor="accent4"/>
          <w:sz w:val="22"/>
          <w:szCs w:val="22"/>
          <w:lang w:eastAsia="en-US"/>
        </w:rPr>
        <w:t xml:space="preserve"> period in at least two widely separated locations, one of which must be the appropriate Commonwealth, state or territory government archives, and must include:</w:t>
      </w:r>
    </w:p>
    <w:p w14:paraId="3D271A8B" w14:textId="149D2EFB" w:rsidR="007D65A7"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the location of all disposal structures</w:t>
      </w:r>
    </w:p>
    <w:p w14:paraId="20321CF7" w14:textId="3AF17081" w:rsidR="007D65A7"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the location of the waste packages or containers within the structures and the date of their empl</w:t>
      </w:r>
      <w:r w:rsidR="00BE4BED">
        <w:rPr>
          <w:rFonts w:asciiTheme="minorHAnsi" w:hAnsiTheme="minorHAnsi"/>
          <w:snapToGrid w:val="0"/>
          <w:color w:val="444448" w:themeColor="accent4"/>
          <w:sz w:val="22"/>
          <w:szCs w:val="22"/>
          <w:lang w:eastAsia="en-US"/>
        </w:rPr>
        <w:t>acement</w:t>
      </w:r>
    </w:p>
    <w:p w14:paraId="3D8DFABC" w14:textId="5808A1FD" w:rsidR="007D65A7"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t>details of the contents of w</w:t>
      </w:r>
      <w:r w:rsidR="00BE4BED">
        <w:rPr>
          <w:rFonts w:asciiTheme="minorHAnsi" w:hAnsiTheme="minorHAnsi"/>
          <w:snapToGrid w:val="0"/>
          <w:color w:val="444448" w:themeColor="accent4"/>
          <w:sz w:val="22"/>
          <w:szCs w:val="22"/>
          <w:lang w:eastAsia="en-US"/>
        </w:rPr>
        <w:t>aste packages or containers</w:t>
      </w:r>
    </w:p>
    <w:p w14:paraId="0AD8D152" w14:textId="77777777" w:rsidR="003467C2" w:rsidRPr="00A80F9D" w:rsidRDefault="003467C2" w:rsidP="000562A3">
      <w:pPr>
        <w:pStyle w:val="RPSNumberedBodyText"/>
        <w:numPr>
          <w:ilvl w:val="0"/>
          <w:numId w:val="24"/>
        </w:numPr>
        <w:tabs>
          <w:tab w:val="left" w:pos="0"/>
        </w:tabs>
        <w:spacing w:before="120"/>
        <w:jc w:val="left"/>
        <w:rPr>
          <w:rFonts w:asciiTheme="minorHAnsi" w:hAnsiTheme="minorHAnsi"/>
          <w:snapToGrid w:val="0"/>
          <w:color w:val="444448" w:themeColor="accent4"/>
          <w:sz w:val="22"/>
          <w:szCs w:val="22"/>
          <w:lang w:eastAsia="en-US"/>
        </w:rPr>
      </w:pPr>
      <w:r w:rsidRPr="00A80F9D">
        <w:rPr>
          <w:rFonts w:asciiTheme="minorHAnsi" w:hAnsiTheme="minorHAnsi"/>
          <w:snapToGrid w:val="0"/>
          <w:color w:val="444448" w:themeColor="accent4"/>
          <w:sz w:val="22"/>
          <w:szCs w:val="22"/>
          <w:lang w:eastAsia="en-US"/>
        </w:rPr>
        <w:lastRenderedPageBreak/>
        <w:t>details of the backfilling and cover materials.</w:t>
      </w:r>
    </w:p>
    <w:p w14:paraId="3AE2F428" w14:textId="77777777" w:rsidR="003467C2" w:rsidRPr="00686DD7" w:rsidRDefault="003467C2" w:rsidP="007C04EC">
      <w:pPr>
        <w:pStyle w:val="RPSNumberedBodyText"/>
        <w:tabs>
          <w:tab w:val="num" w:pos="0"/>
        </w:tabs>
        <w:ind w:left="709" w:hanging="709"/>
        <w:jc w:val="left"/>
        <w:rPr>
          <w:snapToGrid w:val="0"/>
          <w:color w:val="444448" w:themeColor="accent4"/>
          <w:lang w:eastAsia="en-US"/>
        </w:rPr>
      </w:pPr>
      <w:r w:rsidRPr="00686DD7">
        <w:rPr>
          <w:rFonts w:asciiTheme="minorHAnsi" w:hAnsiTheme="minorHAnsi"/>
          <w:snapToGrid w:val="0"/>
          <w:color w:val="444448" w:themeColor="accent4"/>
          <w:sz w:val="22"/>
          <w:szCs w:val="22"/>
          <w:lang w:eastAsia="en-US"/>
        </w:rPr>
        <w:t>Commonwealth government agencies must comply with the requirements of the Archives Act 1983 (Cth).</w:t>
      </w:r>
    </w:p>
    <w:p w14:paraId="2FBD734E" w14:textId="30B449E2" w:rsidR="003467C2" w:rsidRPr="00686DD7" w:rsidRDefault="00A600BE" w:rsidP="007C04EC">
      <w:pPr>
        <w:pStyle w:val="RPSNumberedBodyText"/>
        <w:tabs>
          <w:tab w:val="num" w:pos="0"/>
        </w:tabs>
        <w:ind w:left="709" w:hanging="709"/>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In order to ensure adequate p</w:t>
      </w:r>
      <w:r w:rsidR="00CE286C">
        <w:rPr>
          <w:rStyle w:val="LineNumber"/>
          <w:rFonts w:asciiTheme="minorHAnsi" w:hAnsiTheme="minorHAnsi"/>
          <w:color w:val="444448" w:themeColor="accent4"/>
          <w:sz w:val="22"/>
          <w:szCs w:val="22"/>
        </w:rPr>
        <w:t>reservation of i</w:t>
      </w:r>
      <w:r w:rsidR="003467C2" w:rsidRPr="00686DD7">
        <w:rPr>
          <w:rStyle w:val="LineNumber"/>
          <w:rFonts w:asciiTheme="minorHAnsi" w:hAnsiTheme="minorHAnsi"/>
          <w:color w:val="444448" w:themeColor="accent4"/>
          <w:sz w:val="22"/>
          <w:szCs w:val="22"/>
        </w:rPr>
        <w:t>nformation</w:t>
      </w:r>
      <w:r>
        <w:rPr>
          <w:rStyle w:val="LineNumber"/>
          <w:rFonts w:asciiTheme="minorHAnsi" w:hAnsiTheme="minorHAnsi"/>
          <w:color w:val="444448" w:themeColor="accent4"/>
          <w:sz w:val="22"/>
          <w:szCs w:val="22"/>
        </w:rPr>
        <w:t>,</w:t>
      </w:r>
      <w:r w:rsidR="003467C2" w:rsidRPr="00686DD7">
        <w:rPr>
          <w:rStyle w:val="LineNumber"/>
          <w:rFonts w:asciiTheme="minorHAnsi" w:hAnsiTheme="minorHAnsi"/>
          <w:color w:val="444448" w:themeColor="accent4"/>
          <w:sz w:val="22"/>
          <w:szCs w:val="22"/>
        </w:rPr>
        <w:t xml:space="preserve"> </w:t>
      </w:r>
      <w:r>
        <w:rPr>
          <w:rStyle w:val="LineNumber"/>
          <w:rFonts w:asciiTheme="minorHAnsi" w:hAnsiTheme="minorHAnsi"/>
          <w:color w:val="444448" w:themeColor="accent4"/>
          <w:sz w:val="22"/>
          <w:szCs w:val="22"/>
        </w:rPr>
        <w:t>t</w:t>
      </w:r>
      <w:r w:rsidR="003467C2" w:rsidRPr="00686DD7">
        <w:rPr>
          <w:rStyle w:val="LineNumber"/>
          <w:rFonts w:asciiTheme="minorHAnsi" w:hAnsiTheme="minorHAnsi"/>
          <w:color w:val="444448" w:themeColor="accent4"/>
          <w:sz w:val="22"/>
          <w:szCs w:val="22"/>
        </w:rPr>
        <w:t>he management of records for a disposal facility must include a plan for appropriate longevity of recordkeeping and for retrieval of those records into the future</w:t>
      </w:r>
      <w:r w:rsidR="003467C2" w:rsidRPr="00686DD7">
        <w:rPr>
          <w:rFonts w:asciiTheme="minorHAnsi" w:hAnsiTheme="minorHAnsi"/>
          <w:snapToGrid w:val="0"/>
          <w:color w:val="444448" w:themeColor="accent4"/>
          <w:sz w:val="22"/>
          <w:szCs w:val="22"/>
          <w:lang w:eastAsia="en-US"/>
        </w:rPr>
        <w:t>.</w:t>
      </w:r>
    </w:p>
    <w:p w14:paraId="11FD49D6" w14:textId="77777777" w:rsidR="007D65A7" w:rsidRPr="00686DD7" w:rsidRDefault="007D65A7" w:rsidP="007D65A7">
      <w:pPr>
        <w:pStyle w:val="Heading2"/>
      </w:pPr>
      <w:bookmarkStart w:id="72" w:name="_Toc495493178"/>
      <w:bookmarkStart w:id="73" w:name="_Toc524085220"/>
      <w:r w:rsidRPr="00686DD7">
        <w:t>International Best Practice Safety Requirements for Disposal of Radioactive Waste</w:t>
      </w:r>
      <w:bookmarkEnd w:id="72"/>
      <w:bookmarkEnd w:id="73"/>
    </w:p>
    <w:p w14:paraId="3D0649B2" w14:textId="0823D262" w:rsidR="003467C2" w:rsidRPr="00A80F9D" w:rsidRDefault="003467C2" w:rsidP="007D65A7">
      <w:r w:rsidRPr="00686DD7">
        <w:t>The international safety requirements for disposal of radioactive waste presented here are taken from SSR</w:t>
      </w:r>
      <w:r w:rsidRPr="00686DD7">
        <w:noBreakHyphen/>
        <w:t xml:space="preserve">5 </w:t>
      </w:r>
      <w:r w:rsidR="00F07D6F" w:rsidRPr="00686DD7">
        <w:t xml:space="preserve">(IAEA </w:t>
      </w:r>
      <w:r w:rsidRPr="00686DD7">
        <w:t>2011</w:t>
      </w:r>
      <w:r w:rsidR="002B1125">
        <w:t>a</w:t>
      </w:r>
      <w:r w:rsidRPr="00686DD7">
        <w:t>) which form in pa</w:t>
      </w:r>
      <w:r w:rsidRPr="00A80F9D">
        <w:t xml:space="preserve">rt the requirements of this Code. The detailed descriptions that are presented in SSR-5 for each </w:t>
      </w:r>
      <w:r w:rsidR="00C904D6">
        <w:t>‘</w:t>
      </w:r>
      <w:r w:rsidRPr="00A80F9D">
        <w:t>Requirement</w:t>
      </w:r>
      <w:r w:rsidR="00C904D6">
        <w:t>’</w:t>
      </w:r>
      <w:r w:rsidRPr="00A80F9D">
        <w:t xml:space="preserve"> are reproduced here, and are fully applicable to this Code.</w:t>
      </w:r>
      <w:r w:rsidR="000B1302">
        <w:t xml:space="preserve"> </w:t>
      </w:r>
    </w:p>
    <w:p w14:paraId="3545F8EC" w14:textId="1C9CC0A1" w:rsidR="003467C2" w:rsidRPr="00A80F9D" w:rsidRDefault="003467C2" w:rsidP="003467C2">
      <w:pPr>
        <w:autoSpaceDE w:val="0"/>
        <w:autoSpaceDN w:val="0"/>
        <w:adjustRightInd w:val="0"/>
      </w:pPr>
      <w:r w:rsidRPr="00686DD7">
        <w:t xml:space="preserve">Requirements 1 (Government Responsibilities) and 2 (Responsibilities of the Regulatory Body) from SSR-5 </w:t>
      </w:r>
      <w:r w:rsidR="00F07D6F" w:rsidRPr="00686DD7">
        <w:t>(IAEA 2011</w:t>
      </w:r>
      <w:r w:rsidR="002B1125">
        <w:t>a</w:t>
      </w:r>
      <w:r w:rsidR="00F07D6F" w:rsidRPr="00686DD7">
        <w:t xml:space="preserve">) </w:t>
      </w:r>
      <w:r w:rsidRPr="00686DD7">
        <w:t xml:space="preserve">are not applicable as potential </w:t>
      </w:r>
      <w:r w:rsidR="00C231E3">
        <w:t>authorisation</w:t>
      </w:r>
      <w:r w:rsidRPr="00686DD7">
        <w:t xml:space="preserve"> conditions for inclusion in an Australian national code, and thus</w:t>
      </w:r>
      <w:r w:rsidRPr="00A80F9D">
        <w:t xml:space="preserve"> have been removed from inclusion as requirements under this code.</w:t>
      </w:r>
    </w:p>
    <w:p w14:paraId="6E9D3FA6" w14:textId="77777777" w:rsidR="00BB6F4E" w:rsidRPr="00076709" w:rsidRDefault="00BB6F4E" w:rsidP="00076709">
      <w:pPr>
        <w:pStyle w:val="RPSNumberedBodyText"/>
        <w:numPr>
          <w:ilvl w:val="0"/>
          <w:numId w:val="0"/>
        </w:numPr>
        <w:rPr>
          <w:rFonts w:asciiTheme="minorHAnsi" w:eastAsia="TimesNewRoman" w:hAnsiTheme="minorHAnsi"/>
          <w:sz w:val="20"/>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0D897F22" w14:textId="77777777" w:rsidTr="005028FE">
        <w:tc>
          <w:tcPr>
            <w:tcW w:w="8720" w:type="dxa"/>
            <w:shd w:val="clear" w:color="auto" w:fill="4E1A74" w:themeFill="text2"/>
          </w:tcPr>
          <w:p w14:paraId="6A244C21" w14:textId="77777777" w:rsidR="00076709" w:rsidRPr="00AD6C06" w:rsidRDefault="00076709" w:rsidP="005028FE">
            <w:pPr>
              <w:spacing w:before="120" w:after="120"/>
              <w:ind w:left="1985" w:hanging="1985"/>
              <w:rPr>
                <w:rFonts w:cstheme="minorHAnsi"/>
                <w:b/>
                <w:color w:val="FFFFFF"/>
              </w:rPr>
            </w:pPr>
            <w:r w:rsidRPr="00AD6C06">
              <w:rPr>
                <w:rFonts w:cstheme="minorHAnsi"/>
                <w:b/>
                <w:color w:val="FFFFFF"/>
              </w:rPr>
              <w:t>Responsibilities of the operator</w:t>
            </w:r>
          </w:p>
        </w:tc>
      </w:tr>
    </w:tbl>
    <w:p w14:paraId="60AA0E40" w14:textId="03A0175B" w:rsidR="003C1980" w:rsidRPr="003C1980"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4" w:name="_Ref496697609"/>
      <w:r w:rsidRPr="003C1980">
        <w:rPr>
          <w:rFonts w:asciiTheme="minorHAnsi" w:hAnsiTheme="minorHAnsi"/>
          <w:i/>
          <w:color w:val="4E1A74" w:themeColor="text2"/>
          <w:sz w:val="22"/>
          <w:szCs w:val="22"/>
        </w:rPr>
        <w:t>The operator of a disposal facility for radioactive waste shall be</w:t>
      </w:r>
      <w:r w:rsidRPr="00CA7997">
        <w:rPr>
          <w:rFonts w:asciiTheme="minorHAnsi" w:hAnsiTheme="minorHAnsi"/>
          <w:i/>
          <w:color w:val="4E1A74" w:themeColor="text2"/>
          <w:sz w:val="22"/>
          <w:szCs w:val="22"/>
        </w:rPr>
        <w:t xml:space="preserve"> responsible for its safety. The operator shall carry out safety assessment and develop and maintain a safety case, and shall carry out all the necessary activities for site selection and evaluation, design, construction, operation, </w:t>
      </w:r>
      <w:r w:rsidRPr="007C04EC">
        <w:rPr>
          <w:rFonts w:asciiTheme="minorHAnsi" w:hAnsiTheme="minorHAnsi"/>
          <w:i/>
          <w:color w:val="4E1A74" w:themeColor="text2"/>
          <w:sz w:val="22"/>
          <w:szCs w:val="22"/>
        </w:rPr>
        <w:t>closure</w:t>
      </w:r>
      <w:r w:rsidRPr="00CA7997">
        <w:rPr>
          <w:rFonts w:asciiTheme="minorHAnsi" w:hAnsiTheme="minorHAnsi"/>
          <w:i/>
          <w:color w:val="4E1A74" w:themeColor="text2"/>
          <w:sz w:val="22"/>
          <w:szCs w:val="22"/>
        </w:rPr>
        <w:t xml:space="preserve"> and, if necessary, surveillance after closure, in accordance with national strategy, in compliance with the regulatory requirements and within the legal and regulatory infrastructure.</w:t>
      </w:r>
      <w:bookmarkEnd w:id="74"/>
    </w:p>
    <w:p w14:paraId="7B153A52" w14:textId="400AF804"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t xml:space="preserve">The operator has to be responsible for developing a disposal facility that is practicable and safe and for demonstrating its safety, consistent with the requirements of the regulatory body. This task has to be undertaken </w:t>
      </w:r>
      <w:r w:rsidRPr="007C04EC">
        <w:rPr>
          <w:rFonts w:asciiTheme="minorHAnsi" w:hAnsiTheme="minorHAnsi"/>
          <w:snapToGrid w:val="0"/>
          <w:color w:val="444448" w:themeColor="accent4"/>
          <w:sz w:val="22"/>
          <w:szCs w:val="22"/>
          <w:lang w:eastAsia="en-US"/>
        </w:rPr>
        <w:t xml:space="preserve">in </w:t>
      </w:r>
      <w:r w:rsidRPr="007C04EC">
        <w:rPr>
          <w:rFonts w:asciiTheme="minorHAnsi" w:eastAsia="TimesNewRoman" w:hAnsiTheme="minorHAnsi"/>
          <w:snapToGrid w:val="0"/>
          <w:color w:val="444448" w:themeColor="accent4"/>
          <w:sz w:val="22"/>
          <w:szCs w:val="22"/>
          <w:lang w:eastAsia="en-US"/>
        </w:rPr>
        <w:t>consideration</w:t>
      </w:r>
      <w:r w:rsidRPr="007C04EC">
        <w:rPr>
          <w:rFonts w:asciiTheme="minorHAnsi" w:hAnsiTheme="minorHAnsi"/>
          <w:snapToGrid w:val="0"/>
          <w:color w:val="444448" w:themeColor="accent4"/>
          <w:sz w:val="22"/>
          <w:szCs w:val="22"/>
          <w:lang w:eastAsia="en-US"/>
        </w:rPr>
        <w:t xml:space="preserve"> of: the characteristics and quantities of the radioactive waste to be disposed of;</w:t>
      </w:r>
      <w:r w:rsidRPr="00A80F9D">
        <w:rPr>
          <w:rFonts w:asciiTheme="minorHAnsi" w:eastAsia="TimesNewRoman" w:hAnsiTheme="minorHAnsi"/>
          <w:color w:val="444448" w:themeColor="accent4"/>
          <w:sz w:val="22"/>
          <w:szCs w:val="22"/>
        </w:rPr>
        <w:t xml:space="preserve"> the site or sites available; the mining, excavation, construction and engineering techniques available; and the legal and regulatory infrastructure and regulatory requirements. The operator also has to be responsible for developing a safety case, on the basis of which decisions on the development, operation and closure of the disposal facility have to be made (see </w:t>
      </w:r>
      <w:r w:rsidR="00B04AA0">
        <w:rPr>
          <w:rFonts w:asciiTheme="minorHAnsi" w:eastAsia="TimesNewRoman" w:hAnsiTheme="minorHAnsi"/>
          <w:color w:val="444448" w:themeColor="accent4"/>
          <w:sz w:val="22"/>
          <w:szCs w:val="22"/>
        </w:rPr>
        <w:t xml:space="preserve">clauses </w:t>
      </w:r>
      <w:r w:rsidR="00764F9D">
        <w:rPr>
          <w:rFonts w:asciiTheme="minorHAnsi" w:eastAsia="TimesNewRoman" w:hAnsiTheme="minorHAnsi"/>
          <w:color w:val="444448" w:themeColor="accent4"/>
          <w:sz w:val="22"/>
          <w:szCs w:val="22"/>
        </w:rPr>
        <w:fldChar w:fldCharType="begin"/>
      </w:r>
      <w:r w:rsidR="00764F9D">
        <w:rPr>
          <w:rFonts w:asciiTheme="minorHAnsi" w:eastAsia="TimesNewRoman" w:hAnsiTheme="minorHAnsi"/>
          <w:color w:val="444448" w:themeColor="accent4"/>
          <w:sz w:val="22"/>
          <w:szCs w:val="22"/>
        </w:rPr>
        <w:instrText xml:space="preserve"> REF _Ref496697652 \r \h </w:instrText>
      </w:r>
      <w:r w:rsidR="00764F9D">
        <w:rPr>
          <w:rFonts w:asciiTheme="minorHAnsi" w:eastAsia="TimesNewRoman" w:hAnsiTheme="minorHAnsi"/>
          <w:color w:val="444448" w:themeColor="accent4"/>
          <w:sz w:val="22"/>
          <w:szCs w:val="22"/>
        </w:rPr>
      </w:r>
      <w:r w:rsidR="00764F9D">
        <w:rPr>
          <w:rFonts w:asciiTheme="minorHAnsi" w:eastAsia="TimesNewRoman" w:hAnsiTheme="minorHAnsi"/>
          <w:color w:val="444448" w:themeColor="accent4"/>
          <w:sz w:val="22"/>
          <w:szCs w:val="22"/>
        </w:rPr>
        <w:fldChar w:fldCharType="separate"/>
      </w:r>
      <w:r w:rsidR="00C022DF">
        <w:rPr>
          <w:rFonts w:asciiTheme="minorHAnsi" w:eastAsia="TimesNewRoman" w:hAnsiTheme="minorHAnsi"/>
          <w:color w:val="444448" w:themeColor="accent4"/>
          <w:sz w:val="22"/>
          <w:szCs w:val="22"/>
        </w:rPr>
        <w:t>3.2.76</w:t>
      </w:r>
      <w:r w:rsidR="00764F9D">
        <w:rPr>
          <w:rFonts w:asciiTheme="minorHAnsi" w:eastAsia="TimesNewRoman" w:hAnsiTheme="minorHAnsi"/>
          <w:color w:val="444448" w:themeColor="accent4"/>
          <w:sz w:val="22"/>
          <w:szCs w:val="22"/>
        </w:rPr>
        <w:fldChar w:fldCharType="end"/>
      </w:r>
      <w:r w:rsidR="00764F9D">
        <w:rPr>
          <w:rFonts w:asciiTheme="minorHAnsi" w:eastAsia="TimesNewRoman" w:hAnsiTheme="minorHAnsi"/>
          <w:color w:val="444448" w:themeColor="accent4"/>
          <w:sz w:val="22"/>
          <w:szCs w:val="22"/>
        </w:rPr>
        <w:t xml:space="preserve"> to </w:t>
      </w:r>
      <w:r w:rsidR="00764F9D">
        <w:rPr>
          <w:rFonts w:asciiTheme="minorHAnsi" w:eastAsia="TimesNewRoman" w:hAnsiTheme="minorHAnsi"/>
          <w:color w:val="444448" w:themeColor="accent4"/>
          <w:sz w:val="22"/>
          <w:szCs w:val="22"/>
        </w:rPr>
        <w:fldChar w:fldCharType="begin"/>
      </w:r>
      <w:r w:rsidR="00764F9D">
        <w:rPr>
          <w:rFonts w:asciiTheme="minorHAnsi" w:eastAsia="TimesNewRoman" w:hAnsiTheme="minorHAnsi"/>
          <w:color w:val="444448" w:themeColor="accent4"/>
          <w:sz w:val="22"/>
          <w:szCs w:val="22"/>
        </w:rPr>
        <w:instrText xml:space="preserve"> REF _Ref496696155 \r \h </w:instrText>
      </w:r>
      <w:r w:rsidR="00764F9D">
        <w:rPr>
          <w:rFonts w:asciiTheme="minorHAnsi" w:eastAsia="TimesNewRoman" w:hAnsiTheme="minorHAnsi"/>
          <w:color w:val="444448" w:themeColor="accent4"/>
          <w:sz w:val="22"/>
          <w:szCs w:val="22"/>
        </w:rPr>
      </w:r>
      <w:r w:rsidR="00764F9D">
        <w:rPr>
          <w:rFonts w:asciiTheme="minorHAnsi" w:eastAsia="TimesNewRoman" w:hAnsiTheme="minorHAnsi"/>
          <w:color w:val="444448" w:themeColor="accent4"/>
          <w:sz w:val="22"/>
          <w:szCs w:val="22"/>
        </w:rPr>
        <w:fldChar w:fldCharType="separate"/>
      </w:r>
      <w:r w:rsidR="00C022DF">
        <w:rPr>
          <w:rFonts w:asciiTheme="minorHAnsi" w:eastAsia="TimesNewRoman" w:hAnsiTheme="minorHAnsi"/>
          <w:color w:val="444448" w:themeColor="accent4"/>
          <w:sz w:val="22"/>
          <w:szCs w:val="22"/>
        </w:rPr>
        <w:t>3.2.87</w:t>
      </w:r>
      <w:r w:rsidR="00764F9D">
        <w:rPr>
          <w:rFonts w:asciiTheme="minorHAnsi" w:eastAsia="TimesNewRoman" w:hAnsiTheme="minorHAnsi"/>
          <w:color w:val="444448" w:themeColor="accent4"/>
          <w:sz w:val="22"/>
          <w:szCs w:val="22"/>
        </w:rPr>
        <w:fldChar w:fldCharType="end"/>
      </w:r>
      <w:r w:rsidRPr="00A80F9D">
        <w:rPr>
          <w:rFonts w:asciiTheme="minorHAnsi" w:eastAsia="TimesNewRoman" w:hAnsiTheme="minorHAnsi"/>
          <w:color w:val="444448" w:themeColor="accent4"/>
          <w:sz w:val="22"/>
          <w:szCs w:val="22"/>
        </w:rPr>
        <w:t>).</w:t>
      </w:r>
    </w:p>
    <w:p w14:paraId="786B51CC" w14:textId="77777777"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t xml:space="preserve">The operator has to conduct or commission the research and development work necessary to ensure that the planned technical operations </w:t>
      </w:r>
      <w:r w:rsidRPr="007C04EC">
        <w:rPr>
          <w:rFonts w:asciiTheme="minorHAnsi" w:eastAsia="TimesNewRoman" w:hAnsiTheme="minorHAnsi"/>
          <w:snapToGrid w:val="0"/>
          <w:color w:val="444448" w:themeColor="accent4"/>
          <w:sz w:val="22"/>
          <w:szCs w:val="22"/>
          <w:lang w:eastAsia="en-US"/>
        </w:rPr>
        <w:t>can</w:t>
      </w:r>
      <w:r w:rsidRPr="007C04EC">
        <w:rPr>
          <w:rFonts w:asciiTheme="minorHAnsi" w:hAnsiTheme="minorHAnsi"/>
          <w:snapToGrid w:val="0"/>
          <w:color w:val="444448" w:themeColor="accent4"/>
          <w:sz w:val="22"/>
          <w:szCs w:val="22"/>
          <w:lang w:eastAsia="en-US"/>
        </w:rPr>
        <w:t xml:space="preserve"> be practically and safely accomplished, and to demonstrate this. The operator likewise has</w:t>
      </w:r>
      <w:r w:rsidRPr="00A80F9D">
        <w:rPr>
          <w:rFonts w:asciiTheme="minorHAnsi" w:eastAsia="TimesNewRoman" w:hAnsiTheme="minorHAnsi"/>
          <w:color w:val="444448" w:themeColor="accent4"/>
          <w:sz w:val="22"/>
          <w:szCs w:val="22"/>
        </w:rPr>
        <w:t xml:space="preserve"> to conduct or commission the research work necessary to investigate, to understand and to support the understanding of the processes on which the safety of the disposal facility depends. The operator also has to carry out all the necessary investigations of sites and of materials and has to assess their suitability and obtain all the data necessary for the purposes of safety assessment.</w:t>
      </w:r>
    </w:p>
    <w:p w14:paraId="482E029C" w14:textId="401A6E5A"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lastRenderedPageBreak/>
        <w:t>The operator has to establish technical specifications th</w:t>
      </w:r>
      <w:r w:rsidRPr="007C04EC">
        <w:rPr>
          <w:rFonts w:asciiTheme="minorHAnsi" w:hAnsiTheme="minorHAnsi"/>
          <w:snapToGrid w:val="0"/>
          <w:color w:val="444448" w:themeColor="accent4"/>
          <w:sz w:val="22"/>
          <w:szCs w:val="22"/>
          <w:lang w:eastAsia="en-US"/>
        </w:rPr>
        <w:t xml:space="preserve">at are justified by safety assessment, to ensure that the disposal facility is developed in accordance </w:t>
      </w:r>
      <w:r w:rsidRPr="007C04EC">
        <w:rPr>
          <w:rFonts w:asciiTheme="minorHAnsi" w:eastAsia="TimesNewRoman" w:hAnsiTheme="minorHAnsi"/>
          <w:snapToGrid w:val="0"/>
          <w:color w:val="444448" w:themeColor="accent4"/>
          <w:sz w:val="22"/>
          <w:szCs w:val="22"/>
          <w:lang w:eastAsia="en-US"/>
        </w:rPr>
        <w:t>with</w:t>
      </w:r>
      <w:r w:rsidRPr="007C04EC">
        <w:rPr>
          <w:rFonts w:asciiTheme="minorHAnsi" w:hAnsiTheme="minorHAnsi"/>
          <w:snapToGrid w:val="0"/>
          <w:color w:val="444448" w:themeColor="accent4"/>
          <w:sz w:val="22"/>
          <w:szCs w:val="22"/>
          <w:lang w:eastAsia="en-US"/>
        </w:rPr>
        <w:t xml:space="preserve"> the safety case. This has to include waste acceptance criteria (</w:t>
      </w:r>
      <w:r w:rsidR="00764F9D" w:rsidRPr="007C04EC">
        <w:rPr>
          <w:rFonts w:asciiTheme="minorHAnsi" w:hAnsiTheme="minorHAnsi"/>
          <w:snapToGrid w:val="0"/>
          <w:color w:val="444448" w:themeColor="accent4"/>
          <w:sz w:val="22"/>
          <w:szCs w:val="22"/>
          <w:lang w:eastAsia="en-US"/>
        </w:rPr>
        <w:t xml:space="preserve">see clauses </w:t>
      </w:r>
      <w:r w:rsidR="00764F9D" w:rsidRPr="007C04EC">
        <w:rPr>
          <w:rFonts w:asciiTheme="minorHAnsi" w:hAnsiTheme="minorHAnsi"/>
          <w:snapToGrid w:val="0"/>
          <w:color w:val="444448" w:themeColor="accent4"/>
          <w:sz w:val="22"/>
          <w:szCs w:val="22"/>
          <w:lang w:eastAsia="en-US"/>
        </w:rPr>
        <w:fldChar w:fldCharType="begin"/>
      </w:r>
      <w:r w:rsidR="00764F9D" w:rsidRPr="007C04EC">
        <w:rPr>
          <w:rFonts w:asciiTheme="minorHAnsi" w:hAnsiTheme="minorHAnsi"/>
          <w:snapToGrid w:val="0"/>
          <w:color w:val="444448" w:themeColor="accent4"/>
          <w:sz w:val="22"/>
          <w:szCs w:val="22"/>
          <w:lang w:eastAsia="en-US"/>
        </w:rPr>
        <w:instrText xml:space="preserve"> REF _Ref496697713 \r \h </w:instrText>
      </w:r>
      <w:r w:rsidR="007C04EC">
        <w:rPr>
          <w:rFonts w:asciiTheme="minorHAnsi" w:hAnsiTheme="minorHAnsi"/>
          <w:snapToGrid w:val="0"/>
          <w:color w:val="444448" w:themeColor="accent4"/>
          <w:sz w:val="22"/>
          <w:szCs w:val="22"/>
          <w:lang w:eastAsia="en-US"/>
        </w:rPr>
        <w:instrText xml:space="preserve"> \* MERGEFORMAT </w:instrText>
      </w:r>
      <w:r w:rsidR="00764F9D" w:rsidRPr="007C04EC">
        <w:rPr>
          <w:rFonts w:asciiTheme="minorHAnsi" w:hAnsiTheme="minorHAnsi"/>
          <w:snapToGrid w:val="0"/>
          <w:color w:val="444448" w:themeColor="accent4"/>
          <w:sz w:val="22"/>
          <w:szCs w:val="22"/>
          <w:lang w:eastAsia="en-US"/>
        </w:rPr>
      </w:r>
      <w:r w:rsidR="00764F9D" w:rsidRPr="007C04EC">
        <w:rPr>
          <w:rFonts w:asciiTheme="minorHAnsi" w:hAnsiTheme="minorHAnsi"/>
          <w:snapToGrid w:val="0"/>
          <w:color w:val="444448" w:themeColor="accent4"/>
          <w:sz w:val="22"/>
          <w:szCs w:val="22"/>
          <w:lang w:eastAsia="en-US"/>
        </w:rPr>
        <w:fldChar w:fldCharType="separate"/>
      </w:r>
      <w:r w:rsidR="00C022DF">
        <w:rPr>
          <w:rFonts w:asciiTheme="minorHAnsi" w:hAnsiTheme="minorHAnsi"/>
          <w:snapToGrid w:val="0"/>
          <w:color w:val="444448" w:themeColor="accent4"/>
          <w:sz w:val="22"/>
          <w:szCs w:val="22"/>
          <w:lang w:eastAsia="en-US"/>
        </w:rPr>
        <w:t>3.2.88</w:t>
      </w:r>
      <w:r w:rsidR="00764F9D" w:rsidRPr="007C04EC">
        <w:rPr>
          <w:rFonts w:asciiTheme="minorHAnsi" w:hAnsiTheme="minorHAnsi"/>
          <w:snapToGrid w:val="0"/>
          <w:color w:val="444448" w:themeColor="accent4"/>
          <w:sz w:val="22"/>
          <w:szCs w:val="22"/>
          <w:lang w:eastAsia="en-US"/>
        </w:rPr>
        <w:fldChar w:fldCharType="end"/>
      </w:r>
      <w:r w:rsidR="00764F9D" w:rsidRPr="007C04EC">
        <w:rPr>
          <w:rFonts w:asciiTheme="minorHAnsi" w:hAnsiTheme="minorHAnsi"/>
          <w:snapToGrid w:val="0"/>
          <w:color w:val="444448" w:themeColor="accent4"/>
          <w:sz w:val="22"/>
          <w:szCs w:val="22"/>
          <w:lang w:eastAsia="en-US"/>
        </w:rPr>
        <w:t xml:space="preserve"> to </w:t>
      </w:r>
      <w:r w:rsidR="00764F9D" w:rsidRPr="007C04EC">
        <w:rPr>
          <w:rFonts w:asciiTheme="minorHAnsi" w:hAnsiTheme="minorHAnsi"/>
          <w:snapToGrid w:val="0"/>
          <w:color w:val="444448" w:themeColor="accent4"/>
          <w:sz w:val="22"/>
          <w:szCs w:val="22"/>
          <w:lang w:eastAsia="en-US"/>
        </w:rPr>
        <w:fldChar w:fldCharType="begin"/>
      </w:r>
      <w:r w:rsidR="00764F9D" w:rsidRPr="007C04EC">
        <w:rPr>
          <w:rFonts w:asciiTheme="minorHAnsi" w:hAnsiTheme="minorHAnsi"/>
          <w:snapToGrid w:val="0"/>
          <w:color w:val="444448" w:themeColor="accent4"/>
          <w:sz w:val="22"/>
          <w:szCs w:val="22"/>
          <w:lang w:eastAsia="en-US"/>
        </w:rPr>
        <w:instrText xml:space="preserve"> REF _Ref496697717 \r \h </w:instrText>
      </w:r>
      <w:r w:rsidR="007C04EC">
        <w:rPr>
          <w:rFonts w:asciiTheme="minorHAnsi" w:hAnsiTheme="minorHAnsi"/>
          <w:snapToGrid w:val="0"/>
          <w:color w:val="444448" w:themeColor="accent4"/>
          <w:sz w:val="22"/>
          <w:szCs w:val="22"/>
          <w:lang w:eastAsia="en-US"/>
        </w:rPr>
        <w:instrText xml:space="preserve"> \* MERGEFORMAT </w:instrText>
      </w:r>
      <w:r w:rsidR="00764F9D" w:rsidRPr="007C04EC">
        <w:rPr>
          <w:rFonts w:asciiTheme="minorHAnsi" w:hAnsiTheme="minorHAnsi"/>
          <w:snapToGrid w:val="0"/>
          <w:color w:val="444448" w:themeColor="accent4"/>
          <w:sz w:val="22"/>
          <w:szCs w:val="22"/>
          <w:lang w:eastAsia="en-US"/>
        </w:rPr>
      </w:r>
      <w:r w:rsidR="00764F9D" w:rsidRPr="007C04EC">
        <w:rPr>
          <w:rFonts w:asciiTheme="minorHAnsi" w:hAnsiTheme="minorHAnsi"/>
          <w:snapToGrid w:val="0"/>
          <w:color w:val="444448" w:themeColor="accent4"/>
          <w:sz w:val="22"/>
          <w:szCs w:val="22"/>
          <w:lang w:eastAsia="en-US"/>
        </w:rPr>
        <w:fldChar w:fldCharType="separate"/>
      </w:r>
      <w:r w:rsidR="00C022DF">
        <w:rPr>
          <w:rFonts w:asciiTheme="minorHAnsi" w:hAnsiTheme="minorHAnsi"/>
          <w:snapToGrid w:val="0"/>
          <w:color w:val="444448" w:themeColor="accent4"/>
          <w:sz w:val="22"/>
          <w:szCs w:val="22"/>
          <w:lang w:eastAsia="en-US"/>
        </w:rPr>
        <w:t>3.2.91</w:t>
      </w:r>
      <w:r w:rsidR="00764F9D" w:rsidRPr="007C04EC">
        <w:rPr>
          <w:rFonts w:asciiTheme="minorHAnsi" w:hAnsiTheme="minorHAnsi"/>
          <w:snapToGrid w:val="0"/>
          <w:color w:val="444448" w:themeColor="accent4"/>
          <w:sz w:val="22"/>
          <w:szCs w:val="22"/>
          <w:lang w:eastAsia="en-US"/>
        </w:rPr>
        <w:fldChar w:fldCharType="end"/>
      </w:r>
      <w:r w:rsidRPr="00A80F9D">
        <w:rPr>
          <w:rFonts w:asciiTheme="minorHAnsi" w:eastAsia="TimesNewRoman" w:hAnsiTheme="minorHAnsi"/>
          <w:color w:val="444448" w:themeColor="accent4"/>
          <w:sz w:val="22"/>
          <w:szCs w:val="22"/>
        </w:rPr>
        <w:t>) and other controls and limits to be applied during construction, operation and closure.</w:t>
      </w:r>
    </w:p>
    <w:p w14:paraId="2826EC1F" w14:textId="5F30952C" w:rsidR="00076709"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r w:rsidRPr="00A80F9D">
        <w:rPr>
          <w:rFonts w:asciiTheme="minorHAnsi" w:eastAsia="TimesNewRoman" w:hAnsiTheme="minorHAnsi"/>
          <w:color w:val="444448" w:themeColor="accent4"/>
          <w:sz w:val="22"/>
          <w:szCs w:val="22"/>
        </w:rPr>
        <w:t xml:space="preserve">The operator has to retain all the information relevant to the safety case and the supporting safety assessment for the </w:t>
      </w:r>
      <w:r w:rsidRPr="007C04EC">
        <w:rPr>
          <w:rFonts w:asciiTheme="minorHAnsi" w:hAnsiTheme="minorHAnsi"/>
          <w:snapToGrid w:val="0"/>
          <w:color w:val="444448" w:themeColor="accent4"/>
          <w:sz w:val="22"/>
          <w:szCs w:val="22"/>
          <w:lang w:eastAsia="en-US"/>
        </w:rPr>
        <w:t xml:space="preserve">disposal facility and has to retain the inspection records that demonstrate compliance with regulatory </w:t>
      </w:r>
      <w:r w:rsidRPr="007C04EC">
        <w:rPr>
          <w:rFonts w:asciiTheme="minorHAnsi" w:eastAsia="TimesNewRoman" w:hAnsiTheme="minorHAnsi"/>
          <w:snapToGrid w:val="0"/>
          <w:color w:val="444448" w:themeColor="accent4"/>
          <w:sz w:val="22"/>
          <w:szCs w:val="22"/>
          <w:lang w:eastAsia="en-US"/>
        </w:rPr>
        <w:t>requirements</w:t>
      </w:r>
      <w:r w:rsidRPr="007C04EC">
        <w:rPr>
          <w:rFonts w:asciiTheme="minorHAnsi" w:hAnsiTheme="minorHAnsi"/>
          <w:snapToGrid w:val="0"/>
          <w:color w:val="444448" w:themeColor="accent4"/>
          <w:sz w:val="22"/>
          <w:szCs w:val="22"/>
          <w:lang w:eastAsia="en-US"/>
        </w:rPr>
        <w:t xml:space="preserve"> and with the operator’s own specification. Such information and records have to be retained</w:t>
      </w:r>
      <w:r w:rsidRPr="00A80F9D">
        <w:rPr>
          <w:rFonts w:asciiTheme="minorHAnsi" w:eastAsia="TimesNewRoman" w:hAnsiTheme="minorHAnsi"/>
          <w:color w:val="444448" w:themeColor="accent4"/>
          <w:sz w:val="22"/>
          <w:szCs w:val="22"/>
        </w:rPr>
        <w:t>, at least up until the time when the information is shown to be superseded, or until responsibility for the disposal facility is passed on to another organi</w:t>
      </w:r>
      <w:r w:rsidR="00DF1C03">
        <w:rPr>
          <w:rFonts w:asciiTheme="minorHAnsi" w:eastAsia="TimesNewRoman" w:hAnsiTheme="minorHAnsi"/>
          <w:color w:val="444448" w:themeColor="accent4"/>
          <w:sz w:val="22"/>
          <w:szCs w:val="22"/>
        </w:rPr>
        <w:t>s</w:t>
      </w:r>
      <w:r w:rsidRPr="00A80F9D">
        <w:rPr>
          <w:rFonts w:asciiTheme="minorHAnsi" w:eastAsia="TimesNewRoman" w:hAnsiTheme="minorHAnsi"/>
          <w:color w:val="444448" w:themeColor="accent4"/>
          <w:sz w:val="22"/>
          <w:szCs w:val="22"/>
        </w:rPr>
        <w:t>ation. This occurs, for example, at closure of the facility, when all relevant information and records have to be transferred to the organi</w:t>
      </w:r>
      <w:r w:rsidR="00DF1C03">
        <w:rPr>
          <w:rFonts w:asciiTheme="minorHAnsi" w:eastAsia="TimesNewRoman" w:hAnsiTheme="minorHAnsi"/>
          <w:color w:val="444448" w:themeColor="accent4"/>
          <w:sz w:val="22"/>
          <w:szCs w:val="22"/>
        </w:rPr>
        <w:t>s</w:t>
      </w:r>
      <w:r w:rsidRPr="00A80F9D">
        <w:rPr>
          <w:rFonts w:asciiTheme="minorHAnsi" w:eastAsia="TimesNewRoman" w:hAnsiTheme="minorHAnsi"/>
          <w:color w:val="444448" w:themeColor="accent4"/>
          <w:sz w:val="22"/>
          <w:szCs w:val="22"/>
        </w:rPr>
        <w:t>ation assuming responsibility for the facility and its safety.</w:t>
      </w:r>
    </w:p>
    <w:p w14:paraId="783D25BE" w14:textId="77777777" w:rsidR="003467C2" w:rsidRPr="00A80F9D" w:rsidRDefault="003467C2" w:rsidP="007C04EC">
      <w:pPr>
        <w:pStyle w:val="RPSNumberedBodyText"/>
        <w:tabs>
          <w:tab w:val="num" w:pos="0"/>
        </w:tabs>
        <w:ind w:left="709" w:hanging="709"/>
        <w:jc w:val="left"/>
        <w:rPr>
          <w:rFonts w:asciiTheme="minorHAnsi" w:eastAsia="TimesNewRoman" w:hAnsiTheme="minorHAnsi" w:cs="TimesNewRoman"/>
          <w:color w:val="444448" w:themeColor="accent4"/>
          <w:sz w:val="22"/>
          <w:szCs w:val="22"/>
        </w:rPr>
      </w:pPr>
      <w:bookmarkStart w:id="75" w:name="_Ref496697618"/>
      <w:r w:rsidRPr="00A80F9D">
        <w:rPr>
          <w:rFonts w:asciiTheme="minorHAnsi" w:eastAsia="TimesNewRoman" w:hAnsiTheme="minorHAnsi"/>
          <w:color w:val="444448" w:themeColor="accent4"/>
          <w:sz w:val="22"/>
          <w:szCs w:val="22"/>
        </w:rPr>
        <w:t xml:space="preserve">The operator </w:t>
      </w:r>
      <w:r w:rsidRPr="007C04EC">
        <w:rPr>
          <w:rFonts w:asciiTheme="minorHAnsi" w:hAnsiTheme="minorHAnsi"/>
          <w:snapToGrid w:val="0"/>
          <w:color w:val="444448" w:themeColor="accent4"/>
          <w:sz w:val="22"/>
          <w:szCs w:val="22"/>
          <w:lang w:eastAsia="en-US"/>
        </w:rPr>
        <w:t>has to cooperate with the regulatory body and has to supply all the information that the regulatory body may request</w:t>
      </w:r>
      <w:r w:rsidRPr="00A80F9D">
        <w:rPr>
          <w:rFonts w:asciiTheme="minorHAnsi" w:eastAsia="TimesNewRoman" w:hAnsiTheme="minorHAnsi"/>
          <w:color w:val="444448" w:themeColor="accent4"/>
          <w:sz w:val="22"/>
          <w:szCs w:val="22"/>
        </w:rPr>
        <w:t>. The need to preserve the records for long periods of time has to be taken into account in selecting the format and media to be used for records.</w:t>
      </w:r>
      <w:bookmarkEnd w:id="75"/>
      <w:r w:rsidRPr="00A80F9D">
        <w:rPr>
          <w:rFonts w:asciiTheme="minorHAnsi" w:eastAsia="TimesNewRoman" w:hAnsiTheme="minorHAnsi"/>
          <w:color w:val="444448" w:themeColor="accent4"/>
          <w:sz w:val="22"/>
          <w:szCs w:val="22"/>
        </w:rPr>
        <w:t xml:space="preserve"> </w:t>
      </w:r>
    </w:p>
    <w:p w14:paraId="5CDDEAF9" w14:textId="77777777" w:rsidR="00076709" w:rsidRPr="00A80F9D" w:rsidRDefault="00076709" w:rsidP="00076709">
      <w:pPr>
        <w:pStyle w:val="RPSNumberedBodyText"/>
        <w:numPr>
          <w:ilvl w:val="0"/>
          <w:numId w:val="0"/>
        </w:numPr>
        <w:rPr>
          <w:rFonts w:asciiTheme="minorHAnsi" w:eastAsia="TimesNewRoman" w:hAnsiTheme="minorHAnsi"/>
          <w:color w:val="444448" w:themeColor="accent4"/>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48074931" w14:textId="77777777" w:rsidTr="005028FE">
        <w:tc>
          <w:tcPr>
            <w:tcW w:w="8720" w:type="dxa"/>
            <w:shd w:val="clear" w:color="auto" w:fill="4E1A74" w:themeFill="text2"/>
          </w:tcPr>
          <w:p w14:paraId="488C4386" w14:textId="77777777" w:rsidR="00076709" w:rsidRPr="00AD6C06" w:rsidRDefault="00076709" w:rsidP="00076709">
            <w:pPr>
              <w:spacing w:before="120" w:after="120"/>
              <w:rPr>
                <w:rFonts w:cstheme="minorHAnsi"/>
                <w:b/>
                <w:color w:val="FFFFFF"/>
              </w:rPr>
            </w:pPr>
            <w:r w:rsidRPr="00AD6C06">
              <w:rPr>
                <w:rFonts w:cstheme="minorHAnsi"/>
                <w:b/>
                <w:color w:val="FFFFFF"/>
              </w:rPr>
              <w:t>Importance of safety in the process of development and operation of a disposal facility</w:t>
            </w:r>
          </w:p>
        </w:tc>
      </w:tr>
    </w:tbl>
    <w:p w14:paraId="5A8FAAA6" w14:textId="037E7B99" w:rsidR="00076709" w:rsidRPr="00FB77D2"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6" w:name="_Ref496699467"/>
      <w:r w:rsidRPr="00FB77D2">
        <w:rPr>
          <w:rFonts w:asciiTheme="minorHAnsi" w:hAnsiTheme="minorHAnsi"/>
          <w:i/>
          <w:color w:val="4E1A74" w:themeColor="text2"/>
          <w:sz w:val="22"/>
          <w:szCs w:val="22"/>
        </w:rPr>
        <w:t xml:space="preserve">Throughout the process of development and operation of a disposal facility for radioactive waste, an understanding of the relevance and the implications for safety of the available options for the facility shall be developed by the operator. This is </w:t>
      </w:r>
      <w:r w:rsidRPr="002056CE">
        <w:rPr>
          <w:rFonts w:asciiTheme="minorHAnsi" w:hAnsiTheme="minorHAnsi"/>
          <w:i/>
          <w:color w:val="4E1A74" w:themeColor="text2"/>
          <w:sz w:val="22"/>
          <w:szCs w:val="22"/>
        </w:rPr>
        <w:t>for</w:t>
      </w:r>
      <w:r w:rsidRPr="00FB77D2">
        <w:rPr>
          <w:rFonts w:asciiTheme="minorHAnsi" w:hAnsiTheme="minorHAnsi"/>
          <w:i/>
          <w:color w:val="4E1A74" w:themeColor="text2"/>
          <w:sz w:val="22"/>
          <w:szCs w:val="22"/>
        </w:rPr>
        <w:t xml:space="preserve"> the</w:t>
      </w:r>
      <w:r w:rsidR="00DF1C03">
        <w:rPr>
          <w:rFonts w:asciiTheme="minorHAnsi" w:hAnsiTheme="minorHAnsi"/>
          <w:i/>
          <w:color w:val="4E1A74" w:themeColor="text2"/>
          <w:sz w:val="22"/>
          <w:szCs w:val="22"/>
        </w:rPr>
        <w:t xml:space="preserve"> purpose of providing an optimis</w:t>
      </w:r>
      <w:r w:rsidRPr="00FB77D2">
        <w:rPr>
          <w:rFonts w:asciiTheme="minorHAnsi" w:hAnsiTheme="minorHAnsi"/>
          <w:i/>
          <w:color w:val="4E1A74" w:themeColor="text2"/>
          <w:sz w:val="22"/>
          <w:szCs w:val="22"/>
        </w:rPr>
        <w:t>ed level of safety in the operational stage and after closure.</w:t>
      </w:r>
      <w:bookmarkEnd w:id="76"/>
    </w:p>
    <w:p w14:paraId="549297F1"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Disposal facilities for radioactive waste may be developed and operated over a period of several years or several decades. Key decisions, such as decisions on site selection and evaluation, and on the design, construction, operation and closure of the disposal facility, are expected to be made as the project develops. In </w:t>
      </w:r>
      <w:r w:rsidRPr="007C04EC">
        <w:rPr>
          <w:rFonts w:asciiTheme="minorHAnsi" w:hAnsiTheme="minorHAnsi"/>
          <w:snapToGrid w:val="0"/>
          <w:color w:val="444448" w:themeColor="accent4"/>
          <w:sz w:val="22"/>
          <w:szCs w:val="22"/>
          <w:lang w:eastAsia="en-US"/>
        </w:rPr>
        <w:t>this</w:t>
      </w:r>
      <w:r w:rsidRPr="00A80F9D">
        <w:rPr>
          <w:rFonts w:asciiTheme="minorHAnsi" w:eastAsia="TimesNewRoman" w:hAnsiTheme="minorHAnsi"/>
          <w:color w:val="444448" w:themeColor="accent4"/>
          <w:sz w:val="22"/>
          <w:szCs w:val="22"/>
        </w:rPr>
        <w:t xml:space="preserve"> process, decisions are made on the basis of the information available at the time, which may be either quantitative or qualitative, and the confidence that can be placed in that information.</w:t>
      </w:r>
    </w:p>
    <w:p w14:paraId="16DBD923"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Decisions on the development, operation and closure of the facility are constrained by external factors, which include: national policy and preferences, the capacity and capability of existing storage and disposal facilities to accommodate waste, and the availability of suitable sites and geological formations to host planned new disposal facilities. An adequate level of confidence in the safety of each disposal facility has to be developed before decisions are taken.</w:t>
      </w:r>
    </w:p>
    <w:p w14:paraId="0B25CC5D"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At each major decision point, the implications for the safety of the available design options and operational options for the disposal facility have to be considered and taken into account. Ensuring safety, both in the operational stage and after closure, is the overriding concern at each decision point. If more than one </w:t>
      </w:r>
      <w:r w:rsidRPr="007C04EC">
        <w:rPr>
          <w:rFonts w:asciiTheme="minorHAnsi" w:hAnsiTheme="minorHAnsi"/>
          <w:snapToGrid w:val="0"/>
          <w:color w:val="444448" w:themeColor="accent4"/>
          <w:sz w:val="22"/>
          <w:szCs w:val="22"/>
          <w:lang w:eastAsia="en-US"/>
        </w:rPr>
        <w:t>option</w:t>
      </w:r>
      <w:r w:rsidRPr="00A80F9D">
        <w:rPr>
          <w:rFonts w:asciiTheme="minorHAnsi" w:eastAsia="TimesNewRoman" w:hAnsiTheme="minorHAnsi"/>
          <w:color w:val="444448" w:themeColor="accent4"/>
          <w:sz w:val="22"/>
          <w:szCs w:val="22"/>
        </w:rPr>
        <w:t xml:space="preserve"> is capable of providing the required level of safety, then other factors also have to be considered. These factors could include public acceptability, cost, site ownership, existing infrastructure and transport routes.</w:t>
      </w:r>
    </w:p>
    <w:p w14:paraId="441DCB8D" w14:textId="1E0051E2" w:rsidR="003467C2"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bookmarkStart w:id="77" w:name="_Ref496699471"/>
      <w:r w:rsidRPr="00A80F9D">
        <w:rPr>
          <w:rFonts w:asciiTheme="minorHAnsi" w:eastAsia="TimesNewRoman" w:hAnsiTheme="minorHAnsi"/>
          <w:color w:val="444448" w:themeColor="accent4"/>
          <w:sz w:val="22"/>
          <w:szCs w:val="22"/>
        </w:rPr>
        <w:lastRenderedPageBreak/>
        <w:t xml:space="preserve">Consideration has to be given to locating the facility away from significant known mineral resources, geothermal water and other valuable subsurface resources. This is to reduce the risk of human intrusion into the site and to reduce the potential for use of the surrounding area to be in conflict with the facility. The safety of the facility has to be considered at every step in the decision making </w:t>
      </w:r>
      <w:r w:rsidRPr="007C04EC">
        <w:rPr>
          <w:rFonts w:asciiTheme="minorHAnsi" w:hAnsiTheme="minorHAnsi"/>
          <w:snapToGrid w:val="0"/>
          <w:color w:val="444448" w:themeColor="accent4"/>
          <w:sz w:val="22"/>
          <w:szCs w:val="22"/>
          <w:lang w:eastAsia="en-US"/>
        </w:rPr>
        <w:t>process</w:t>
      </w:r>
      <w:r w:rsidRPr="00A80F9D">
        <w:rPr>
          <w:rFonts w:asciiTheme="minorHAnsi" w:eastAsia="TimesNewRoman" w:hAnsiTheme="minorHAnsi"/>
          <w:color w:val="444448" w:themeColor="accent4"/>
          <w:sz w:val="22"/>
          <w:szCs w:val="22"/>
        </w:rPr>
        <w:t xml:space="preserve"> </w:t>
      </w:r>
      <w:r w:rsidR="00DF1C03">
        <w:rPr>
          <w:rFonts w:asciiTheme="minorHAnsi" w:eastAsia="TimesNewRoman" w:hAnsiTheme="minorHAnsi"/>
          <w:color w:val="444448" w:themeColor="accent4"/>
          <w:sz w:val="22"/>
          <w:szCs w:val="22"/>
        </w:rPr>
        <w:t>to ensure that safety is optimis</w:t>
      </w:r>
      <w:r w:rsidRPr="00A80F9D">
        <w:rPr>
          <w:rFonts w:asciiTheme="minorHAnsi" w:eastAsia="TimesNewRoman" w:hAnsiTheme="minorHAnsi"/>
          <w:color w:val="444448" w:themeColor="accent4"/>
          <w:sz w:val="22"/>
          <w:szCs w:val="22"/>
        </w:rPr>
        <w:t xml:space="preserve">ed in the sense discussed in </w:t>
      </w:r>
      <w:r w:rsidRPr="002F10A5">
        <w:rPr>
          <w:rFonts w:asciiTheme="minorHAnsi" w:eastAsia="TimesNewRoman" w:hAnsiTheme="minorHAnsi"/>
          <w:color w:val="444448" w:themeColor="accent4"/>
          <w:sz w:val="22"/>
          <w:szCs w:val="22"/>
        </w:rPr>
        <w:t xml:space="preserve">the </w:t>
      </w:r>
      <w:r w:rsidRPr="00686DD7">
        <w:rPr>
          <w:rFonts w:asciiTheme="minorHAnsi" w:eastAsia="TimesNewRoman" w:hAnsiTheme="minorHAnsi"/>
          <w:color w:val="444448" w:themeColor="accent4"/>
          <w:sz w:val="22"/>
          <w:szCs w:val="22"/>
        </w:rPr>
        <w:t>Appendix</w:t>
      </w:r>
      <w:r w:rsidR="002F10A5" w:rsidRPr="00686DD7">
        <w:rPr>
          <w:rFonts w:asciiTheme="minorHAnsi" w:eastAsia="TimesNewRoman" w:hAnsiTheme="minorHAnsi"/>
          <w:color w:val="444448" w:themeColor="accent4"/>
          <w:sz w:val="22"/>
          <w:szCs w:val="22"/>
        </w:rPr>
        <w:t xml:space="preserve"> of SSR-5</w:t>
      </w:r>
      <w:r w:rsidR="00F07D6F" w:rsidRPr="00686DD7">
        <w:rPr>
          <w:rFonts w:asciiTheme="minorHAnsi" w:eastAsia="TimesNewRoman" w:hAnsiTheme="minorHAnsi"/>
          <w:color w:val="444448" w:themeColor="accent4"/>
          <w:sz w:val="22"/>
          <w:szCs w:val="22"/>
        </w:rPr>
        <w:t xml:space="preserve"> (IAEA</w:t>
      </w:r>
      <w:r w:rsidR="00F07D6F">
        <w:rPr>
          <w:rFonts w:asciiTheme="minorHAnsi" w:eastAsia="TimesNewRoman" w:hAnsiTheme="minorHAnsi"/>
          <w:color w:val="444448" w:themeColor="accent4"/>
          <w:sz w:val="22"/>
          <w:szCs w:val="22"/>
        </w:rPr>
        <w:t xml:space="preserve"> 2011</w:t>
      </w:r>
      <w:r w:rsidR="002B1125">
        <w:rPr>
          <w:rFonts w:asciiTheme="minorHAnsi" w:eastAsia="TimesNewRoman" w:hAnsiTheme="minorHAnsi"/>
          <w:color w:val="444448" w:themeColor="accent4"/>
          <w:sz w:val="22"/>
          <w:szCs w:val="22"/>
        </w:rPr>
        <w:t>a</w:t>
      </w:r>
      <w:r w:rsidR="00F07D6F">
        <w:rPr>
          <w:rFonts w:asciiTheme="minorHAnsi" w:eastAsia="TimesNewRoman" w:hAnsiTheme="minorHAnsi"/>
          <w:color w:val="444448" w:themeColor="accent4"/>
          <w:sz w:val="22"/>
          <w:szCs w:val="22"/>
        </w:rPr>
        <w:t>)</w:t>
      </w:r>
      <w:r w:rsidRPr="00A80F9D">
        <w:rPr>
          <w:rFonts w:asciiTheme="minorHAnsi" w:eastAsia="TimesNewRoman" w:hAnsiTheme="minorHAnsi"/>
          <w:color w:val="444448" w:themeColor="accent4"/>
          <w:sz w:val="22"/>
          <w:szCs w:val="22"/>
        </w:rPr>
        <w:t>.</w:t>
      </w:r>
      <w:bookmarkEnd w:id="77"/>
    </w:p>
    <w:p w14:paraId="3B20DF78" w14:textId="670705C2" w:rsidR="00BB6F4E" w:rsidRPr="00076709" w:rsidRDefault="00BB6F4E" w:rsidP="00076709">
      <w:pPr>
        <w:pStyle w:val="RPSNumberedBodyText"/>
        <w:numPr>
          <w:ilvl w:val="0"/>
          <w:numId w:val="0"/>
        </w:numPr>
        <w:rPr>
          <w:rFonts w:asciiTheme="minorHAnsi" w:hAnsi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457B61EA" w14:textId="77777777" w:rsidTr="005028FE">
        <w:tc>
          <w:tcPr>
            <w:tcW w:w="8720" w:type="dxa"/>
            <w:shd w:val="clear" w:color="auto" w:fill="4E1A74" w:themeFill="text2"/>
          </w:tcPr>
          <w:p w14:paraId="4D4AB129" w14:textId="77777777" w:rsidR="00076709" w:rsidRPr="00AD6C06" w:rsidRDefault="00076709" w:rsidP="005028FE">
            <w:pPr>
              <w:spacing w:before="120" w:after="120"/>
              <w:ind w:left="1985" w:hanging="1985"/>
              <w:rPr>
                <w:rFonts w:cstheme="minorHAnsi"/>
                <w:b/>
                <w:color w:val="FFFFFF"/>
              </w:rPr>
            </w:pPr>
            <w:r w:rsidRPr="00AD6C06">
              <w:rPr>
                <w:rFonts w:cstheme="minorHAnsi"/>
                <w:b/>
                <w:color w:val="FFFFFF"/>
              </w:rPr>
              <w:t>Passive means for the safety of the disposal facility</w:t>
            </w:r>
          </w:p>
        </w:tc>
      </w:tr>
    </w:tbl>
    <w:p w14:paraId="296816B1" w14:textId="7D7BC4B6" w:rsidR="00076709" w:rsidRPr="00FB77D2"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78" w:name="_Ref496697947"/>
      <w:r w:rsidRPr="00FB77D2">
        <w:rPr>
          <w:rFonts w:asciiTheme="minorHAnsi" w:hAnsiTheme="minorHAnsi"/>
          <w:i/>
          <w:color w:val="4E1A74" w:themeColor="text2"/>
          <w:sz w:val="22"/>
          <w:szCs w:val="22"/>
        </w:rPr>
        <w:t xml:space="preserve">The operator shall evaluate the site and shall design, construct, operate and close the disposal facility in such a way that safety is ensured by passive means to the fullest extent </w:t>
      </w:r>
      <w:r w:rsidRPr="007C04EC">
        <w:rPr>
          <w:rFonts w:asciiTheme="minorHAnsi" w:hAnsiTheme="minorHAnsi"/>
          <w:i/>
          <w:color w:val="4E1A74" w:themeColor="text2"/>
          <w:sz w:val="22"/>
          <w:szCs w:val="22"/>
        </w:rPr>
        <w:t>possible</w:t>
      </w:r>
      <w:r w:rsidRPr="00FB77D2">
        <w:rPr>
          <w:rFonts w:asciiTheme="minorHAnsi" w:hAnsiTheme="minorHAnsi"/>
          <w:i/>
          <w:color w:val="4E1A74" w:themeColor="text2"/>
          <w:sz w:val="22"/>
          <w:szCs w:val="22"/>
        </w:rPr>
        <w:t xml:space="preserve"> and the need for actions to be taken after cl</w:t>
      </w:r>
      <w:r w:rsidR="00DF1C03">
        <w:rPr>
          <w:rFonts w:asciiTheme="minorHAnsi" w:hAnsiTheme="minorHAnsi"/>
          <w:i/>
          <w:color w:val="4E1A74" w:themeColor="text2"/>
          <w:sz w:val="22"/>
          <w:szCs w:val="22"/>
        </w:rPr>
        <w:t>osure of the facility is minimis</w:t>
      </w:r>
      <w:r w:rsidRPr="00FB77D2">
        <w:rPr>
          <w:rFonts w:asciiTheme="minorHAnsi" w:hAnsiTheme="minorHAnsi"/>
          <w:i/>
          <w:color w:val="4E1A74" w:themeColor="text2"/>
          <w:sz w:val="22"/>
          <w:szCs w:val="22"/>
        </w:rPr>
        <w:t>ed.</w:t>
      </w:r>
      <w:bookmarkEnd w:id="78"/>
    </w:p>
    <w:p w14:paraId="193B3F1F"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In the operational stage of a disposal </w:t>
      </w:r>
      <w:r w:rsidRPr="007C04EC">
        <w:rPr>
          <w:rFonts w:asciiTheme="minorHAnsi" w:hAnsiTheme="minorHAnsi"/>
          <w:snapToGrid w:val="0"/>
          <w:color w:val="444448" w:themeColor="accent4"/>
          <w:sz w:val="22"/>
          <w:szCs w:val="22"/>
          <w:lang w:eastAsia="en-US"/>
        </w:rPr>
        <w:t>facility</w:t>
      </w:r>
      <w:r w:rsidRPr="00A80F9D">
        <w:rPr>
          <w:rFonts w:asciiTheme="minorHAnsi" w:eastAsia="TimesNewRoman" w:hAnsiTheme="minorHAnsi"/>
          <w:color w:val="444448" w:themeColor="accent4"/>
          <w:sz w:val="22"/>
          <w:szCs w:val="22"/>
        </w:rPr>
        <w:t xml:space="preserve"> for radioactive waste, certain active control measures have to be applied. However, where passive features such as the shielding and containment provided by the packaging material can provide safety, then safety has to be ensured by such passive means.</w:t>
      </w:r>
    </w:p>
    <w:p w14:paraId="10F1524B" w14:textId="3A626091"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To some extent, the safety of a disposal facility can depend on some future actions such as maintenance work or surveillance. However, this depend</w:t>
      </w:r>
      <w:r w:rsidR="00DF1C03">
        <w:rPr>
          <w:rFonts w:asciiTheme="minorHAnsi" w:eastAsia="TimesNewRoman" w:hAnsiTheme="minorHAnsi"/>
          <w:color w:val="444448" w:themeColor="accent4"/>
          <w:sz w:val="22"/>
          <w:szCs w:val="22"/>
        </w:rPr>
        <w:t>ence has to be minimis</w:t>
      </w:r>
      <w:r w:rsidRPr="00A80F9D">
        <w:rPr>
          <w:rFonts w:asciiTheme="minorHAnsi" w:eastAsia="TimesNewRoman" w:hAnsiTheme="minorHAnsi"/>
          <w:color w:val="444448" w:themeColor="accent4"/>
          <w:sz w:val="22"/>
          <w:szCs w:val="22"/>
        </w:rPr>
        <w:t xml:space="preserve">ed to the extent possible. This is necessary because of the possibility that safety measures that depend on future actions, such as maintenance work or surveillance, will not be taken or will not be continued. The cumulative probability of the failure of </w:t>
      </w:r>
      <w:r w:rsidRPr="00686DD7">
        <w:rPr>
          <w:rFonts w:asciiTheme="minorHAnsi" w:eastAsia="TimesNewRoman" w:hAnsiTheme="minorHAnsi"/>
          <w:color w:val="444448" w:themeColor="accent4"/>
          <w:sz w:val="22"/>
          <w:szCs w:val="22"/>
        </w:rPr>
        <w:t xml:space="preserve">such safety measures will gradually increase. Furthermore, and consistent with </w:t>
      </w:r>
      <w:r w:rsidR="00F07D6F" w:rsidRPr="00686DD7">
        <w:rPr>
          <w:rFonts w:asciiTheme="minorHAnsi" w:eastAsia="TimesNewRoman" w:hAnsiTheme="minorHAnsi"/>
          <w:color w:val="444448" w:themeColor="accent4"/>
          <w:sz w:val="22"/>
          <w:szCs w:val="22"/>
        </w:rPr>
        <w:t>SF-1</w:t>
      </w:r>
      <w:r w:rsidR="002F10A5" w:rsidRPr="00686DD7">
        <w:rPr>
          <w:rFonts w:asciiTheme="minorHAnsi" w:eastAsia="TimesNewRoman" w:hAnsiTheme="minorHAnsi"/>
          <w:color w:val="444448" w:themeColor="accent4"/>
          <w:sz w:val="22"/>
          <w:szCs w:val="22"/>
        </w:rPr>
        <w:t xml:space="preserve"> (IAEA</w:t>
      </w:r>
      <w:r w:rsidRPr="00686DD7">
        <w:rPr>
          <w:rFonts w:asciiTheme="minorHAnsi" w:eastAsia="TimesNewRoman" w:hAnsiTheme="minorHAnsi"/>
          <w:color w:val="444448" w:themeColor="accent4"/>
          <w:sz w:val="22"/>
          <w:szCs w:val="22"/>
        </w:rPr>
        <w:t xml:space="preserve"> </w:t>
      </w:r>
      <w:r w:rsidR="002F10A5" w:rsidRPr="00686DD7">
        <w:rPr>
          <w:rFonts w:asciiTheme="minorHAnsi" w:eastAsia="TimesNewRoman" w:hAnsiTheme="minorHAnsi"/>
          <w:color w:val="444448" w:themeColor="accent4"/>
          <w:sz w:val="22"/>
          <w:szCs w:val="22"/>
        </w:rPr>
        <w:t xml:space="preserve">2006) and </w:t>
      </w:r>
      <w:r w:rsidR="005F4B25" w:rsidRPr="00686DD7">
        <w:rPr>
          <w:rFonts w:asciiTheme="minorHAnsi" w:eastAsia="TimesNewRoman" w:hAnsiTheme="minorHAnsi"/>
          <w:color w:val="444448" w:themeColor="accent4"/>
          <w:sz w:val="22"/>
          <w:szCs w:val="22"/>
        </w:rPr>
        <w:t>RPS F-1</w:t>
      </w:r>
      <w:r w:rsidR="002F10A5" w:rsidRPr="00686DD7">
        <w:rPr>
          <w:rFonts w:asciiTheme="minorHAnsi" w:eastAsia="TimesNewRoman" w:hAnsiTheme="minorHAnsi"/>
          <w:color w:val="444448" w:themeColor="accent4"/>
          <w:sz w:val="22"/>
          <w:szCs w:val="22"/>
        </w:rPr>
        <w:t xml:space="preserve"> (ARPANSA 2014</w:t>
      </w:r>
      <w:r w:rsidR="00640CD1">
        <w:rPr>
          <w:rFonts w:asciiTheme="minorHAnsi" w:eastAsia="TimesNewRoman" w:hAnsiTheme="minorHAnsi"/>
          <w:color w:val="444448" w:themeColor="accent4"/>
          <w:sz w:val="22"/>
          <w:szCs w:val="22"/>
        </w:rPr>
        <w:t>a</w:t>
      </w:r>
      <w:r w:rsidR="002F10A5" w:rsidRPr="00686DD7">
        <w:rPr>
          <w:rFonts w:asciiTheme="minorHAnsi" w:eastAsia="TimesNewRoman" w:hAnsiTheme="minorHAnsi"/>
          <w:color w:val="444448" w:themeColor="accent4"/>
          <w:sz w:val="22"/>
          <w:szCs w:val="22"/>
        </w:rPr>
        <w:t>)</w:t>
      </w:r>
      <w:r w:rsidR="002F10A5" w:rsidRPr="00686DD7">
        <w:rPr>
          <w:rStyle w:val="CommentReference"/>
        </w:rPr>
        <w:t>,</w:t>
      </w:r>
      <w:r w:rsidRPr="00686DD7">
        <w:rPr>
          <w:rFonts w:asciiTheme="minorHAnsi" w:eastAsia="TimesNewRoman" w:hAnsiTheme="minorHAnsi"/>
          <w:color w:val="444448" w:themeColor="accent4"/>
          <w:sz w:val="22"/>
          <w:szCs w:val="22"/>
        </w:rPr>
        <w:t xml:space="preserve"> disposal</w:t>
      </w:r>
      <w:r w:rsidRPr="00A80F9D">
        <w:rPr>
          <w:rFonts w:asciiTheme="minorHAnsi" w:eastAsia="TimesNewRoman" w:hAnsiTheme="minorHAnsi"/>
          <w:color w:val="444448" w:themeColor="accent4"/>
          <w:sz w:val="22"/>
          <w:szCs w:val="22"/>
        </w:rPr>
        <w:t xml:space="preserve"> of radioactive waste is intended to discharge the responsibility for safety of the waste producers and the operator to the fullest </w:t>
      </w:r>
      <w:r w:rsidR="00DF1C03">
        <w:rPr>
          <w:rFonts w:asciiTheme="minorHAnsi" w:eastAsia="TimesNewRoman" w:hAnsiTheme="minorHAnsi"/>
          <w:color w:val="444448" w:themeColor="accent4"/>
          <w:sz w:val="22"/>
          <w:szCs w:val="22"/>
        </w:rPr>
        <w:t>extent possible, thereby minimis</w:t>
      </w:r>
      <w:r w:rsidRPr="00A80F9D">
        <w:rPr>
          <w:rFonts w:asciiTheme="minorHAnsi" w:eastAsia="TimesNewRoman" w:hAnsiTheme="minorHAnsi"/>
          <w:color w:val="444448" w:themeColor="accent4"/>
          <w:sz w:val="22"/>
          <w:szCs w:val="22"/>
        </w:rPr>
        <w:t>ing the responsibilities that are retained or ar</w:t>
      </w:r>
      <w:r w:rsidR="00DF1C03">
        <w:rPr>
          <w:rFonts w:asciiTheme="minorHAnsi" w:eastAsia="TimesNewRoman" w:hAnsiTheme="minorHAnsi"/>
          <w:color w:val="444448" w:themeColor="accent4"/>
          <w:sz w:val="22"/>
          <w:szCs w:val="22"/>
        </w:rPr>
        <w:t>e passed on to successor organis</w:t>
      </w:r>
      <w:r w:rsidRPr="00A80F9D">
        <w:rPr>
          <w:rFonts w:asciiTheme="minorHAnsi" w:eastAsia="TimesNewRoman" w:hAnsiTheme="minorHAnsi"/>
          <w:color w:val="444448" w:themeColor="accent4"/>
          <w:sz w:val="22"/>
          <w:szCs w:val="22"/>
        </w:rPr>
        <w:t>ations.</w:t>
      </w:r>
    </w:p>
    <w:p w14:paraId="14EECC68"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For a geological disposal facility, it is possible to provide for safety after closure by means of passive features. It is likewise possible to provide for the safety of a borehole disposal facility after closure by means of passive features, owing to the host </w:t>
      </w:r>
      <w:r w:rsidRPr="007C04EC">
        <w:rPr>
          <w:rFonts w:asciiTheme="minorHAnsi" w:hAnsiTheme="minorHAnsi"/>
          <w:snapToGrid w:val="0"/>
          <w:color w:val="444448" w:themeColor="accent4"/>
          <w:sz w:val="22"/>
          <w:szCs w:val="22"/>
          <w:lang w:eastAsia="en-US"/>
        </w:rPr>
        <w:t>geology</w:t>
      </w:r>
      <w:r w:rsidRPr="00A80F9D">
        <w:rPr>
          <w:rFonts w:asciiTheme="minorHAnsi" w:eastAsia="TimesNewRoman" w:hAnsiTheme="minorHAnsi"/>
          <w:color w:val="444448" w:themeColor="accent4"/>
          <w:sz w:val="22"/>
          <w:szCs w:val="22"/>
        </w:rPr>
        <w:t>. In the case of a near surface disposal facility, actions such as maintenance, monitoring or surveillance may be necessary for a period of time after closure to ensure safety.</w:t>
      </w:r>
    </w:p>
    <w:p w14:paraId="28247E5C" w14:textId="702D4870" w:rsidR="00076709"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A80F9D">
        <w:rPr>
          <w:rFonts w:asciiTheme="minorHAnsi" w:eastAsia="TimesNewRoman" w:hAnsiTheme="minorHAnsi"/>
          <w:color w:val="444448" w:themeColor="accent4"/>
          <w:sz w:val="22"/>
          <w:szCs w:val="22"/>
        </w:rPr>
        <w:t xml:space="preserve">Providing for the safety of a disposal facility after closure by means of passive features will entail </w:t>
      </w:r>
      <w:r w:rsidRPr="003C1980">
        <w:rPr>
          <w:rFonts w:asciiTheme="minorHAnsi" w:eastAsia="TimesNewRoman" w:hAnsiTheme="minorHAnsi"/>
          <w:color w:val="444448" w:themeColor="accent4"/>
          <w:sz w:val="22"/>
          <w:szCs w:val="22"/>
        </w:rPr>
        <w:t xml:space="preserve">proper closure of the facility and ending the need for its active management. The cessation of management means that the disposal facility, with its associated </w:t>
      </w:r>
      <w:r w:rsidRPr="007C04EC">
        <w:rPr>
          <w:rFonts w:asciiTheme="minorHAnsi" w:hAnsiTheme="minorHAnsi"/>
          <w:snapToGrid w:val="0"/>
          <w:color w:val="444448" w:themeColor="accent4"/>
          <w:sz w:val="22"/>
          <w:szCs w:val="22"/>
          <w:lang w:eastAsia="en-US"/>
        </w:rPr>
        <w:t>radiological hazard, is no longer under active control. It is the performance of the natural and engineered barriers that provides safety after closure, together, for a near surface disposal facility, with institutional controls.</w:t>
      </w:r>
    </w:p>
    <w:p w14:paraId="5D924325" w14:textId="4490C09E" w:rsidR="00343DB3" w:rsidRPr="00343DB3" w:rsidRDefault="00343DB3" w:rsidP="00343DB3">
      <w:pPr>
        <w:pStyle w:val="RPSNumberedBodyText"/>
        <w:tabs>
          <w:tab w:val="num" w:pos="0"/>
        </w:tabs>
        <w:ind w:left="709" w:hanging="709"/>
        <w:jc w:val="left"/>
        <w:rPr>
          <w:rFonts w:asciiTheme="minorHAnsi" w:hAnsiTheme="minorHAnsi"/>
          <w:snapToGrid w:val="0"/>
          <w:color w:val="444448" w:themeColor="accent4"/>
          <w:sz w:val="22"/>
          <w:szCs w:val="22"/>
          <w:lang w:eastAsia="en-US"/>
        </w:rPr>
      </w:pPr>
      <w:bookmarkStart w:id="79" w:name="_Ref516652158"/>
      <w:r>
        <w:rPr>
          <w:rFonts w:asciiTheme="minorHAnsi" w:hAnsiTheme="minorHAnsi"/>
          <w:snapToGrid w:val="0"/>
          <w:color w:val="444448" w:themeColor="accent4"/>
          <w:sz w:val="22"/>
          <w:szCs w:val="22"/>
          <w:lang w:eastAsia="en-US"/>
        </w:rPr>
        <w:t>In</w:t>
      </w:r>
      <w:r w:rsidRPr="00343DB3">
        <w:rPr>
          <w:rFonts w:asciiTheme="minorHAnsi" w:hAnsiTheme="minorHAnsi"/>
          <w:snapToGrid w:val="0"/>
          <w:color w:val="444448" w:themeColor="accent4"/>
          <w:sz w:val="22"/>
          <w:szCs w:val="22"/>
          <w:lang w:eastAsia="en-US"/>
        </w:rPr>
        <w:t xml:space="preserve"> </w:t>
      </w:r>
      <w:r>
        <w:rPr>
          <w:rFonts w:asciiTheme="minorHAnsi" w:hAnsiTheme="minorHAnsi"/>
          <w:snapToGrid w:val="0"/>
          <w:color w:val="444448" w:themeColor="accent4"/>
          <w:sz w:val="22"/>
          <w:szCs w:val="22"/>
          <w:lang w:eastAsia="en-US"/>
        </w:rPr>
        <w:t xml:space="preserve">practice, </w:t>
      </w:r>
      <w:r w:rsidRPr="007C04EC">
        <w:rPr>
          <w:rFonts w:asciiTheme="minorHAnsi" w:hAnsiTheme="minorHAnsi"/>
          <w:snapToGrid w:val="0"/>
          <w:color w:val="444448" w:themeColor="accent4"/>
          <w:sz w:val="22"/>
          <w:szCs w:val="22"/>
          <w:lang w:eastAsia="en-US"/>
        </w:rPr>
        <w:t>even in those cases in which passive features are the primary means for providing a</w:t>
      </w:r>
      <w:r w:rsidRPr="003C1980">
        <w:rPr>
          <w:rFonts w:asciiTheme="minorHAnsi" w:eastAsia="TimesNewRoman" w:hAnsiTheme="minorHAnsi"/>
          <w:color w:val="444448" w:themeColor="accent4"/>
          <w:sz w:val="22"/>
          <w:szCs w:val="22"/>
        </w:rPr>
        <w:t xml:space="preserve"> reasonable assurance of safety, institutional controls, including </w:t>
      </w:r>
      <w:r w:rsidRPr="007C04EC">
        <w:rPr>
          <w:rFonts w:asciiTheme="minorHAnsi" w:hAnsiTheme="minorHAnsi"/>
          <w:snapToGrid w:val="0"/>
          <w:color w:val="444448" w:themeColor="accent4"/>
          <w:sz w:val="22"/>
          <w:szCs w:val="22"/>
          <w:lang w:eastAsia="en-US"/>
        </w:rPr>
        <w:t>restrictions</w:t>
      </w:r>
      <w:r w:rsidRPr="003C1980">
        <w:rPr>
          <w:rFonts w:asciiTheme="minorHAnsi" w:eastAsia="TimesNewRoman" w:hAnsiTheme="minorHAnsi"/>
          <w:color w:val="444448" w:themeColor="accent4"/>
          <w:sz w:val="22"/>
          <w:szCs w:val="22"/>
        </w:rPr>
        <w:t xml:space="preserve"> on land use, and a programme</w:t>
      </w:r>
      <w:r w:rsidRPr="00A80F9D">
        <w:rPr>
          <w:rFonts w:asciiTheme="minorHAnsi" w:eastAsia="TimesNewRoman" w:hAnsiTheme="minorHAnsi"/>
          <w:color w:val="444448" w:themeColor="accent4"/>
          <w:sz w:val="22"/>
          <w:szCs w:val="22"/>
        </w:rPr>
        <w:t xml:space="preserve"> for monitoring may be necessary in the post-closure period. Institutional controls and monitoring are the subject</w:t>
      </w:r>
      <w:r>
        <w:rPr>
          <w:rFonts w:asciiTheme="minorHAnsi" w:eastAsia="TimesNewRoman" w:hAnsiTheme="minorHAnsi"/>
          <w:color w:val="444448" w:themeColor="accent4"/>
          <w:sz w:val="22"/>
          <w:szCs w:val="22"/>
        </w:rPr>
        <w:t xml:space="preserve"> of clauses </w:t>
      </w:r>
      <w:r>
        <w:rPr>
          <w:rFonts w:asciiTheme="minorHAnsi" w:eastAsia="TimesNewRoman" w:hAnsiTheme="minorHAnsi"/>
          <w:color w:val="444448" w:themeColor="accent4"/>
          <w:sz w:val="22"/>
          <w:szCs w:val="22"/>
        </w:rPr>
        <w:fldChar w:fldCharType="begin"/>
      </w:r>
      <w:r>
        <w:rPr>
          <w:rFonts w:asciiTheme="minorHAnsi" w:eastAsia="TimesNewRoman" w:hAnsiTheme="minorHAnsi"/>
          <w:color w:val="444448" w:themeColor="accent4"/>
          <w:sz w:val="22"/>
          <w:szCs w:val="22"/>
        </w:rPr>
        <w:instrText xml:space="preserve"> REF _Ref496697768 \r \h </w:instrText>
      </w:r>
      <w:r>
        <w:rPr>
          <w:rFonts w:asciiTheme="minorHAnsi" w:eastAsia="TimesNewRoman" w:hAnsiTheme="minorHAnsi"/>
          <w:color w:val="444448" w:themeColor="accent4"/>
          <w:sz w:val="22"/>
          <w:szCs w:val="22"/>
        </w:rPr>
      </w:r>
      <w:r>
        <w:rPr>
          <w:rFonts w:asciiTheme="minorHAnsi" w:eastAsia="TimesNewRoman" w:hAnsiTheme="minorHAnsi"/>
          <w:color w:val="444448" w:themeColor="accent4"/>
          <w:sz w:val="22"/>
          <w:szCs w:val="22"/>
        </w:rPr>
        <w:fldChar w:fldCharType="separate"/>
      </w:r>
      <w:r w:rsidR="00C022DF">
        <w:rPr>
          <w:rFonts w:asciiTheme="minorHAnsi" w:eastAsia="TimesNewRoman" w:hAnsiTheme="minorHAnsi"/>
          <w:color w:val="444448" w:themeColor="accent4"/>
          <w:sz w:val="22"/>
          <w:szCs w:val="22"/>
        </w:rPr>
        <w:t>3.2.92</w:t>
      </w:r>
      <w:r>
        <w:rPr>
          <w:rFonts w:asciiTheme="minorHAnsi" w:eastAsia="TimesNewRoman" w:hAnsiTheme="minorHAnsi"/>
          <w:color w:val="444448" w:themeColor="accent4"/>
          <w:sz w:val="22"/>
          <w:szCs w:val="22"/>
        </w:rPr>
        <w:fldChar w:fldCharType="end"/>
      </w:r>
      <w:r>
        <w:rPr>
          <w:rFonts w:asciiTheme="minorHAnsi" w:eastAsia="TimesNewRoman" w:hAnsiTheme="minorHAnsi"/>
          <w:color w:val="444448" w:themeColor="accent4"/>
          <w:sz w:val="22"/>
          <w:szCs w:val="22"/>
        </w:rPr>
        <w:t xml:space="preserve"> to </w:t>
      </w:r>
      <w:r>
        <w:rPr>
          <w:rFonts w:asciiTheme="minorHAnsi" w:eastAsia="TimesNewRoman" w:hAnsiTheme="minorHAnsi"/>
          <w:color w:val="444448" w:themeColor="accent4"/>
          <w:sz w:val="22"/>
          <w:szCs w:val="22"/>
        </w:rPr>
        <w:fldChar w:fldCharType="begin"/>
      </w:r>
      <w:r>
        <w:rPr>
          <w:rFonts w:asciiTheme="minorHAnsi" w:eastAsia="TimesNewRoman" w:hAnsiTheme="minorHAnsi"/>
          <w:color w:val="444448" w:themeColor="accent4"/>
          <w:sz w:val="22"/>
          <w:szCs w:val="22"/>
        </w:rPr>
        <w:instrText xml:space="preserve"> REF _Ref496697776 \r \h </w:instrText>
      </w:r>
      <w:r>
        <w:rPr>
          <w:rFonts w:asciiTheme="minorHAnsi" w:eastAsia="TimesNewRoman" w:hAnsiTheme="minorHAnsi"/>
          <w:color w:val="444448" w:themeColor="accent4"/>
          <w:sz w:val="22"/>
          <w:szCs w:val="22"/>
        </w:rPr>
      </w:r>
      <w:r>
        <w:rPr>
          <w:rFonts w:asciiTheme="minorHAnsi" w:eastAsia="TimesNewRoman" w:hAnsiTheme="minorHAnsi"/>
          <w:color w:val="444448" w:themeColor="accent4"/>
          <w:sz w:val="22"/>
          <w:szCs w:val="22"/>
        </w:rPr>
        <w:fldChar w:fldCharType="separate"/>
      </w:r>
      <w:r w:rsidR="00C022DF">
        <w:rPr>
          <w:rFonts w:asciiTheme="minorHAnsi" w:eastAsia="TimesNewRoman" w:hAnsiTheme="minorHAnsi"/>
          <w:color w:val="444448" w:themeColor="accent4"/>
          <w:sz w:val="22"/>
          <w:szCs w:val="22"/>
        </w:rPr>
        <w:t>3.2.105</w:t>
      </w:r>
      <w:r>
        <w:rPr>
          <w:rFonts w:asciiTheme="minorHAnsi" w:eastAsia="TimesNewRoman" w:hAnsiTheme="minorHAnsi"/>
          <w:color w:val="444448" w:themeColor="accent4"/>
          <w:sz w:val="22"/>
          <w:szCs w:val="22"/>
        </w:rPr>
        <w:fldChar w:fldCharType="end"/>
      </w:r>
      <w:r>
        <w:rPr>
          <w:rFonts w:asciiTheme="minorHAnsi" w:eastAsia="TimesNewRoman" w:hAnsiTheme="minorHAnsi"/>
          <w:color w:val="444448" w:themeColor="accent4"/>
          <w:sz w:val="22"/>
          <w:szCs w:val="22"/>
        </w:rPr>
        <w:t>.</w:t>
      </w:r>
      <w:bookmarkEnd w:id="79"/>
    </w:p>
    <w:p w14:paraId="48E9C9BB" w14:textId="272BFCE9" w:rsidR="00FB77D2" w:rsidRPr="00076709" w:rsidRDefault="00343DB3" w:rsidP="00343DB3">
      <w:pPr>
        <w:pStyle w:val="RPSNumberedBodyText"/>
        <w:numPr>
          <w:ilvl w:val="0"/>
          <w:numId w:val="0"/>
        </w:numPr>
        <w:ind w:left="709"/>
        <w:jc w:val="left"/>
        <w:rPr>
          <w:rFonts w:asciiTheme="minorHAnsi" w:hAnsiTheme="minorHAnsi"/>
          <w:sz w:val="22"/>
          <w:szCs w:val="22"/>
          <w:highlight w:val="yellow"/>
        </w:rPr>
      </w:pPr>
      <w:r w:rsidRPr="00076709">
        <w:rPr>
          <w:rFonts w:asciiTheme="minorHAnsi" w:hAnsiTheme="minorHAnsi"/>
          <w:sz w:val="22"/>
          <w:szCs w:val="22"/>
          <w:highlight w:val="yellow"/>
        </w:rPr>
        <w:lastRenderedPageBreak/>
        <w:t xml:space="preserve"> </w:t>
      </w:r>
    </w:p>
    <w:tbl>
      <w:tblPr>
        <w:tblW w:w="8720" w:type="dxa"/>
        <w:tblInd w:w="-108" w:type="dxa"/>
        <w:tblBorders>
          <w:insideV w:val="single" w:sz="8" w:space="0" w:color="1F497D"/>
        </w:tblBorders>
        <w:tblLook w:val="0420" w:firstRow="1" w:lastRow="0" w:firstColumn="0" w:lastColumn="0" w:noHBand="0" w:noVBand="1"/>
      </w:tblPr>
      <w:tblGrid>
        <w:gridCol w:w="8720"/>
      </w:tblGrid>
      <w:tr w:rsidR="00076709" w:rsidRPr="00D2396C" w14:paraId="1417B8EB" w14:textId="77777777" w:rsidTr="005028FE">
        <w:tc>
          <w:tcPr>
            <w:tcW w:w="8720" w:type="dxa"/>
            <w:shd w:val="clear" w:color="auto" w:fill="4E1A74" w:themeFill="text2"/>
          </w:tcPr>
          <w:p w14:paraId="30825C32" w14:textId="77777777" w:rsidR="00076709" w:rsidRPr="00AD6C06" w:rsidRDefault="00076709" w:rsidP="005028FE">
            <w:pPr>
              <w:spacing w:before="120" w:after="120"/>
              <w:ind w:left="1985" w:hanging="1985"/>
              <w:rPr>
                <w:rFonts w:cstheme="minorHAnsi"/>
                <w:b/>
                <w:color w:val="FFFFFF"/>
              </w:rPr>
            </w:pPr>
            <w:r w:rsidRPr="00AD6C06">
              <w:rPr>
                <w:rFonts w:cstheme="minorHAnsi"/>
                <w:b/>
                <w:color w:val="FFFFFF"/>
              </w:rPr>
              <w:t>Understanding of a disposal facility and confidence in safety</w:t>
            </w:r>
          </w:p>
        </w:tc>
      </w:tr>
    </w:tbl>
    <w:p w14:paraId="6D1DBF2C" w14:textId="77777777" w:rsidR="00076709" w:rsidRPr="00FB77D2"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0" w:name="_Ref496699517"/>
      <w:r w:rsidRPr="00FB77D2">
        <w:rPr>
          <w:rFonts w:asciiTheme="minorHAnsi" w:hAnsiTheme="minorHAnsi"/>
          <w:i/>
          <w:color w:val="4E1A74" w:themeColor="text2"/>
          <w:sz w:val="22"/>
          <w:szCs w:val="22"/>
        </w:rPr>
        <w:t xml:space="preserve">The operator of a disposal facility shall develop an adequate understanding of the features of the facility and its host environment and of the factors that influence its safety after closure over suitably long time periods, so that a </w:t>
      </w:r>
      <w:r w:rsidRPr="007C04EC">
        <w:rPr>
          <w:rFonts w:asciiTheme="minorHAnsi" w:hAnsiTheme="minorHAnsi"/>
          <w:i/>
          <w:color w:val="4E1A74" w:themeColor="text2"/>
          <w:sz w:val="22"/>
          <w:szCs w:val="22"/>
        </w:rPr>
        <w:t>sufficient</w:t>
      </w:r>
      <w:r w:rsidRPr="00FB77D2">
        <w:rPr>
          <w:rFonts w:asciiTheme="minorHAnsi" w:hAnsiTheme="minorHAnsi"/>
          <w:i/>
          <w:color w:val="4E1A74" w:themeColor="text2"/>
          <w:sz w:val="22"/>
          <w:szCs w:val="22"/>
        </w:rPr>
        <w:t xml:space="preserve"> level of confidence in safety can be achieved.</w:t>
      </w:r>
      <w:bookmarkEnd w:id="80"/>
    </w:p>
    <w:p w14:paraId="293BF6D8" w14:textId="6998A444"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Confidence has to be assured by the results of safety assessment for a disposal facility. The features of the facility and its host environment that provide for safety have to be identified, in addition to those factors that might be detrimental. It has to be demonstrated that these features and factors a</w:t>
      </w:r>
      <w:r w:rsidR="00DF1C03">
        <w:rPr>
          <w:rFonts w:asciiTheme="minorHAnsi" w:eastAsia="TimesNewRoman" w:hAnsiTheme="minorHAnsi"/>
          <w:color w:val="444448" w:themeColor="accent4"/>
          <w:sz w:val="22"/>
          <w:szCs w:val="22"/>
        </w:rPr>
        <w:t>re sufficiently well characteris</w:t>
      </w:r>
      <w:r w:rsidRPr="00A80F9D">
        <w:rPr>
          <w:rFonts w:asciiTheme="minorHAnsi" w:eastAsia="TimesNewRoman" w:hAnsiTheme="minorHAnsi"/>
          <w:color w:val="444448" w:themeColor="accent4"/>
          <w:sz w:val="22"/>
          <w:szCs w:val="22"/>
        </w:rPr>
        <w:t>ed and understood. Any uncertainties have to be taken into consideration in the assessment of safety.</w:t>
      </w:r>
    </w:p>
    <w:p w14:paraId="7C7979AF" w14:textId="77777777" w:rsidR="00076709"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 xml:space="preserve">The purpose of this demonstration is to establish, with a high level of confidence, that the disposal facility and its host environment can be relied on to provide </w:t>
      </w:r>
      <w:r w:rsidRPr="007C04EC">
        <w:rPr>
          <w:rFonts w:asciiTheme="minorHAnsi" w:hAnsiTheme="minorHAnsi"/>
          <w:snapToGrid w:val="0"/>
          <w:color w:val="444448" w:themeColor="accent4"/>
          <w:sz w:val="22"/>
          <w:szCs w:val="22"/>
          <w:lang w:eastAsia="en-US"/>
        </w:rPr>
        <w:t>the</w:t>
      </w:r>
      <w:r w:rsidRPr="00A80F9D">
        <w:rPr>
          <w:rFonts w:asciiTheme="minorHAnsi" w:eastAsia="TimesNewRoman" w:hAnsiTheme="minorHAnsi"/>
          <w:color w:val="444448" w:themeColor="accent4"/>
          <w:sz w:val="22"/>
          <w:szCs w:val="22"/>
        </w:rPr>
        <w:t xml:space="preserve"> necessary containment and isolation over the timescales envisaged. Certain features of the disposal facility and its environment may contribute to safety, but may be less quantifiable, such as the remoteness of the site. The reasoning with regard to such factors has to be based on more qualitative arguments, and such factors provide a safety margin.</w:t>
      </w:r>
    </w:p>
    <w:p w14:paraId="143C5A5C" w14:textId="77777777" w:rsidR="00164417"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An understanding of the features of a disposal facility and how it will perform over time is necessary in order to be able to demonstrate the dependability of certain design features. This demonstration is assisted if such design features are robust (i.e. their performance is of low sensitivity to possible events and processes causing disturbances). Sufficient evidence has to be obtained of their feasibility and effectiveness before construction activities are commenced.</w:t>
      </w:r>
    </w:p>
    <w:p w14:paraId="6DD417C9" w14:textId="77777777" w:rsidR="00164417"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In this regard, the range of possible events and processes causing disturbances that it is reasonable to include in such considerations has to be subject to agreement by the regulatory body and subsequent approval by inclusion in the safety case. These considerations permit the development of an understanding of whether or not such events and processes cause disturbances that could lead to the widespread loss of safety functions.</w:t>
      </w:r>
    </w:p>
    <w:p w14:paraId="0EEDBDD0" w14:textId="77777777" w:rsidR="00164417" w:rsidRPr="00A80F9D" w:rsidRDefault="003467C2" w:rsidP="007C04EC">
      <w:pPr>
        <w:pStyle w:val="RPSNumberedBodyText"/>
        <w:tabs>
          <w:tab w:val="num" w:pos="0"/>
        </w:tabs>
        <w:ind w:left="709" w:hanging="709"/>
        <w:jc w:val="left"/>
        <w:rPr>
          <w:rFonts w:asciiTheme="minorHAnsi" w:hAnsiTheme="minorHAnsi"/>
          <w:color w:val="444448" w:themeColor="accent4"/>
          <w:sz w:val="22"/>
          <w:szCs w:val="22"/>
        </w:rPr>
      </w:pPr>
      <w:r w:rsidRPr="00A80F9D">
        <w:rPr>
          <w:rFonts w:asciiTheme="minorHAnsi" w:eastAsia="TimesNewRoman" w:hAnsiTheme="minorHAnsi"/>
          <w:color w:val="444448" w:themeColor="accent4"/>
          <w:sz w:val="22"/>
          <w:szCs w:val="22"/>
        </w:rPr>
        <w:t>Understanding of the performance of the disposal system and its safety features and processes evolves as more data are accumulated and scientific knowledge is developed. Early in the development of the concept, the data obtained and the level of understanding gained have to assure sufficient confidence to be able to commit resources for further investigations. Before the start of construction, during emplacement of waste and at closure of the facility, the level of understanding has to be sufficient to support the safety case for fulfilling the regulatory requirements applicable for the particular stage of the project.</w:t>
      </w:r>
    </w:p>
    <w:p w14:paraId="21815FE0" w14:textId="2559ACAC" w:rsidR="0073116F" w:rsidRPr="006476CE" w:rsidRDefault="003467C2" w:rsidP="006476CE">
      <w:pPr>
        <w:pStyle w:val="RPSNumberedBodyText"/>
        <w:tabs>
          <w:tab w:val="num" w:pos="0"/>
        </w:tabs>
        <w:ind w:left="709" w:hanging="709"/>
        <w:jc w:val="left"/>
        <w:rPr>
          <w:rFonts w:asciiTheme="minorHAnsi" w:hAnsiTheme="minorHAnsi"/>
          <w:color w:val="444448" w:themeColor="accent4"/>
          <w:sz w:val="22"/>
          <w:szCs w:val="22"/>
        </w:rPr>
      </w:pPr>
      <w:bookmarkStart w:id="81" w:name="_Ref496699522"/>
      <w:r w:rsidRPr="00A80F9D">
        <w:rPr>
          <w:rFonts w:asciiTheme="minorHAnsi" w:eastAsia="TimesNewRoman" w:hAnsiTheme="minorHAnsi"/>
          <w:color w:val="444448" w:themeColor="accent4"/>
          <w:sz w:val="22"/>
          <w:szCs w:val="22"/>
        </w:rPr>
        <w:t>In establishing these regulatory req</w:t>
      </w:r>
      <w:r w:rsidR="00DF1C03">
        <w:rPr>
          <w:rFonts w:asciiTheme="minorHAnsi" w:eastAsia="TimesNewRoman" w:hAnsiTheme="minorHAnsi"/>
          <w:color w:val="444448" w:themeColor="accent4"/>
          <w:sz w:val="22"/>
          <w:szCs w:val="22"/>
        </w:rPr>
        <w:t>uirements, it has to be recognis</w:t>
      </w:r>
      <w:r w:rsidRPr="00A80F9D">
        <w:rPr>
          <w:rFonts w:asciiTheme="minorHAnsi" w:eastAsia="TimesNewRoman" w:hAnsiTheme="minorHAnsi"/>
          <w:color w:val="444448" w:themeColor="accent4"/>
          <w:sz w:val="22"/>
          <w:szCs w:val="22"/>
        </w:rPr>
        <w:t xml:space="preserve">ed that there are various types and components of uncertainty inherent in modelling complex </w:t>
      </w:r>
      <w:r w:rsidRPr="007C04EC">
        <w:rPr>
          <w:rFonts w:asciiTheme="minorHAnsi" w:hAnsiTheme="minorHAnsi"/>
          <w:snapToGrid w:val="0"/>
          <w:color w:val="444448" w:themeColor="accent4"/>
          <w:sz w:val="22"/>
          <w:szCs w:val="22"/>
          <w:lang w:eastAsia="en-US"/>
        </w:rPr>
        <w:t>environmental</w:t>
      </w:r>
      <w:r w:rsidRPr="00A80F9D">
        <w:rPr>
          <w:rFonts w:asciiTheme="minorHAnsi" w:eastAsia="TimesNewRoman" w:hAnsiTheme="minorHAnsi"/>
          <w:color w:val="444448" w:themeColor="accent4"/>
          <w:sz w:val="22"/>
          <w:szCs w:val="22"/>
        </w:rPr>
        <w:t xml:space="preserve"> sys</w:t>
      </w:r>
      <w:r w:rsidR="00DF1C03">
        <w:rPr>
          <w:rFonts w:asciiTheme="minorHAnsi" w:eastAsia="TimesNewRoman" w:hAnsiTheme="minorHAnsi"/>
          <w:color w:val="444448" w:themeColor="accent4"/>
          <w:sz w:val="22"/>
          <w:szCs w:val="22"/>
        </w:rPr>
        <w:t>tems. It also has to be recognis</w:t>
      </w:r>
      <w:r w:rsidRPr="00A80F9D">
        <w:rPr>
          <w:rFonts w:asciiTheme="minorHAnsi" w:eastAsia="TimesNewRoman" w:hAnsiTheme="minorHAnsi"/>
          <w:color w:val="444448" w:themeColor="accent4"/>
          <w:sz w:val="22"/>
          <w:szCs w:val="22"/>
        </w:rPr>
        <w:t>ed that there are, inevitably, significant uncertainties associated with projecting the performance of a disposal system over time.</w:t>
      </w:r>
      <w:bookmarkEnd w:id="81"/>
    </w:p>
    <w:p w14:paraId="32D511EB" w14:textId="14178E09" w:rsidR="00FB5BF5" w:rsidRPr="00FB5BF5" w:rsidRDefault="00FB5BF5" w:rsidP="00FB5BF5">
      <w:pPr>
        <w:pStyle w:val="Heading3"/>
      </w:pPr>
      <w:bookmarkStart w:id="82" w:name="_Toc524085221"/>
      <w:r w:rsidRPr="00FB5BF5">
        <w:lastRenderedPageBreak/>
        <w:t>Design concepts for safety</w:t>
      </w:r>
      <w:bookmarkEnd w:id="82"/>
    </w:p>
    <w:p w14:paraId="0FCBCF5A"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rPr>
      </w:pPr>
      <w:r w:rsidRPr="00A80F9D">
        <w:rPr>
          <w:rFonts w:asciiTheme="minorHAnsi" w:eastAsia="TimesNewRoman" w:hAnsiTheme="minorHAnsi" w:cstheme="minorHAnsi"/>
          <w:color w:val="444448" w:themeColor="accent4"/>
          <w:sz w:val="22"/>
        </w:rPr>
        <w:t xml:space="preserve">A disposal facility is designed to contain the radionuclides associated with the radioactive waste and to isolate them from the accessible biosphere. The disposal facility is also designed to retard the dispersion of radionuclides in the geosphere and biosphere and to provide isolation of the waste from </w:t>
      </w:r>
      <w:r w:rsidRPr="007C04EC">
        <w:rPr>
          <w:rFonts w:asciiTheme="minorHAnsi" w:hAnsiTheme="minorHAnsi"/>
          <w:snapToGrid w:val="0"/>
          <w:color w:val="444448" w:themeColor="accent4"/>
          <w:sz w:val="22"/>
          <w:szCs w:val="22"/>
          <w:lang w:eastAsia="en-US"/>
        </w:rPr>
        <w:t>aggressive</w:t>
      </w:r>
      <w:r w:rsidRPr="00A80F9D">
        <w:rPr>
          <w:rFonts w:asciiTheme="minorHAnsi" w:eastAsia="TimesNewRoman" w:hAnsiTheme="minorHAnsi" w:cstheme="minorHAnsi"/>
          <w:color w:val="444448" w:themeColor="accent4"/>
          <w:sz w:val="22"/>
        </w:rPr>
        <w:t xml:space="preserve"> phenomena that could degrade the integrity of the facility. The various elements of the disposal system, including physical components and control procedures, contribute to performing safety functions in different ways over different timescales.</w:t>
      </w:r>
    </w:p>
    <w:p w14:paraId="636CCE57"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rPr>
      </w:pPr>
      <w:r w:rsidRPr="00A80F9D">
        <w:rPr>
          <w:rFonts w:asciiTheme="minorHAnsi" w:eastAsia="TimesNewRoman" w:hAnsiTheme="minorHAnsi" w:cstheme="minorHAnsi"/>
          <w:color w:val="444448" w:themeColor="accent4"/>
          <w:sz w:val="22"/>
        </w:rPr>
        <w:t xml:space="preserve">Requirements are established in this section for ensuring that there is adequate defence in depth, so that safety is not unduly dependent on a single element of the disposal facility, such as the waste package; or a single control measure, such as verification of the inventory of waste packages; or the fulfilment of a single safety function, such as by containment of radionuclides or retardation of migration; or a single administrative </w:t>
      </w:r>
      <w:r w:rsidRPr="007C04EC">
        <w:rPr>
          <w:rFonts w:asciiTheme="minorHAnsi" w:hAnsiTheme="minorHAnsi"/>
          <w:snapToGrid w:val="0"/>
          <w:color w:val="444448" w:themeColor="accent4"/>
          <w:sz w:val="22"/>
          <w:szCs w:val="22"/>
          <w:lang w:eastAsia="en-US"/>
        </w:rPr>
        <w:t>procedure</w:t>
      </w:r>
      <w:r w:rsidRPr="00A80F9D">
        <w:rPr>
          <w:rFonts w:asciiTheme="minorHAnsi" w:eastAsia="TimesNewRoman" w:hAnsiTheme="minorHAnsi" w:cstheme="minorHAnsi"/>
          <w:color w:val="444448" w:themeColor="accent4"/>
          <w:sz w:val="22"/>
        </w:rPr>
        <w:t>, such as a procedure for site access control or for maintenance of the facility.</w:t>
      </w:r>
    </w:p>
    <w:p w14:paraId="55BB0C47" w14:textId="2A633C99"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rPr>
      </w:pPr>
      <w:r w:rsidRPr="00A80F9D">
        <w:rPr>
          <w:rFonts w:asciiTheme="minorHAnsi" w:eastAsia="TimesNewRoman" w:hAnsiTheme="minorHAnsi" w:cstheme="minorHAnsi"/>
          <w:color w:val="444448" w:themeColor="accent4"/>
          <w:sz w:val="22"/>
        </w:rPr>
        <w:t xml:space="preserve">Adequate defence in depth has to be ensured by demonstrating that there are multiple safety functions, that the fulfilment of individual safety functions is robust and that the performance of the various physical components of the </w:t>
      </w:r>
      <w:r w:rsidRPr="007C04EC">
        <w:rPr>
          <w:rFonts w:asciiTheme="minorHAnsi" w:hAnsiTheme="minorHAnsi"/>
          <w:snapToGrid w:val="0"/>
          <w:color w:val="444448" w:themeColor="accent4"/>
          <w:sz w:val="22"/>
          <w:szCs w:val="22"/>
          <w:lang w:eastAsia="en-US"/>
        </w:rPr>
        <w:t>disposal</w:t>
      </w:r>
      <w:r w:rsidRPr="00A80F9D">
        <w:rPr>
          <w:rFonts w:asciiTheme="minorHAnsi" w:eastAsia="TimesNewRoman" w:hAnsiTheme="minorHAnsi" w:cstheme="minorHAnsi"/>
          <w:color w:val="444448" w:themeColor="accent4"/>
          <w:sz w:val="22"/>
        </w:rPr>
        <w:t xml:space="preserve"> system and the safety functions they fulfil can be relied upon, as assumed in the safety case and supporting safety assessment. It is the responsibility of the operator to demonstrate fulfilment of the following design requirements to the satisfaction of the regulatory body.</w:t>
      </w:r>
    </w:p>
    <w:p w14:paraId="3C188197" w14:textId="0E95F2AF" w:rsidR="0073116F" w:rsidRDefault="0073116F" w:rsidP="0073116F">
      <w:pPr>
        <w:pStyle w:val="RPSNumberedBodyText"/>
        <w:numPr>
          <w:ilvl w:val="0"/>
          <w:numId w:val="0"/>
        </w:numPr>
        <w:rPr>
          <w:rFonts w:asciiTheme="minorHAnsi" w:eastAsia="TimesNewRoman" w:hAnsiTheme="minorHAnsi" w:cstheme="minorHAnsi"/>
          <w:sz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39998B11" w14:textId="77777777" w:rsidTr="005028FE">
        <w:tc>
          <w:tcPr>
            <w:tcW w:w="8720" w:type="dxa"/>
            <w:shd w:val="clear" w:color="auto" w:fill="4E1A74" w:themeFill="text2"/>
          </w:tcPr>
          <w:p w14:paraId="4D4A61DF" w14:textId="00587A40" w:rsidR="0073116F" w:rsidRPr="00AD6C06" w:rsidRDefault="0073116F" w:rsidP="005028FE">
            <w:pPr>
              <w:spacing w:before="120" w:after="120"/>
              <w:ind w:left="1985" w:hanging="1985"/>
              <w:rPr>
                <w:rFonts w:cstheme="minorHAnsi"/>
                <w:b/>
                <w:color w:val="FFFFFF"/>
              </w:rPr>
            </w:pPr>
            <w:r w:rsidRPr="00AD6C06">
              <w:rPr>
                <w:rFonts w:cstheme="minorHAnsi"/>
                <w:b/>
                <w:color w:val="FFFFFF"/>
              </w:rPr>
              <w:t>Multiple safety functions</w:t>
            </w:r>
          </w:p>
        </w:tc>
      </w:tr>
    </w:tbl>
    <w:p w14:paraId="260E20D2" w14:textId="77777777" w:rsidR="0073116F"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3" w:name="_Ref496699555"/>
      <w:r w:rsidRPr="00FB5BF5">
        <w:rPr>
          <w:rFonts w:asciiTheme="minorHAnsi" w:hAnsiTheme="minorHAnsi"/>
          <w:i/>
          <w:color w:val="4E1A74" w:themeColor="text2"/>
          <w:sz w:val="22"/>
          <w:szCs w:val="22"/>
        </w:rPr>
        <w:t xml:space="preserve">The host environment shall be selected, the engineered barriers of the disposal facility shall be designed and the facility shall be operated to ensure that safety is provided by means of multiple safety functions. Containment and </w:t>
      </w:r>
      <w:r w:rsidRPr="007C04EC">
        <w:rPr>
          <w:rFonts w:asciiTheme="minorHAnsi" w:hAnsiTheme="minorHAnsi"/>
          <w:i/>
          <w:color w:val="4E1A74" w:themeColor="text2"/>
          <w:sz w:val="22"/>
          <w:szCs w:val="22"/>
        </w:rPr>
        <w:t>isolation</w:t>
      </w:r>
      <w:r w:rsidRPr="00FB5BF5">
        <w:rPr>
          <w:rFonts w:asciiTheme="minorHAnsi" w:hAnsiTheme="minorHAnsi"/>
          <w:i/>
          <w:color w:val="4E1A74" w:themeColor="text2"/>
          <w:sz w:val="22"/>
          <w:szCs w:val="22"/>
        </w:rPr>
        <w:t xml:space="preserve"> of the waste shall be provided by means of a number of physical barriers of the disposal system. The performance of these physical barriers shall be achieved by means of diverse physical and chemical processes together with various operational controls. The capability of the individual barriers and controls together with that of the overall disposal system to perform as assumed in the safety case shall be demonstrated. The overall performance of the disposal system shall not be unduly dependent on a single safety function.</w:t>
      </w:r>
      <w:bookmarkEnd w:id="83"/>
    </w:p>
    <w:p w14:paraId="4A278E75"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engineered and physical barriers that make up the disposal system are physical entities, such as the waste form, the packaging, the backfill, and the host environment and geological formation. A safety function may be provided by means of a physical or chemical property or process that contributes to containment and isolation, such as: impermeability to water; limited corrosion, dissolution, leach rate and solubility; retention of radionuclides; and retardation of radionuclide migration.</w:t>
      </w:r>
    </w:p>
    <w:p w14:paraId="74F8ED45"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Active controls can also fulfil safety functions or contribute to confidence in natural and engineered barriers and safety functions. The presence of a number of physical and other elements performing safety functions gives assurance that even if any of them do not perform fully as expected (e.g. owing to an unexpected process or an unlikely event), a sufficient margin of safety will remain.</w:t>
      </w:r>
    </w:p>
    <w:p w14:paraId="5D612485"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lastRenderedPageBreak/>
        <w:t>The physical elements and their safety functions can be complementary and can work in combination. The performance of a disposal system is thus dependent on different physical elements and on other elements that perform safety functions, which act over different time periods. For example, the roles of the waste package and the host geological formation for a geological disposal facility may vary in different time periods.</w:t>
      </w:r>
    </w:p>
    <w:p w14:paraId="2D2FF7E5" w14:textId="4E0D3C38" w:rsidR="003467C2"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bookmarkStart w:id="84" w:name="_Ref496699556"/>
      <w:r w:rsidRPr="007C04EC">
        <w:rPr>
          <w:rFonts w:asciiTheme="minorHAnsi" w:hAnsiTheme="minorHAnsi"/>
          <w:snapToGrid w:val="0"/>
          <w:color w:val="444448" w:themeColor="accent4"/>
          <w:sz w:val="22"/>
          <w:szCs w:val="22"/>
          <w:lang w:eastAsia="en-US"/>
        </w:rPr>
        <w:t>The safety case has to explain and justify the functions performed by each physical element and other features. It also has to identify the time periods over which physical components and other features are expected to perform their various safety functions, and also the alternative or additional safety functions that are available if a physical element does not fully perform or another safety function is not fulfilled.</w:t>
      </w:r>
      <w:bookmarkEnd w:id="84"/>
    </w:p>
    <w:p w14:paraId="6CCBFC52" w14:textId="07732370" w:rsidR="0073116F" w:rsidRPr="007C04EC" w:rsidRDefault="0073116F" w:rsidP="007C04EC">
      <w:pPr>
        <w:pStyle w:val="RPSNumberedBodyText"/>
        <w:numPr>
          <w:ilvl w:val="0"/>
          <w:numId w:val="0"/>
        </w:numPr>
        <w:ind w:left="709"/>
        <w:jc w:val="left"/>
        <w:rPr>
          <w:rFonts w:asciiTheme="minorHAnsi" w:hAnsiTheme="minorHAnsi"/>
          <w:snapToGrid w:val="0"/>
          <w:color w:val="444448" w:themeColor="accent4"/>
          <w:sz w:val="22"/>
          <w:szCs w:val="22"/>
          <w:lang w:eastAsia="en-US"/>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4FB02BCE" w14:textId="77777777" w:rsidTr="005028FE">
        <w:tc>
          <w:tcPr>
            <w:tcW w:w="8720" w:type="dxa"/>
            <w:shd w:val="clear" w:color="auto" w:fill="4E1A74" w:themeFill="text2"/>
          </w:tcPr>
          <w:p w14:paraId="4E81413A" w14:textId="4BBA16AB" w:rsidR="0073116F" w:rsidRPr="00AD6C06" w:rsidRDefault="0073116F" w:rsidP="005028FE">
            <w:pPr>
              <w:spacing w:before="120" w:after="120"/>
              <w:ind w:left="1985" w:hanging="1985"/>
              <w:rPr>
                <w:rFonts w:cstheme="minorHAnsi"/>
                <w:b/>
                <w:color w:val="FFFFFF"/>
              </w:rPr>
            </w:pPr>
            <w:r w:rsidRPr="00AD6C06">
              <w:rPr>
                <w:rFonts w:cstheme="minorHAnsi"/>
                <w:b/>
                <w:color w:val="FFFFFF"/>
              </w:rPr>
              <w:t>Containment of radioactive waste</w:t>
            </w:r>
          </w:p>
        </w:tc>
      </w:tr>
    </w:tbl>
    <w:p w14:paraId="0BCF9419" w14:textId="77777777" w:rsidR="0073116F"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5" w:name="_Ref496699571"/>
      <w:r w:rsidRPr="00FB5BF5">
        <w:rPr>
          <w:rFonts w:asciiTheme="minorHAnsi" w:hAnsiTheme="minorHAnsi"/>
          <w:i/>
          <w:color w:val="4E1A74" w:themeColor="text2"/>
          <w:sz w:val="22"/>
          <w:szCs w:val="22"/>
        </w:rPr>
        <w:t>The engineered barriers, including the waste form and packaging, shall be designed, and the host environment shall be selected, so as to provide containment of the radionuclides associated with the waste. Containment shall be provided until radioactive decay has significantly reduced the hazard posed by the waste. In addition, in the case of heat generating waste, containment shall be provided while the waste is still producing heat energy in amounts that could adversely affect the performance of the disposal system.</w:t>
      </w:r>
      <w:bookmarkEnd w:id="85"/>
    </w:p>
    <w:p w14:paraId="52C092C0" w14:textId="3CC42B71"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containment of radioactive waste implies designing the dispo</w:t>
      </w:r>
      <w:r w:rsidR="00DF1C03">
        <w:rPr>
          <w:rFonts w:asciiTheme="minorHAnsi" w:hAnsiTheme="minorHAnsi"/>
          <w:snapToGrid w:val="0"/>
          <w:color w:val="444448" w:themeColor="accent4"/>
          <w:sz w:val="22"/>
          <w:szCs w:val="22"/>
          <w:lang w:eastAsia="en-US"/>
        </w:rPr>
        <w:t>sal facility to avoid or minimis</w:t>
      </w:r>
      <w:r w:rsidRPr="007C04EC">
        <w:rPr>
          <w:rFonts w:asciiTheme="minorHAnsi" w:hAnsiTheme="minorHAnsi"/>
          <w:snapToGrid w:val="0"/>
          <w:color w:val="444448" w:themeColor="accent4"/>
          <w:sz w:val="22"/>
          <w:szCs w:val="22"/>
          <w:lang w:eastAsia="en-US"/>
        </w:rPr>
        <w:t>e the release of radionuclides. Releases of small amounts of gaseous radionuclides and of small fractions of other highly mobile species from some types of radioactive waste may be inevitable. Such releases, nevertheless, have to be demonstrated to be acceptable by means of safety assessment. The containment may be provided by the characteristics of the waste and the packaging and by the characteristics of other engineered components of the disposal system and the host environment and geological formation.</w:t>
      </w:r>
    </w:p>
    <w:p w14:paraId="6D4E759C"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The containment of the radionuclides in the waste form and the packaging over a defined period has to ensure that the majority of shorter lived radionuclides decay in situ. For low level waste, such periods would be of the order of several hundred years; for high level waste the period would be several thousands of years. For high level waste, it also has to be ensured that any migration of radionuclides outside the disposal system would occur only after the heat produced by radioactive decay has substantially decreased.</w:t>
      </w:r>
    </w:p>
    <w:p w14:paraId="33772C1C" w14:textId="77777777" w:rsidR="0073116F"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r w:rsidRPr="007C04EC">
        <w:rPr>
          <w:rFonts w:asciiTheme="minorHAnsi" w:hAnsiTheme="minorHAnsi"/>
          <w:snapToGrid w:val="0"/>
          <w:color w:val="444448" w:themeColor="accent4"/>
          <w:sz w:val="22"/>
          <w:szCs w:val="22"/>
          <w:lang w:eastAsia="en-US"/>
        </w:rPr>
        <w:t>Radioactive waste from mining and mineral processing may include radionuclides with very long half-lives. Providing assurance of the integrity of the containment features of disposal facilities for such waste over the corresponding timescales requires particular consideration. If the waste has activity levels for which the dose and/or risk criteria for human intrusion into such facilities might be exceeded, alternative disposal options will have to be considered. Possible alternative options include, for example, disposal of the waste below the surface, or separation of the radionuclide content giving rise to the higher dose, as determined by the safety case for the disposal facility.</w:t>
      </w:r>
    </w:p>
    <w:p w14:paraId="4FB121F4" w14:textId="778767F9" w:rsidR="003467C2" w:rsidRPr="007C04EC" w:rsidRDefault="003467C2" w:rsidP="007C04EC">
      <w:pPr>
        <w:pStyle w:val="RPSNumberedBodyText"/>
        <w:tabs>
          <w:tab w:val="num" w:pos="0"/>
        </w:tabs>
        <w:ind w:left="709" w:hanging="709"/>
        <w:jc w:val="left"/>
        <w:rPr>
          <w:rFonts w:asciiTheme="minorHAnsi" w:hAnsiTheme="minorHAnsi"/>
          <w:snapToGrid w:val="0"/>
          <w:color w:val="444448" w:themeColor="accent4"/>
          <w:sz w:val="22"/>
          <w:szCs w:val="22"/>
          <w:lang w:eastAsia="en-US"/>
        </w:rPr>
      </w:pPr>
      <w:bookmarkStart w:id="86" w:name="_Ref496699574"/>
      <w:r w:rsidRPr="007C04EC">
        <w:rPr>
          <w:rFonts w:asciiTheme="minorHAnsi" w:hAnsiTheme="minorHAnsi"/>
          <w:snapToGrid w:val="0"/>
          <w:color w:val="444448" w:themeColor="accent4"/>
          <w:sz w:val="22"/>
          <w:szCs w:val="22"/>
          <w:lang w:eastAsia="en-US"/>
        </w:rPr>
        <w:lastRenderedPageBreak/>
        <w:t>Containment is most important for more highly concentrated radioactive waste, such as intermediate level waste and vitrified waste from fuel reprocessing, or for spent nuclear fuel. Attention also has to be given to the durability of the waste form. The most highly concentrated waste has to be emplaced in a containment configuration that is designed to retain its integrity for a long enough period of time to enable most of the shorter lived radionuclides to decay and for the associated generation of heat to decrease substantially. Such containment may not be practicable or necessary for low level waste. The containment capability of the waste package has to be demonstrated by means of safety assessment to be appropriate for the waste type and the overall disposal system.</w:t>
      </w:r>
      <w:bookmarkEnd w:id="86"/>
    </w:p>
    <w:p w14:paraId="20ACB644" w14:textId="77777777" w:rsidR="0073116F" w:rsidRDefault="0073116F" w:rsidP="0073116F">
      <w:pPr>
        <w:pStyle w:val="recs"/>
        <w:numPr>
          <w:ilvl w:val="0"/>
          <w:numId w:val="0"/>
        </w:numPr>
        <w:rPr>
          <w:rFonts w:asciiTheme="minorHAnsi" w:eastAsia="TimesNewRoman" w:hAnsiTheme="minorHAnsi" w:cstheme="minorHAnsi"/>
          <w:b w:val="0"/>
          <w:sz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1D1DF010" w14:textId="77777777" w:rsidTr="005028FE">
        <w:tc>
          <w:tcPr>
            <w:tcW w:w="8720" w:type="dxa"/>
            <w:shd w:val="clear" w:color="auto" w:fill="4E1A74" w:themeFill="text2"/>
          </w:tcPr>
          <w:p w14:paraId="48EF3DAD" w14:textId="42CE9540" w:rsidR="0073116F" w:rsidRPr="00AD6C06" w:rsidRDefault="0073116F" w:rsidP="005028FE">
            <w:pPr>
              <w:spacing w:before="120" w:after="120"/>
              <w:ind w:left="1985" w:hanging="1985"/>
              <w:rPr>
                <w:rFonts w:cstheme="minorHAnsi"/>
                <w:b/>
                <w:color w:val="FFFFFF"/>
              </w:rPr>
            </w:pPr>
            <w:r w:rsidRPr="00AD6C06">
              <w:rPr>
                <w:rFonts w:cstheme="minorHAnsi"/>
                <w:b/>
                <w:color w:val="FFFFFF"/>
              </w:rPr>
              <w:t>Isolation of radioactive waste</w:t>
            </w:r>
          </w:p>
        </w:tc>
      </w:tr>
    </w:tbl>
    <w:p w14:paraId="7DEC4934" w14:textId="77777777" w:rsidR="0073116F"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7" w:name="_Ref496699592"/>
      <w:r w:rsidRPr="00FB5BF5">
        <w:rPr>
          <w:rFonts w:asciiTheme="minorHAnsi" w:hAnsiTheme="minorHAnsi"/>
          <w:i/>
          <w:color w:val="4E1A74" w:themeColor="text2"/>
          <w:sz w:val="22"/>
          <w:szCs w:val="22"/>
        </w:rPr>
        <w:t xml:space="preserve">The disposal facility shall be sited, designed and operated to provide features that are aimed at isolation of the radioactive waste from people and from the accessible biosphere. The features shall aim to provide isolation for several hundreds of years for short lived waste and at least several </w:t>
      </w:r>
      <w:r w:rsidRPr="007C04EC">
        <w:rPr>
          <w:rFonts w:asciiTheme="minorHAnsi" w:hAnsiTheme="minorHAnsi"/>
          <w:i/>
          <w:color w:val="4E1A74" w:themeColor="text2"/>
          <w:sz w:val="22"/>
          <w:szCs w:val="22"/>
        </w:rPr>
        <w:t>thousand</w:t>
      </w:r>
      <w:r w:rsidRPr="00FB5BF5">
        <w:rPr>
          <w:rFonts w:asciiTheme="minorHAnsi" w:hAnsiTheme="minorHAnsi"/>
          <w:i/>
          <w:color w:val="4E1A74" w:themeColor="text2"/>
          <w:sz w:val="22"/>
          <w:szCs w:val="22"/>
        </w:rPr>
        <w:t xml:space="preserve"> years for intermediate level waste. In so doing, consideration shall be given to both the natural evolution of the disposal system and events causing disturbance of the facility.</w:t>
      </w:r>
      <w:bookmarkEnd w:id="87"/>
    </w:p>
    <w:p w14:paraId="6AACD3E9"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For near surface facilities, isolation has to be provided by the location and the design of the disposal facility and by operational and institutional controls. For geological disposal of radioactive waste, isolation is provided primarily by the host geological formation as a consequence of the depth of disposal.</w:t>
      </w:r>
    </w:p>
    <w:p w14:paraId="0949CE9E" w14:textId="5B8E06E2"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Isolation means design to keep the waste and its associated hazard apart from the accessible </w:t>
      </w:r>
      <w:r w:rsidRPr="007C04EC">
        <w:rPr>
          <w:rFonts w:asciiTheme="minorHAnsi" w:hAnsiTheme="minorHAnsi"/>
          <w:snapToGrid w:val="0"/>
          <w:color w:val="444448" w:themeColor="accent4"/>
          <w:sz w:val="22"/>
          <w:szCs w:val="22"/>
          <w:lang w:eastAsia="en-US"/>
        </w:rPr>
        <w:t>biosphere</w:t>
      </w:r>
      <w:r w:rsidRPr="00A80F9D">
        <w:rPr>
          <w:rFonts w:asciiTheme="minorHAnsi" w:eastAsia="TimesNewRoman" w:hAnsiTheme="minorHAnsi" w:cstheme="minorHAnsi"/>
          <w:color w:val="444448" w:themeColor="accent4"/>
          <w:sz w:val="22"/>
          <w:szCs w:val="22"/>
        </w:rPr>
        <w:t>.</w:t>
      </w:r>
      <w:r w:rsidR="00DF1C03">
        <w:rPr>
          <w:rFonts w:asciiTheme="minorHAnsi" w:eastAsia="TimesNewRoman" w:hAnsiTheme="minorHAnsi" w:cstheme="minorHAnsi"/>
          <w:color w:val="444448" w:themeColor="accent4"/>
          <w:sz w:val="22"/>
          <w:szCs w:val="22"/>
        </w:rPr>
        <w:t xml:space="preserve"> It also means design to minimis</w:t>
      </w:r>
      <w:r w:rsidRPr="00A80F9D">
        <w:rPr>
          <w:rFonts w:asciiTheme="minorHAnsi" w:eastAsia="TimesNewRoman" w:hAnsiTheme="minorHAnsi" w:cstheme="minorHAnsi"/>
          <w:color w:val="444448" w:themeColor="accent4"/>
          <w:sz w:val="22"/>
          <w:szCs w:val="22"/>
        </w:rPr>
        <w:t>e the influence of factors that could reduce the integrity of the disposal facility. Sites and locations with higher hydraulic conductivities have to be avoided. Access to waste has to be made difficult to gain without, for example, violation of institutional controls for near surface disposal. Isolation also means providing for a very slow mobility of radionuclides to impede migration from disposal facilities.</w:t>
      </w:r>
    </w:p>
    <w:p w14:paraId="250DEABB"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Location of a disposal facility in a stable geological formation provides protection of the facility from the effects of geomorphological processes, such as erosion and glaciation. The disposal facility has to be located away from known areas of significant </w:t>
      </w:r>
      <w:r w:rsidRPr="007C04EC">
        <w:rPr>
          <w:rFonts w:asciiTheme="minorHAnsi" w:hAnsiTheme="minorHAnsi"/>
          <w:snapToGrid w:val="0"/>
          <w:color w:val="444448" w:themeColor="accent4"/>
          <w:sz w:val="22"/>
          <w:szCs w:val="22"/>
          <w:lang w:eastAsia="en-US"/>
        </w:rPr>
        <w:t>underground</w:t>
      </w:r>
      <w:r w:rsidRPr="00A80F9D">
        <w:rPr>
          <w:rFonts w:asciiTheme="minorHAnsi" w:eastAsia="TimesNewRoman" w:hAnsiTheme="minorHAnsi" w:cstheme="minorHAnsi"/>
          <w:color w:val="444448" w:themeColor="accent4"/>
          <w:sz w:val="22"/>
          <w:szCs w:val="22"/>
        </w:rPr>
        <w:t xml:space="preserve"> mineral resources or other valuable resources. This will reduce the likelihood of inadvertent disturbance of the facility and will avoid resources being made unavailable for exploitation.</w:t>
      </w:r>
    </w:p>
    <w:p w14:paraId="25E01C28" w14:textId="77777777" w:rsidR="0073116F"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In some cases, it may not be possible to provide sufficient assurance of separation from the accessible </w:t>
      </w:r>
      <w:r w:rsidRPr="007C04EC">
        <w:rPr>
          <w:rFonts w:asciiTheme="minorHAnsi" w:hAnsiTheme="minorHAnsi"/>
          <w:snapToGrid w:val="0"/>
          <w:color w:val="444448" w:themeColor="accent4"/>
          <w:sz w:val="22"/>
          <w:szCs w:val="22"/>
          <w:lang w:eastAsia="en-US"/>
        </w:rPr>
        <w:t>biosphere</w:t>
      </w:r>
      <w:r w:rsidRPr="00A80F9D">
        <w:rPr>
          <w:rFonts w:asciiTheme="minorHAnsi" w:eastAsia="TimesNewRoman" w:hAnsiTheme="minorHAnsi" w:cstheme="minorHAnsi"/>
          <w:color w:val="444448" w:themeColor="accent4"/>
          <w:sz w:val="22"/>
          <w:szCs w:val="22"/>
        </w:rPr>
        <w:t>, owing to phenomena such as uplift, erosion and glaciation. In such cases, and if the remaining activity in the waste is still significant at the time such phenomena occur, the possibility of human intrusion has to be evaluated in determining the degree of isolation provided.</w:t>
      </w:r>
    </w:p>
    <w:p w14:paraId="03362353" w14:textId="537162BE"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88" w:name="_Ref496699595"/>
      <w:r w:rsidRPr="00A80F9D">
        <w:rPr>
          <w:rFonts w:asciiTheme="minorHAnsi" w:eastAsia="TimesNewRoman" w:hAnsiTheme="minorHAnsi" w:cstheme="minorHAnsi"/>
          <w:color w:val="444448" w:themeColor="accent4"/>
          <w:sz w:val="22"/>
          <w:szCs w:val="22"/>
        </w:rPr>
        <w:t xml:space="preserve">Over time periods of several thousand years or more, the migration of a fraction of the longer lived and more mobile radionuclides from the waste in a geological disposal facility (or in other facilities that may include longer lived radionuclides, such as borehole facilities) may be inevitable. Caution needs to be exercised in applying criteria for periods far into the future. Beyond such timescales, </w:t>
      </w:r>
      <w:r w:rsidRPr="00A80F9D">
        <w:rPr>
          <w:rFonts w:asciiTheme="minorHAnsi" w:eastAsia="TimesNewRoman" w:hAnsiTheme="minorHAnsi" w:cstheme="minorHAnsi"/>
          <w:color w:val="444448" w:themeColor="accent4"/>
          <w:sz w:val="22"/>
          <w:szCs w:val="22"/>
        </w:rPr>
        <w:lastRenderedPageBreak/>
        <w:t>the uncertainties associated with dose estimates become so large that the criteria might no longer serve as a reasonable basis for decision making. For such long time periods after closure, indicators of safety other than estimates of dose or individual risk may be appropriate, and their use has to be considered.</w:t>
      </w:r>
      <w:bookmarkEnd w:id="88"/>
    </w:p>
    <w:p w14:paraId="30F93754" w14:textId="77777777" w:rsidR="0073116F" w:rsidRDefault="0073116F" w:rsidP="0073116F">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73116F" w:rsidRPr="00D2396C" w14:paraId="6208437A" w14:textId="77777777" w:rsidTr="005028FE">
        <w:tc>
          <w:tcPr>
            <w:tcW w:w="8720" w:type="dxa"/>
            <w:shd w:val="clear" w:color="auto" w:fill="4E1A74" w:themeFill="text2"/>
          </w:tcPr>
          <w:p w14:paraId="1E37E992" w14:textId="798AD329" w:rsidR="0073116F" w:rsidRPr="00AD6C06" w:rsidRDefault="0073116F" w:rsidP="005028FE">
            <w:pPr>
              <w:spacing w:before="120" w:after="120"/>
              <w:ind w:left="1985" w:hanging="1985"/>
              <w:rPr>
                <w:rFonts w:cstheme="minorHAnsi"/>
                <w:b/>
                <w:color w:val="FFFFFF"/>
              </w:rPr>
            </w:pPr>
            <w:r w:rsidRPr="00AD6C06">
              <w:rPr>
                <w:rFonts w:cstheme="minorHAnsi"/>
                <w:b/>
                <w:color w:val="FFFFFF"/>
              </w:rPr>
              <w:t>Surveillance and control of passive safety features</w:t>
            </w:r>
          </w:p>
        </w:tc>
      </w:tr>
    </w:tbl>
    <w:p w14:paraId="4D2F4CBA" w14:textId="4DFACB52" w:rsidR="002F10A5" w:rsidRPr="00CA7997"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89" w:name="_Ref496699619"/>
      <w:r w:rsidRPr="00CA7997">
        <w:rPr>
          <w:rFonts w:asciiTheme="minorHAnsi" w:hAnsiTheme="minorHAnsi"/>
          <w:i/>
          <w:color w:val="4E1A74" w:themeColor="text2"/>
          <w:sz w:val="22"/>
          <w:szCs w:val="22"/>
        </w:rPr>
        <w:t xml:space="preserve">An appropriate level of surveillance and control shall be applied to protect and preserve the </w:t>
      </w:r>
      <w:r w:rsidRPr="007C04EC">
        <w:rPr>
          <w:rFonts w:asciiTheme="minorHAnsi" w:hAnsiTheme="minorHAnsi"/>
          <w:i/>
          <w:color w:val="4E1A74" w:themeColor="text2"/>
          <w:sz w:val="22"/>
          <w:szCs w:val="22"/>
        </w:rPr>
        <w:t>passive</w:t>
      </w:r>
      <w:r w:rsidRPr="00CA7997">
        <w:rPr>
          <w:rFonts w:asciiTheme="minorHAnsi" w:hAnsiTheme="minorHAnsi"/>
          <w:i/>
          <w:color w:val="4E1A74" w:themeColor="text2"/>
          <w:sz w:val="22"/>
          <w:szCs w:val="22"/>
        </w:rPr>
        <w:t xml:space="preserve"> safety features, to the extent that this is necessary, so that they can fulfil the functions that they are assigned in the safety case for safety after closure.</w:t>
      </w:r>
      <w:bookmarkEnd w:id="89"/>
    </w:p>
    <w:p w14:paraId="1A460C2F" w14:textId="1892A8CC"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0" w:name="_Ref496699621"/>
      <w:r w:rsidRPr="00A80F9D">
        <w:rPr>
          <w:rFonts w:asciiTheme="minorHAnsi" w:eastAsia="TimesNewRoman" w:hAnsiTheme="minorHAnsi" w:cstheme="minorHAnsi"/>
          <w:color w:val="444448" w:themeColor="accent4"/>
          <w:sz w:val="22"/>
          <w:szCs w:val="22"/>
        </w:rPr>
        <w:t xml:space="preserve">For </w:t>
      </w:r>
      <w:r w:rsidRPr="00A80F9D">
        <w:rPr>
          <w:rStyle w:val="para-normalChar"/>
          <w:rFonts w:asciiTheme="minorHAnsi" w:eastAsiaTheme="minorEastAsia" w:hAnsiTheme="minorHAnsi" w:cstheme="minorHAnsi"/>
          <w:color w:val="444448" w:themeColor="accent4"/>
          <w:sz w:val="22"/>
          <w:szCs w:val="22"/>
        </w:rPr>
        <w:t>geological disposal and for the disposal of intermediate level radioactive waste, the passive safety features (barriers) have to be sufficiently robust so as not to require repair or upgrading. The long term safety of a disposal facility for radioactive waste is required not to be dependent on active institutional control (</w:t>
      </w:r>
      <w:r w:rsidR="00764F9D">
        <w:rPr>
          <w:rStyle w:val="para-normalChar"/>
          <w:rFonts w:asciiTheme="minorHAnsi" w:eastAsiaTheme="minorEastAsia" w:hAnsiTheme="minorHAnsi" w:cstheme="minorHAnsi"/>
          <w:color w:val="444448" w:themeColor="accent4"/>
          <w:sz w:val="22"/>
          <w:szCs w:val="22"/>
        </w:rPr>
        <w:t xml:space="preserve">see clauses </w:t>
      </w:r>
      <w:r w:rsidR="00764F9D">
        <w:rPr>
          <w:rStyle w:val="para-normalChar"/>
          <w:rFonts w:asciiTheme="minorHAnsi" w:eastAsiaTheme="minorEastAsia" w:hAnsiTheme="minorHAnsi" w:cstheme="minorHAnsi"/>
          <w:color w:val="444448" w:themeColor="accent4"/>
          <w:sz w:val="22"/>
          <w:szCs w:val="22"/>
        </w:rPr>
        <w:fldChar w:fldCharType="begin"/>
      </w:r>
      <w:r w:rsidR="00764F9D">
        <w:rPr>
          <w:rStyle w:val="para-normalChar"/>
          <w:rFonts w:asciiTheme="minorHAnsi" w:eastAsiaTheme="minorEastAsia" w:hAnsiTheme="minorHAnsi" w:cstheme="minorHAnsi"/>
          <w:color w:val="444448" w:themeColor="accent4"/>
          <w:sz w:val="22"/>
          <w:szCs w:val="22"/>
        </w:rPr>
        <w:instrText xml:space="preserve"> REF _Ref496697832 \r \h </w:instrText>
      </w:r>
      <w:r w:rsidR="00764F9D">
        <w:rPr>
          <w:rStyle w:val="para-normalChar"/>
          <w:rFonts w:asciiTheme="minorHAnsi" w:eastAsiaTheme="minorEastAsia" w:hAnsiTheme="minorHAnsi" w:cstheme="minorHAnsi"/>
          <w:color w:val="444448" w:themeColor="accent4"/>
          <w:sz w:val="22"/>
          <w:szCs w:val="22"/>
        </w:rPr>
      </w:r>
      <w:r w:rsidR="00764F9D">
        <w:rPr>
          <w:rStyle w:val="para-normalChar"/>
          <w:rFonts w:asciiTheme="minorHAnsi" w:eastAsiaTheme="minorEastAsia" w:hAnsiTheme="minorHAnsi" w:cstheme="minorHAnsi"/>
          <w:color w:val="444448" w:themeColor="accent4"/>
          <w:sz w:val="22"/>
          <w:szCs w:val="22"/>
        </w:rPr>
        <w:fldChar w:fldCharType="separate"/>
      </w:r>
      <w:r w:rsidR="00C022DF">
        <w:rPr>
          <w:rStyle w:val="para-normalChar"/>
          <w:rFonts w:asciiTheme="minorHAnsi" w:eastAsiaTheme="minorEastAsia" w:hAnsiTheme="minorHAnsi" w:cstheme="minorHAnsi"/>
          <w:color w:val="444448" w:themeColor="accent4"/>
          <w:sz w:val="22"/>
          <w:szCs w:val="22"/>
        </w:rPr>
        <w:t>3.2.96</w:t>
      </w:r>
      <w:r w:rsidR="00764F9D">
        <w:rPr>
          <w:rStyle w:val="para-normalChar"/>
          <w:rFonts w:asciiTheme="minorHAnsi" w:eastAsiaTheme="minorEastAsia" w:hAnsiTheme="minorHAnsi" w:cstheme="minorHAnsi"/>
          <w:color w:val="444448" w:themeColor="accent4"/>
          <w:sz w:val="22"/>
          <w:szCs w:val="22"/>
        </w:rPr>
        <w:fldChar w:fldCharType="end"/>
      </w:r>
      <w:r w:rsidR="00764F9D">
        <w:rPr>
          <w:rStyle w:val="para-normalChar"/>
          <w:rFonts w:asciiTheme="minorHAnsi" w:eastAsiaTheme="minorEastAsia" w:hAnsiTheme="minorHAnsi" w:cstheme="minorHAnsi"/>
          <w:color w:val="444448" w:themeColor="accent4"/>
          <w:sz w:val="22"/>
          <w:szCs w:val="22"/>
        </w:rPr>
        <w:t xml:space="preserve"> to </w:t>
      </w:r>
      <w:r w:rsidR="00764F9D">
        <w:rPr>
          <w:rStyle w:val="para-normalChar"/>
          <w:rFonts w:asciiTheme="minorHAnsi" w:eastAsiaTheme="minorEastAsia" w:hAnsiTheme="minorHAnsi" w:cstheme="minorHAnsi"/>
          <w:color w:val="444448" w:themeColor="accent4"/>
          <w:sz w:val="22"/>
          <w:szCs w:val="22"/>
        </w:rPr>
        <w:fldChar w:fldCharType="begin"/>
      </w:r>
      <w:r w:rsidR="00764F9D">
        <w:rPr>
          <w:rStyle w:val="para-normalChar"/>
          <w:rFonts w:asciiTheme="minorHAnsi" w:eastAsiaTheme="minorEastAsia" w:hAnsiTheme="minorHAnsi" w:cstheme="minorHAnsi"/>
          <w:color w:val="444448" w:themeColor="accent4"/>
          <w:sz w:val="22"/>
          <w:szCs w:val="22"/>
        </w:rPr>
        <w:instrText xml:space="preserve"> REF _Ref496697776 \r \h </w:instrText>
      </w:r>
      <w:r w:rsidR="00764F9D">
        <w:rPr>
          <w:rStyle w:val="para-normalChar"/>
          <w:rFonts w:asciiTheme="minorHAnsi" w:eastAsiaTheme="minorEastAsia" w:hAnsiTheme="minorHAnsi" w:cstheme="minorHAnsi"/>
          <w:color w:val="444448" w:themeColor="accent4"/>
          <w:sz w:val="22"/>
          <w:szCs w:val="22"/>
        </w:rPr>
      </w:r>
      <w:r w:rsidR="00764F9D">
        <w:rPr>
          <w:rStyle w:val="para-normalChar"/>
          <w:rFonts w:asciiTheme="minorHAnsi" w:eastAsiaTheme="minorEastAsia" w:hAnsiTheme="minorHAnsi" w:cstheme="minorHAnsi"/>
          <w:color w:val="444448" w:themeColor="accent4"/>
          <w:sz w:val="22"/>
          <w:szCs w:val="22"/>
        </w:rPr>
        <w:fldChar w:fldCharType="separate"/>
      </w:r>
      <w:r w:rsidR="00C022DF">
        <w:rPr>
          <w:rStyle w:val="para-normalChar"/>
          <w:rFonts w:asciiTheme="minorHAnsi" w:eastAsiaTheme="minorEastAsia" w:hAnsiTheme="minorHAnsi" w:cstheme="minorHAnsi"/>
          <w:color w:val="444448" w:themeColor="accent4"/>
          <w:sz w:val="22"/>
          <w:szCs w:val="22"/>
        </w:rPr>
        <w:t>3.2.105</w:t>
      </w:r>
      <w:r w:rsidR="00764F9D">
        <w:rPr>
          <w:rStyle w:val="para-normalChar"/>
          <w:rFonts w:asciiTheme="minorHAnsi" w:eastAsiaTheme="minorEastAsia" w:hAnsiTheme="minorHAnsi" w:cstheme="minorHAnsi"/>
          <w:color w:val="444448" w:themeColor="accent4"/>
          <w:sz w:val="22"/>
          <w:szCs w:val="22"/>
        </w:rPr>
        <w:fldChar w:fldCharType="end"/>
      </w:r>
      <w:r w:rsidR="00764F9D">
        <w:rPr>
          <w:rStyle w:val="para-normalChar"/>
          <w:rFonts w:asciiTheme="minorHAnsi" w:eastAsiaTheme="minorEastAsia" w:hAnsiTheme="minorHAnsi" w:cstheme="minorHAnsi"/>
          <w:color w:val="444448" w:themeColor="accent4"/>
          <w:sz w:val="22"/>
          <w:szCs w:val="22"/>
        </w:rPr>
        <w:t>)</w:t>
      </w:r>
      <w:r w:rsidRPr="00A80F9D">
        <w:rPr>
          <w:rStyle w:val="para-normalChar"/>
          <w:rFonts w:asciiTheme="minorHAnsi" w:eastAsiaTheme="minorEastAsia" w:hAnsiTheme="minorHAnsi" w:cstheme="minorHAnsi"/>
          <w:color w:val="444448" w:themeColor="accent4"/>
          <w:sz w:val="22"/>
          <w:szCs w:val="22"/>
        </w:rPr>
        <w:t>. For near surface disposal facilities, including those for radioactive waste from the mining and processing of minerals, measures for surveillance and control of the disposal facility might be instituted. These measures might include restrictions on access by people and animals, inspection of physical conditions, retention of appropriate maintenance capabilities, and surveillance and monitoring as a method of checking whether performance is as specified (i.e. checking for degradation). The intent of surveillance and monitoring is not to measure radiological parameters but to ensure the continuing fulfilment of safety functions.</w:t>
      </w:r>
      <w:bookmarkEnd w:id="90"/>
    </w:p>
    <w:p w14:paraId="7431B728" w14:textId="41B1BC35" w:rsidR="0073116F" w:rsidRDefault="00DD3454" w:rsidP="00FB5BF5">
      <w:pPr>
        <w:pStyle w:val="Heading3"/>
      </w:pPr>
      <w:bookmarkStart w:id="91" w:name="_Toc524085222"/>
      <w:r>
        <w:t>Requirements for the D</w:t>
      </w:r>
      <w:r w:rsidRPr="00DD3454">
        <w:t>evelopment, Operation and Closure of a Disposal Facility</w:t>
      </w:r>
      <w:bookmarkEnd w:id="91"/>
    </w:p>
    <w:tbl>
      <w:tblPr>
        <w:tblW w:w="8720" w:type="dxa"/>
        <w:tblInd w:w="-108" w:type="dxa"/>
        <w:tblBorders>
          <w:insideV w:val="single" w:sz="8" w:space="0" w:color="1F497D"/>
        </w:tblBorders>
        <w:tblLook w:val="0420" w:firstRow="1" w:lastRow="0" w:firstColumn="0" w:lastColumn="0" w:noHBand="0" w:noVBand="1"/>
      </w:tblPr>
      <w:tblGrid>
        <w:gridCol w:w="8720"/>
      </w:tblGrid>
      <w:tr w:rsidR="00DD3454" w:rsidRPr="00D2396C" w14:paraId="6C8FFFCD" w14:textId="77777777" w:rsidTr="005028FE">
        <w:tc>
          <w:tcPr>
            <w:tcW w:w="8720" w:type="dxa"/>
            <w:shd w:val="clear" w:color="auto" w:fill="4E1A74" w:themeFill="text2"/>
          </w:tcPr>
          <w:p w14:paraId="16C70824" w14:textId="487DDC10" w:rsidR="00DD3454" w:rsidRPr="00AD6C06" w:rsidRDefault="00DD3454" w:rsidP="005028FE">
            <w:pPr>
              <w:spacing w:before="120" w:after="120"/>
              <w:ind w:left="1985" w:hanging="1985"/>
              <w:rPr>
                <w:rFonts w:cstheme="minorHAnsi"/>
                <w:b/>
                <w:color w:val="FFFFFF"/>
              </w:rPr>
            </w:pPr>
            <w:r w:rsidRPr="00AD6C06">
              <w:rPr>
                <w:rFonts w:cstheme="minorHAnsi"/>
                <w:b/>
                <w:color w:val="FFFFFF"/>
              </w:rPr>
              <w:t>Step by step development and evaluation of disposal facilities</w:t>
            </w:r>
          </w:p>
        </w:tc>
      </w:tr>
    </w:tbl>
    <w:p w14:paraId="0D746E23" w14:textId="77777777" w:rsidR="00DD3454"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2" w:name="_Ref496699644"/>
      <w:r w:rsidRPr="00FB5BF5">
        <w:rPr>
          <w:rFonts w:asciiTheme="minorHAnsi" w:hAnsiTheme="minorHAnsi"/>
          <w:i/>
          <w:color w:val="4E1A74" w:themeColor="text2"/>
          <w:sz w:val="22"/>
          <w:szCs w:val="22"/>
        </w:rPr>
        <w:t xml:space="preserve">Disposal </w:t>
      </w:r>
      <w:r w:rsidRPr="007C04EC">
        <w:rPr>
          <w:rFonts w:asciiTheme="minorHAnsi" w:hAnsiTheme="minorHAnsi"/>
          <w:i/>
          <w:color w:val="4E1A74" w:themeColor="text2"/>
          <w:sz w:val="22"/>
          <w:szCs w:val="22"/>
        </w:rPr>
        <w:t>facilities</w:t>
      </w:r>
      <w:r w:rsidRPr="00FB5BF5">
        <w:rPr>
          <w:rFonts w:asciiTheme="minorHAnsi" w:hAnsiTheme="minorHAnsi"/>
          <w:i/>
          <w:color w:val="4E1A74" w:themeColor="text2"/>
          <w:sz w:val="22"/>
          <w:szCs w:val="22"/>
        </w:rPr>
        <w:t xml:space="preserve"> for radioactive waste shall be developed, operated and closed in a series of steps. Each of these steps shall be supported, as necessary, by iterative evaluations of the site, of the options for design, construction, operation and management, and of the performance and safety of the disposal system.</w:t>
      </w:r>
      <w:bookmarkEnd w:id="92"/>
    </w:p>
    <w:p w14:paraId="6CDD3E42" w14:textId="2A15462C"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 step by step approach to the development of a disposal facility for radioactive </w:t>
      </w:r>
      <w:r w:rsidRPr="007C04EC">
        <w:rPr>
          <w:rFonts w:asciiTheme="minorHAnsi" w:hAnsiTheme="minorHAnsi"/>
          <w:snapToGrid w:val="0"/>
          <w:color w:val="444448" w:themeColor="accent4"/>
          <w:sz w:val="22"/>
          <w:szCs w:val="22"/>
          <w:lang w:eastAsia="en-US"/>
        </w:rPr>
        <w:t>waste</w:t>
      </w:r>
      <w:r w:rsidRPr="00A80F9D">
        <w:rPr>
          <w:rFonts w:asciiTheme="minorHAnsi" w:eastAsia="TimesNewRoman" w:hAnsiTheme="minorHAnsi" w:cstheme="minorHAnsi"/>
          <w:color w:val="444448" w:themeColor="accent4"/>
          <w:sz w:val="22"/>
          <w:szCs w:val="22"/>
        </w:rPr>
        <w:t xml:space="preserve"> refers to the steps that are imposed by the regulatory body and by polit</w:t>
      </w:r>
      <w:r w:rsidR="003C1980">
        <w:rPr>
          <w:rFonts w:asciiTheme="minorHAnsi" w:eastAsia="TimesNewRoman" w:hAnsiTheme="minorHAnsi" w:cstheme="minorHAnsi"/>
          <w:color w:val="444448" w:themeColor="accent4"/>
          <w:sz w:val="22"/>
          <w:szCs w:val="22"/>
        </w:rPr>
        <w:t>ical decision making processes</w:t>
      </w:r>
      <w:r w:rsidRPr="00A80F9D">
        <w:rPr>
          <w:rFonts w:asciiTheme="minorHAnsi" w:eastAsia="TimesNewRoman" w:hAnsiTheme="minorHAnsi" w:cstheme="minorHAnsi"/>
          <w:color w:val="444448" w:themeColor="accent4"/>
          <w:sz w:val="22"/>
          <w:szCs w:val="22"/>
        </w:rPr>
        <w:t>. This approach is taken to provide an opportunity to ensure the quality of the technical programme and the associated decision making. For the operator, it provides a framework in which sufficient confidence in the technical feasibility and safety of the disposal facility can be built at each step in its development.</w:t>
      </w:r>
    </w:p>
    <w:p w14:paraId="2DAFEFE5" w14:textId="6DD60B92"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3" w:name="_Ref496699647"/>
      <w:r w:rsidRPr="00A80F9D">
        <w:rPr>
          <w:rFonts w:asciiTheme="minorHAnsi" w:eastAsia="TimesNewRoman" w:hAnsiTheme="minorHAnsi" w:cstheme="minorHAnsi"/>
          <w:color w:val="444448" w:themeColor="accent4"/>
          <w:sz w:val="22"/>
          <w:szCs w:val="22"/>
        </w:rPr>
        <w:t xml:space="preserve">Confidence has to be developed and refined by means of iterative design and safety studies as the project progresses </w:t>
      </w:r>
      <w:r w:rsidR="00ED1378">
        <w:rPr>
          <w:rFonts w:asciiTheme="minorHAnsi" w:eastAsia="TimesNewRoman" w:hAnsiTheme="minorHAnsi" w:cstheme="minorHAnsi"/>
          <w:color w:val="444448" w:themeColor="accent4"/>
          <w:sz w:val="22"/>
          <w:szCs w:val="22"/>
        </w:rPr>
        <w:t>(OECD 1999)</w:t>
      </w:r>
      <w:r w:rsidRPr="00A80F9D">
        <w:rPr>
          <w:rFonts w:asciiTheme="minorHAnsi" w:eastAsia="TimesNewRoman" w:hAnsiTheme="minorHAnsi" w:cstheme="minorHAnsi"/>
          <w:color w:val="444448" w:themeColor="accent4"/>
          <w:sz w:val="22"/>
          <w:szCs w:val="22"/>
        </w:rPr>
        <w:t xml:space="preserve">. The process has to provide for: the collection, analysis and interpretation of the relevant scientific and technical data; the development of designs and operational plans; and the development of the safety case for safety in the </w:t>
      </w:r>
      <w:r w:rsidRPr="00A80F9D">
        <w:rPr>
          <w:rFonts w:ascii="Calibri" w:eastAsiaTheme="majorEastAsia" w:hAnsi="Calibri" w:cstheme="majorBidi"/>
          <w:color w:val="444448" w:themeColor="accent4"/>
          <w:sz w:val="22"/>
          <w:szCs w:val="22"/>
        </w:rPr>
        <w:t>operational</w:t>
      </w:r>
      <w:r w:rsidRPr="00A80F9D">
        <w:rPr>
          <w:rFonts w:asciiTheme="minorHAnsi" w:eastAsia="TimesNewRoman" w:hAnsiTheme="minorHAnsi" w:cstheme="minorHAnsi"/>
          <w:color w:val="444448" w:themeColor="accent4"/>
          <w:sz w:val="22"/>
          <w:szCs w:val="22"/>
        </w:rPr>
        <w:t xml:space="preserve"> stage and after closure. The step by step process provides access for all interested parties to the safety basis for the disposal facility. This facilitates the relevant decision making processes that enable the </w:t>
      </w:r>
      <w:r w:rsidRPr="00A80F9D">
        <w:rPr>
          <w:rFonts w:asciiTheme="minorHAnsi" w:eastAsia="TimesNewRoman" w:hAnsiTheme="minorHAnsi" w:cstheme="minorHAnsi"/>
          <w:color w:val="444448" w:themeColor="accent4"/>
          <w:sz w:val="22"/>
          <w:szCs w:val="22"/>
        </w:rPr>
        <w:lastRenderedPageBreak/>
        <w:t>operator to proceed to the next significant step in the development of the facility, and on to its operation and, finally, its closure.</w:t>
      </w:r>
      <w:bookmarkEnd w:id="93"/>
    </w:p>
    <w:p w14:paraId="2E5B9DAD" w14:textId="041C2620" w:rsidR="00DD3454" w:rsidRDefault="00DD3454" w:rsidP="00DD3454">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DD3454" w:rsidRPr="00D2396C" w14:paraId="5E2A6942" w14:textId="77777777" w:rsidTr="005028FE">
        <w:tc>
          <w:tcPr>
            <w:tcW w:w="8720" w:type="dxa"/>
            <w:shd w:val="clear" w:color="auto" w:fill="4E1A74" w:themeFill="text2"/>
          </w:tcPr>
          <w:p w14:paraId="45D381E1" w14:textId="03AED597" w:rsidR="00DD3454" w:rsidRPr="00AD6C06" w:rsidRDefault="00DD3454" w:rsidP="00DD3454">
            <w:pPr>
              <w:spacing w:before="120" w:after="120"/>
              <w:rPr>
                <w:rFonts w:cstheme="minorHAnsi"/>
                <w:b/>
                <w:color w:val="FFFFFF"/>
              </w:rPr>
            </w:pPr>
            <w:r w:rsidRPr="00AD6C06">
              <w:rPr>
                <w:rFonts w:cstheme="minorHAnsi"/>
                <w:b/>
                <w:color w:val="FFFFFF"/>
              </w:rPr>
              <w:t>Preparation, approval and use of the safety case and safety assessment for a disposal facility</w:t>
            </w:r>
          </w:p>
        </w:tc>
      </w:tr>
    </w:tbl>
    <w:p w14:paraId="68524EC6" w14:textId="77777777" w:rsidR="00DD3454"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4" w:name="_Ref496698602"/>
      <w:r w:rsidRPr="00FB5BF5">
        <w:rPr>
          <w:rFonts w:asciiTheme="minorHAnsi" w:hAnsiTheme="minorHAnsi"/>
          <w:i/>
          <w:color w:val="4E1A74" w:themeColor="text2"/>
          <w:sz w:val="22"/>
          <w:szCs w:val="22"/>
        </w:rPr>
        <w:t xml:space="preserve">A safety case and supporting safety assessment shall be prepared and updated by the </w:t>
      </w:r>
      <w:r w:rsidRPr="007C04EC">
        <w:rPr>
          <w:rFonts w:asciiTheme="minorHAnsi" w:hAnsiTheme="minorHAnsi"/>
          <w:snapToGrid w:val="0"/>
          <w:color w:val="444448" w:themeColor="accent4"/>
          <w:sz w:val="22"/>
          <w:szCs w:val="22"/>
          <w:lang w:eastAsia="en-US"/>
        </w:rPr>
        <w:t>operator</w:t>
      </w:r>
      <w:r w:rsidRPr="00FB5BF5">
        <w:rPr>
          <w:rFonts w:asciiTheme="minorHAnsi" w:hAnsiTheme="minorHAnsi"/>
          <w:i/>
          <w:color w:val="4E1A74" w:themeColor="text2"/>
          <w:sz w:val="22"/>
          <w:szCs w:val="22"/>
        </w:rPr>
        <w:t>, as necessary, at each step in the development of a disposal facility, in operation and after closure. The safety case and supporting safety assessment shall be submitted to the regulatory body for approval. The safety case and supporting safety assessment shall be sufficiently detailed and comprehensive to provide the necessary technical input for informing the regulatory body and for informing the decisions necessary at each step.</w:t>
      </w:r>
      <w:bookmarkEnd w:id="94"/>
    </w:p>
    <w:p w14:paraId="7FFF7368" w14:textId="7C36424A" w:rsidR="00DD3454"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 facility specific safety case has to be prepared early in the development of a disposal facility to provide a basis for </w:t>
      </w:r>
      <w:r w:rsidR="00C231E3">
        <w:rPr>
          <w:rFonts w:asciiTheme="minorHAnsi" w:hAnsiTheme="minorHAnsi"/>
          <w:color w:val="444448" w:themeColor="accent4"/>
          <w:sz w:val="22"/>
          <w:szCs w:val="22"/>
        </w:rPr>
        <w:t>authorisation</w:t>
      </w:r>
      <w:r w:rsidRPr="00A80F9D">
        <w:rPr>
          <w:rFonts w:asciiTheme="minorHAnsi" w:eastAsia="TimesNewRoman" w:hAnsiTheme="minorHAnsi" w:cstheme="minorHAnsi"/>
          <w:color w:val="444448" w:themeColor="accent4"/>
          <w:sz w:val="22"/>
          <w:szCs w:val="22"/>
        </w:rPr>
        <w:t xml:space="preserve"> decisions and to guide activities in research and development, site selection and evaluation and design. The safety case has to be developed progressively and elaborated as the project proceeds. It has to be presented to the regulatory body at each step in the development of the disposal facility. The regulatory body might require an update of, or revision to, the safety case before given steps can be taken, or such an update or revision may be necessary to gain political or public support for taking the next step in the development of the disposal facility or for its operation or closure. The formality and level of technical detail of the safety case will depend on the stage of development of the project, the decision in hand, the audience to which it is addressed and specific national requirements.</w:t>
      </w:r>
    </w:p>
    <w:p w14:paraId="7F31256E" w14:textId="77777777" w:rsidR="00DD3454"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Safety assessment in support of the safety case has to be performed and updated throughout the development and operation of the disposal facility and as more refined site data become available. Safety assessment has to provide input to ongoing decision making by the operator. Such decision making may relate to subjects for research, development of a capability for assessment, allocation of resources and development of waste acceptance criteria.</w:t>
      </w:r>
    </w:p>
    <w:p w14:paraId="5FE626D1" w14:textId="5041F7DB"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5" w:name="_Ref496699668"/>
      <w:r w:rsidRPr="00A80F9D">
        <w:rPr>
          <w:rFonts w:asciiTheme="minorHAnsi" w:eastAsia="TimesNewRoman" w:hAnsiTheme="minorHAnsi" w:cstheme="minorHAnsi"/>
          <w:color w:val="444448" w:themeColor="accent4"/>
          <w:sz w:val="22"/>
          <w:szCs w:val="22"/>
        </w:rPr>
        <w:t xml:space="preserve">Safety assessment also has to identify key processes relevant to safety and to contribute to the development of an understanding of the performance of disposal facilities. It has to support judgements with regard to alternative management </w:t>
      </w:r>
      <w:r w:rsidR="00DF1C03">
        <w:rPr>
          <w:rFonts w:asciiTheme="minorHAnsi" w:eastAsia="TimesNewRoman" w:hAnsiTheme="minorHAnsi" w:cstheme="minorHAnsi"/>
          <w:color w:val="444448" w:themeColor="accent4"/>
          <w:sz w:val="22"/>
          <w:szCs w:val="22"/>
        </w:rPr>
        <w:t>options as an element of optimis</w:t>
      </w:r>
      <w:r w:rsidRPr="00A80F9D">
        <w:rPr>
          <w:rFonts w:asciiTheme="minorHAnsi" w:eastAsia="TimesNewRoman" w:hAnsiTheme="minorHAnsi" w:cstheme="minorHAnsi"/>
          <w:color w:val="444448" w:themeColor="accent4"/>
          <w:sz w:val="22"/>
          <w:szCs w:val="22"/>
        </w:rPr>
        <w:t>ing protection and safety. Such an understanding has to provide the basis for the safety arguments presented in the safety case. The operator has to decide on the timing and the level of detail of the safety assessment, in consultation with, and subject to the approval of, the regulatory body.</w:t>
      </w:r>
      <w:bookmarkEnd w:id="95"/>
    </w:p>
    <w:p w14:paraId="29D213D4" w14:textId="2609CF0B"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0D25A4B4" w14:textId="77777777" w:rsidTr="005028FE">
        <w:tc>
          <w:tcPr>
            <w:tcW w:w="8720" w:type="dxa"/>
            <w:shd w:val="clear" w:color="auto" w:fill="4E1A74" w:themeFill="text2"/>
          </w:tcPr>
          <w:p w14:paraId="2E730222" w14:textId="6D04F0BE" w:rsidR="005028FE" w:rsidRPr="00AD6C06" w:rsidRDefault="005028FE" w:rsidP="005028FE">
            <w:pPr>
              <w:spacing w:before="120" w:after="120"/>
              <w:ind w:left="1985" w:hanging="1985"/>
              <w:rPr>
                <w:rFonts w:cstheme="minorHAnsi"/>
                <w:b/>
                <w:color w:val="FFFFFF"/>
              </w:rPr>
            </w:pPr>
            <w:r w:rsidRPr="00AD6C06">
              <w:rPr>
                <w:rFonts w:cstheme="minorHAnsi"/>
                <w:b/>
                <w:color w:val="FFFFFF"/>
              </w:rPr>
              <w:t>Scope of the safety case and safety assessment</w:t>
            </w:r>
          </w:p>
        </w:tc>
      </w:tr>
    </w:tbl>
    <w:p w14:paraId="2490829A" w14:textId="77777777" w:rsidR="005028FE"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6" w:name="_Ref496699695"/>
      <w:r w:rsidRPr="00FB5BF5">
        <w:rPr>
          <w:rFonts w:asciiTheme="minorHAnsi" w:hAnsiTheme="minorHAnsi"/>
          <w:i/>
          <w:color w:val="4E1A74" w:themeColor="text2"/>
          <w:sz w:val="22"/>
          <w:szCs w:val="22"/>
        </w:rPr>
        <w:t xml:space="preserve">The safety case for a disposal facility shall describe all safety relevant aspects of the site, the design of the facility and the managerial control measures and regulatory controls. The safety case and supporting safety assessment shall demonstrate the level of protection of people and the environment </w:t>
      </w:r>
      <w:r w:rsidRPr="007C04EC">
        <w:rPr>
          <w:rFonts w:asciiTheme="minorHAnsi" w:hAnsiTheme="minorHAnsi"/>
          <w:i/>
          <w:color w:val="4E1A74" w:themeColor="text2"/>
          <w:sz w:val="22"/>
          <w:szCs w:val="22"/>
        </w:rPr>
        <w:t>provided</w:t>
      </w:r>
      <w:r w:rsidRPr="00FB5BF5">
        <w:rPr>
          <w:rFonts w:asciiTheme="minorHAnsi" w:hAnsiTheme="minorHAnsi"/>
          <w:i/>
          <w:color w:val="4E1A74" w:themeColor="text2"/>
          <w:sz w:val="22"/>
          <w:szCs w:val="22"/>
        </w:rPr>
        <w:t xml:space="preserve"> and shall provide assurance to the regulatory body and other interested parties that safety requirements will be met.</w:t>
      </w:r>
      <w:bookmarkEnd w:id="96"/>
    </w:p>
    <w:p w14:paraId="0FC53EFC" w14:textId="13DD0225"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lastRenderedPageBreak/>
        <w:t xml:space="preserve">The safety case for a disposal facility has to address safety both in operation and after </w:t>
      </w:r>
      <w:r w:rsidRPr="00686DD7">
        <w:rPr>
          <w:rFonts w:asciiTheme="minorHAnsi" w:eastAsia="TimesNewRoman" w:hAnsiTheme="minorHAnsi" w:cstheme="minorHAnsi"/>
          <w:color w:val="444448" w:themeColor="accent4"/>
          <w:sz w:val="22"/>
          <w:szCs w:val="22"/>
        </w:rPr>
        <w:t xml:space="preserve">closure. It may also address safety in transport, for which requirements are established in </w:t>
      </w:r>
      <w:r w:rsidR="00640CD1" w:rsidRPr="006F2956">
        <w:rPr>
          <w:rFonts w:asciiTheme="minorHAnsi" w:eastAsia="TimesNewRoman" w:hAnsiTheme="minorHAnsi" w:cstheme="minorHAnsi"/>
          <w:color w:val="444448" w:themeColor="accent4"/>
          <w:sz w:val="22"/>
          <w:szCs w:val="22"/>
        </w:rPr>
        <w:t>Code for the</w:t>
      </w:r>
      <w:r w:rsidR="00640CD1">
        <w:rPr>
          <w:rFonts w:asciiTheme="minorHAnsi" w:eastAsia="TimesNewRoman" w:hAnsiTheme="minorHAnsi" w:cstheme="minorHAnsi"/>
          <w:i/>
          <w:color w:val="444448" w:themeColor="accent4"/>
          <w:sz w:val="22"/>
          <w:szCs w:val="22"/>
        </w:rPr>
        <w:t xml:space="preserve"> Safe Transport of Radioactive Material </w:t>
      </w:r>
      <w:r w:rsidR="002D5715" w:rsidRPr="00686DD7">
        <w:rPr>
          <w:rFonts w:asciiTheme="minorHAnsi" w:eastAsia="TimesNewRoman" w:hAnsiTheme="minorHAnsi" w:cstheme="minorHAnsi"/>
          <w:color w:val="444448" w:themeColor="accent4"/>
          <w:sz w:val="22"/>
          <w:szCs w:val="22"/>
        </w:rPr>
        <w:t>(</w:t>
      </w:r>
      <w:r w:rsidR="00640CD1">
        <w:rPr>
          <w:rFonts w:asciiTheme="minorHAnsi" w:eastAsia="TimesNewRoman" w:hAnsiTheme="minorHAnsi" w:cstheme="minorHAnsi"/>
          <w:color w:val="444448" w:themeColor="accent4"/>
          <w:sz w:val="22"/>
          <w:szCs w:val="22"/>
        </w:rPr>
        <w:t>ARPANSA 2014b</w:t>
      </w:r>
      <w:r w:rsidR="002D5715" w:rsidRPr="00686DD7">
        <w:rPr>
          <w:rFonts w:asciiTheme="minorHAnsi" w:eastAsia="TimesNewRoman" w:hAnsiTheme="minorHAnsi" w:cstheme="minorHAnsi"/>
          <w:color w:val="444448" w:themeColor="accent4"/>
          <w:sz w:val="22"/>
          <w:szCs w:val="22"/>
        </w:rPr>
        <w:t>)</w:t>
      </w:r>
      <w:r w:rsidRPr="00686DD7">
        <w:rPr>
          <w:rFonts w:asciiTheme="minorHAnsi" w:eastAsia="TimesNewRoman" w:hAnsiTheme="minorHAnsi" w:cstheme="minorHAnsi"/>
          <w:color w:val="444448" w:themeColor="accent4"/>
          <w:sz w:val="22"/>
          <w:szCs w:val="22"/>
        </w:rPr>
        <w:t>. All aspects</w:t>
      </w:r>
      <w:r w:rsidRPr="00A80F9D">
        <w:rPr>
          <w:rFonts w:asciiTheme="minorHAnsi" w:eastAsia="TimesNewRoman" w:hAnsiTheme="minorHAnsi" w:cstheme="minorHAnsi"/>
          <w:color w:val="444448" w:themeColor="accent4"/>
          <w:sz w:val="22"/>
          <w:szCs w:val="22"/>
        </w:rPr>
        <w:t xml:space="preserve"> of operation relevant to safety are considered, including surface and underground excavation, construction and mining work, waste emplacement, and backfilling, sealing and closing operations. Consideration has to be given to both occupational exposure and public exposure resulting from conditions of normal operation and anticipated operational occurrences over the operating lifetime of the disposal facility.</w:t>
      </w:r>
    </w:p>
    <w:p w14:paraId="66F95792"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Accidents of a lesser frequency, but with significant radiological consequences (i.e. possible accidents that could give rise to radiation doses over </w:t>
      </w:r>
      <w:r w:rsidRPr="007C04EC">
        <w:rPr>
          <w:rFonts w:asciiTheme="minorHAnsi" w:hAnsiTheme="minorHAnsi"/>
          <w:snapToGrid w:val="0"/>
          <w:color w:val="444448" w:themeColor="accent4"/>
          <w:sz w:val="22"/>
          <w:szCs w:val="22"/>
          <w:lang w:eastAsia="en-US"/>
        </w:rPr>
        <w:t>the</w:t>
      </w:r>
      <w:r w:rsidRPr="00A80F9D">
        <w:rPr>
          <w:rFonts w:asciiTheme="minorHAnsi" w:eastAsia="TimesNewRoman" w:hAnsiTheme="minorHAnsi" w:cstheme="minorHAnsi"/>
          <w:color w:val="444448" w:themeColor="accent4"/>
          <w:sz w:val="22"/>
          <w:szCs w:val="22"/>
        </w:rPr>
        <w:t xml:space="preserve"> short term in excess of annual dose limits), have to be considered with regard to both their likelihood of occurrence and the magnitude of possible radiation doses. The adequacy of the design and of the operational features also has to be evaluated.</w:t>
      </w:r>
    </w:p>
    <w:p w14:paraId="27AA3CC4"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With regard to safety after closure, the expected range of possible developments affecting the disposal system and events that might affect its performance, </w:t>
      </w:r>
      <w:r w:rsidRPr="007C04EC">
        <w:rPr>
          <w:rFonts w:asciiTheme="minorHAnsi" w:hAnsiTheme="minorHAnsi"/>
          <w:snapToGrid w:val="0"/>
          <w:color w:val="444448" w:themeColor="accent4"/>
          <w:sz w:val="22"/>
          <w:szCs w:val="22"/>
          <w:lang w:eastAsia="en-US"/>
        </w:rPr>
        <w:t>including</w:t>
      </w:r>
      <w:r w:rsidRPr="00A80F9D">
        <w:rPr>
          <w:rFonts w:asciiTheme="minorHAnsi" w:eastAsia="TimesNewRoman" w:hAnsiTheme="minorHAnsi" w:cstheme="minorHAnsi"/>
          <w:color w:val="444448" w:themeColor="accent4"/>
          <w:sz w:val="22"/>
          <w:szCs w:val="22"/>
        </w:rPr>
        <w:t xml:space="preserve"> those of low probability, have to be considered in the safety case and supporting assessment by the following means:</w:t>
      </w:r>
    </w:p>
    <w:p w14:paraId="1D8F9A2A" w14:textId="508679D6"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presenting evidence that the disposal system, its possible evolutions and events that might affect it are sufficiently well understood</w:t>
      </w:r>
    </w:p>
    <w:p w14:paraId="5CF3ED6B" w14:textId="51FCD4D1"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demonstrating the feasibility of implementing the design</w:t>
      </w:r>
    </w:p>
    <w:p w14:paraId="2F5C5EB1" w14:textId="6B7D3A1A"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providing convincing estimates of the performance of the disposal system and a reasonable level of assurance that all the relevant safety requirements will be complied with and that radia</w:t>
      </w:r>
      <w:r w:rsidR="00DF1C03">
        <w:rPr>
          <w:rFonts w:asciiTheme="minorHAnsi" w:eastAsia="TimesNewRoman" w:hAnsiTheme="minorHAnsi" w:cstheme="minorHAnsi"/>
          <w:color w:val="444448" w:themeColor="accent4"/>
          <w:sz w:val="22"/>
          <w:szCs w:val="22"/>
        </w:rPr>
        <w:t>tion protection has been optimis</w:t>
      </w:r>
      <w:r w:rsidRPr="00A80F9D">
        <w:rPr>
          <w:rFonts w:asciiTheme="minorHAnsi" w:eastAsia="TimesNewRoman" w:hAnsiTheme="minorHAnsi" w:cstheme="minorHAnsi"/>
          <w:color w:val="444448" w:themeColor="accent4"/>
          <w:sz w:val="22"/>
          <w:szCs w:val="22"/>
        </w:rPr>
        <w:t>ed</w:t>
      </w:r>
    </w:p>
    <w:p w14:paraId="6C69F849" w14:textId="77777777" w:rsidR="005028FE" w:rsidRPr="00A80F9D" w:rsidRDefault="003467C2" w:rsidP="003467C2">
      <w:pPr>
        <w:pStyle w:val="RPSBodyTextalpha"/>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By identifying and presenting an analysis of the associated uncertainties.</w:t>
      </w:r>
    </w:p>
    <w:p w14:paraId="45E513A9"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case may include the presentation of multiple lines of reasoning based, for example, on studies of natural analogues and </w:t>
      </w:r>
      <w:r w:rsidRPr="007C04EC">
        <w:rPr>
          <w:rFonts w:asciiTheme="minorHAnsi" w:hAnsiTheme="minorHAnsi"/>
          <w:snapToGrid w:val="0"/>
          <w:color w:val="444448" w:themeColor="accent4"/>
          <w:sz w:val="22"/>
          <w:szCs w:val="22"/>
          <w:lang w:eastAsia="en-US"/>
        </w:rPr>
        <w:t>palaeohydrogeological</w:t>
      </w:r>
      <w:r w:rsidRPr="00A80F9D">
        <w:rPr>
          <w:rFonts w:asciiTheme="minorHAnsi" w:eastAsia="TimesNewRoman" w:hAnsiTheme="minorHAnsi" w:cstheme="minorHAnsi"/>
          <w:color w:val="444448" w:themeColor="accent4"/>
          <w:sz w:val="22"/>
          <w:szCs w:val="22"/>
        </w:rPr>
        <w:t xml:space="preserve"> studies, suitable characteristics of the site, properties of the host geological formation, engineering considerations, operational procedures and institutional assurances.</w:t>
      </w:r>
    </w:p>
    <w:p w14:paraId="3093F8A3"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performance of the disposal system under expected and less likely evolutions and events, which can be outside the design performance range of the disposal facility, has to be analysed in the safety assessment. A </w:t>
      </w:r>
      <w:r w:rsidRPr="007C04EC">
        <w:rPr>
          <w:rFonts w:asciiTheme="minorHAnsi" w:hAnsiTheme="minorHAnsi"/>
          <w:snapToGrid w:val="0"/>
          <w:color w:val="444448" w:themeColor="accent4"/>
          <w:sz w:val="22"/>
          <w:szCs w:val="22"/>
          <w:lang w:eastAsia="en-US"/>
        </w:rPr>
        <w:t>judgement</w:t>
      </w:r>
      <w:r w:rsidRPr="00A80F9D">
        <w:rPr>
          <w:rFonts w:asciiTheme="minorHAnsi" w:eastAsia="TimesNewRoman" w:hAnsiTheme="minorHAnsi" w:cstheme="minorHAnsi"/>
          <w:color w:val="444448" w:themeColor="accent4"/>
          <w:sz w:val="22"/>
          <w:szCs w:val="22"/>
        </w:rPr>
        <w:t xml:space="preserve"> of what is to be considered the expected evolution and less likely evolutions has to be discussed between the regulatory body and the operator. If necessary, sensitivity analyses and uncertainty analyses would be undertaken to gain an understanding of the performance of the disposal system and its components under a range of evolutions and events. </w:t>
      </w:r>
    </w:p>
    <w:p w14:paraId="48D23AB0"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consequences of unexpected events and processes may be explored to test the robustness of the disposal system. In particular, the resilience of the disposal system has to be assessed. Quantitative analyses have to be undertaken, at least over the time period for which regulatory requirements apply. However, the results from detailed models for safety assessment purposes are likely to be more uncertain for timescales extending into the far future.</w:t>
      </w:r>
    </w:p>
    <w:p w14:paraId="48E55C24"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For timescales extending into the far future, arguments may be needed to illustrate safety, on the basis, for example, of complementary safety indicators, such as concentrations and fluxes of </w:t>
      </w:r>
      <w:r w:rsidRPr="00A80F9D">
        <w:rPr>
          <w:rFonts w:asciiTheme="minorHAnsi" w:eastAsia="TimesNewRoman" w:hAnsiTheme="minorHAnsi" w:cstheme="minorHAnsi"/>
          <w:color w:val="444448" w:themeColor="accent4"/>
          <w:sz w:val="22"/>
          <w:szCs w:val="22"/>
        </w:rPr>
        <w:lastRenderedPageBreak/>
        <w:t>radionuclides of natural origin in the geosphere and biosphere and bounding analyses. While such assessments cannot yield precise levels of possible doses or risks, the results may provide a tool to indicate the level of safety and verify that no alternative design would have obvious advantages.</w:t>
      </w:r>
    </w:p>
    <w:p w14:paraId="489F786B" w14:textId="1DB55D6A"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7" w:name="_Ref496699698"/>
      <w:r w:rsidRPr="00A80F9D">
        <w:rPr>
          <w:rFonts w:asciiTheme="minorHAnsi" w:eastAsia="TimesNewRoman" w:hAnsiTheme="minorHAnsi" w:cstheme="minorHAnsi"/>
          <w:color w:val="444448" w:themeColor="accent4"/>
          <w:sz w:val="22"/>
          <w:szCs w:val="22"/>
        </w:rPr>
        <w:t xml:space="preserve">The </w:t>
      </w:r>
      <w:r w:rsidRPr="007C04EC">
        <w:rPr>
          <w:rFonts w:asciiTheme="minorHAnsi" w:hAnsiTheme="minorHAnsi"/>
          <w:snapToGrid w:val="0"/>
          <w:color w:val="444448" w:themeColor="accent4"/>
          <w:sz w:val="22"/>
          <w:szCs w:val="22"/>
          <w:lang w:eastAsia="en-US"/>
        </w:rPr>
        <w:t>management</w:t>
      </w:r>
      <w:r w:rsidRPr="00A80F9D">
        <w:rPr>
          <w:rFonts w:asciiTheme="minorHAnsi" w:eastAsia="TimesNewRoman" w:hAnsiTheme="minorHAnsi" w:cstheme="minorHAnsi"/>
          <w:color w:val="444448" w:themeColor="accent4"/>
          <w:sz w:val="22"/>
          <w:szCs w:val="22"/>
        </w:rPr>
        <w:t xml:space="preserve"> systems established to provide assurance of quality in these design features and operational features have to be addressed in the safety case.</w:t>
      </w:r>
      <w:bookmarkEnd w:id="97"/>
    </w:p>
    <w:p w14:paraId="51CD728A" w14:textId="25EB2CB3"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31415872" w14:textId="77777777" w:rsidTr="005028FE">
        <w:tc>
          <w:tcPr>
            <w:tcW w:w="8720" w:type="dxa"/>
            <w:shd w:val="clear" w:color="auto" w:fill="4E1A74" w:themeFill="text2"/>
          </w:tcPr>
          <w:p w14:paraId="49F0AD9E" w14:textId="1B29011A" w:rsidR="005028FE" w:rsidRPr="00AD6C06" w:rsidRDefault="005028FE" w:rsidP="005028FE">
            <w:pPr>
              <w:spacing w:before="120" w:after="120"/>
              <w:ind w:left="1985" w:hanging="1985"/>
              <w:rPr>
                <w:rFonts w:cstheme="minorHAnsi"/>
                <w:b/>
                <w:color w:val="FFFFFF"/>
              </w:rPr>
            </w:pPr>
            <w:r w:rsidRPr="00AD6C06">
              <w:rPr>
                <w:rFonts w:cstheme="minorHAnsi"/>
                <w:b/>
                <w:color w:val="FFFFFF"/>
              </w:rPr>
              <w:t>Documentation of the safety case and safety assessment</w:t>
            </w:r>
          </w:p>
        </w:tc>
      </w:tr>
    </w:tbl>
    <w:p w14:paraId="3FC300B1" w14:textId="77777777" w:rsidR="005028FE"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98" w:name="_Ref496699717"/>
      <w:r w:rsidRPr="00FB5BF5">
        <w:rPr>
          <w:rFonts w:asciiTheme="minorHAnsi" w:hAnsiTheme="minorHAnsi"/>
          <w:i/>
          <w:color w:val="4E1A74" w:themeColor="text2"/>
          <w:sz w:val="22"/>
          <w:szCs w:val="22"/>
        </w:rPr>
        <w:t>The safety case and supporting safety assessment for a disposal facility shall be documented to a level of detail and quality sufficient to inform and support the decision to be made at each step and to allow for independent review of the safety case and supporting safety assessment.</w:t>
      </w:r>
      <w:bookmarkEnd w:id="98"/>
    </w:p>
    <w:p w14:paraId="0E3B5B98"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necessary scope and structure of the documentation setting out the safety case and supporting safety assessment will depend on the step reached in the project for the disposal facility and on national requirements. This includes consideration of the needs of different interested parties for information. Important considerations in documenting the safety case and supporting safety assessment are justification, traceability and clarity.</w:t>
      </w:r>
    </w:p>
    <w:p w14:paraId="0348A330"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Justification concerns explaining the basis for the choices that have been made and the </w:t>
      </w:r>
      <w:r w:rsidRPr="007C04EC">
        <w:rPr>
          <w:rFonts w:asciiTheme="minorHAnsi" w:hAnsiTheme="minorHAnsi"/>
          <w:snapToGrid w:val="0"/>
          <w:color w:val="444448" w:themeColor="accent4"/>
          <w:sz w:val="22"/>
          <w:szCs w:val="22"/>
          <w:lang w:eastAsia="en-US"/>
        </w:rPr>
        <w:t>arguments</w:t>
      </w:r>
      <w:r w:rsidRPr="00A80F9D">
        <w:rPr>
          <w:rFonts w:asciiTheme="minorHAnsi" w:eastAsia="TimesNewRoman" w:hAnsiTheme="minorHAnsi" w:cstheme="minorHAnsi"/>
          <w:color w:val="444448" w:themeColor="accent4"/>
          <w:sz w:val="22"/>
          <w:szCs w:val="22"/>
        </w:rPr>
        <w:t xml:space="preserve"> for and against the decisions, especially those decisions concerning the main arguments for safety. Traceability concerns the ability of an independent qualified person to follow what has been done. The traceability has to enable technical and regulatory review. Justification and traceability both require a well-documented record of the decisions made and the assumptions made in the development and operation of a disposal facility, and of the models and data used in deriving a particular set of results for safety assessment purposes.</w:t>
      </w:r>
    </w:p>
    <w:p w14:paraId="019F79B9" w14:textId="44937EEC"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99" w:name="_Ref496698611"/>
      <w:r w:rsidRPr="00A80F9D">
        <w:rPr>
          <w:rFonts w:asciiTheme="minorHAnsi" w:eastAsia="TimesNewRoman" w:hAnsiTheme="minorHAnsi" w:cstheme="minorHAnsi"/>
          <w:color w:val="444448" w:themeColor="accent4"/>
          <w:sz w:val="22"/>
          <w:szCs w:val="22"/>
        </w:rPr>
        <w:t>Clarity concerns good structure and presentation at an appropriate level of detail so as to allow an understanding of the safety arguments. This requires the results of work to be presented in the documents in such a way that interested parties for whom the material is intended can gain a good understanding of the safety arguments and their basis. Different types and styles of document may be necessary to provide material that is useful to different parties.</w:t>
      </w:r>
      <w:bookmarkEnd w:id="99"/>
    </w:p>
    <w:p w14:paraId="69790FDB" w14:textId="0B5118D9" w:rsidR="005028FE" w:rsidRDefault="00D568C5" w:rsidP="00D568C5">
      <w:pPr>
        <w:pStyle w:val="Heading3"/>
        <w:rPr>
          <w:rFonts w:eastAsia="TimesNewRoman"/>
        </w:rPr>
      </w:pPr>
      <w:bookmarkStart w:id="100" w:name="_Toc524085223"/>
      <w:r w:rsidRPr="00D568C5">
        <w:rPr>
          <w:rFonts w:eastAsia="TimesNewRoman"/>
        </w:rPr>
        <w:t>S</w:t>
      </w:r>
      <w:r>
        <w:rPr>
          <w:rFonts w:eastAsia="TimesNewRoman"/>
        </w:rPr>
        <w:t>teps in the development, operation and closure of a disposal facility</w:t>
      </w:r>
      <w:bookmarkEnd w:id="100"/>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7370185B" w14:textId="77777777" w:rsidTr="005028FE">
        <w:tc>
          <w:tcPr>
            <w:tcW w:w="8720" w:type="dxa"/>
            <w:shd w:val="clear" w:color="auto" w:fill="4E1A74" w:themeFill="text2"/>
          </w:tcPr>
          <w:p w14:paraId="247D3BE9" w14:textId="29EBDE58" w:rsidR="005028FE" w:rsidRPr="00AD6C06" w:rsidRDefault="005028FE" w:rsidP="005028FE">
            <w:pPr>
              <w:spacing w:before="120" w:after="120"/>
              <w:ind w:left="1985" w:hanging="1985"/>
              <w:rPr>
                <w:rFonts w:cstheme="minorHAnsi"/>
                <w:b/>
                <w:color w:val="FFFFFF"/>
              </w:rPr>
            </w:pPr>
            <w:r w:rsidRPr="00AD6C06">
              <w:rPr>
                <w:rFonts w:cstheme="minorHAnsi"/>
                <w:b/>
                <w:color w:val="FFFFFF"/>
              </w:rPr>
              <w:t>Site characterisation for a disposal facility</w:t>
            </w:r>
          </w:p>
        </w:tc>
      </w:tr>
    </w:tbl>
    <w:p w14:paraId="3356B72F" w14:textId="41567DC7" w:rsidR="005028FE" w:rsidRPr="00FB5BF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1" w:name="_Ref496699738"/>
      <w:r w:rsidRPr="00FB5BF5">
        <w:rPr>
          <w:rFonts w:asciiTheme="minorHAnsi" w:hAnsiTheme="minorHAnsi"/>
          <w:i/>
          <w:color w:val="4E1A74" w:themeColor="text2"/>
          <w:sz w:val="22"/>
          <w:szCs w:val="22"/>
        </w:rPr>
        <w:t>The site for a dispos</w:t>
      </w:r>
      <w:r w:rsidR="00DF1C03">
        <w:rPr>
          <w:rFonts w:asciiTheme="minorHAnsi" w:hAnsiTheme="minorHAnsi"/>
          <w:i/>
          <w:color w:val="4E1A74" w:themeColor="text2"/>
          <w:sz w:val="22"/>
          <w:szCs w:val="22"/>
        </w:rPr>
        <w:t>al facility shall be characteris</w:t>
      </w:r>
      <w:r w:rsidRPr="00FB5BF5">
        <w:rPr>
          <w:rFonts w:asciiTheme="minorHAnsi" w:hAnsiTheme="minorHAnsi"/>
          <w:i/>
          <w:color w:val="4E1A74" w:themeColor="text2"/>
          <w:sz w:val="22"/>
          <w:szCs w:val="22"/>
        </w:rPr>
        <w:t xml:space="preserve">ed at a level of detail sufficient to support a general understanding of both the characteristics of the site and how the site will evolve over time. This shall include its present condition, its probable natural evolution and possible natural events, and also </w:t>
      </w:r>
      <w:r w:rsidRPr="007C04EC">
        <w:rPr>
          <w:rFonts w:asciiTheme="minorHAnsi" w:hAnsiTheme="minorHAnsi"/>
          <w:i/>
          <w:color w:val="4E1A74" w:themeColor="text2"/>
          <w:sz w:val="22"/>
          <w:szCs w:val="22"/>
        </w:rPr>
        <w:t>human</w:t>
      </w:r>
      <w:r w:rsidRPr="00FB5BF5">
        <w:rPr>
          <w:rFonts w:asciiTheme="minorHAnsi" w:hAnsiTheme="minorHAnsi"/>
          <w:i/>
          <w:color w:val="4E1A74" w:themeColor="text2"/>
          <w:sz w:val="22"/>
          <w:szCs w:val="22"/>
        </w:rPr>
        <w:t xml:space="preserve"> plans and actions in the vicinity that may affect the safety of the facility over the period of interest. It shall also include a specific understanding of the impact on safety of features, events and processes associated with the site and the facility.</w:t>
      </w:r>
      <w:bookmarkEnd w:id="101"/>
    </w:p>
    <w:p w14:paraId="7833AC06"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An understanding of the site for a disposal facility has to be gained in order to present a convincing scientific description of the disposal system on which the more conceptual descriptions that are </w:t>
      </w:r>
      <w:r w:rsidRPr="00A80F9D">
        <w:rPr>
          <w:rFonts w:asciiTheme="minorHAnsi" w:eastAsia="TimesNewRoman" w:hAnsiTheme="minorHAnsi" w:cstheme="minorHAnsi"/>
          <w:color w:val="444448" w:themeColor="accent4"/>
          <w:sz w:val="22"/>
          <w:szCs w:val="22"/>
        </w:rPr>
        <w:lastRenderedPageBreak/>
        <w:t>used in the safety assessment can be based. The focus has to be on features, events and processes relating to the site that could have an impact on safety and that are addressed in the safety case and supporting safety assessment. In particular, this has to demonstrate that there is adequate geological, geomorphological or topographical stability (as appropriate to the type of facility), and features and processes that contribute to safety. It also has to demonstrate that other features, events and processes do not undermine the safety case.</w:t>
      </w:r>
    </w:p>
    <w:p w14:paraId="4325EEEB" w14:textId="69486816" w:rsidR="005028FE" w:rsidRPr="00A80F9D" w:rsidRDefault="00DF1C03"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Characteris</w:t>
      </w:r>
      <w:r w:rsidR="003467C2" w:rsidRPr="00A80F9D">
        <w:rPr>
          <w:rFonts w:asciiTheme="minorHAnsi" w:eastAsia="TimesNewRoman" w:hAnsiTheme="minorHAnsi" w:cstheme="minorHAnsi"/>
          <w:color w:val="444448" w:themeColor="accent4"/>
          <w:sz w:val="22"/>
          <w:szCs w:val="22"/>
        </w:rPr>
        <w:t xml:space="preserve">ation of the geological aspects has to include activities such as the investigation of: long term stability, faulting and the extent of fracturing in the host geological formation; seismicity; volcanism; the volume of rock suitable for the construction of disposal zones; geotechnical </w:t>
      </w:r>
      <w:r w:rsidR="003467C2" w:rsidRPr="007C04EC">
        <w:rPr>
          <w:rFonts w:asciiTheme="minorHAnsi" w:hAnsiTheme="minorHAnsi"/>
          <w:snapToGrid w:val="0"/>
          <w:color w:val="444448" w:themeColor="accent4"/>
          <w:sz w:val="22"/>
          <w:szCs w:val="22"/>
          <w:lang w:eastAsia="en-US"/>
        </w:rPr>
        <w:t>parameters</w:t>
      </w:r>
      <w:r w:rsidR="003467C2" w:rsidRPr="00A80F9D">
        <w:rPr>
          <w:rFonts w:asciiTheme="minorHAnsi" w:eastAsia="TimesNewRoman" w:hAnsiTheme="minorHAnsi" w:cstheme="minorHAnsi"/>
          <w:color w:val="444448" w:themeColor="accent4"/>
          <w:sz w:val="22"/>
          <w:szCs w:val="22"/>
        </w:rPr>
        <w:t xml:space="preserve"> relevant to the design; groundwater flow regimes; geochemical conditions; and miner</w:t>
      </w:r>
      <w:r>
        <w:rPr>
          <w:rFonts w:asciiTheme="minorHAnsi" w:eastAsia="TimesNewRoman" w:hAnsiTheme="minorHAnsi" w:cstheme="minorHAnsi"/>
          <w:color w:val="444448" w:themeColor="accent4"/>
          <w:sz w:val="22"/>
          <w:szCs w:val="22"/>
        </w:rPr>
        <w:t>alogy. The extent of characteris</w:t>
      </w:r>
      <w:r w:rsidR="003467C2" w:rsidRPr="00A80F9D">
        <w:rPr>
          <w:rFonts w:asciiTheme="minorHAnsi" w:eastAsia="TimesNewRoman" w:hAnsiTheme="minorHAnsi" w:cstheme="minorHAnsi"/>
          <w:color w:val="444448" w:themeColor="accent4"/>
          <w:sz w:val="22"/>
          <w:szCs w:val="22"/>
        </w:rPr>
        <w:t>ation necessary will depend on the types of disposal facility and the site in question.</w:t>
      </w:r>
    </w:p>
    <w:p w14:paraId="7C915C57" w14:textId="111A3C62"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A graded approach has to be adopted, depending on the hazard potential of the waste and the complexity of the site and disposal facility design</w:t>
      </w:r>
      <w:r w:rsidR="003C1980">
        <w:rPr>
          <w:rFonts w:asciiTheme="minorHAnsi" w:eastAsia="TimesNewRoman" w:hAnsiTheme="minorHAnsi" w:cstheme="minorHAnsi"/>
          <w:color w:val="444448" w:themeColor="accent4"/>
          <w:sz w:val="22"/>
          <w:szCs w:val="22"/>
        </w:rPr>
        <w:t xml:space="preserve">. </w:t>
      </w:r>
      <w:r w:rsidR="00DF1C03">
        <w:rPr>
          <w:rFonts w:asciiTheme="minorHAnsi" w:eastAsia="TimesNewRoman" w:hAnsiTheme="minorHAnsi" w:cstheme="minorHAnsi"/>
          <w:color w:val="444448" w:themeColor="accent4"/>
          <w:sz w:val="22"/>
          <w:szCs w:val="22"/>
        </w:rPr>
        <w:t>Site characteris</w:t>
      </w:r>
      <w:r w:rsidRPr="00A80F9D">
        <w:rPr>
          <w:rFonts w:asciiTheme="minorHAnsi" w:eastAsia="TimesNewRoman" w:hAnsiTheme="minorHAnsi" w:cstheme="minorHAnsi"/>
          <w:color w:val="444448" w:themeColor="accent4"/>
          <w:sz w:val="22"/>
          <w:szCs w:val="22"/>
        </w:rPr>
        <w:t>ation undertaken in an iterative manner has to provide input to, and has, in turn, to be guided by, the safety case. Additionally, investigation of, for example, natural background radiation and the radionuclide content in soil, groundwater and other media may contribute to a better understanding of the characteristics of the site of the disposal facility. It may also assist in the evaluation of radiological impacts on the environment by providing a reference for future comparisons.</w:t>
      </w:r>
    </w:p>
    <w:p w14:paraId="7F85138C" w14:textId="5CEC9592" w:rsidR="003467C2" w:rsidRPr="00A80F9D" w:rsidRDefault="00DF1C03"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02" w:name="_Ref496699742"/>
      <w:r>
        <w:rPr>
          <w:rFonts w:asciiTheme="minorHAnsi" w:eastAsia="TimesNewRoman" w:hAnsiTheme="minorHAnsi" w:cstheme="minorHAnsi"/>
          <w:color w:val="444448" w:themeColor="accent4"/>
          <w:sz w:val="22"/>
          <w:szCs w:val="22"/>
        </w:rPr>
        <w:t>Characteris</w:t>
      </w:r>
      <w:r w:rsidR="003467C2" w:rsidRPr="00A80F9D">
        <w:rPr>
          <w:rFonts w:asciiTheme="minorHAnsi" w:eastAsia="TimesNewRoman" w:hAnsiTheme="minorHAnsi" w:cstheme="minorHAnsi"/>
          <w:color w:val="444448" w:themeColor="accent4"/>
          <w:sz w:val="22"/>
          <w:szCs w:val="22"/>
        </w:rPr>
        <w:t xml:space="preserve">ation of the surface environmental features has to include natural aspects, such as hydrological and meteorological aspects and flora and fauna. It also </w:t>
      </w:r>
      <w:r w:rsidR="003467C2" w:rsidRPr="007C04EC">
        <w:rPr>
          <w:rFonts w:asciiTheme="minorHAnsi" w:hAnsiTheme="minorHAnsi"/>
          <w:snapToGrid w:val="0"/>
          <w:color w:val="444448" w:themeColor="accent4"/>
          <w:sz w:val="22"/>
          <w:szCs w:val="22"/>
          <w:lang w:eastAsia="en-US"/>
        </w:rPr>
        <w:t>has</w:t>
      </w:r>
      <w:r w:rsidR="003467C2" w:rsidRPr="00A80F9D">
        <w:rPr>
          <w:rFonts w:asciiTheme="minorHAnsi" w:eastAsia="TimesNewRoman" w:hAnsiTheme="minorHAnsi" w:cstheme="minorHAnsi"/>
          <w:color w:val="444448" w:themeColor="accent4"/>
          <w:sz w:val="22"/>
          <w:szCs w:val="22"/>
        </w:rPr>
        <w:t xml:space="preserve"> to cover human activities in the vicinity of the site relating to normal residential settlement patterns and industrial and agricultural activities. Due regard has to be given to the probable natural evolution of the site, including effects of erosion and climate change.</w:t>
      </w:r>
      <w:bookmarkEnd w:id="102"/>
    </w:p>
    <w:p w14:paraId="01E861EF" w14:textId="7240CE9D"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79AFCCBE" w14:textId="77777777" w:rsidTr="005028FE">
        <w:tc>
          <w:tcPr>
            <w:tcW w:w="8720" w:type="dxa"/>
            <w:shd w:val="clear" w:color="auto" w:fill="4E1A74" w:themeFill="text2"/>
          </w:tcPr>
          <w:p w14:paraId="35B84806" w14:textId="28B5377A" w:rsidR="005028FE" w:rsidRPr="00AD6C06" w:rsidRDefault="005028FE" w:rsidP="005028FE">
            <w:pPr>
              <w:spacing w:before="120" w:after="120"/>
              <w:ind w:left="1985" w:hanging="1985"/>
              <w:rPr>
                <w:rFonts w:cstheme="minorHAnsi"/>
                <w:b/>
                <w:color w:val="FFFFFF"/>
              </w:rPr>
            </w:pPr>
            <w:r w:rsidRPr="00AD6C06">
              <w:rPr>
                <w:rFonts w:cstheme="minorHAnsi"/>
                <w:b/>
                <w:color w:val="FFFFFF"/>
              </w:rPr>
              <w:t>Design of a disposal facility</w:t>
            </w:r>
          </w:p>
        </w:tc>
      </w:tr>
    </w:tbl>
    <w:p w14:paraId="345A73AA" w14:textId="77777777"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3" w:name="_Ref496699757"/>
      <w:r w:rsidRPr="00D568C5">
        <w:rPr>
          <w:rFonts w:asciiTheme="minorHAnsi" w:hAnsiTheme="minorHAnsi"/>
          <w:i/>
          <w:color w:val="4E1A74" w:themeColor="text2"/>
          <w:sz w:val="22"/>
          <w:szCs w:val="22"/>
        </w:rPr>
        <w:t>The disposal facility and its engineered barriers shall be designed to contain the waste with its associated hazard, to be physically and chemically compatible with the host geological formation and/or surface environment, and to provide safety features after closure that complement those features afforded by the host environment. The facility and its engineered barriers shall be designed to provide safety during the operational period.</w:t>
      </w:r>
      <w:bookmarkEnd w:id="103"/>
      <w:r w:rsidRPr="00D568C5">
        <w:rPr>
          <w:rFonts w:asciiTheme="minorHAnsi" w:hAnsiTheme="minorHAnsi"/>
          <w:i/>
          <w:color w:val="4E1A74" w:themeColor="text2"/>
          <w:sz w:val="22"/>
          <w:szCs w:val="22"/>
        </w:rPr>
        <w:t xml:space="preserve"> </w:t>
      </w:r>
    </w:p>
    <w:p w14:paraId="495BAC16" w14:textId="77777777"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designs of disposal facilities for radioactive waste may differ widely, depending on the types of waste to be disposed of and the host geological formation and/or surface environment. In general, optimal use has to be made of the safety features offered by the host environment. This has to be done by designing a disposal facility that does not cause unacceptable long term disturbance of the site, is itself protected by the site and performs safety functions that complement the natural barriers.</w:t>
      </w:r>
    </w:p>
    <w:p w14:paraId="7CF49846" w14:textId="77777777"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layout has to be designed so that waste is emplaced in the most suitable locations. In the event that fissile materials are present in the waste, maintaining a subcritical configuration has to be part </w:t>
      </w:r>
      <w:r w:rsidRPr="00A80F9D">
        <w:rPr>
          <w:rFonts w:asciiTheme="minorHAnsi" w:eastAsia="TimesNewRoman" w:hAnsiTheme="minorHAnsi" w:cstheme="minorHAnsi"/>
          <w:color w:val="444448" w:themeColor="accent4"/>
          <w:sz w:val="22"/>
          <w:szCs w:val="22"/>
        </w:rPr>
        <w:lastRenderedPageBreak/>
        <w:t xml:space="preserve">of the design considerations. Key features, such as shafts and seals in geological disposal facilities, have to be appropriately located. Materials used in the facility have to be </w:t>
      </w:r>
      <w:r w:rsidRPr="007C04EC">
        <w:rPr>
          <w:rFonts w:asciiTheme="minorHAnsi" w:hAnsiTheme="minorHAnsi"/>
          <w:snapToGrid w:val="0"/>
          <w:color w:val="444448" w:themeColor="accent4"/>
          <w:sz w:val="22"/>
          <w:szCs w:val="22"/>
          <w:lang w:eastAsia="en-US"/>
        </w:rPr>
        <w:t>resistant</w:t>
      </w:r>
      <w:r w:rsidRPr="00A80F9D">
        <w:rPr>
          <w:rFonts w:asciiTheme="minorHAnsi" w:eastAsia="TimesNewRoman" w:hAnsiTheme="minorHAnsi" w:cstheme="minorHAnsi"/>
          <w:color w:val="444448" w:themeColor="accent4"/>
          <w:sz w:val="22"/>
          <w:szCs w:val="22"/>
        </w:rPr>
        <w:t xml:space="preserve"> to degradation under the conditions prevailing in the facility (e.g. conditions of chemistry and temperature) and selected also to limit any undesirable impacts on the safety functions of any element of the disposal system.</w:t>
      </w:r>
    </w:p>
    <w:p w14:paraId="64ABC602" w14:textId="77777777"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Disposal facilities, in particular disposal facilities for high level and intermediate level waste, are expected to perform over much longer timescales than the periods usually considered in engineering applications. Investigation of the ways in which analogous natural materials have behaved in geological formations in nature, or how ancient artefacts and structures have behaved over time, may contribute to confidence in the assessment of long term performance. </w:t>
      </w:r>
    </w:p>
    <w:p w14:paraId="4BC93B2D" w14:textId="3AEF8CD1" w:rsidR="003467C2"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04" w:name="_Ref496699760"/>
      <w:r w:rsidRPr="00A80F9D">
        <w:rPr>
          <w:rFonts w:asciiTheme="minorHAnsi" w:eastAsia="TimesNewRoman" w:hAnsiTheme="minorHAnsi" w:cstheme="minorHAnsi"/>
          <w:color w:val="444448" w:themeColor="accent4"/>
          <w:sz w:val="22"/>
          <w:szCs w:val="22"/>
        </w:rPr>
        <w:t>Demonstration of the feasibility of fabrication of waste containers and of the</w:t>
      </w:r>
      <w:r w:rsidR="005028FE" w:rsidRPr="00A80F9D">
        <w:rPr>
          <w:rFonts w:asciiTheme="minorHAnsi" w:eastAsia="TimesNewRoman" w:hAnsiTheme="minorHAnsi" w:cstheme="minorHAnsi"/>
          <w:color w:val="444448" w:themeColor="accent4"/>
          <w:sz w:val="22"/>
          <w:szCs w:val="22"/>
        </w:rPr>
        <w:t xml:space="preserve"> </w:t>
      </w:r>
      <w:r w:rsidRPr="00A80F9D">
        <w:rPr>
          <w:rFonts w:asciiTheme="minorHAnsi" w:eastAsia="TimesNewRoman" w:hAnsiTheme="minorHAnsi" w:cstheme="minorHAnsi"/>
          <w:color w:val="444448" w:themeColor="accent4"/>
          <w:sz w:val="22"/>
          <w:szCs w:val="22"/>
        </w:rPr>
        <w:t xml:space="preserve">construction of engineered barriers with the necessary features, for example, in underground laboratories, is important for the purpose of assessment and </w:t>
      </w:r>
      <w:r w:rsidRPr="007C04EC">
        <w:rPr>
          <w:rFonts w:asciiTheme="minorHAnsi" w:hAnsiTheme="minorHAnsi"/>
          <w:snapToGrid w:val="0"/>
          <w:color w:val="444448" w:themeColor="accent4"/>
          <w:sz w:val="22"/>
          <w:szCs w:val="22"/>
          <w:lang w:eastAsia="en-US"/>
        </w:rPr>
        <w:t>for</w:t>
      </w:r>
      <w:r w:rsidRPr="00A80F9D">
        <w:rPr>
          <w:rFonts w:asciiTheme="minorHAnsi" w:eastAsia="TimesNewRoman" w:hAnsiTheme="minorHAnsi" w:cstheme="minorHAnsi"/>
          <w:color w:val="444448" w:themeColor="accent4"/>
          <w:sz w:val="22"/>
          <w:szCs w:val="22"/>
        </w:rPr>
        <w:t xml:space="preserve"> contributing to confidence that an adequate level of performance can be achieved.</w:t>
      </w:r>
      <w:bookmarkEnd w:id="104"/>
    </w:p>
    <w:p w14:paraId="12F9F676" w14:textId="2E41D321"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7E3DB9A9" w14:textId="77777777" w:rsidTr="005028FE">
        <w:tc>
          <w:tcPr>
            <w:tcW w:w="8720" w:type="dxa"/>
            <w:shd w:val="clear" w:color="auto" w:fill="4E1A74" w:themeFill="text2"/>
          </w:tcPr>
          <w:p w14:paraId="0EFF9682" w14:textId="36891993" w:rsidR="005028FE" w:rsidRPr="00AD6C06" w:rsidRDefault="005028FE" w:rsidP="005028FE">
            <w:pPr>
              <w:spacing w:before="120" w:after="120"/>
              <w:ind w:left="1985" w:hanging="1985"/>
              <w:rPr>
                <w:rFonts w:cstheme="minorHAnsi"/>
                <w:b/>
                <w:color w:val="FFFFFF"/>
              </w:rPr>
            </w:pPr>
            <w:r w:rsidRPr="00AD6C06">
              <w:rPr>
                <w:rFonts w:cstheme="minorHAnsi"/>
                <w:b/>
                <w:color w:val="FFFFFF"/>
              </w:rPr>
              <w:t>Construction of a disposal facility</w:t>
            </w:r>
          </w:p>
        </w:tc>
      </w:tr>
    </w:tbl>
    <w:p w14:paraId="23A7BEB7" w14:textId="77777777"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5" w:name="_Ref496697652"/>
      <w:r w:rsidRPr="00D568C5">
        <w:rPr>
          <w:rFonts w:asciiTheme="minorHAnsi" w:hAnsiTheme="minorHAnsi"/>
          <w:i/>
          <w:color w:val="4E1A74" w:themeColor="text2"/>
          <w:sz w:val="22"/>
          <w:szCs w:val="22"/>
        </w:rPr>
        <w:t>The disposal facility shall be constructed in accordance with the design as described in the approved safety case and supporting safety assessment. It shall be constructed in such a way as to preserve the safety functions of the host environment that have been shown by the safety case to be important for safety after closure. Construction activities shall be carried out in such a way as to ensure safety during the operational period.</w:t>
      </w:r>
      <w:bookmarkEnd w:id="105"/>
      <w:r w:rsidRPr="00D568C5">
        <w:rPr>
          <w:rFonts w:asciiTheme="minorHAnsi" w:hAnsiTheme="minorHAnsi"/>
          <w:i/>
          <w:color w:val="4E1A74" w:themeColor="text2"/>
          <w:sz w:val="22"/>
          <w:szCs w:val="22"/>
        </w:rPr>
        <w:t xml:space="preserve"> </w:t>
      </w:r>
    </w:p>
    <w:p w14:paraId="0045E062" w14:textId="01D51183" w:rsidR="005028FE"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06" w:name="_Ref496696139"/>
      <w:r w:rsidRPr="00A80F9D">
        <w:rPr>
          <w:rFonts w:asciiTheme="minorHAnsi" w:eastAsia="TimesNewRoman" w:hAnsiTheme="minorHAnsi" w:cstheme="minorHAnsi"/>
          <w:color w:val="444448" w:themeColor="accent4"/>
          <w:sz w:val="22"/>
          <w:szCs w:val="22"/>
        </w:rPr>
        <w:t xml:space="preserve">Construction of a disposal facility can be a complex technical undertaking that might be </w:t>
      </w:r>
      <w:r w:rsidRPr="007C04EC">
        <w:rPr>
          <w:rFonts w:asciiTheme="minorHAnsi" w:hAnsiTheme="minorHAnsi"/>
          <w:snapToGrid w:val="0"/>
          <w:color w:val="444448" w:themeColor="accent4"/>
          <w:sz w:val="22"/>
          <w:szCs w:val="22"/>
          <w:lang w:eastAsia="en-US"/>
        </w:rPr>
        <w:t>constrained</w:t>
      </w:r>
      <w:r w:rsidRPr="00A80F9D">
        <w:rPr>
          <w:rFonts w:asciiTheme="minorHAnsi" w:eastAsia="TimesNewRoman" w:hAnsiTheme="minorHAnsi" w:cstheme="minorHAnsi"/>
          <w:color w:val="444448" w:themeColor="accent4"/>
          <w:sz w:val="22"/>
          <w:szCs w:val="22"/>
        </w:rPr>
        <w:t xml:space="preserve">, particularly if it is carried out underground, by the conditions and the properties of the host geological formation and by the techniques that are available for underground excavation and construction. </w:t>
      </w:r>
      <w:r w:rsidR="00DF1C03">
        <w:rPr>
          <w:rFonts w:asciiTheme="minorHAnsi" w:eastAsia="TimesNewRoman" w:hAnsiTheme="minorHAnsi" w:cstheme="minorHAnsi"/>
          <w:color w:val="444448" w:themeColor="accent4"/>
          <w:sz w:val="22"/>
          <w:szCs w:val="22"/>
        </w:rPr>
        <w:t>An adequate level of characteris</w:t>
      </w:r>
      <w:r w:rsidRPr="00A80F9D">
        <w:rPr>
          <w:rFonts w:asciiTheme="minorHAnsi" w:eastAsia="TimesNewRoman" w:hAnsiTheme="minorHAnsi" w:cstheme="minorHAnsi"/>
          <w:color w:val="444448" w:themeColor="accent4"/>
          <w:sz w:val="22"/>
          <w:szCs w:val="22"/>
        </w:rPr>
        <w:t>ation has to be completed before construction is begun. Excavation and construction activities have to be carried out in such a way as to avoid unnecessary disturbance of the host environment. Sufficient flexibility in engineering techniques has to be adopted to allow for variations to be encountered, such as variations in rock conditions or groundwater conditions in underground facilities.</w:t>
      </w:r>
      <w:bookmarkEnd w:id="106"/>
    </w:p>
    <w:p w14:paraId="02A29CC2" w14:textId="519392C6" w:rsidR="003467C2"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07" w:name="_Ref496699778"/>
      <w:r w:rsidRPr="00A80F9D">
        <w:rPr>
          <w:rFonts w:asciiTheme="minorHAnsi" w:eastAsia="TimesNewRoman" w:hAnsiTheme="minorHAnsi" w:cstheme="minorHAnsi"/>
          <w:color w:val="444448" w:themeColor="accent4"/>
          <w:sz w:val="22"/>
          <w:szCs w:val="22"/>
        </w:rPr>
        <w:t xml:space="preserve">Excavation and </w:t>
      </w:r>
      <w:r w:rsidRPr="007C04EC">
        <w:rPr>
          <w:rFonts w:asciiTheme="minorHAnsi" w:hAnsiTheme="minorHAnsi"/>
          <w:snapToGrid w:val="0"/>
          <w:color w:val="444448" w:themeColor="accent4"/>
          <w:sz w:val="22"/>
          <w:szCs w:val="22"/>
          <w:lang w:eastAsia="en-US"/>
        </w:rPr>
        <w:t>construction</w:t>
      </w:r>
      <w:r w:rsidRPr="00A80F9D">
        <w:rPr>
          <w:rFonts w:asciiTheme="minorHAnsi" w:eastAsia="TimesNewRoman" w:hAnsiTheme="minorHAnsi" w:cstheme="minorHAnsi"/>
          <w:color w:val="444448" w:themeColor="accent4"/>
          <w:sz w:val="22"/>
          <w:szCs w:val="22"/>
        </w:rPr>
        <w:t xml:space="preserve"> of a disposal facility could continue after the commencement of operation of part of the facility and after the emplacement of waste packages. Such overlapping of construction and operational activities has to be planned and carried out so as to ensure safety, both in operation and after closure.</w:t>
      </w:r>
      <w:bookmarkEnd w:id="107"/>
    </w:p>
    <w:p w14:paraId="25728A3A" w14:textId="77DBCDF5"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4895C73D" w14:textId="77777777" w:rsidTr="005028FE">
        <w:tc>
          <w:tcPr>
            <w:tcW w:w="8720" w:type="dxa"/>
            <w:shd w:val="clear" w:color="auto" w:fill="4E1A74" w:themeFill="text2"/>
          </w:tcPr>
          <w:p w14:paraId="615D0500" w14:textId="5F7808A0" w:rsidR="005028FE" w:rsidRPr="00AD6C06" w:rsidRDefault="005028FE" w:rsidP="005028FE">
            <w:pPr>
              <w:spacing w:before="120" w:after="120"/>
              <w:ind w:left="1985" w:hanging="1985"/>
              <w:rPr>
                <w:rFonts w:cstheme="minorHAnsi"/>
                <w:b/>
                <w:color w:val="FFFFFF"/>
              </w:rPr>
            </w:pPr>
            <w:r w:rsidRPr="00AD6C06">
              <w:rPr>
                <w:rFonts w:cstheme="minorHAnsi"/>
                <w:b/>
                <w:color w:val="FFFFFF"/>
              </w:rPr>
              <w:t>Operation of a disposal facility</w:t>
            </w:r>
          </w:p>
        </w:tc>
      </w:tr>
    </w:tbl>
    <w:p w14:paraId="3F52DCFC" w14:textId="58BE2B59"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08" w:name="_Ref496699795"/>
      <w:r w:rsidRPr="00D568C5">
        <w:rPr>
          <w:rFonts w:asciiTheme="minorHAnsi" w:hAnsiTheme="minorHAnsi"/>
          <w:i/>
          <w:color w:val="4E1A74" w:themeColor="text2"/>
          <w:sz w:val="22"/>
          <w:szCs w:val="22"/>
        </w:rPr>
        <w:t>The disposal facility shall be operated in accordance with the conditions of the</w:t>
      </w:r>
      <w:r w:rsidR="00C231E3">
        <w:rPr>
          <w:rFonts w:asciiTheme="minorHAnsi" w:hAnsiTheme="minorHAnsi"/>
          <w:i/>
          <w:color w:val="4E1A74" w:themeColor="text2"/>
          <w:sz w:val="22"/>
          <w:szCs w:val="22"/>
        </w:rPr>
        <w:t xml:space="preserve"> authorisation</w:t>
      </w:r>
      <w:r w:rsidRPr="00D568C5">
        <w:rPr>
          <w:rFonts w:asciiTheme="minorHAnsi" w:hAnsiTheme="minorHAnsi"/>
          <w:i/>
          <w:color w:val="4E1A74" w:themeColor="text2"/>
          <w:sz w:val="22"/>
          <w:szCs w:val="22"/>
        </w:rPr>
        <w:t xml:space="preserve"> and the relevant regulatory requirements so as to maintain safety during the operational period and in such </w:t>
      </w:r>
      <w:r w:rsidRPr="00D568C5">
        <w:rPr>
          <w:rFonts w:asciiTheme="minorHAnsi" w:hAnsiTheme="minorHAnsi"/>
          <w:i/>
          <w:color w:val="4E1A74" w:themeColor="text2"/>
          <w:sz w:val="22"/>
          <w:szCs w:val="22"/>
        </w:rPr>
        <w:lastRenderedPageBreak/>
        <w:t xml:space="preserve">a manner as to preserve the safety </w:t>
      </w:r>
      <w:r w:rsidRPr="007C04EC">
        <w:rPr>
          <w:rFonts w:asciiTheme="minorHAnsi" w:hAnsiTheme="minorHAnsi"/>
          <w:i/>
          <w:color w:val="4E1A74" w:themeColor="text2"/>
          <w:sz w:val="22"/>
          <w:szCs w:val="22"/>
        </w:rPr>
        <w:t>functions</w:t>
      </w:r>
      <w:r w:rsidRPr="00D568C5">
        <w:rPr>
          <w:rFonts w:asciiTheme="minorHAnsi" w:hAnsiTheme="minorHAnsi"/>
          <w:i/>
          <w:color w:val="4E1A74" w:themeColor="text2"/>
          <w:sz w:val="22"/>
          <w:szCs w:val="22"/>
        </w:rPr>
        <w:t xml:space="preserve"> assumed in  the</w:t>
      </w:r>
      <w:r w:rsidR="00175726">
        <w:rPr>
          <w:rFonts w:asciiTheme="minorHAnsi" w:hAnsiTheme="minorHAnsi"/>
          <w:i/>
          <w:color w:val="4E1A74" w:themeColor="text2"/>
          <w:sz w:val="22"/>
          <w:szCs w:val="22"/>
        </w:rPr>
        <w:t xml:space="preserve"> safety case that are important to safety </w:t>
      </w:r>
      <w:r w:rsidRPr="00D568C5">
        <w:rPr>
          <w:rFonts w:asciiTheme="minorHAnsi" w:hAnsiTheme="minorHAnsi"/>
          <w:i/>
          <w:color w:val="4E1A74" w:themeColor="text2"/>
          <w:sz w:val="22"/>
          <w:szCs w:val="22"/>
        </w:rPr>
        <w:t>after closure.</w:t>
      </w:r>
      <w:bookmarkEnd w:id="108"/>
      <w:r w:rsidRPr="00D568C5">
        <w:rPr>
          <w:rFonts w:asciiTheme="minorHAnsi" w:hAnsiTheme="minorHAnsi"/>
          <w:i/>
          <w:color w:val="4E1A74" w:themeColor="text2"/>
          <w:sz w:val="22"/>
          <w:szCs w:val="22"/>
        </w:rPr>
        <w:t xml:space="preserve"> </w:t>
      </w:r>
    </w:p>
    <w:p w14:paraId="7122E403" w14:textId="28774250"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All operations and activities important to the safety of a disposal facility have to be </w:t>
      </w:r>
      <w:r w:rsidRPr="007C04EC">
        <w:rPr>
          <w:rFonts w:asciiTheme="minorHAnsi" w:hAnsiTheme="minorHAnsi"/>
          <w:snapToGrid w:val="0"/>
          <w:color w:val="444448" w:themeColor="accent4"/>
          <w:sz w:val="22"/>
          <w:szCs w:val="22"/>
          <w:lang w:eastAsia="en-US"/>
        </w:rPr>
        <w:t>subjected</w:t>
      </w:r>
      <w:r w:rsidRPr="00A80F9D">
        <w:rPr>
          <w:rFonts w:asciiTheme="minorHAnsi" w:eastAsia="TimesNewRoman" w:hAnsiTheme="minorHAnsi" w:cstheme="minorHAnsi"/>
          <w:color w:val="444448" w:themeColor="accent4"/>
          <w:sz w:val="22"/>
          <w:szCs w:val="22"/>
        </w:rPr>
        <w:t xml:space="preserve"> to limitations and controls and emergency plans have to be put in place. The various procedures and plans have to be documented and the documentation has to be subject to appropriate control </w:t>
      </w:r>
      <w:r w:rsidRPr="00686DD7">
        <w:rPr>
          <w:rFonts w:asciiTheme="minorHAnsi" w:eastAsia="TimesNewRoman" w:hAnsiTheme="minorHAnsi" w:cstheme="minorHAnsi"/>
          <w:color w:val="444448" w:themeColor="accent4"/>
          <w:sz w:val="22"/>
          <w:szCs w:val="22"/>
        </w:rPr>
        <w:t xml:space="preserve">procedures </w:t>
      </w:r>
      <w:r w:rsidR="006623A6" w:rsidRPr="00686DD7">
        <w:rPr>
          <w:rFonts w:asciiTheme="minorHAnsi" w:eastAsia="TimesNewRoman" w:hAnsiTheme="minorHAnsi" w:cstheme="minorHAnsi"/>
          <w:color w:val="444448" w:themeColor="accent4"/>
          <w:sz w:val="22"/>
          <w:szCs w:val="22"/>
        </w:rPr>
        <w:t>(IAEA 2016a)</w:t>
      </w:r>
      <w:r w:rsidRPr="00686DD7">
        <w:rPr>
          <w:rFonts w:asciiTheme="minorHAnsi" w:eastAsia="TimesNewRoman" w:hAnsiTheme="minorHAnsi" w:cstheme="minorHAnsi"/>
          <w:color w:val="444448" w:themeColor="accent4"/>
          <w:sz w:val="22"/>
          <w:szCs w:val="22"/>
        </w:rPr>
        <w:t>. Th</w:t>
      </w:r>
      <w:r w:rsidRPr="00A80F9D">
        <w:rPr>
          <w:rFonts w:asciiTheme="minorHAnsi" w:eastAsia="TimesNewRoman" w:hAnsiTheme="minorHAnsi" w:cstheme="minorHAnsi"/>
          <w:color w:val="444448" w:themeColor="accent4"/>
          <w:sz w:val="22"/>
          <w:szCs w:val="22"/>
        </w:rPr>
        <w:t xml:space="preserve">e safety case has to address and justify both the design and the operational management arrangements that are used to ensure that the safety objective </w:t>
      </w:r>
      <w:r w:rsidRPr="003C1980">
        <w:rPr>
          <w:rFonts w:asciiTheme="minorHAnsi" w:eastAsia="TimesNewRoman" w:hAnsiTheme="minorHAnsi" w:cstheme="minorHAnsi"/>
          <w:color w:val="444448" w:themeColor="accent4"/>
          <w:sz w:val="22"/>
          <w:szCs w:val="22"/>
        </w:rPr>
        <w:t>and criteria</w:t>
      </w:r>
      <w:r w:rsidR="003C1980" w:rsidRPr="003C1980">
        <w:rPr>
          <w:rFonts w:asciiTheme="minorHAnsi" w:eastAsia="TimesNewRoman" w:hAnsiTheme="minorHAnsi" w:cstheme="minorHAnsi"/>
          <w:color w:val="444448" w:themeColor="accent4"/>
          <w:sz w:val="22"/>
          <w:szCs w:val="22"/>
        </w:rPr>
        <w:t xml:space="preserve"> </w:t>
      </w:r>
      <w:r w:rsidRPr="003C1980">
        <w:rPr>
          <w:rFonts w:asciiTheme="minorHAnsi" w:eastAsia="TimesNewRoman" w:hAnsiTheme="minorHAnsi" w:cstheme="minorHAnsi"/>
          <w:color w:val="444448" w:themeColor="accent4"/>
          <w:sz w:val="22"/>
          <w:szCs w:val="22"/>
        </w:rPr>
        <w:t>are</w:t>
      </w:r>
      <w:r w:rsidRPr="00A80F9D">
        <w:rPr>
          <w:rFonts w:asciiTheme="minorHAnsi" w:eastAsia="TimesNewRoman" w:hAnsiTheme="minorHAnsi" w:cstheme="minorHAnsi"/>
          <w:color w:val="444448" w:themeColor="accent4"/>
          <w:sz w:val="22"/>
          <w:szCs w:val="22"/>
        </w:rPr>
        <w:t xml:space="preserve"> met. Additional, facility specific criteria may be established by the regulatory body or by the operator.</w:t>
      </w:r>
    </w:p>
    <w:p w14:paraId="137C13F7"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case also has to demonstrate that hazards and other radiation risks to workers and to members of the public under conditions of normal operation and anticipated operational occurrences have been reduced as low as reasonably achievable. Active control of safety has to be maintained for as long as the disposal facility remains unsealed, and this may include an </w:t>
      </w:r>
      <w:r w:rsidRPr="007C04EC">
        <w:rPr>
          <w:rFonts w:asciiTheme="minorHAnsi" w:hAnsiTheme="minorHAnsi"/>
          <w:snapToGrid w:val="0"/>
          <w:color w:val="444448" w:themeColor="accent4"/>
          <w:sz w:val="22"/>
          <w:szCs w:val="22"/>
          <w:lang w:eastAsia="en-US"/>
        </w:rPr>
        <w:t>extended</w:t>
      </w:r>
      <w:r w:rsidRPr="00A80F9D">
        <w:rPr>
          <w:rFonts w:asciiTheme="minorHAnsi" w:eastAsia="TimesNewRoman" w:hAnsiTheme="minorHAnsi" w:cstheme="minorHAnsi"/>
          <w:color w:val="444448" w:themeColor="accent4"/>
          <w:sz w:val="22"/>
          <w:szCs w:val="22"/>
        </w:rPr>
        <w:t xml:space="preserve"> period after the emplacement of waste and before the final closure of the facility.</w:t>
      </w:r>
    </w:p>
    <w:p w14:paraId="3E1CF140" w14:textId="6814C342"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09" w:name="_Ref496699796"/>
      <w:r w:rsidRPr="00A80F9D">
        <w:rPr>
          <w:rFonts w:asciiTheme="minorHAnsi" w:eastAsia="TimesNewRoman" w:hAnsiTheme="minorHAnsi" w:cstheme="minorHAnsi"/>
          <w:color w:val="444448" w:themeColor="accent4"/>
          <w:sz w:val="22"/>
          <w:szCs w:val="22"/>
        </w:rPr>
        <w:t>Fissile material, when present, has to be managed and has to be emplaced in the disposal facility in a configuration that will remain subcritical. This may be achieved by various means, including the appropriate distribution of fissile material during the conditioning of the waste and the proper design of the waste packages. Assessments have to be undertaken of the possible evolution of the criticality hazard after waste emplacement, including after closure.</w:t>
      </w:r>
      <w:bookmarkEnd w:id="109"/>
    </w:p>
    <w:p w14:paraId="7F93A3A6" w14:textId="06E298B9" w:rsidR="005028FE" w:rsidRDefault="005028FE" w:rsidP="005028FE">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5028FE" w:rsidRPr="00D2396C" w14:paraId="33D47A66" w14:textId="77777777" w:rsidTr="005028FE">
        <w:tc>
          <w:tcPr>
            <w:tcW w:w="8720" w:type="dxa"/>
            <w:shd w:val="clear" w:color="auto" w:fill="4E1A74" w:themeFill="text2"/>
          </w:tcPr>
          <w:p w14:paraId="3CAC2A03" w14:textId="7B34C736" w:rsidR="005028FE" w:rsidRPr="00AD6C06" w:rsidRDefault="005028FE" w:rsidP="005028FE">
            <w:pPr>
              <w:spacing w:before="120" w:after="120"/>
              <w:ind w:left="1985" w:hanging="1985"/>
              <w:rPr>
                <w:rFonts w:cstheme="minorHAnsi"/>
                <w:b/>
                <w:color w:val="FFFFFF"/>
              </w:rPr>
            </w:pPr>
            <w:r w:rsidRPr="00AD6C06">
              <w:rPr>
                <w:rFonts w:cstheme="minorHAnsi"/>
                <w:b/>
                <w:color w:val="FFFFFF"/>
              </w:rPr>
              <w:t>Closure of a disposal facility</w:t>
            </w:r>
          </w:p>
        </w:tc>
      </w:tr>
    </w:tbl>
    <w:p w14:paraId="493C8392" w14:textId="77777777" w:rsidR="005028FE"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0" w:name="_Ref496699814"/>
      <w:r w:rsidRPr="00D568C5">
        <w:rPr>
          <w:rFonts w:asciiTheme="minorHAnsi" w:hAnsiTheme="minorHAnsi"/>
          <w:i/>
          <w:color w:val="4E1A74" w:themeColor="text2"/>
          <w:sz w:val="22"/>
          <w:szCs w:val="22"/>
        </w:rPr>
        <w:t xml:space="preserve">A disposal facility shall </w:t>
      </w:r>
      <w:r w:rsidRPr="007C04EC">
        <w:rPr>
          <w:rFonts w:asciiTheme="minorHAnsi" w:hAnsiTheme="minorHAnsi"/>
          <w:i/>
          <w:color w:val="4E1A74" w:themeColor="text2"/>
          <w:sz w:val="22"/>
          <w:szCs w:val="22"/>
        </w:rPr>
        <w:t>be</w:t>
      </w:r>
      <w:r w:rsidRPr="00D568C5">
        <w:rPr>
          <w:rFonts w:asciiTheme="minorHAnsi" w:hAnsiTheme="minorHAnsi"/>
          <w:i/>
          <w:color w:val="4E1A74" w:themeColor="text2"/>
          <w:sz w:val="22"/>
          <w:szCs w:val="22"/>
        </w:rPr>
        <w:t xml:space="preserve"> closed in a way that provides for those safety functions that have been shown by the safety case to be important after closure. Plans for closure, including the transition from active management of the facility, shall be well defined and practicable, so that closure can be carried out safely at an appropriate time.</w:t>
      </w:r>
      <w:bookmarkEnd w:id="110"/>
      <w:r w:rsidRPr="00D568C5">
        <w:rPr>
          <w:rFonts w:asciiTheme="minorHAnsi" w:hAnsiTheme="minorHAnsi"/>
          <w:i/>
          <w:color w:val="4E1A74" w:themeColor="text2"/>
          <w:sz w:val="22"/>
          <w:szCs w:val="22"/>
        </w:rPr>
        <w:t xml:space="preserve"> </w:t>
      </w:r>
    </w:p>
    <w:p w14:paraId="139B373B"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safety of a disposal facility after closure will depend on a number of activities and design </w:t>
      </w:r>
      <w:r w:rsidRPr="007C04EC">
        <w:rPr>
          <w:rFonts w:asciiTheme="minorHAnsi" w:hAnsiTheme="minorHAnsi"/>
          <w:snapToGrid w:val="0"/>
          <w:color w:val="444448" w:themeColor="accent4"/>
          <w:sz w:val="22"/>
          <w:szCs w:val="22"/>
          <w:lang w:eastAsia="en-US"/>
        </w:rPr>
        <w:t>features</w:t>
      </w:r>
      <w:r w:rsidRPr="00A80F9D">
        <w:rPr>
          <w:rFonts w:asciiTheme="minorHAnsi" w:eastAsia="TimesNewRoman" w:hAnsiTheme="minorHAnsi" w:cstheme="minorHAnsi"/>
          <w:color w:val="444448" w:themeColor="accent4"/>
          <w:sz w:val="22"/>
          <w:szCs w:val="22"/>
        </w:rPr>
        <w:t>, which can include the backfilling and sealing or capping of the disposal facility. Closure has to be considered in the initial design of the facility, and plans for closure and seal or cap designs have to be updated as the design of the facility is developed. Before construction activities commence, there has to be sufficient evidence that the performance of the backfilling, sealing and capping will function as intended to meet the design requirements.</w:t>
      </w:r>
    </w:p>
    <w:p w14:paraId="320993B0" w14:textId="1305F9B1"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disposal facility </w:t>
      </w:r>
      <w:r w:rsidRPr="007C04EC">
        <w:rPr>
          <w:rFonts w:asciiTheme="minorHAnsi" w:hAnsiTheme="minorHAnsi"/>
          <w:snapToGrid w:val="0"/>
          <w:color w:val="444448" w:themeColor="accent4"/>
          <w:sz w:val="22"/>
          <w:szCs w:val="22"/>
          <w:lang w:eastAsia="en-US"/>
        </w:rPr>
        <w:t>has</w:t>
      </w:r>
      <w:r w:rsidRPr="00A80F9D">
        <w:rPr>
          <w:rFonts w:asciiTheme="minorHAnsi" w:eastAsia="TimesNewRoman" w:hAnsiTheme="minorHAnsi" w:cstheme="minorHAnsi"/>
          <w:color w:val="444448" w:themeColor="accent4"/>
          <w:sz w:val="22"/>
          <w:szCs w:val="22"/>
        </w:rPr>
        <w:t xml:space="preserve"> to be closed in accordance with the conditions set for closure by the regulatory</w:t>
      </w:r>
      <w:r w:rsidR="00DF1C03">
        <w:rPr>
          <w:rFonts w:asciiTheme="minorHAnsi" w:eastAsia="TimesNewRoman" w:hAnsiTheme="minorHAnsi" w:cstheme="minorHAnsi"/>
          <w:color w:val="444448" w:themeColor="accent4"/>
          <w:sz w:val="22"/>
          <w:szCs w:val="22"/>
        </w:rPr>
        <w:t xml:space="preserve"> body in the facility’s authoris</w:t>
      </w:r>
      <w:r w:rsidRPr="00A80F9D">
        <w:rPr>
          <w:rFonts w:asciiTheme="minorHAnsi" w:eastAsia="TimesNewRoman" w:hAnsiTheme="minorHAnsi" w:cstheme="minorHAnsi"/>
          <w:color w:val="444448" w:themeColor="accent4"/>
          <w:sz w:val="22"/>
          <w:szCs w:val="22"/>
        </w:rPr>
        <w:t>ation, with particular consideration given to any changes in responsibility that may occur at this stage. Consistent with this, the installation of closure features may be performed in parallel with waste emplacement operations.</w:t>
      </w:r>
    </w:p>
    <w:p w14:paraId="0CE83FD2" w14:textId="77777777" w:rsidR="005028FE"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Backfilling and the placement of seals or caps may be delayed for a period after the completion of waste emplacement, for example, to allow for monitoring to assess aspects relating to safety after closure or for reasons relating to public acceptability. If such features are not to be put in place for </w:t>
      </w:r>
      <w:r w:rsidRPr="00A80F9D">
        <w:rPr>
          <w:rFonts w:asciiTheme="minorHAnsi" w:eastAsia="TimesNewRoman" w:hAnsiTheme="minorHAnsi" w:cstheme="minorHAnsi"/>
          <w:color w:val="444448" w:themeColor="accent4"/>
          <w:sz w:val="22"/>
          <w:szCs w:val="22"/>
        </w:rPr>
        <w:lastRenderedPageBreak/>
        <w:t xml:space="preserve">a period of time after the completion of waste emplacement, then the implications for safety during operation and after closure have to be considered in the safety </w:t>
      </w:r>
      <w:r w:rsidRPr="007C04EC">
        <w:rPr>
          <w:rFonts w:asciiTheme="minorHAnsi" w:hAnsiTheme="minorHAnsi"/>
          <w:snapToGrid w:val="0"/>
          <w:color w:val="444448" w:themeColor="accent4"/>
          <w:sz w:val="22"/>
          <w:szCs w:val="22"/>
          <w:lang w:eastAsia="en-US"/>
        </w:rPr>
        <w:t>case</w:t>
      </w:r>
      <w:r w:rsidRPr="00A80F9D">
        <w:rPr>
          <w:rFonts w:asciiTheme="minorHAnsi" w:eastAsia="TimesNewRoman" w:hAnsiTheme="minorHAnsi" w:cstheme="minorHAnsi"/>
          <w:color w:val="444448" w:themeColor="accent4"/>
          <w:sz w:val="22"/>
          <w:szCs w:val="22"/>
        </w:rPr>
        <w:t>.</w:t>
      </w:r>
    </w:p>
    <w:p w14:paraId="7499B343" w14:textId="7B3483B9"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1" w:name="_Ref496696155"/>
      <w:bookmarkStart w:id="112" w:name="_Ref496699816"/>
      <w:r w:rsidRPr="00A80F9D">
        <w:rPr>
          <w:rFonts w:asciiTheme="minorHAnsi" w:eastAsia="TimesNewRoman" w:hAnsiTheme="minorHAnsi" w:cstheme="minorHAnsi"/>
          <w:color w:val="444448" w:themeColor="accent4"/>
          <w:sz w:val="22"/>
          <w:szCs w:val="22"/>
        </w:rPr>
        <w:t xml:space="preserve">Availability of the </w:t>
      </w:r>
      <w:r w:rsidRPr="007C04EC">
        <w:rPr>
          <w:rFonts w:asciiTheme="minorHAnsi" w:hAnsiTheme="minorHAnsi"/>
          <w:snapToGrid w:val="0"/>
          <w:color w:val="444448" w:themeColor="accent4"/>
          <w:sz w:val="22"/>
          <w:szCs w:val="22"/>
          <w:lang w:eastAsia="en-US"/>
        </w:rPr>
        <w:t>necessary</w:t>
      </w:r>
      <w:r w:rsidRPr="00A80F9D">
        <w:rPr>
          <w:rFonts w:asciiTheme="minorHAnsi" w:eastAsia="TimesNewRoman" w:hAnsiTheme="minorHAnsi" w:cstheme="minorHAnsi"/>
          <w:color w:val="444448" w:themeColor="accent4"/>
          <w:sz w:val="22"/>
          <w:szCs w:val="22"/>
        </w:rPr>
        <w:t xml:space="preserve"> technical and financial resources to achieve closure has to be assured</w:t>
      </w:r>
      <w:r w:rsidR="00764F9D">
        <w:rPr>
          <w:rFonts w:asciiTheme="minorHAnsi" w:eastAsia="TimesNewRoman" w:hAnsiTheme="minorHAnsi" w:cstheme="minorHAnsi"/>
          <w:color w:val="444448" w:themeColor="accent4"/>
          <w:sz w:val="22"/>
          <w:szCs w:val="22"/>
        </w:rPr>
        <w:t>, including</w:t>
      </w:r>
      <w:r w:rsidRPr="00A80F9D">
        <w:rPr>
          <w:rFonts w:asciiTheme="minorHAnsi" w:eastAsia="TimesNewRoman" w:hAnsiTheme="minorHAnsi" w:cstheme="minorHAnsi"/>
          <w:color w:val="444448" w:themeColor="accent4"/>
          <w:sz w:val="22"/>
          <w:szCs w:val="22"/>
        </w:rPr>
        <w:t xml:space="preserve"> by means of </w:t>
      </w:r>
      <w:r w:rsidR="00764F9D">
        <w:rPr>
          <w:rFonts w:asciiTheme="minorHAnsi" w:eastAsia="TimesNewRoman" w:hAnsiTheme="minorHAnsi" w:cstheme="minorHAnsi"/>
          <w:color w:val="444448" w:themeColor="accent4"/>
          <w:sz w:val="22"/>
          <w:szCs w:val="22"/>
        </w:rPr>
        <w:t xml:space="preserve">clauses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_Ref496697609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C022DF">
        <w:rPr>
          <w:rFonts w:asciiTheme="minorHAnsi" w:eastAsia="TimesNewRoman" w:hAnsiTheme="minorHAnsi" w:cstheme="minorHAnsi"/>
          <w:color w:val="444448" w:themeColor="accent4"/>
          <w:sz w:val="22"/>
          <w:szCs w:val="22"/>
        </w:rPr>
        <w:t>3.2.1</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 xml:space="preserve"> to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_Ref496697618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C022DF">
        <w:rPr>
          <w:rFonts w:asciiTheme="minorHAnsi" w:eastAsia="TimesNewRoman" w:hAnsiTheme="minorHAnsi" w:cstheme="minorHAnsi"/>
          <w:color w:val="444448" w:themeColor="accent4"/>
          <w:sz w:val="22"/>
          <w:szCs w:val="22"/>
        </w:rPr>
        <w:t>3.2.6</w:t>
      </w:r>
      <w:r w:rsidR="00764F9D">
        <w:rPr>
          <w:rFonts w:asciiTheme="minorHAnsi" w:eastAsia="TimesNewRoman" w:hAnsiTheme="minorHAnsi" w:cstheme="minorHAnsi"/>
          <w:color w:val="444448" w:themeColor="accent4"/>
          <w:sz w:val="22"/>
          <w:szCs w:val="22"/>
        </w:rPr>
        <w:fldChar w:fldCharType="end"/>
      </w:r>
      <w:bookmarkEnd w:id="111"/>
      <w:r w:rsidR="00764F9D">
        <w:rPr>
          <w:rFonts w:asciiTheme="minorHAnsi" w:eastAsia="TimesNewRoman" w:hAnsiTheme="minorHAnsi" w:cstheme="minorHAnsi"/>
          <w:color w:val="444448" w:themeColor="accent4"/>
          <w:sz w:val="22"/>
          <w:szCs w:val="22"/>
        </w:rPr>
        <w:t>.</w:t>
      </w:r>
      <w:bookmarkEnd w:id="112"/>
    </w:p>
    <w:p w14:paraId="182D3AAB" w14:textId="209479AA" w:rsidR="005028FE" w:rsidRDefault="00297AE6" w:rsidP="00D568C5">
      <w:pPr>
        <w:pStyle w:val="Heading3"/>
        <w:rPr>
          <w:rFonts w:eastAsia="TimesNewRoman"/>
        </w:rPr>
      </w:pPr>
      <w:bookmarkStart w:id="113" w:name="_Toc524085224"/>
      <w:r w:rsidRPr="00297AE6">
        <w:rPr>
          <w:rFonts w:eastAsia="TimesNewRoman"/>
        </w:rPr>
        <w:t>Assurance of Safety</w:t>
      </w:r>
      <w:bookmarkEnd w:id="113"/>
      <w:r w:rsidRPr="00297AE6">
        <w:rPr>
          <w:rFonts w:eastAsia="TimesNewRoman"/>
        </w:rPr>
        <w:t xml:space="preserve"> </w:t>
      </w: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78BFD123" w14:textId="77777777" w:rsidTr="001618F3">
        <w:tc>
          <w:tcPr>
            <w:tcW w:w="8720" w:type="dxa"/>
            <w:shd w:val="clear" w:color="auto" w:fill="4E1A74" w:themeFill="text2"/>
          </w:tcPr>
          <w:p w14:paraId="1AE9070A" w14:textId="0B50A722" w:rsidR="00297AE6" w:rsidRPr="00AD6C06" w:rsidRDefault="00297AE6" w:rsidP="001618F3">
            <w:pPr>
              <w:spacing w:before="120" w:after="120"/>
              <w:ind w:left="1985" w:hanging="1985"/>
              <w:rPr>
                <w:rFonts w:cstheme="minorHAnsi"/>
                <w:b/>
                <w:color w:val="FFFFFF"/>
              </w:rPr>
            </w:pPr>
            <w:r w:rsidRPr="00AD6C06">
              <w:rPr>
                <w:rFonts w:cstheme="minorHAnsi"/>
                <w:b/>
                <w:color w:val="FFFFFF"/>
              </w:rPr>
              <w:t>Waste acceptance</w:t>
            </w:r>
            <w:r w:rsidR="00640CD1" w:rsidRPr="00AD6C06">
              <w:rPr>
                <w:rFonts w:cstheme="minorHAnsi"/>
                <w:b/>
                <w:color w:val="FFFFFF"/>
              </w:rPr>
              <w:t xml:space="preserve"> criteria</w:t>
            </w:r>
            <w:r w:rsidRPr="00AD6C06">
              <w:rPr>
                <w:rFonts w:cstheme="minorHAnsi"/>
                <w:b/>
                <w:color w:val="FFFFFF"/>
              </w:rPr>
              <w:t xml:space="preserve"> in a disposal facility</w:t>
            </w:r>
          </w:p>
        </w:tc>
      </w:tr>
    </w:tbl>
    <w:p w14:paraId="1546F8F9"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4" w:name="_Ref496697713"/>
      <w:r w:rsidRPr="00D568C5">
        <w:rPr>
          <w:rFonts w:asciiTheme="minorHAnsi" w:hAnsiTheme="minorHAnsi"/>
          <w:i/>
          <w:color w:val="4E1A74" w:themeColor="text2"/>
          <w:sz w:val="22"/>
          <w:szCs w:val="22"/>
        </w:rPr>
        <w:t xml:space="preserve">Waste packages and unpackaged waste accepted for emplacement in a disposal facility shall </w:t>
      </w:r>
      <w:r w:rsidRPr="007C04EC">
        <w:rPr>
          <w:rFonts w:asciiTheme="minorHAnsi" w:hAnsiTheme="minorHAnsi"/>
          <w:i/>
          <w:color w:val="4E1A74" w:themeColor="text2"/>
          <w:sz w:val="22"/>
          <w:szCs w:val="22"/>
        </w:rPr>
        <w:t>conform</w:t>
      </w:r>
      <w:r w:rsidRPr="00D568C5">
        <w:rPr>
          <w:rFonts w:asciiTheme="minorHAnsi" w:hAnsiTheme="minorHAnsi"/>
          <w:i/>
          <w:color w:val="4E1A74" w:themeColor="text2"/>
          <w:sz w:val="22"/>
          <w:szCs w:val="22"/>
        </w:rPr>
        <w:t xml:space="preserve"> to criteria that are fully consistent with, and are derived from, the safety case for the disposal facility in operation and after closure.</w:t>
      </w:r>
      <w:bookmarkEnd w:id="114"/>
      <w:r w:rsidRPr="00D568C5">
        <w:rPr>
          <w:rFonts w:asciiTheme="minorHAnsi" w:hAnsiTheme="minorHAnsi"/>
          <w:i/>
          <w:color w:val="4E1A74" w:themeColor="text2"/>
          <w:sz w:val="22"/>
          <w:szCs w:val="22"/>
        </w:rPr>
        <w:t xml:space="preserve">  </w:t>
      </w:r>
    </w:p>
    <w:p w14:paraId="11AF9088"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Waste acceptance requirements and criteria for a given disposal facility have to ensure the safe handling of waste packages and unpackaged waste in conditions of normal operation and anticipated operational occurrences. They also have to ensure the fulfilment of the safety functions for the waste form and waste packaging with regard to safety in the long term. Examples of possible parameters for waste acceptance criteria include the characteristics and performance requirements of the waste packages and the unpackaged waste to be disposed of, such as the radionuclide content or activity limits, the heat output and the properties of the waste form and packaging.</w:t>
      </w:r>
    </w:p>
    <w:p w14:paraId="7B440D78"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Modelling and/or testing of the behaviour of waste forms has to be undertaken to ensure the physical and chemical stability of the different waste packages and unpackaged waste under the conditions expected in the disposal facility, and to ensure their adequate performance in the event of anticipated operational occurrences or accidents.</w:t>
      </w:r>
    </w:p>
    <w:p w14:paraId="21862BF8" w14:textId="0B056F48"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5" w:name="_Ref496697717"/>
      <w:r w:rsidRPr="00A80F9D">
        <w:rPr>
          <w:rFonts w:asciiTheme="minorHAnsi" w:eastAsia="TimesNewRoman" w:hAnsiTheme="minorHAnsi" w:cstheme="minorHAnsi"/>
          <w:color w:val="444448" w:themeColor="accent4"/>
          <w:sz w:val="22"/>
          <w:szCs w:val="22"/>
        </w:rPr>
        <w:t>Waste intended fo</w:t>
      </w:r>
      <w:r w:rsidR="00DF1C03">
        <w:rPr>
          <w:rFonts w:asciiTheme="minorHAnsi" w:eastAsia="TimesNewRoman" w:hAnsiTheme="minorHAnsi" w:cstheme="minorHAnsi"/>
          <w:color w:val="444448" w:themeColor="accent4"/>
          <w:sz w:val="22"/>
          <w:szCs w:val="22"/>
        </w:rPr>
        <w:t>r disposal has to be characteris</w:t>
      </w:r>
      <w:r w:rsidRPr="00A80F9D">
        <w:rPr>
          <w:rFonts w:asciiTheme="minorHAnsi" w:eastAsia="TimesNewRoman" w:hAnsiTheme="minorHAnsi" w:cstheme="minorHAnsi"/>
          <w:color w:val="444448" w:themeColor="accent4"/>
          <w:sz w:val="22"/>
          <w:szCs w:val="22"/>
        </w:rPr>
        <w:t xml:space="preserve">ed to provide sufficient information to </w:t>
      </w:r>
      <w:r w:rsidRPr="007C04EC">
        <w:rPr>
          <w:rFonts w:asciiTheme="minorHAnsi" w:hAnsiTheme="minorHAnsi"/>
          <w:snapToGrid w:val="0"/>
          <w:color w:val="444448" w:themeColor="accent4"/>
          <w:sz w:val="22"/>
          <w:szCs w:val="22"/>
          <w:lang w:eastAsia="en-US"/>
        </w:rPr>
        <w:t>ensure</w:t>
      </w:r>
      <w:r w:rsidRPr="00A80F9D">
        <w:rPr>
          <w:rFonts w:asciiTheme="minorHAnsi" w:eastAsia="TimesNewRoman" w:hAnsiTheme="minorHAnsi" w:cstheme="minorHAnsi"/>
          <w:color w:val="444448" w:themeColor="accent4"/>
          <w:sz w:val="22"/>
          <w:szCs w:val="22"/>
        </w:rPr>
        <w:t xml:space="preserve"> compliance with waste acceptance requirements and criteria. Arrangements have to be put in place to verify that the waste and waste packages received for disposal comply with these requirements and criteria and, if not, to confirm that corrective measures are taken by the generator of the waste or the operator of the disposal facility. Quality control of waste packages has to be undertaken and is achieved mainly on the basis of records, preconditioning testing (e.g. of containers) and control of the conditioning process. Post-conditioning testing and the need for corrective measures have to be limited as far as practicable.</w:t>
      </w:r>
      <w:bookmarkEnd w:id="115"/>
    </w:p>
    <w:p w14:paraId="26E20222" w14:textId="77777777"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0DC21BEB" w14:textId="77777777" w:rsidTr="001618F3">
        <w:tc>
          <w:tcPr>
            <w:tcW w:w="8720" w:type="dxa"/>
            <w:shd w:val="clear" w:color="auto" w:fill="4E1A74" w:themeFill="text2"/>
          </w:tcPr>
          <w:p w14:paraId="18F518B8" w14:textId="27FDD5F4" w:rsidR="00297AE6" w:rsidRPr="00AD6C06" w:rsidRDefault="00297AE6" w:rsidP="001618F3">
            <w:pPr>
              <w:spacing w:before="120" w:after="120"/>
              <w:ind w:left="1985" w:hanging="1985"/>
              <w:rPr>
                <w:rFonts w:cstheme="minorHAnsi"/>
                <w:b/>
                <w:color w:val="FFFFFF"/>
              </w:rPr>
            </w:pPr>
            <w:r w:rsidRPr="00AD6C06">
              <w:rPr>
                <w:rFonts w:cstheme="minorHAnsi"/>
                <w:b/>
                <w:color w:val="FFFFFF"/>
              </w:rPr>
              <w:t>Monitoring programmes at a disposal facility</w:t>
            </w:r>
          </w:p>
        </w:tc>
      </w:tr>
    </w:tbl>
    <w:p w14:paraId="3DD5E8D8"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6" w:name="_Ref496697768"/>
      <w:r w:rsidRPr="00D568C5">
        <w:rPr>
          <w:rFonts w:asciiTheme="minorHAnsi" w:hAnsiTheme="minorHAnsi"/>
          <w:i/>
          <w:color w:val="4E1A74" w:themeColor="text2"/>
          <w:sz w:val="22"/>
          <w:szCs w:val="22"/>
        </w:rPr>
        <w:t xml:space="preserve">A programme of monitoring shall be carried out prior to, and during, the construction and operation of a disposal facility and after its closure, if this is part of the safety case. This programme shall be designed to collect and update information necessary for the purposes of protection and safety. Information shall be obtained to confirm the conditions necessary for the safety of workers and members of the public and protection of the environment during the period of operation of the </w:t>
      </w:r>
      <w:r w:rsidRPr="00D568C5">
        <w:rPr>
          <w:rFonts w:asciiTheme="minorHAnsi" w:hAnsiTheme="minorHAnsi"/>
          <w:i/>
          <w:color w:val="4E1A74" w:themeColor="text2"/>
          <w:sz w:val="22"/>
          <w:szCs w:val="22"/>
        </w:rPr>
        <w:lastRenderedPageBreak/>
        <w:t>facility. Monitoring shall also be carried out to confirm the absence of any conditions that could affect the safety of the facility after closure.</w:t>
      </w:r>
      <w:bookmarkEnd w:id="116"/>
      <w:r w:rsidRPr="00D568C5">
        <w:rPr>
          <w:rFonts w:asciiTheme="minorHAnsi" w:hAnsiTheme="minorHAnsi"/>
          <w:i/>
          <w:color w:val="4E1A74" w:themeColor="text2"/>
          <w:sz w:val="22"/>
          <w:szCs w:val="22"/>
        </w:rPr>
        <w:t xml:space="preserve"> </w:t>
      </w:r>
    </w:p>
    <w:p w14:paraId="77741448"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Monitoring has to be carried out at each step in the development and in the operation </w:t>
      </w:r>
      <w:r w:rsidRPr="007C04EC">
        <w:rPr>
          <w:rFonts w:asciiTheme="minorHAnsi" w:hAnsiTheme="minorHAnsi"/>
          <w:snapToGrid w:val="0"/>
          <w:color w:val="444448" w:themeColor="accent4"/>
          <w:sz w:val="22"/>
          <w:szCs w:val="22"/>
          <w:lang w:eastAsia="en-US"/>
        </w:rPr>
        <w:t>of</w:t>
      </w:r>
      <w:r w:rsidRPr="00A80F9D">
        <w:rPr>
          <w:rFonts w:asciiTheme="minorHAnsi" w:eastAsia="TimesNewRoman" w:hAnsiTheme="minorHAnsi" w:cstheme="minorHAnsi"/>
          <w:color w:val="444448" w:themeColor="accent4"/>
          <w:sz w:val="22"/>
          <w:szCs w:val="22"/>
        </w:rPr>
        <w:t xml:space="preserve"> a disposal facility. The purposes of the monitoring programme include:</w:t>
      </w:r>
    </w:p>
    <w:p w14:paraId="07580F70" w14:textId="05CFE7C9"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o</w:t>
      </w:r>
      <w:r w:rsidR="003467C2" w:rsidRPr="00A80F9D">
        <w:rPr>
          <w:rFonts w:asciiTheme="minorHAnsi" w:eastAsia="TimesNewRoman" w:hAnsiTheme="minorHAnsi" w:cstheme="minorHAnsi"/>
          <w:color w:val="444448" w:themeColor="accent4"/>
          <w:sz w:val="22"/>
          <w:szCs w:val="22"/>
        </w:rPr>
        <w:t>btaining informa</w:t>
      </w:r>
      <w:r>
        <w:rPr>
          <w:rFonts w:asciiTheme="minorHAnsi" w:eastAsia="TimesNewRoman" w:hAnsiTheme="minorHAnsi" w:cstheme="minorHAnsi"/>
          <w:color w:val="444448" w:themeColor="accent4"/>
          <w:sz w:val="22"/>
          <w:szCs w:val="22"/>
        </w:rPr>
        <w:t>tion for subsequent assessments</w:t>
      </w:r>
    </w:p>
    <w:p w14:paraId="228C8682" w14:textId="1D51071F"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assurance of operational safety</w:t>
      </w:r>
    </w:p>
    <w:p w14:paraId="3FC0F2FA" w14:textId="6ABD02D5"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a</w:t>
      </w:r>
      <w:r w:rsidR="003467C2" w:rsidRPr="00A80F9D">
        <w:rPr>
          <w:rFonts w:asciiTheme="minorHAnsi" w:eastAsia="TimesNewRoman" w:hAnsiTheme="minorHAnsi" w:cstheme="minorHAnsi"/>
          <w:color w:val="444448" w:themeColor="accent4"/>
          <w:sz w:val="22"/>
          <w:szCs w:val="22"/>
        </w:rPr>
        <w:t>ssurance that conditions at the facility for operation are consis</w:t>
      </w:r>
      <w:r>
        <w:rPr>
          <w:rFonts w:asciiTheme="minorHAnsi" w:eastAsia="TimesNewRoman" w:hAnsiTheme="minorHAnsi" w:cstheme="minorHAnsi"/>
          <w:color w:val="444448" w:themeColor="accent4"/>
          <w:sz w:val="22"/>
          <w:szCs w:val="22"/>
        </w:rPr>
        <w:t>tent with the safety assessment</w:t>
      </w:r>
    </w:p>
    <w:p w14:paraId="1D802745" w14:textId="70BD432B" w:rsidR="00297AE6" w:rsidRPr="00A80F9D" w:rsidRDefault="00437743" w:rsidP="003467C2">
      <w:pPr>
        <w:pStyle w:val="RPSBodyTextalpha"/>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c</w:t>
      </w:r>
      <w:r w:rsidR="003467C2" w:rsidRPr="00A80F9D">
        <w:rPr>
          <w:rFonts w:asciiTheme="minorHAnsi" w:eastAsia="TimesNewRoman" w:hAnsiTheme="minorHAnsi" w:cstheme="minorHAnsi"/>
          <w:color w:val="444448" w:themeColor="accent4"/>
          <w:sz w:val="22"/>
          <w:szCs w:val="22"/>
        </w:rPr>
        <w:t>onfirmation that conditions are consistent with safety after closure.</w:t>
      </w:r>
    </w:p>
    <w:p w14:paraId="2568CD6D" w14:textId="3E48226D" w:rsidR="00297AE6" w:rsidRPr="00B52F5B"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3C1980">
        <w:rPr>
          <w:rFonts w:asciiTheme="minorHAnsi" w:eastAsia="TimesNewRoman" w:hAnsiTheme="minorHAnsi" w:cstheme="minorHAnsi"/>
          <w:color w:val="444448" w:themeColor="accent4"/>
          <w:sz w:val="22"/>
          <w:szCs w:val="22"/>
        </w:rPr>
        <w:t xml:space="preserve">Guidance is </w:t>
      </w:r>
      <w:r w:rsidRPr="00B52F5B">
        <w:rPr>
          <w:rFonts w:asciiTheme="minorHAnsi" w:eastAsia="TimesNewRoman" w:hAnsiTheme="minorHAnsi" w:cstheme="minorHAnsi"/>
          <w:color w:val="444448" w:themeColor="accent4"/>
          <w:sz w:val="22"/>
          <w:szCs w:val="22"/>
        </w:rPr>
        <w:t>provided in</w:t>
      </w:r>
      <w:r w:rsidR="004E1786">
        <w:rPr>
          <w:rFonts w:asciiTheme="minorHAnsi" w:eastAsia="TimesNewRoman" w:hAnsiTheme="minorHAnsi" w:cstheme="minorHAnsi"/>
          <w:color w:val="444448" w:themeColor="accent4"/>
          <w:sz w:val="22"/>
          <w:szCs w:val="22"/>
        </w:rPr>
        <w:t xml:space="preserve"> the IAEA Safety Guide</w:t>
      </w:r>
      <w:r w:rsidR="006623A6" w:rsidRPr="00B52F5B">
        <w:rPr>
          <w:rFonts w:asciiTheme="minorHAnsi" w:eastAsia="TimesNewRoman" w:hAnsiTheme="minorHAnsi" w:cstheme="minorHAnsi"/>
          <w:color w:val="444448" w:themeColor="accent4"/>
          <w:sz w:val="22"/>
          <w:szCs w:val="22"/>
        </w:rPr>
        <w:t xml:space="preserve"> </w:t>
      </w:r>
      <w:r w:rsidR="006623A6" w:rsidRPr="00B52F5B">
        <w:rPr>
          <w:rFonts w:asciiTheme="minorHAnsi" w:eastAsia="TimesNewRoman" w:hAnsiTheme="minorHAnsi" w:cstheme="minorHAnsi"/>
          <w:i/>
          <w:color w:val="444448" w:themeColor="accent4"/>
          <w:sz w:val="22"/>
          <w:szCs w:val="22"/>
        </w:rPr>
        <w:t xml:space="preserve">Environmental and Source Monitoring for Purposes of Radiation Protection </w:t>
      </w:r>
      <w:r w:rsidR="006623A6" w:rsidRPr="00B52F5B">
        <w:rPr>
          <w:rFonts w:asciiTheme="minorHAnsi" w:eastAsia="TimesNewRoman" w:hAnsiTheme="minorHAnsi" w:cstheme="minorHAnsi"/>
          <w:color w:val="444448" w:themeColor="accent4"/>
          <w:sz w:val="22"/>
          <w:szCs w:val="22"/>
        </w:rPr>
        <w:t>(IAEA 2005)</w:t>
      </w:r>
      <w:r w:rsidRPr="00B52F5B">
        <w:rPr>
          <w:rFonts w:asciiTheme="minorHAnsi" w:eastAsia="TimesNewRoman" w:hAnsiTheme="minorHAnsi" w:cstheme="minorHAnsi"/>
          <w:color w:val="444448" w:themeColor="accent4"/>
          <w:sz w:val="22"/>
          <w:szCs w:val="22"/>
        </w:rPr>
        <w:t xml:space="preserve">. Monitoring programmes have to be designed </w:t>
      </w:r>
      <w:r w:rsidRPr="00B52F5B">
        <w:rPr>
          <w:rFonts w:asciiTheme="minorHAnsi" w:hAnsiTheme="minorHAnsi"/>
          <w:snapToGrid w:val="0"/>
          <w:color w:val="444448" w:themeColor="accent4"/>
          <w:sz w:val="22"/>
          <w:szCs w:val="22"/>
          <w:lang w:eastAsia="en-US"/>
        </w:rPr>
        <w:t>and</w:t>
      </w:r>
      <w:r w:rsidRPr="00B52F5B">
        <w:rPr>
          <w:rFonts w:asciiTheme="minorHAnsi" w:eastAsia="TimesNewRoman" w:hAnsiTheme="minorHAnsi" w:cstheme="minorHAnsi"/>
          <w:color w:val="444448" w:themeColor="accent4"/>
          <w:sz w:val="22"/>
          <w:szCs w:val="22"/>
        </w:rPr>
        <w:t xml:space="preserve"> implemented so as not to reduce the overall level of safety of the facility after closure.</w:t>
      </w:r>
    </w:p>
    <w:p w14:paraId="41905F79" w14:textId="06C1C9F4"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7" w:name="_Ref496699856"/>
      <w:r w:rsidRPr="00B52F5B">
        <w:rPr>
          <w:rFonts w:asciiTheme="minorHAnsi" w:eastAsia="TimesNewRoman" w:hAnsiTheme="minorHAnsi" w:cstheme="minorHAnsi"/>
          <w:color w:val="444448" w:themeColor="accent4"/>
          <w:sz w:val="22"/>
          <w:szCs w:val="22"/>
        </w:rPr>
        <w:t xml:space="preserve">A discussion of monitoring relating to the safety of geological disposal facilities after </w:t>
      </w:r>
      <w:r w:rsidRPr="00B52F5B">
        <w:rPr>
          <w:rFonts w:asciiTheme="minorHAnsi" w:hAnsiTheme="minorHAnsi"/>
          <w:snapToGrid w:val="0"/>
          <w:color w:val="444448" w:themeColor="accent4"/>
          <w:sz w:val="22"/>
          <w:szCs w:val="22"/>
          <w:lang w:eastAsia="en-US"/>
        </w:rPr>
        <w:t>closure</w:t>
      </w:r>
      <w:r w:rsidRPr="00B52F5B">
        <w:rPr>
          <w:rFonts w:asciiTheme="minorHAnsi" w:eastAsia="TimesNewRoman" w:hAnsiTheme="minorHAnsi" w:cstheme="minorHAnsi"/>
          <w:color w:val="444448" w:themeColor="accent4"/>
          <w:sz w:val="22"/>
          <w:szCs w:val="22"/>
        </w:rPr>
        <w:t xml:space="preserve"> is given in an IAEA TECDOC</w:t>
      </w:r>
      <w:r w:rsidR="003C1980" w:rsidRPr="00B52F5B">
        <w:rPr>
          <w:rFonts w:asciiTheme="minorHAnsi" w:eastAsia="TimesNewRoman" w:hAnsiTheme="minorHAnsi" w:cstheme="minorHAnsi"/>
          <w:color w:val="444448" w:themeColor="accent4"/>
          <w:sz w:val="22"/>
          <w:szCs w:val="22"/>
        </w:rPr>
        <w:t xml:space="preserve"> (</w:t>
      </w:r>
      <w:r w:rsidR="00C00012" w:rsidRPr="00B52F5B">
        <w:rPr>
          <w:rFonts w:asciiTheme="minorHAnsi" w:eastAsia="TimesNewRoman" w:hAnsiTheme="minorHAnsi" w:cstheme="minorHAnsi"/>
          <w:color w:val="444448" w:themeColor="accent4"/>
          <w:sz w:val="22"/>
          <w:szCs w:val="22"/>
        </w:rPr>
        <w:t>IAEA 2001)</w:t>
      </w:r>
      <w:r w:rsidRPr="00B52F5B">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xml:space="preserve"> Plans for monitoring with the aim of providing assurance of safety after closure have to be drawn up before the construction of a geological disposal facility to indicate possible monitoring strategies. However, plans have to remain flexible and, if necessary, they will have to be revised and updated during the development and operation of the facility.</w:t>
      </w:r>
      <w:bookmarkEnd w:id="117"/>
    </w:p>
    <w:p w14:paraId="253ABA18" w14:textId="203E556E"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357879CA" w14:textId="77777777" w:rsidTr="001618F3">
        <w:tc>
          <w:tcPr>
            <w:tcW w:w="8720" w:type="dxa"/>
            <w:shd w:val="clear" w:color="auto" w:fill="4E1A74" w:themeFill="text2"/>
          </w:tcPr>
          <w:p w14:paraId="1F4BAEAA" w14:textId="703A04F9" w:rsidR="00297AE6" w:rsidRPr="00AD6C06" w:rsidRDefault="00297AE6" w:rsidP="001618F3">
            <w:pPr>
              <w:spacing w:before="120" w:after="120"/>
              <w:ind w:left="1985" w:hanging="1985"/>
              <w:rPr>
                <w:rFonts w:cstheme="minorHAnsi"/>
                <w:b/>
                <w:color w:val="FFFFFF"/>
              </w:rPr>
            </w:pPr>
            <w:r w:rsidRPr="00AD6C06">
              <w:rPr>
                <w:rFonts w:cstheme="minorHAnsi"/>
                <w:b/>
                <w:color w:val="FFFFFF"/>
              </w:rPr>
              <w:t>The period after closure and institutional controls</w:t>
            </w:r>
          </w:p>
        </w:tc>
      </w:tr>
    </w:tbl>
    <w:p w14:paraId="1C365680"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18" w:name="_Ref496697832"/>
      <w:r w:rsidRPr="00D568C5">
        <w:rPr>
          <w:rFonts w:asciiTheme="minorHAnsi" w:hAnsiTheme="minorHAnsi"/>
          <w:i/>
          <w:color w:val="4E1A74" w:themeColor="text2"/>
          <w:sz w:val="22"/>
          <w:szCs w:val="22"/>
        </w:rPr>
        <w:t xml:space="preserve">Plans shall be prepared for the period after closure to address institutional control and the arrangements for maintaining the availability of information on the disposal facility. These plans shall be consistent with passive safety </w:t>
      </w:r>
      <w:r w:rsidRPr="007C04EC">
        <w:rPr>
          <w:rFonts w:asciiTheme="minorHAnsi" w:hAnsiTheme="minorHAnsi"/>
          <w:i/>
          <w:color w:val="4E1A74" w:themeColor="text2"/>
          <w:sz w:val="22"/>
          <w:szCs w:val="22"/>
        </w:rPr>
        <w:t>features</w:t>
      </w:r>
      <w:r w:rsidRPr="00D568C5">
        <w:rPr>
          <w:rFonts w:asciiTheme="minorHAnsi" w:hAnsiTheme="minorHAnsi"/>
          <w:i/>
          <w:color w:val="4E1A74" w:themeColor="text2"/>
          <w:sz w:val="22"/>
          <w:szCs w:val="22"/>
        </w:rPr>
        <w:t xml:space="preserve"> and shall form part of the safety case on which authorisation to close the facility is granted.</w:t>
      </w:r>
      <w:bookmarkEnd w:id="118"/>
      <w:r w:rsidRPr="00D568C5">
        <w:rPr>
          <w:rFonts w:asciiTheme="minorHAnsi" w:hAnsiTheme="minorHAnsi"/>
          <w:i/>
          <w:color w:val="4E1A74" w:themeColor="text2"/>
          <w:sz w:val="22"/>
          <w:szCs w:val="22"/>
        </w:rPr>
        <w:t xml:space="preserve"> </w:t>
      </w:r>
    </w:p>
    <w:p w14:paraId="314EDE37"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long term safety of a disposal facility for radioactive waste has not to be dependent on active institutional control. Even the violation of passive safety features cannot give rise to the criteria for intervention being exceeded. </w:t>
      </w:r>
      <w:r w:rsidRPr="007C04EC">
        <w:rPr>
          <w:rFonts w:asciiTheme="minorHAnsi" w:hAnsiTheme="minorHAnsi"/>
          <w:snapToGrid w:val="0"/>
          <w:color w:val="444448" w:themeColor="accent4"/>
          <w:sz w:val="22"/>
          <w:szCs w:val="22"/>
          <w:lang w:eastAsia="en-US"/>
        </w:rPr>
        <w:t>Additionally</w:t>
      </w:r>
      <w:r w:rsidRPr="00A80F9D">
        <w:rPr>
          <w:rFonts w:asciiTheme="minorHAnsi" w:eastAsia="TimesNewRoman" w:hAnsiTheme="minorHAnsi" w:cstheme="minorHAnsi"/>
          <w:color w:val="444448" w:themeColor="accent4"/>
          <w:sz w:val="22"/>
          <w:szCs w:val="22"/>
        </w:rPr>
        <w:t>, the safety of the disposal facility has not to be dependent solely on institutional controls. Institutional controls cannot be the sole or main component of safety for a near surface disposal facility. The ability of the institutional controls to provide the contributions to safety envisaged in the safety case has to be demonstrated and justified in the safety case.</w:t>
      </w:r>
    </w:p>
    <w:p w14:paraId="751397AB"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risk of intrusion into a disposal facility for radioactive waste may be reduced over a longer timescale than that foreseen for active controls by the use of passive controls, such as the preservation of information by the use of markers and archives, including international archives. </w:t>
      </w:r>
    </w:p>
    <w:p w14:paraId="32D4BD75"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Institutional controls over a disposal facility for radioactive waste have to provide additional assurance of the safety and nuclear security of the facility. </w:t>
      </w:r>
      <w:r w:rsidRPr="007C04EC">
        <w:rPr>
          <w:rFonts w:asciiTheme="minorHAnsi" w:hAnsiTheme="minorHAnsi"/>
          <w:snapToGrid w:val="0"/>
          <w:color w:val="444448" w:themeColor="accent4"/>
          <w:sz w:val="22"/>
          <w:szCs w:val="22"/>
          <w:lang w:eastAsia="en-US"/>
        </w:rPr>
        <w:t>Examples</w:t>
      </w:r>
      <w:r w:rsidRPr="00A80F9D">
        <w:rPr>
          <w:rFonts w:asciiTheme="minorHAnsi" w:eastAsia="TimesNewRoman" w:hAnsiTheme="minorHAnsi" w:cstheme="minorHAnsi"/>
          <w:color w:val="444448" w:themeColor="accent4"/>
          <w:sz w:val="22"/>
          <w:szCs w:val="22"/>
        </w:rPr>
        <w:t xml:space="preserve"> include provision for preventing access to the site by intruders and post-operational monitoring capable of providing </w:t>
      </w:r>
      <w:r w:rsidRPr="00A80F9D">
        <w:rPr>
          <w:rFonts w:asciiTheme="minorHAnsi" w:eastAsia="TimesNewRoman" w:hAnsiTheme="minorHAnsi" w:cstheme="minorHAnsi"/>
          <w:color w:val="444448" w:themeColor="accent4"/>
          <w:sz w:val="22"/>
          <w:szCs w:val="22"/>
        </w:rPr>
        <w:lastRenderedPageBreak/>
        <w:t>early warning of the migration of radionuclides from the disposal facility before they reach the site boundary.</w:t>
      </w:r>
    </w:p>
    <w:p w14:paraId="66840FCA"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Near surface disposal facilities are generally designed on the assumption that institutional control has to remain in force for a period of time. For short lived waste, the period will have to be several tens to hundreds of years following closure. Such controls will be either active or passive in nature. For near surface disposal of waste from mining and mineral processing that includes very long lived radionuclides, and which generally comprises large volumes, activity concentrations have to be limited so that ongoing active institutional control does not have to be relied on as a safety measure. Waste with activity concentrations above the limitations has to be disposed of below the ground surface.</w:t>
      </w:r>
    </w:p>
    <w:p w14:paraId="30876496"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status of a disposal facility beyond the period of active institutional control differs from the release of a nuclear installation site from regulatory control after decommissioning inasmuch as release of the site of a </w:t>
      </w:r>
      <w:r w:rsidRPr="007C04EC">
        <w:rPr>
          <w:rFonts w:asciiTheme="minorHAnsi" w:hAnsiTheme="minorHAnsi"/>
          <w:snapToGrid w:val="0"/>
          <w:color w:val="444448" w:themeColor="accent4"/>
          <w:sz w:val="22"/>
          <w:szCs w:val="22"/>
          <w:lang w:eastAsia="en-US"/>
        </w:rPr>
        <w:t>disposal</w:t>
      </w:r>
      <w:r w:rsidRPr="00A80F9D">
        <w:rPr>
          <w:rFonts w:asciiTheme="minorHAnsi" w:eastAsia="TimesNewRoman" w:hAnsiTheme="minorHAnsi" w:cstheme="minorHAnsi"/>
          <w:color w:val="444448" w:themeColor="accent4"/>
          <w:sz w:val="22"/>
          <w:szCs w:val="22"/>
        </w:rPr>
        <w:t xml:space="preserve"> facility for unrestricted use is generally not contemplated. The site location and the facility design have to reduce the likelihood of intrusion.</w:t>
      </w:r>
    </w:p>
    <w:p w14:paraId="1A80166A" w14:textId="0AF781BC"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For near surface disposal facilities, the waste acceptance criteria will limit any consequences of human intrusion to within the specified criteria</w:t>
      </w:r>
      <w:r w:rsidR="006F2956">
        <w:rPr>
          <w:rFonts w:asciiTheme="minorHAnsi" w:eastAsia="TimesNewRoman" w:hAnsiTheme="minorHAnsi" w:cstheme="minorHAnsi"/>
          <w:color w:val="444448" w:themeColor="accent4"/>
          <w:sz w:val="22"/>
          <w:szCs w:val="22"/>
        </w:rPr>
        <w:t>, as agreed by the relevant regulatory authority,</w:t>
      </w:r>
      <w:r w:rsidRPr="00A80F9D">
        <w:rPr>
          <w:rFonts w:asciiTheme="minorHAnsi" w:eastAsia="TimesNewRoman" w:hAnsiTheme="minorHAnsi" w:cstheme="minorHAnsi"/>
          <w:color w:val="444448" w:themeColor="accent4"/>
          <w:sz w:val="22"/>
          <w:szCs w:val="22"/>
        </w:rPr>
        <w:t xml:space="preserve"> even if control over the site is lost. The dose </w:t>
      </w:r>
      <w:r w:rsidRPr="00440590">
        <w:rPr>
          <w:rFonts w:asciiTheme="minorHAnsi" w:eastAsia="TimesNewRoman" w:hAnsiTheme="minorHAnsi" w:cstheme="minorHAnsi"/>
          <w:color w:val="444448" w:themeColor="accent4"/>
          <w:sz w:val="22"/>
          <w:szCs w:val="22"/>
        </w:rPr>
        <w:t>constraint</w:t>
      </w:r>
      <w:r w:rsidR="00F1126C" w:rsidRPr="00440590">
        <w:rPr>
          <w:rFonts w:asciiTheme="minorHAnsi" w:eastAsia="TimesNewRoman" w:hAnsiTheme="minorHAnsi" w:cstheme="minorHAnsi"/>
          <w:color w:val="444448" w:themeColor="accent4"/>
          <w:sz w:val="22"/>
          <w:szCs w:val="22"/>
        </w:rPr>
        <w:t xml:space="preserve"> </w:t>
      </w:r>
      <w:r w:rsidRPr="00440590">
        <w:rPr>
          <w:rFonts w:asciiTheme="minorHAnsi" w:eastAsia="TimesNewRoman" w:hAnsiTheme="minorHAnsi" w:cstheme="minorHAnsi"/>
          <w:color w:val="444448" w:themeColor="accent4"/>
          <w:sz w:val="22"/>
          <w:szCs w:val="22"/>
        </w:rPr>
        <w:t>adopted for doses to members of the public applies</w:t>
      </w:r>
      <w:r w:rsidRPr="00A80F9D">
        <w:rPr>
          <w:rFonts w:asciiTheme="minorHAnsi" w:eastAsia="TimesNewRoman" w:hAnsiTheme="minorHAnsi" w:cstheme="minorHAnsi"/>
          <w:color w:val="444448" w:themeColor="accent4"/>
          <w:sz w:val="22"/>
          <w:szCs w:val="22"/>
        </w:rPr>
        <w:t xml:space="preserve"> for the anticipated normal evolution of the site following the period of institutional control.</w:t>
      </w:r>
    </w:p>
    <w:p w14:paraId="1EF9E600" w14:textId="189C21C2"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Geological disposal facilities have not to be dependent on long term institutional control after closure as a safety measure (</w:t>
      </w:r>
      <w:r w:rsidR="00764F9D">
        <w:rPr>
          <w:rFonts w:asciiTheme="minorHAnsi" w:eastAsia="TimesNewRoman" w:hAnsiTheme="minorHAnsi" w:cstheme="minorHAnsi"/>
          <w:color w:val="444448" w:themeColor="accent4"/>
          <w:sz w:val="22"/>
          <w:szCs w:val="22"/>
        </w:rPr>
        <w:t xml:space="preserve">see clauses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_Ref496697947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C022DF">
        <w:rPr>
          <w:rFonts w:asciiTheme="minorHAnsi" w:eastAsia="TimesNewRoman" w:hAnsiTheme="minorHAnsi" w:cstheme="minorHAnsi"/>
          <w:color w:val="444448" w:themeColor="accent4"/>
          <w:sz w:val="22"/>
          <w:szCs w:val="22"/>
        </w:rPr>
        <w:t>3.2.12</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 xml:space="preserve"> to </w:t>
      </w:r>
      <w:r w:rsidR="00440590">
        <w:rPr>
          <w:rFonts w:asciiTheme="minorHAnsi" w:eastAsia="TimesNewRoman" w:hAnsiTheme="minorHAnsi" w:cstheme="minorHAnsi"/>
          <w:color w:val="444448" w:themeColor="accent4"/>
          <w:sz w:val="22"/>
          <w:szCs w:val="22"/>
          <w:highlight w:val="yellow"/>
        </w:rPr>
        <w:fldChar w:fldCharType="begin"/>
      </w:r>
      <w:r w:rsidR="00440590">
        <w:rPr>
          <w:rFonts w:asciiTheme="minorHAnsi" w:eastAsia="TimesNewRoman" w:hAnsiTheme="minorHAnsi" w:cstheme="minorHAnsi"/>
          <w:color w:val="444448" w:themeColor="accent4"/>
          <w:sz w:val="22"/>
          <w:szCs w:val="22"/>
        </w:rPr>
        <w:instrText xml:space="preserve"> REF _Ref516652158 \r \h </w:instrText>
      </w:r>
      <w:r w:rsidR="00440590">
        <w:rPr>
          <w:rFonts w:asciiTheme="minorHAnsi" w:eastAsia="TimesNewRoman" w:hAnsiTheme="minorHAnsi" w:cstheme="minorHAnsi"/>
          <w:color w:val="444448" w:themeColor="accent4"/>
          <w:sz w:val="22"/>
          <w:szCs w:val="22"/>
          <w:highlight w:val="yellow"/>
        </w:rPr>
      </w:r>
      <w:r w:rsidR="00440590">
        <w:rPr>
          <w:rFonts w:asciiTheme="minorHAnsi" w:eastAsia="TimesNewRoman" w:hAnsiTheme="minorHAnsi" w:cstheme="minorHAnsi"/>
          <w:color w:val="444448" w:themeColor="accent4"/>
          <w:sz w:val="22"/>
          <w:szCs w:val="22"/>
          <w:highlight w:val="yellow"/>
        </w:rPr>
        <w:fldChar w:fldCharType="separate"/>
      </w:r>
      <w:r w:rsidR="00C022DF">
        <w:rPr>
          <w:rFonts w:asciiTheme="minorHAnsi" w:eastAsia="TimesNewRoman" w:hAnsiTheme="minorHAnsi" w:cstheme="minorHAnsi"/>
          <w:color w:val="444448" w:themeColor="accent4"/>
          <w:sz w:val="22"/>
          <w:szCs w:val="22"/>
        </w:rPr>
        <w:t>3.2.17</w:t>
      </w:r>
      <w:r w:rsidR="00440590">
        <w:rPr>
          <w:rFonts w:asciiTheme="minorHAnsi" w:eastAsia="TimesNewRoman" w:hAnsiTheme="minorHAnsi" w:cstheme="minorHAnsi"/>
          <w:color w:val="444448" w:themeColor="accent4"/>
          <w:sz w:val="22"/>
          <w:szCs w:val="22"/>
          <w:highlight w:val="yellow"/>
        </w:rPr>
        <w:fldChar w:fldCharType="end"/>
      </w:r>
      <w:r w:rsidR="00764F9D">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Nevertheless, institutional controls may contribute to safety by preventing or reducing the likelihood of human actions that could inadvertently interfere with the waste or degrade the safety features of the geological disposal system. Institutional controls may also contribute to increasing public acceptance of geological disposal.</w:t>
      </w:r>
    </w:p>
    <w:p w14:paraId="0C680A51" w14:textId="77777777" w:rsidR="00297AE6"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Disposal facilities may not be closed for several tens of years or more after operations have commenced. Plans for possible future controls and the period </w:t>
      </w:r>
      <w:r w:rsidRPr="007C04EC">
        <w:rPr>
          <w:rFonts w:asciiTheme="minorHAnsi" w:hAnsiTheme="minorHAnsi"/>
          <w:snapToGrid w:val="0"/>
          <w:color w:val="444448" w:themeColor="accent4"/>
          <w:sz w:val="22"/>
          <w:szCs w:val="22"/>
          <w:lang w:eastAsia="en-US"/>
        </w:rPr>
        <w:t>over</w:t>
      </w:r>
      <w:r w:rsidRPr="00A80F9D">
        <w:rPr>
          <w:rFonts w:asciiTheme="minorHAnsi" w:eastAsia="TimesNewRoman" w:hAnsiTheme="minorHAnsi" w:cstheme="minorHAnsi"/>
          <w:color w:val="444448" w:themeColor="accent4"/>
          <w:sz w:val="22"/>
          <w:szCs w:val="22"/>
        </w:rPr>
        <w:t xml:space="preserve"> which they would be applied may initially be flexible and conceptual in nature, but plans have to be developed and refined as the facility approaches closure. Consideration has to be given to: local land use controls; site restrictions or surveillance and monitoring; local, national and international records; and the use of durable surface and/or subsurface markers. Arrangements have to be made to be able to pass on information about the disposal facility and its contents to future generations to enable any future decisions on the disposal facility and its safety to be made.</w:t>
      </w:r>
    </w:p>
    <w:p w14:paraId="000A3E90" w14:textId="1C1847AE"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19" w:name="_Ref496697776"/>
      <w:r w:rsidRPr="00A80F9D">
        <w:rPr>
          <w:rFonts w:asciiTheme="minorHAnsi" w:eastAsia="TimesNewRoman" w:hAnsiTheme="minorHAnsi" w:cstheme="minorHAnsi"/>
          <w:color w:val="444448" w:themeColor="accent4"/>
          <w:sz w:val="22"/>
          <w:szCs w:val="22"/>
        </w:rPr>
        <w:t xml:space="preserve">While the facility remains </w:t>
      </w:r>
      <w:r w:rsidR="00C231E3">
        <w:rPr>
          <w:rFonts w:asciiTheme="minorHAnsi" w:hAnsiTheme="minorHAnsi"/>
          <w:color w:val="444448" w:themeColor="accent4"/>
          <w:sz w:val="22"/>
          <w:szCs w:val="22"/>
        </w:rPr>
        <w:t>authorised</w:t>
      </w:r>
      <w:r w:rsidRPr="00A80F9D">
        <w:rPr>
          <w:rFonts w:asciiTheme="minorHAnsi" w:eastAsia="TimesNewRoman" w:hAnsiTheme="minorHAnsi" w:cstheme="minorHAnsi"/>
          <w:color w:val="444448" w:themeColor="accent4"/>
          <w:sz w:val="22"/>
          <w:szCs w:val="22"/>
        </w:rPr>
        <w:t xml:space="preserve">, the operator has to provide institutional </w:t>
      </w:r>
      <w:r w:rsidRPr="007C04EC">
        <w:rPr>
          <w:rFonts w:asciiTheme="minorHAnsi" w:hAnsiTheme="minorHAnsi"/>
          <w:snapToGrid w:val="0"/>
          <w:color w:val="444448" w:themeColor="accent4"/>
          <w:sz w:val="22"/>
          <w:szCs w:val="22"/>
          <w:lang w:eastAsia="en-US"/>
        </w:rPr>
        <w:t>controls</w:t>
      </w:r>
      <w:r w:rsidRPr="00A80F9D">
        <w:rPr>
          <w:rFonts w:asciiTheme="minorHAnsi" w:eastAsia="TimesNewRoman" w:hAnsiTheme="minorHAnsi" w:cstheme="minorHAnsi"/>
          <w:color w:val="444448" w:themeColor="accent4"/>
          <w:sz w:val="22"/>
          <w:szCs w:val="22"/>
        </w:rPr>
        <w:t xml:space="preserve">. It is envisaged that the responsibility for whatever passive measures for institutional control are necessary following termination of the </w:t>
      </w:r>
      <w:r w:rsidR="00C231E3">
        <w:rPr>
          <w:rFonts w:asciiTheme="minorHAnsi" w:hAnsiTheme="minorHAnsi"/>
          <w:color w:val="444448" w:themeColor="accent4"/>
          <w:sz w:val="22"/>
          <w:szCs w:val="22"/>
        </w:rPr>
        <w:t>authorisation</w:t>
      </w:r>
      <w:r w:rsidRPr="00A80F9D">
        <w:rPr>
          <w:rFonts w:asciiTheme="minorHAnsi" w:eastAsia="TimesNewRoman" w:hAnsiTheme="minorHAnsi" w:cstheme="minorHAnsi"/>
          <w:color w:val="444448" w:themeColor="accent4"/>
          <w:sz w:val="22"/>
          <w:szCs w:val="22"/>
        </w:rPr>
        <w:t xml:space="preserve"> will have to revert to the government at some level.</w:t>
      </w:r>
      <w:bookmarkEnd w:id="119"/>
    </w:p>
    <w:p w14:paraId="37D555B5" w14:textId="0E5EC584"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6B78DD69" w14:textId="77777777" w:rsidTr="001618F3">
        <w:tc>
          <w:tcPr>
            <w:tcW w:w="8720" w:type="dxa"/>
            <w:shd w:val="clear" w:color="auto" w:fill="4E1A74" w:themeFill="text2"/>
          </w:tcPr>
          <w:p w14:paraId="10677179" w14:textId="7C11D013" w:rsidR="00297AE6" w:rsidRPr="00AD6C06" w:rsidRDefault="00297AE6" w:rsidP="00297AE6">
            <w:pPr>
              <w:spacing w:before="120" w:after="120"/>
              <w:rPr>
                <w:rFonts w:cstheme="minorHAnsi"/>
                <w:b/>
                <w:color w:val="FFFFFF"/>
              </w:rPr>
            </w:pPr>
            <w:r w:rsidRPr="00AD6C06">
              <w:rPr>
                <w:rFonts w:cstheme="minorHAnsi"/>
                <w:b/>
                <w:color w:val="FFFFFF"/>
              </w:rPr>
              <w:t>Consideration of Australia’s system of accounting for, and control of nuclear material</w:t>
            </w:r>
          </w:p>
        </w:tc>
      </w:tr>
    </w:tbl>
    <w:p w14:paraId="2AE50183" w14:textId="23D2EA84"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20" w:name="_Ref496697986"/>
      <w:r w:rsidRPr="00D568C5">
        <w:rPr>
          <w:rFonts w:asciiTheme="minorHAnsi" w:hAnsiTheme="minorHAnsi"/>
          <w:i/>
          <w:color w:val="4E1A74" w:themeColor="text2"/>
          <w:sz w:val="22"/>
          <w:szCs w:val="22"/>
        </w:rPr>
        <w:lastRenderedPageBreak/>
        <w:t xml:space="preserve">In the design and operation of disposal facilities subject to agreements on accounting for, and control of, nuclear material, consideration shall be given to ensuring </w:t>
      </w:r>
      <w:r w:rsidRPr="007C04EC">
        <w:rPr>
          <w:rFonts w:asciiTheme="minorHAnsi" w:hAnsiTheme="minorHAnsi"/>
          <w:snapToGrid w:val="0"/>
          <w:color w:val="444448" w:themeColor="accent4"/>
          <w:sz w:val="22"/>
          <w:szCs w:val="22"/>
          <w:lang w:eastAsia="en-US"/>
        </w:rPr>
        <w:t>that</w:t>
      </w:r>
      <w:r w:rsidRPr="00D568C5">
        <w:rPr>
          <w:rFonts w:asciiTheme="minorHAnsi" w:hAnsiTheme="minorHAnsi"/>
          <w:i/>
          <w:color w:val="4E1A74" w:themeColor="text2"/>
          <w:sz w:val="22"/>
          <w:szCs w:val="22"/>
        </w:rPr>
        <w:t xml:space="preserve"> safety is not compromised by the measures required under the system of accounting for, and control of, nuclear material.</w:t>
      </w:r>
      <w:bookmarkEnd w:id="120"/>
    </w:p>
    <w:p w14:paraId="32B75D99" w14:textId="2BD89A38"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The system of accounting for, and control of, nuclear material applies to materials that include significant quantities of fissile material in potentially </w:t>
      </w:r>
      <w:r w:rsidRPr="007C04EC">
        <w:rPr>
          <w:rFonts w:asciiTheme="minorHAnsi" w:hAnsiTheme="minorHAnsi"/>
          <w:snapToGrid w:val="0"/>
          <w:color w:val="444448" w:themeColor="accent4"/>
          <w:sz w:val="22"/>
          <w:szCs w:val="22"/>
          <w:lang w:eastAsia="en-US"/>
        </w:rPr>
        <w:t>extractable</w:t>
      </w:r>
      <w:r w:rsidRPr="00A80F9D">
        <w:rPr>
          <w:rFonts w:asciiTheme="minorHAnsi" w:eastAsia="TimesNewRoman" w:hAnsiTheme="minorHAnsi" w:cstheme="minorHAnsi"/>
          <w:color w:val="444448" w:themeColor="accent4"/>
          <w:sz w:val="22"/>
          <w:szCs w:val="22"/>
        </w:rPr>
        <w:t xml:space="preserve"> form </w:t>
      </w:r>
      <w:r w:rsidR="00C00012">
        <w:rPr>
          <w:rFonts w:asciiTheme="minorHAnsi" w:eastAsia="TimesNewRoman" w:hAnsiTheme="minorHAnsi" w:cstheme="minorHAnsi"/>
          <w:color w:val="444448" w:themeColor="accent4"/>
          <w:sz w:val="22"/>
          <w:szCs w:val="22"/>
        </w:rPr>
        <w:t>(IAEA 1968, IAEA 1997, IAEA 1972)</w:t>
      </w:r>
      <w:r w:rsidRPr="00A80F9D">
        <w:rPr>
          <w:rFonts w:asciiTheme="minorHAnsi" w:eastAsia="TimesNewRoman" w:hAnsiTheme="minorHAnsi" w:cstheme="minorHAnsi"/>
          <w:color w:val="444448" w:themeColor="accent4"/>
          <w:sz w:val="22"/>
          <w:szCs w:val="22"/>
        </w:rPr>
        <w:t xml:space="preserve">. </w:t>
      </w:r>
      <w:r w:rsidR="00B67168">
        <w:rPr>
          <w:rFonts w:asciiTheme="minorHAnsi" w:eastAsia="TimesNewRoman" w:hAnsiTheme="minorHAnsi" w:cstheme="minorHAnsi"/>
          <w:color w:val="444448" w:themeColor="accent4"/>
          <w:sz w:val="22"/>
          <w:szCs w:val="22"/>
        </w:rPr>
        <w:t>Note that s</w:t>
      </w:r>
      <w:r w:rsidR="00B67168" w:rsidRPr="00B67168">
        <w:rPr>
          <w:rFonts w:asciiTheme="minorHAnsi" w:eastAsia="TimesNewRoman" w:hAnsiTheme="minorHAnsi" w:cstheme="minorHAnsi"/>
          <w:color w:val="444448" w:themeColor="accent4"/>
          <w:sz w:val="22"/>
          <w:szCs w:val="22"/>
        </w:rPr>
        <w:t>tate systems of accounting for, and control of, nuclear material are required by IAEA</w:t>
      </w:r>
      <w:r w:rsidR="00B67168">
        <w:rPr>
          <w:rFonts w:asciiTheme="minorHAnsi" w:eastAsia="TimesNewRoman" w:hAnsiTheme="minorHAnsi" w:cstheme="minorHAnsi"/>
          <w:color w:val="444448" w:themeColor="accent4"/>
          <w:sz w:val="22"/>
          <w:szCs w:val="22"/>
        </w:rPr>
        <w:t xml:space="preserve"> nuclear safeguards agreements. </w:t>
      </w:r>
      <w:r w:rsidRPr="00A80F9D">
        <w:rPr>
          <w:rFonts w:asciiTheme="minorHAnsi" w:eastAsia="TimesNewRoman" w:hAnsiTheme="minorHAnsi" w:cstheme="minorHAnsi"/>
          <w:color w:val="444448" w:themeColor="accent4"/>
          <w:sz w:val="22"/>
          <w:szCs w:val="22"/>
        </w:rPr>
        <w:t>Such materials, if declared to be waste, are likely to require disposal in a geological disposal facility for reasons of long term safety. Placement in a geological disposal facility would also provide long term passive nuclear security and would be consistent with the objective of IAEA nuclear safeguards.</w:t>
      </w:r>
      <w:r w:rsidR="00764F9D">
        <w:rPr>
          <w:rFonts w:asciiTheme="minorHAnsi" w:eastAsia="TimesNewRoman" w:hAnsiTheme="minorHAnsi" w:cstheme="minorHAnsi"/>
          <w:color w:val="444448" w:themeColor="accent4"/>
          <w:sz w:val="22"/>
          <w:szCs w:val="22"/>
        </w:rPr>
        <w:t xml:space="preserve"> Clauses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_Ref496697986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C022DF">
        <w:rPr>
          <w:rFonts w:asciiTheme="minorHAnsi" w:eastAsia="TimesNewRoman" w:hAnsiTheme="minorHAnsi" w:cstheme="minorHAnsi"/>
          <w:color w:val="444448" w:themeColor="accent4"/>
          <w:sz w:val="22"/>
          <w:szCs w:val="22"/>
        </w:rPr>
        <w:t>3.2.106</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 xml:space="preserve"> to </w:t>
      </w:r>
      <w:r w:rsidR="00764F9D">
        <w:rPr>
          <w:rFonts w:asciiTheme="minorHAnsi" w:eastAsia="TimesNewRoman" w:hAnsiTheme="minorHAnsi" w:cstheme="minorHAnsi"/>
          <w:color w:val="444448" w:themeColor="accent4"/>
          <w:sz w:val="22"/>
          <w:szCs w:val="22"/>
        </w:rPr>
        <w:fldChar w:fldCharType="begin"/>
      </w:r>
      <w:r w:rsidR="00764F9D">
        <w:rPr>
          <w:rFonts w:asciiTheme="minorHAnsi" w:eastAsia="TimesNewRoman" w:hAnsiTheme="minorHAnsi" w:cstheme="minorHAnsi"/>
          <w:color w:val="444448" w:themeColor="accent4"/>
          <w:sz w:val="22"/>
          <w:szCs w:val="22"/>
        </w:rPr>
        <w:instrText xml:space="preserve"> REF _Ref496697991 \r \h </w:instrText>
      </w:r>
      <w:r w:rsidR="00764F9D">
        <w:rPr>
          <w:rFonts w:asciiTheme="minorHAnsi" w:eastAsia="TimesNewRoman" w:hAnsiTheme="minorHAnsi" w:cstheme="minorHAnsi"/>
          <w:color w:val="444448" w:themeColor="accent4"/>
          <w:sz w:val="22"/>
          <w:szCs w:val="22"/>
        </w:rPr>
      </w:r>
      <w:r w:rsidR="00764F9D">
        <w:rPr>
          <w:rFonts w:asciiTheme="minorHAnsi" w:eastAsia="TimesNewRoman" w:hAnsiTheme="minorHAnsi" w:cstheme="minorHAnsi"/>
          <w:color w:val="444448" w:themeColor="accent4"/>
          <w:sz w:val="22"/>
          <w:szCs w:val="22"/>
        </w:rPr>
        <w:fldChar w:fldCharType="separate"/>
      </w:r>
      <w:r w:rsidR="00C022DF">
        <w:rPr>
          <w:rFonts w:asciiTheme="minorHAnsi" w:eastAsia="TimesNewRoman" w:hAnsiTheme="minorHAnsi" w:cstheme="minorHAnsi"/>
          <w:color w:val="444448" w:themeColor="accent4"/>
          <w:sz w:val="22"/>
          <w:szCs w:val="22"/>
        </w:rPr>
        <w:t>3.2.111</w:t>
      </w:r>
      <w:r w:rsidR="00764F9D">
        <w:rPr>
          <w:rFonts w:asciiTheme="minorHAnsi" w:eastAsia="TimesNewRoman" w:hAnsiTheme="minorHAnsi" w:cstheme="minorHAnsi"/>
          <w:color w:val="444448" w:themeColor="accent4"/>
          <w:sz w:val="22"/>
          <w:szCs w:val="22"/>
        </w:rPr>
        <w:fldChar w:fldCharType="end"/>
      </w:r>
      <w:r w:rsidR="00764F9D">
        <w:rPr>
          <w:rFonts w:asciiTheme="minorHAnsi" w:eastAsia="TimesNewRoman" w:hAnsiTheme="minorHAnsi" w:cstheme="minorHAnsi"/>
          <w:color w:val="444448" w:themeColor="accent4"/>
          <w:sz w:val="22"/>
          <w:szCs w:val="22"/>
        </w:rPr>
        <w:t>,</w:t>
      </w:r>
      <w:r w:rsidRPr="00A80F9D">
        <w:rPr>
          <w:rFonts w:asciiTheme="minorHAnsi" w:eastAsia="TimesNewRoman" w:hAnsiTheme="minorHAnsi" w:cstheme="minorHAnsi"/>
          <w:color w:val="444448" w:themeColor="accent4"/>
          <w:sz w:val="22"/>
          <w:szCs w:val="22"/>
        </w:rPr>
        <w:t xml:space="preserve"> </w:t>
      </w:r>
      <w:r w:rsidR="00764F9D">
        <w:rPr>
          <w:rFonts w:asciiTheme="minorHAnsi" w:eastAsia="TimesNewRoman" w:hAnsiTheme="minorHAnsi" w:cstheme="minorHAnsi"/>
          <w:color w:val="444448" w:themeColor="accent4"/>
          <w:sz w:val="22"/>
          <w:szCs w:val="22"/>
        </w:rPr>
        <w:t>therefore, apply</w:t>
      </w:r>
      <w:r w:rsidRPr="00A80F9D">
        <w:rPr>
          <w:rFonts w:asciiTheme="minorHAnsi" w:eastAsia="TimesNewRoman" w:hAnsiTheme="minorHAnsi" w:cstheme="minorHAnsi"/>
          <w:color w:val="444448" w:themeColor="accent4"/>
          <w:sz w:val="22"/>
          <w:szCs w:val="22"/>
        </w:rPr>
        <w:t xml:space="preserve"> in particular to geological disposal </w:t>
      </w:r>
      <w:r w:rsidRPr="0052459F">
        <w:rPr>
          <w:rFonts w:asciiTheme="minorHAnsi" w:eastAsia="TimesNewRoman" w:hAnsiTheme="minorHAnsi" w:cstheme="minorHAnsi"/>
          <w:color w:val="444448" w:themeColor="accent4"/>
          <w:sz w:val="22"/>
          <w:szCs w:val="22"/>
        </w:rPr>
        <w:t>facilities</w:t>
      </w:r>
      <w:r w:rsidR="00C00012">
        <w:rPr>
          <w:rFonts w:asciiTheme="minorHAnsi" w:eastAsia="TimesNewRoman" w:hAnsiTheme="minorHAnsi" w:cstheme="minorHAnsi"/>
          <w:color w:val="444448" w:themeColor="accent4"/>
          <w:sz w:val="22"/>
          <w:szCs w:val="22"/>
        </w:rPr>
        <w:t xml:space="preserve"> (IAEA 1996)</w:t>
      </w:r>
      <w:r w:rsidRPr="0052459F">
        <w:rPr>
          <w:rFonts w:asciiTheme="minorHAnsi" w:eastAsia="TimesNewRoman" w:hAnsiTheme="minorHAnsi" w:cstheme="minorHAnsi"/>
          <w:color w:val="444448" w:themeColor="accent4"/>
          <w:sz w:val="22"/>
          <w:szCs w:val="22"/>
        </w:rPr>
        <w:t>.</w:t>
      </w:r>
    </w:p>
    <w:p w14:paraId="5BA6F7AA" w14:textId="5F500FF6"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State systems of accounting for, and control of, nuclear material were developed primarily to provide for accountability for nuclear material, in order to detect its p</w:t>
      </w:r>
      <w:r w:rsidR="00DF1C03">
        <w:rPr>
          <w:rFonts w:asciiTheme="minorHAnsi" w:eastAsia="TimesNewRoman" w:hAnsiTheme="minorHAnsi" w:cstheme="minorHAnsi"/>
          <w:color w:val="444448" w:themeColor="accent4"/>
          <w:sz w:val="22"/>
          <w:szCs w:val="22"/>
        </w:rPr>
        <w:t>ossible diversion for unauthoris</w:t>
      </w:r>
      <w:r w:rsidRPr="00A80F9D">
        <w:rPr>
          <w:rFonts w:asciiTheme="minorHAnsi" w:eastAsia="TimesNewRoman" w:hAnsiTheme="minorHAnsi" w:cstheme="minorHAnsi"/>
          <w:color w:val="444448" w:themeColor="accent4"/>
          <w:sz w:val="22"/>
          <w:szCs w:val="22"/>
        </w:rPr>
        <w:t>ed or unknown purposes in the short and medi</w:t>
      </w:r>
      <w:r w:rsidR="00DF1C03">
        <w:rPr>
          <w:rFonts w:asciiTheme="minorHAnsi" w:eastAsia="TimesNewRoman" w:hAnsiTheme="minorHAnsi" w:cstheme="minorHAnsi"/>
          <w:color w:val="444448" w:themeColor="accent4"/>
          <w:sz w:val="22"/>
          <w:szCs w:val="22"/>
        </w:rPr>
        <w:t>um terms. As organis</w:t>
      </w:r>
      <w:r w:rsidRPr="00A80F9D">
        <w:rPr>
          <w:rFonts w:asciiTheme="minorHAnsi" w:eastAsia="TimesNewRoman" w:hAnsiTheme="minorHAnsi" w:cstheme="minorHAnsi"/>
          <w:color w:val="444448" w:themeColor="accent4"/>
          <w:sz w:val="22"/>
          <w:szCs w:val="22"/>
        </w:rPr>
        <w:t>ed at present, IAEA nuclear safeguards activities depend on active surveillance and controls.</w:t>
      </w:r>
    </w:p>
    <w:p w14:paraId="0F0EEEAD" w14:textId="1D3EB0FF"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During the operation of a disposal facility for waste that includes fissile material, surveillance for the purposes of IAEA safeguards is aimed at ensuring the </w:t>
      </w:r>
      <w:r w:rsidRPr="007C04EC">
        <w:rPr>
          <w:rFonts w:asciiTheme="minorHAnsi" w:hAnsiTheme="minorHAnsi"/>
          <w:snapToGrid w:val="0"/>
          <w:color w:val="444448" w:themeColor="accent4"/>
          <w:sz w:val="22"/>
          <w:szCs w:val="22"/>
          <w:lang w:eastAsia="en-US"/>
        </w:rPr>
        <w:t>continuity</w:t>
      </w:r>
      <w:r w:rsidRPr="00A80F9D">
        <w:rPr>
          <w:rFonts w:asciiTheme="minorHAnsi" w:eastAsia="TimesNewRoman" w:hAnsiTheme="minorHAnsi" w:cstheme="minorHAnsi"/>
          <w:color w:val="444448" w:themeColor="accent4"/>
          <w:sz w:val="22"/>
          <w:szCs w:val="22"/>
        </w:rPr>
        <w:t xml:space="preserve"> of knowledge concerning the fissile material and the absence of any undeclared activities at the site in relation to such material. For some radioactive waste, such as spent nuclear fuel, certain requirements for safeguards have to apply even after the waste has been sealed in a geological </w:t>
      </w:r>
      <w:r w:rsidRPr="0052459F">
        <w:rPr>
          <w:rFonts w:asciiTheme="minorHAnsi" w:eastAsia="TimesNewRoman" w:hAnsiTheme="minorHAnsi" w:cstheme="minorHAnsi"/>
          <w:color w:val="444448" w:themeColor="accent4"/>
          <w:sz w:val="22"/>
          <w:szCs w:val="22"/>
        </w:rPr>
        <w:t>disposal facility.</w:t>
      </w:r>
    </w:p>
    <w:p w14:paraId="57F99599" w14:textId="77777777" w:rsidR="00297AE6" w:rsidRPr="00A80F9D"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For a closed geological disposal facility, IAEA nuclear safeguards might, in practice, be applied by remote means (e.g. satellite monitoring, aerial </w:t>
      </w:r>
      <w:r w:rsidRPr="007C04EC">
        <w:rPr>
          <w:rFonts w:asciiTheme="minorHAnsi" w:hAnsiTheme="minorHAnsi"/>
          <w:snapToGrid w:val="0"/>
          <w:color w:val="444448" w:themeColor="accent4"/>
          <w:sz w:val="22"/>
          <w:szCs w:val="22"/>
          <w:lang w:eastAsia="en-US"/>
        </w:rPr>
        <w:t>photography</w:t>
      </w:r>
      <w:r w:rsidRPr="00A80F9D">
        <w:rPr>
          <w:rFonts w:asciiTheme="minorHAnsi" w:eastAsia="TimesNewRoman" w:hAnsiTheme="minorHAnsi" w:cstheme="minorHAnsi"/>
          <w:color w:val="444448" w:themeColor="accent4"/>
          <w:sz w:val="22"/>
          <w:szCs w:val="22"/>
        </w:rPr>
        <w:t>, microseismic surveillance and administrative arrangements). Intrusive methods, which might compromise safety after closure, have to be avoided.</w:t>
      </w:r>
    </w:p>
    <w:p w14:paraId="51326E31" w14:textId="2001643B" w:rsidR="003467C2" w:rsidRPr="00B52F5B" w:rsidRDefault="003467C2" w:rsidP="007C04EC">
      <w:pPr>
        <w:pStyle w:val="RPSNumberedBodyText"/>
        <w:tabs>
          <w:tab w:val="num" w:pos="0"/>
        </w:tabs>
        <w:ind w:left="709" w:hanging="709"/>
        <w:jc w:val="left"/>
        <w:rPr>
          <w:rFonts w:asciiTheme="minorHAnsi" w:hAnsiTheme="minorHAnsi" w:cstheme="minorHAnsi"/>
          <w:color w:val="444448" w:themeColor="accent4"/>
          <w:sz w:val="22"/>
          <w:szCs w:val="22"/>
        </w:rPr>
      </w:pPr>
      <w:bookmarkStart w:id="121" w:name="_Ref496697991"/>
      <w:r w:rsidRPr="00A80F9D">
        <w:rPr>
          <w:rFonts w:asciiTheme="minorHAnsi" w:eastAsia="TimesNewRoman" w:hAnsiTheme="minorHAnsi" w:cstheme="minorHAnsi"/>
          <w:color w:val="444448" w:themeColor="accent4"/>
          <w:sz w:val="22"/>
          <w:szCs w:val="22"/>
        </w:rPr>
        <w:t xml:space="preserve">Since IAEA nuclear safeguards are internationally supervised, their continuation might increase confidence in the longevity of administrative controls </w:t>
      </w:r>
      <w:r w:rsidRPr="007C04EC">
        <w:rPr>
          <w:rFonts w:asciiTheme="minorHAnsi" w:hAnsiTheme="minorHAnsi"/>
          <w:snapToGrid w:val="0"/>
          <w:color w:val="444448" w:themeColor="accent4"/>
          <w:sz w:val="22"/>
          <w:szCs w:val="22"/>
          <w:lang w:eastAsia="en-US"/>
        </w:rPr>
        <w:t>and</w:t>
      </w:r>
      <w:r w:rsidRPr="00A80F9D">
        <w:rPr>
          <w:rFonts w:asciiTheme="minorHAnsi" w:eastAsia="TimesNewRoman" w:hAnsiTheme="minorHAnsi" w:cstheme="minorHAnsi"/>
          <w:color w:val="444448" w:themeColor="accent4"/>
          <w:sz w:val="22"/>
          <w:szCs w:val="22"/>
        </w:rPr>
        <w:t xml:space="preserve"> this would also help to prevent inadvertent disturbance of the geological disposal facility. The continuation of safeguards inspections and monitoring after closure of a geological disposal facility may, thus, be beneficial to augmenting confidence in safety after closure. A discussion of interface issues between the system of accounting for, and control of, nuclear </w:t>
      </w:r>
      <w:r w:rsidRPr="00B52F5B">
        <w:rPr>
          <w:rFonts w:asciiTheme="minorHAnsi" w:eastAsia="TimesNewRoman" w:hAnsiTheme="minorHAnsi" w:cstheme="minorHAnsi"/>
          <w:color w:val="444448" w:themeColor="accent4"/>
          <w:sz w:val="22"/>
          <w:szCs w:val="22"/>
        </w:rPr>
        <w:t xml:space="preserve">material (and IAEA nuclear safeguards) and radioactive waste management is included in </w:t>
      </w:r>
      <w:r w:rsidR="008F7FD0" w:rsidRPr="00B52F5B">
        <w:rPr>
          <w:rFonts w:asciiTheme="minorHAnsi" w:eastAsia="TimesNewRoman" w:hAnsiTheme="minorHAnsi" w:cstheme="minorHAnsi"/>
          <w:color w:val="444448" w:themeColor="accent4"/>
          <w:sz w:val="22"/>
          <w:szCs w:val="22"/>
        </w:rPr>
        <w:t>IAEA-TECDOC-909</w:t>
      </w:r>
      <w:r w:rsidR="0052459F" w:rsidRPr="00B52F5B">
        <w:rPr>
          <w:rFonts w:asciiTheme="minorHAnsi" w:eastAsia="TimesNewRoman" w:hAnsiTheme="minorHAnsi" w:cstheme="minorHAnsi"/>
          <w:color w:val="444448" w:themeColor="accent4"/>
          <w:sz w:val="22"/>
          <w:szCs w:val="22"/>
        </w:rPr>
        <w:t xml:space="preserve"> (</w:t>
      </w:r>
      <w:r w:rsidR="00C00012" w:rsidRPr="00B52F5B">
        <w:rPr>
          <w:rFonts w:asciiTheme="minorHAnsi" w:eastAsia="TimesNewRoman" w:hAnsiTheme="minorHAnsi" w:cstheme="minorHAnsi"/>
          <w:color w:val="444448" w:themeColor="accent4"/>
          <w:sz w:val="22"/>
          <w:szCs w:val="22"/>
        </w:rPr>
        <w:t>IAEA 1996</w:t>
      </w:r>
      <w:r w:rsidR="0052459F" w:rsidRPr="00B52F5B">
        <w:rPr>
          <w:rFonts w:asciiTheme="minorHAnsi" w:eastAsia="TimesNewRoman" w:hAnsiTheme="minorHAnsi" w:cstheme="minorHAnsi"/>
          <w:color w:val="444448" w:themeColor="accent4"/>
          <w:sz w:val="22"/>
          <w:szCs w:val="22"/>
        </w:rPr>
        <w:t>)</w:t>
      </w:r>
      <w:r w:rsidRPr="00B52F5B">
        <w:rPr>
          <w:rFonts w:asciiTheme="minorHAnsi" w:eastAsia="TimesNewRoman" w:hAnsiTheme="minorHAnsi" w:cstheme="minorHAnsi"/>
          <w:color w:val="444448" w:themeColor="accent4"/>
          <w:sz w:val="22"/>
          <w:szCs w:val="22"/>
        </w:rPr>
        <w:t>.</w:t>
      </w:r>
      <w:bookmarkEnd w:id="121"/>
    </w:p>
    <w:p w14:paraId="52010298" w14:textId="3966C226"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5A6EFCF6" w14:textId="77777777" w:rsidTr="001618F3">
        <w:tc>
          <w:tcPr>
            <w:tcW w:w="8720" w:type="dxa"/>
            <w:shd w:val="clear" w:color="auto" w:fill="4E1A74" w:themeFill="text2"/>
          </w:tcPr>
          <w:p w14:paraId="0B7D2131" w14:textId="3E7835A8" w:rsidR="00297AE6" w:rsidRPr="00AD6C06" w:rsidRDefault="00297AE6" w:rsidP="001618F3">
            <w:pPr>
              <w:spacing w:before="120" w:after="120"/>
              <w:ind w:left="1985" w:hanging="1985"/>
              <w:rPr>
                <w:rFonts w:cstheme="minorHAnsi"/>
                <w:b/>
                <w:color w:val="FFFFFF"/>
              </w:rPr>
            </w:pPr>
            <w:r w:rsidRPr="00AD6C06">
              <w:rPr>
                <w:rFonts w:cstheme="minorHAnsi"/>
                <w:b/>
                <w:color w:val="FFFFFF"/>
              </w:rPr>
              <w:t>Requirements in respect of nuclear security measures</w:t>
            </w:r>
          </w:p>
        </w:tc>
      </w:tr>
    </w:tbl>
    <w:p w14:paraId="4C04A3E3"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22" w:name="_Ref496699908"/>
      <w:r w:rsidRPr="00D568C5">
        <w:rPr>
          <w:rFonts w:asciiTheme="minorHAnsi" w:hAnsiTheme="minorHAnsi"/>
          <w:i/>
          <w:color w:val="4E1A74" w:themeColor="text2"/>
          <w:sz w:val="22"/>
          <w:szCs w:val="22"/>
        </w:rPr>
        <w:t xml:space="preserve">Measures shall be implemented to ensure an integrated approach to safety </w:t>
      </w:r>
      <w:r w:rsidRPr="007C04EC">
        <w:rPr>
          <w:rFonts w:asciiTheme="minorHAnsi" w:hAnsiTheme="minorHAnsi"/>
          <w:snapToGrid w:val="0"/>
          <w:color w:val="444448" w:themeColor="accent4"/>
          <w:sz w:val="22"/>
          <w:szCs w:val="22"/>
          <w:lang w:eastAsia="en-US"/>
        </w:rPr>
        <w:t>measures</w:t>
      </w:r>
      <w:r w:rsidRPr="00D568C5">
        <w:rPr>
          <w:rFonts w:asciiTheme="minorHAnsi" w:hAnsiTheme="minorHAnsi"/>
          <w:i/>
          <w:color w:val="4E1A74" w:themeColor="text2"/>
          <w:sz w:val="22"/>
          <w:szCs w:val="22"/>
        </w:rPr>
        <w:t xml:space="preserve"> and nuclear security measures in the disposal of radioactive waste.</w:t>
      </w:r>
      <w:bookmarkEnd w:id="122"/>
      <w:r w:rsidRPr="00D568C5">
        <w:rPr>
          <w:rFonts w:asciiTheme="minorHAnsi" w:hAnsiTheme="minorHAnsi"/>
          <w:i/>
          <w:color w:val="4E1A74" w:themeColor="text2"/>
          <w:sz w:val="22"/>
          <w:szCs w:val="22"/>
        </w:rPr>
        <w:t xml:space="preserve"> </w:t>
      </w:r>
    </w:p>
    <w:p w14:paraId="18984C10" w14:textId="3272992A" w:rsidR="00297AE6" w:rsidRPr="00B52F5B"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Where nuclear security measures are</w:t>
      </w:r>
      <w:r w:rsidR="00DF1C03">
        <w:rPr>
          <w:rFonts w:asciiTheme="minorHAnsi" w:eastAsia="TimesNewRoman" w:hAnsiTheme="minorHAnsi" w:cstheme="minorHAnsi"/>
          <w:color w:val="444448" w:themeColor="accent4"/>
          <w:sz w:val="22"/>
          <w:szCs w:val="22"/>
        </w:rPr>
        <w:t xml:space="preserve"> necessary to prevent unauthoris</w:t>
      </w:r>
      <w:r w:rsidRPr="00A80F9D">
        <w:rPr>
          <w:rFonts w:asciiTheme="minorHAnsi" w:eastAsia="TimesNewRoman" w:hAnsiTheme="minorHAnsi" w:cstheme="minorHAnsi"/>
          <w:color w:val="444448" w:themeColor="accent4"/>
          <w:sz w:val="22"/>
          <w:szCs w:val="22"/>
        </w:rPr>
        <w:t xml:space="preserve">ed access by </w:t>
      </w:r>
      <w:r w:rsidRPr="00B52F5B">
        <w:rPr>
          <w:rFonts w:asciiTheme="minorHAnsi" w:eastAsia="TimesNewRoman" w:hAnsiTheme="minorHAnsi" w:cstheme="minorHAnsi"/>
          <w:color w:val="444448" w:themeColor="accent4"/>
          <w:sz w:val="22"/>
          <w:szCs w:val="22"/>
        </w:rPr>
        <w:t>individua</w:t>
      </w:r>
      <w:r w:rsidR="00DF1C03">
        <w:rPr>
          <w:rFonts w:asciiTheme="minorHAnsi" w:eastAsia="TimesNewRoman" w:hAnsiTheme="minorHAnsi" w:cstheme="minorHAnsi"/>
          <w:color w:val="444448" w:themeColor="accent4"/>
          <w:sz w:val="22"/>
          <w:szCs w:val="22"/>
        </w:rPr>
        <w:t>ls and to prevent the unauthoris</w:t>
      </w:r>
      <w:r w:rsidRPr="00B52F5B">
        <w:rPr>
          <w:rFonts w:asciiTheme="minorHAnsi" w:eastAsia="TimesNewRoman" w:hAnsiTheme="minorHAnsi" w:cstheme="minorHAnsi"/>
          <w:color w:val="444448" w:themeColor="accent4"/>
          <w:sz w:val="22"/>
          <w:szCs w:val="22"/>
        </w:rPr>
        <w:t xml:space="preserve">ed removal of radioactive material, safety measures and nuclear security measures have to be implemented in an integrated approach </w:t>
      </w:r>
      <w:r w:rsidR="00D4096F" w:rsidRPr="00B52F5B">
        <w:rPr>
          <w:rFonts w:asciiTheme="minorHAnsi" w:eastAsia="TimesNewRoman" w:hAnsiTheme="minorHAnsi" w:cstheme="minorHAnsi"/>
          <w:color w:val="444448" w:themeColor="accent4"/>
          <w:sz w:val="22"/>
          <w:szCs w:val="22"/>
        </w:rPr>
        <w:t>(IAEA 2006, IAEA 201</w:t>
      </w:r>
      <w:r w:rsidR="00C00012" w:rsidRPr="00B52F5B">
        <w:rPr>
          <w:rFonts w:asciiTheme="minorHAnsi" w:eastAsia="TimesNewRoman" w:hAnsiTheme="minorHAnsi" w:cstheme="minorHAnsi"/>
          <w:color w:val="444448" w:themeColor="accent4"/>
          <w:sz w:val="22"/>
          <w:szCs w:val="22"/>
        </w:rPr>
        <w:t>6</w:t>
      </w:r>
      <w:r w:rsidR="00CE32BE">
        <w:rPr>
          <w:rFonts w:asciiTheme="minorHAnsi" w:eastAsia="TimesNewRoman" w:hAnsiTheme="minorHAnsi" w:cstheme="minorHAnsi"/>
          <w:color w:val="444448" w:themeColor="accent4"/>
          <w:sz w:val="22"/>
          <w:szCs w:val="22"/>
        </w:rPr>
        <w:t>a</w:t>
      </w:r>
      <w:r w:rsidR="00C00012" w:rsidRPr="00B52F5B">
        <w:rPr>
          <w:rFonts w:asciiTheme="minorHAnsi" w:eastAsia="TimesNewRoman" w:hAnsiTheme="minorHAnsi" w:cstheme="minorHAnsi"/>
          <w:color w:val="444448" w:themeColor="accent4"/>
          <w:sz w:val="22"/>
          <w:szCs w:val="22"/>
        </w:rPr>
        <w:t>)</w:t>
      </w:r>
      <w:r w:rsidRPr="00B52F5B">
        <w:rPr>
          <w:rFonts w:asciiTheme="minorHAnsi" w:eastAsia="TimesNewRoman" w:hAnsiTheme="minorHAnsi" w:cstheme="minorHAnsi"/>
          <w:color w:val="444448" w:themeColor="accent4"/>
          <w:sz w:val="22"/>
          <w:szCs w:val="22"/>
        </w:rPr>
        <w:t>.</w:t>
      </w:r>
    </w:p>
    <w:p w14:paraId="08E3F889" w14:textId="5F2EAF6B" w:rsidR="003467C2" w:rsidRPr="00B52F5B"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23" w:name="_Ref496699910"/>
      <w:r w:rsidRPr="00B52F5B">
        <w:rPr>
          <w:rFonts w:asciiTheme="minorHAnsi" w:eastAsia="TimesNewRoman" w:hAnsiTheme="minorHAnsi" w:cstheme="minorHAnsi"/>
          <w:color w:val="444448" w:themeColor="accent4"/>
          <w:sz w:val="22"/>
          <w:szCs w:val="22"/>
        </w:rPr>
        <w:lastRenderedPageBreak/>
        <w:t xml:space="preserve">The level of nuclear security has to be commensurate with the level of radiological hazard and the nature of the waste </w:t>
      </w:r>
      <w:r w:rsidR="00C00012" w:rsidRPr="00B52F5B">
        <w:rPr>
          <w:rFonts w:asciiTheme="minorHAnsi" w:eastAsia="TimesNewRoman" w:hAnsiTheme="minorHAnsi" w:cstheme="minorHAnsi"/>
          <w:color w:val="444448" w:themeColor="accent4"/>
          <w:sz w:val="22"/>
          <w:szCs w:val="22"/>
        </w:rPr>
        <w:t xml:space="preserve">(IAEA 2006, </w:t>
      </w:r>
      <w:r w:rsidR="00D4096F" w:rsidRPr="00B52F5B">
        <w:rPr>
          <w:rFonts w:asciiTheme="minorHAnsi" w:eastAsia="TimesNewRoman" w:hAnsiTheme="minorHAnsi" w:cstheme="minorHAnsi"/>
          <w:color w:val="444448" w:themeColor="accent4"/>
          <w:sz w:val="22"/>
          <w:szCs w:val="22"/>
        </w:rPr>
        <w:t>IAEA 201</w:t>
      </w:r>
      <w:r w:rsidR="00C00012" w:rsidRPr="00B52F5B">
        <w:rPr>
          <w:rFonts w:asciiTheme="minorHAnsi" w:eastAsia="TimesNewRoman" w:hAnsiTheme="minorHAnsi" w:cstheme="minorHAnsi"/>
          <w:color w:val="444448" w:themeColor="accent4"/>
          <w:sz w:val="22"/>
          <w:szCs w:val="22"/>
        </w:rPr>
        <w:t>6</w:t>
      </w:r>
      <w:r w:rsidR="00CE32BE">
        <w:rPr>
          <w:rFonts w:asciiTheme="minorHAnsi" w:eastAsia="TimesNewRoman" w:hAnsiTheme="minorHAnsi" w:cstheme="minorHAnsi"/>
          <w:color w:val="444448" w:themeColor="accent4"/>
          <w:sz w:val="22"/>
          <w:szCs w:val="22"/>
        </w:rPr>
        <w:t>a</w:t>
      </w:r>
      <w:r w:rsidR="00C00012" w:rsidRPr="00B52F5B">
        <w:rPr>
          <w:rFonts w:asciiTheme="minorHAnsi" w:eastAsia="TimesNewRoman" w:hAnsiTheme="minorHAnsi" w:cstheme="minorHAnsi"/>
          <w:color w:val="444448" w:themeColor="accent4"/>
          <w:sz w:val="22"/>
          <w:szCs w:val="22"/>
        </w:rPr>
        <w:t>, IAEA 2004, IAEA 1999)</w:t>
      </w:r>
      <w:r w:rsidRPr="00B52F5B">
        <w:rPr>
          <w:rFonts w:asciiTheme="minorHAnsi" w:eastAsia="TimesNewRoman" w:hAnsiTheme="minorHAnsi" w:cstheme="minorHAnsi"/>
          <w:color w:val="444448" w:themeColor="accent4"/>
          <w:sz w:val="22"/>
          <w:szCs w:val="22"/>
        </w:rPr>
        <w:t>.</w:t>
      </w:r>
      <w:bookmarkEnd w:id="123"/>
    </w:p>
    <w:p w14:paraId="5CC66EF6" w14:textId="75C704DB" w:rsidR="00297AE6" w:rsidRDefault="00297AE6" w:rsidP="00297AE6">
      <w:pPr>
        <w:pStyle w:val="RPSNumberedBodyText"/>
        <w:numPr>
          <w:ilvl w:val="0"/>
          <w:numId w:val="0"/>
        </w:numPr>
        <w:rPr>
          <w:rFonts w:asciiTheme="minorHAnsi" w:eastAsia="TimesNewRoman" w:hAnsiTheme="minorHAnsi" w:cstheme="minorHAnsi"/>
          <w:sz w:val="22"/>
          <w:szCs w:val="22"/>
        </w:rPr>
      </w:pPr>
    </w:p>
    <w:tbl>
      <w:tblPr>
        <w:tblW w:w="8720" w:type="dxa"/>
        <w:tblInd w:w="-108" w:type="dxa"/>
        <w:tblBorders>
          <w:insideV w:val="single" w:sz="8" w:space="0" w:color="1F497D"/>
        </w:tblBorders>
        <w:tblLook w:val="0420" w:firstRow="1" w:lastRow="0" w:firstColumn="0" w:lastColumn="0" w:noHBand="0" w:noVBand="1"/>
      </w:tblPr>
      <w:tblGrid>
        <w:gridCol w:w="8720"/>
      </w:tblGrid>
      <w:tr w:rsidR="00297AE6" w:rsidRPr="00D2396C" w14:paraId="460A226E" w14:textId="77777777" w:rsidTr="001618F3">
        <w:tc>
          <w:tcPr>
            <w:tcW w:w="8720" w:type="dxa"/>
            <w:shd w:val="clear" w:color="auto" w:fill="4E1A74" w:themeFill="text2"/>
          </w:tcPr>
          <w:p w14:paraId="4E69A5CA" w14:textId="44CB957E" w:rsidR="00297AE6" w:rsidRPr="00AD6C06" w:rsidRDefault="00297AE6" w:rsidP="001618F3">
            <w:pPr>
              <w:spacing w:before="120" w:after="120"/>
              <w:ind w:left="1985" w:hanging="1985"/>
              <w:rPr>
                <w:rFonts w:cstheme="minorHAnsi"/>
                <w:b/>
                <w:color w:val="FFFFFF"/>
              </w:rPr>
            </w:pPr>
            <w:r w:rsidRPr="00AD6C06">
              <w:rPr>
                <w:rFonts w:cstheme="minorHAnsi"/>
                <w:b/>
                <w:color w:val="FFFFFF"/>
              </w:rPr>
              <w:t>Management systems</w:t>
            </w:r>
          </w:p>
        </w:tc>
      </w:tr>
    </w:tbl>
    <w:p w14:paraId="462F6DA1" w14:textId="77777777" w:rsidR="00297AE6"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24" w:name="_Ref496699925"/>
      <w:r w:rsidRPr="00D568C5">
        <w:rPr>
          <w:rFonts w:asciiTheme="minorHAnsi" w:hAnsiTheme="minorHAnsi"/>
          <w:i/>
          <w:color w:val="4E1A74" w:themeColor="text2"/>
          <w:sz w:val="22"/>
          <w:szCs w:val="22"/>
        </w:rPr>
        <w:t xml:space="preserve">Management systems to provide for the assurance of quality shall be applied to all safety-related activities, systems and components throughout all the steps of the development and operation of a disposal facility. </w:t>
      </w:r>
      <w:r w:rsidRPr="007C04EC">
        <w:rPr>
          <w:rFonts w:asciiTheme="minorHAnsi" w:hAnsiTheme="minorHAnsi"/>
          <w:i/>
          <w:color w:val="4E1A74" w:themeColor="text2"/>
          <w:sz w:val="22"/>
          <w:szCs w:val="22"/>
        </w:rPr>
        <w:t>The</w:t>
      </w:r>
      <w:r w:rsidRPr="00D568C5">
        <w:rPr>
          <w:rFonts w:asciiTheme="minorHAnsi" w:hAnsiTheme="minorHAnsi"/>
          <w:i/>
          <w:color w:val="4E1A74" w:themeColor="text2"/>
          <w:sz w:val="22"/>
          <w:szCs w:val="22"/>
        </w:rPr>
        <w:t xml:space="preserve"> level of assurance for each element shall be commensurate with its importance to safety.</w:t>
      </w:r>
      <w:bookmarkEnd w:id="124"/>
      <w:r w:rsidRPr="00D568C5">
        <w:rPr>
          <w:rFonts w:asciiTheme="minorHAnsi" w:hAnsiTheme="minorHAnsi"/>
          <w:i/>
          <w:color w:val="4E1A74" w:themeColor="text2"/>
          <w:sz w:val="22"/>
          <w:szCs w:val="22"/>
        </w:rPr>
        <w:t xml:space="preserve"> </w:t>
      </w:r>
    </w:p>
    <w:p w14:paraId="5365F128" w14:textId="37664C85"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An appropriate management system that integrates quality assurance programmes will contribute to confidence that the relevant requirements and criteria for site selection and evaluation, design, construction, operation, closure and safety after closure are met. The relevant activities, systems and components have to be identified on the basis of the results of systematic safety assessment. The level of attention assigned to each aspect </w:t>
      </w:r>
      <w:r w:rsidRPr="00B52F5B">
        <w:rPr>
          <w:rFonts w:asciiTheme="minorHAnsi" w:eastAsia="TimesNewRoman" w:hAnsiTheme="minorHAnsi" w:cstheme="minorHAnsi"/>
          <w:color w:val="444448" w:themeColor="accent4"/>
          <w:sz w:val="22"/>
          <w:szCs w:val="22"/>
        </w:rPr>
        <w:t xml:space="preserve">has to be commensurate with its importance to safety. The management system is required to comply with the relevant IAEA safety standards on management systems </w:t>
      </w:r>
      <w:r w:rsidR="00D4096F" w:rsidRPr="00B52F5B">
        <w:rPr>
          <w:rFonts w:asciiTheme="minorHAnsi" w:eastAsia="TimesNewRoman" w:hAnsiTheme="minorHAnsi" w:cstheme="minorHAnsi"/>
          <w:color w:val="444448" w:themeColor="accent4"/>
          <w:sz w:val="22"/>
          <w:szCs w:val="22"/>
        </w:rPr>
        <w:t>(IAEA 201</w:t>
      </w:r>
      <w:r w:rsidR="00C00012" w:rsidRPr="00B52F5B">
        <w:rPr>
          <w:rFonts w:asciiTheme="minorHAnsi" w:eastAsia="TimesNewRoman" w:hAnsiTheme="minorHAnsi" w:cstheme="minorHAnsi"/>
          <w:color w:val="444448" w:themeColor="accent4"/>
          <w:sz w:val="22"/>
          <w:szCs w:val="22"/>
        </w:rPr>
        <w:t>6</w:t>
      </w:r>
      <w:r w:rsidR="006C062E">
        <w:rPr>
          <w:rFonts w:asciiTheme="minorHAnsi" w:eastAsia="TimesNewRoman" w:hAnsiTheme="minorHAnsi" w:cstheme="minorHAnsi"/>
          <w:color w:val="444448" w:themeColor="accent4"/>
          <w:sz w:val="22"/>
          <w:szCs w:val="22"/>
        </w:rPr>
        <w:t>a</w:t>
      </w:r>
      <w:r w:rsidR="00C00012" w:rsidRPr="00B52F5B">
        <w:rPr>
          <w:rFonts w:asciiTheme="minorHAnsi" w:eastAsia="TimesNewRoman" w:hAnsiTheme="minorHAnsi" w:cstheme="minorHAnsi"/>
          <w:color w:val="444448" w:themeColor="accent4"/>
          <w:sz w:val="22"/>
          <w:szCs w:val="22"/>
        </w:rPr>
        <w:t>, IAEA 2008)</w:t>
      </w:r>
      <w:r w:rsidRPr="00B52F5B">
        <w:rPr>
          <w:rFonts w:asciiTheme="minorHAnsi" w:eastAsia="TimesNewRoman" w:hAnsiTheme="minorHAnsi" w:cstheme="minorHAnsi"/>
          <w:color w:val="444448" w:themeColor="accent4"/>
          <w:sz w:val="22"/>
          <w:szCs w:val="22"/>
        </w:rPr>
        <w:t>.</w:t>
      </w:r>
    </w:p>
    <w:p w14:paraId="75E9CE9A" w14:textId="3BA79469"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The management system specifies the ro</w:t>
      </w:r>
      <w:r w:rsidR="00DF1C03">
        <w:rPr>
          <w:rFonts w:asciiTheme="minorHAnsi" w:eastAsia="TimesNewRoman" w:hAnsiTheme="minorHAnsi" w:cstheme="minorHAnsi"/>
          <w:color w:val="444448" w:themeColor="accent4"/>
          <w:sz w:val="22"/>
          <w:szCs w:val="22"/>
        </w:rPr>
        <w:t>le of management and the organis</w:t>
      </w:r>
      <w:r w:rsidRPr="00A80F9D">
        <w:rPr>
          <w:rFonts w:asciiTheme="minorHAnsi" w:eastAsia="TimesNewRoman" w:hAnsiTheme="minorHAnsi" w:cstheme="minorHAnsi"/>
          <w:color w:val="444448" w:themeColor="accent4"/>
          <w:sz w:val="22"/>
          <w:szCs w:val="22"/>
        </w:rPr>
        <w:t xml:space="preserve">ational </w:t>
      </w:r>
      <w:r w:rsidRPr="007C04EC">
        <w:rPr>
          <w:rFonts w:asciiTheme="minorHAnsi" w:hAnsiTheme="minorHAnsi"/>
          <w:snapToGrid w:val="0"/>
          <w:color w:val="444448" w:themeColor="accent4"/>
          <w:sz w:val="22"/>
          <w:szCs w:val="22"/>
          <w:lang w:eastAsia="en-US"/>
        </w:rPr>
        <w:t>structure</w:t>
      </w:r>
      <w:r w:rsidRPr="00A80F9D">
        <w:rPr>
          <w:rFonts w:asciiTheme="minorHAnsi" w:eastAsia="TimesNewRoman" w:hAnsiTheme="minorHAnsi" w:cstheme="minorHAnsi"/>
          <w:color w:val="444448" w:themeColor="accent4"/>
          <w:sz w:val="22"/>
          <w:szCs w:val="22"/>
        </w:rPr>
        <w:t xml:space="preserve"> to be used for implementing processes for all safety related activities. It also specifies the responsibilities and authorities of t</w:t>
      </w:r>
      <w:r w:rsidR="00DF1C03">
        <w:rPr>
          <w:rFonts w:asciiTheme="minorHAnsi" w:eastAsia="TimesNewRoman" w:hAnsiTheme="minorHAnsi" w:cstheme="minorHAnsi"/>
          <w:color w:val="444448" w:themeColor="accent4"/>
          <w:sz w:val="22"/>
          <w:szCs w:val="22"/>
        </w:rPr>
        <w:t>he various personnel and organis</w:t>
      </w:r>
      <w:r w:rsidRPr="00A80F9D">
        <w:rPr>
          <w:rFonts w:asciiTheme="minorHAnsi" w:eastAsia="TimesNewRoman" w:hAnsiTheme="minorHAnsi" w:cstheme="minorHAnsi"/>
          <w:color w:val="444448" w:themeColor="accent4"/>
          <w:sz w:val="22"/>
          <w:szCs w:val="22"/>
        </w:rPr>
        <w:t>ations involved in managing and implementing the processes and assessing the quality of all work relating to safety.</w:t>
      </w:r>
    </w:p>
    <w:p w14:paraId="1DFBE9E5" w14:textId="387B058F"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While the host environment of a disposal facility is important to safety, it cannot be designed or ma</w:t>
      </w:r>
      <w:r w:rsidR="00DF1C03">
        <w:rPr>
          <w:rFonts w:asciiTheme="minorHAnsi" w:eastAsia="TimesNewRoman" w:hAnsiTheme="minorHAnsi" w:cstheme="minorHAnsi"/>
          <w:color w:val="444448" w:themeColor="accent4"/>
          <w:sz w:val="22"/>
          <w:szCs w:val="22"/>
        </w:rPr>
        <w:t>nufactured, but only characteris</w:t>
      </w:r>
      <w:r w:rsidRPr="00A80F9D">
        <w:rPr>
          <w:rFonts w:asciiTheme="minorHAnsi" w:eastAsia="TimesNewRoman" w:hAnsiTheme="minorHAnsi" w:cstheme="minorHAnsi"/>
          <w:color w:val="444448" w:themeColor="accent4"/>
          <w:sz w:val="22"/>
          <w:szCs w:val="22"/>
        </w:rPr>
        <w:t>ed, and that to only a limited extent. The elements of the management system that provide assurance of the quality of the relevant safety related processes have to be designed with account taken of the nature of the host environment.</w:t>
      </w:r>
    </w:p>
    <w:p w14:paraId="142031E7" w14:textId="74A1F2C2" w:rsidR="00D433D1" w:rsidRPr="00A80F9D" w:rsidRDefault="00DF1C03"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Pr>
          <w:rFonts w:asciiTheme="minorHAnsi" w:eastAsia="TimesNewRoman" w:hAnsiTheme="minorHAnsi" w:cstheme="minorHAnsi"/>
          <w:color w:val="444448" w:themeColor="accent4"/>
          <w:sz w:val="22"/>
          <w:szCs w:val="22"/>
        </w:rPr>
        <w:t>The design, characteris</w:t>
      </w:r>
      <w:r w:rsidR="003467C2" w:rsidRPr="00A80F9D">
        <w:rPr>
          <w:rFonts w:asciiTheme="minorHAnsi" w:eastAsia="TimesNewRoman" w:hAnsiTheme="minorHAnsi" w:cstheme="minorHAnsi"/>
          <w:color w:val="444448" w:themeColor="accent4"/>
          <w:sz w:val="22"/>
          <w:szCs w:val="22"/>
        </w:rPr>
        <w:t xml:space="preserve">ation and assessment of a disposal facility have to include several sequential and sometimes overlapping steps with an increasing degree of </w:t>
      </w:r>
      <w:r w:rsidR="003467C2" w:rsidRPr="007C04EC">
        <w:rPr>
          <w:rFonts w:asciiTheme="minorHAnsi" w:hAnsiTheme="minorHAnsi"/>
          <w:snapToGrid w:val="0"/>
          <w:color w:val="444448" w:themeColor="accent4"/>
          <w:sz w:val="22"/>
          <w:szCs w:val="22"/>
          <w:lang w:eastAsia="en-US"/>
        </w:rPr>
        <w:t>detail</w:t>
      </w:r>
      <w:r w:rsidR="003467C2" w:rsidRPr="00A80F9D">
        <w:rPr>
          <w:rFonts w:asciiTheme="minorHAnsi" w:eastAsia="TimesNewRoman" w:hAnsiTheme="minorHAnsi" w:cstheme="minorHAnsi"/>
          <w:color w:val="444448" w:themeColor="accent4"/>
          <w:sz w:val="22"/>
          <w:szCs w:val="22"/>
        </w:rPr>
        <w:t xml:space="preserve"> and accuracy. However, a degree of irreducible uncertainty that is impossible to eliminate by any measures might always remain. The significance of this uncertainty is assessed in the evaluation of the safety case and supporting safety assessment. </w:t>
      </w:r>
    </w:p>
    <w:p w14:paraId="729B90C0" w14:textId="26F388A8" w:rsidR="003467C2"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bookmarkStart w:id="125" w:name="_Ref496699926"/>
      <w:r w:rsidRPr="00A80F9D">
        <w:rPr>
          <w:rFonts w:asciiTheme="minorHAnsi" w:eastAsia="TimesNewRoman" w:hAnsiTheme="minorHAnsi" w:cstheme="minorHAnsi"/>
          <w:color w:val="444448" w:themeColor="accent4"/>
          <w:sz w:val="22"/>
          <w:szCs w:val="22"/>
        </w:rPr>
        <w:t>The management system for a disposal facility has to provide for the preparation and retention of documentary evidence to illustrate that the necessary quality of data has been achieved; that components have been supplied and used in accordance with the relevant specifications; that the waste packages and unpackaged waste comply with established requirements and criteria; and that they have been properly emplaced in the disposal facility. The management system also has to ensure the collation of all the information that is important to safety and that is recorded at all steps of the development and operation of the facility, and the preservation of that information. This information is important for any reassessment of the facility in the future.</w:t>
      </w:r>
      <w:bookmarkEnd w:id="125"/>
    </w:p>
    <w:p w14:paraId="42D84B02" w14:textId="2C82F1BF" w:rsidR="00D433D1" w:rsidRDefault="00D433D1" w:rsidP="00D568C5">
      <w:pPr>
        <w:pStyle w:val="Heading3"/>
        <w:rPr>
          <w:rFonts w:eastAsia="TimesNewRoman"/>
        </w:rPr>
      </w:pPr>
      <w:bookmarkStart w:id="126" w:name="_Toc524085225"/>
      <w:r>
        <w:rPr>
          <w:rFonts w:eastAsia="TimesNewRoman"/>
        </w:rPr>
        <w:lastRenderedPageBreak/>
        <w:t>Existing Disposal Facilities</w:t>
      </w:r>
      <w:bookmarkEnd w:id="126"/>
    </w:p>
    <w:tbl>
      <w:tblPr>
        <w:tblW w:w="8720" w:type="dxa"/>
        <w:tblInd w:w="-108" w:type="dxa"/>
        <w:tblBorders>
          <w:insideV w:val="single" w:sz="8" w:space="0" w:color="1F497D"/>
        </w:tblBorders>
        <w:tblLook w:val="0420" w:firstRow="1" w:lastRow="0" w:firstColumn="0" w:lastColumn="0" w:noHBand="0" w:noVBand="1"/>
      </w:tblPr>
      <w:tblGrid>
        <w:gridCol w:w="8720"/>
      </w:tblGrid>
      <w:tr w:rsidR="00D433D1" w:rsidRPr="00D2396C" w14:paraId="167124AC" w14:textId="77777777" w:rsidTr="001618F3">
        <w:tc>
          <w:tcPr>
            <w:tcW w:w="8720" w:type="dxa"/>
            <w:shd w:val="clear" w:color="auto" w:fill="4E1A74" w:themeFill="text2"/>
          </w:tcPr>
          <w:p w14:paraId="0CCFAECA" w14:textId="745D203E" w:rsidR="00D433D1" w:rsidRPr="00AD6C06" w:rsidRDefault="00D433D1" w:rsidP="001618F3">
            <w:pPr>
              <w:spacing w:before="120" w:after="120"/>
              <w:ind w:left="1985" w:hanging="1985"/>
              <w:rPr>
                <w:rFonts w:cstheme="minorHAnsi"/>
                <w:b/>
                <w:color w:val="FFFFFF"/>
              </w:rPr>
            </w:pPr>
            <w:r w:rsidRPr="00AD6C06">
              <w:rPr>
                <w:rFonts w:cstheme="minorHAnsi"/>
                <w:b/>
                <w:color w:val="FFFFFF"/>
              </w:rPr>
              <w:t>Existing disposal facilities</w:t>
            </w:r>
          </w:p>
        </w:tc>
      </w:tr>
    </w:tbl>
    <w:p w14:paraId="0F7CFBCD" w14:textId="7F1E67F2" w:rsidR="00D433D1" w:rsidRPr="00D568C5" w:rsidRDefault="003467C2" w:rsidP="007C04EC">
      <w:pPr>
        <w:pStyle w:val="RPSNumberedBodyText"/>
        <w:tabs>
          <w:tab w:val="num" w:pos="0"/>
        </w:tabs>
        <w:ind w:left="709" w:hanging="709"/>
        <w:jc w:val="left"/>
        <w:rPr>
          <w:rFonts w:asciiTheme="minorHAnsi" w:hAnsiTheme="minorHAnsi"/>
          <w:i/>
          <w:color w:val="4E1A74" w:themeColor="text2"/>
          <w:sz w:val="22"/>
          <w:szCs w:val="22"/>
        </w:rPr>
      </w:pPr>
      <w:bookmarkStart w:id="127" w:name="_Ref496699940"/>
      <w:r w:rsidRPr="00D568C5">
        <w:rPr>
          <w:rFonts w:asciiTheme="minorHAnsi" w:hAnsiTheme="minorHAnsi"/>
          <w:i/>
          <w:color w:val="4E1A74" w:themeColor="text2"/>
          <w:sz w:val="22"/>
          <w:szCs w:val="22"/>
        </w:rPr>
        <w:t>The safety of existing disposal facilities shall be assessed periodically until termination of the</w:t>
      </w:r>
      <w:r w:rsidR="00CB125A">
        <w:rPr>
          <w:rFonts w:asciiTheme="minorHAnsi" w:hAnsiTheme="minorHAnsi"/>
          <w:i/>
          <w:color w:val="4E1A74" w:themeColor="text2"/>
          <w:sz w:val="22"/>
          <w:szCs w:val="22"/>
        </w:rPr>
        <w:t xml:space="preserve"> authorisation</w:t>
      </w:r>
      <w:r w:rsidRPr="00D568C5">
        <w:rPr>
          <w:rFonts w:asciiTheme="minorHAnsi" w:hAnsiTheme="minorHAnsi"/>
          <w:i/>
          <w:color w:val="4E1A74" w:themeColor="text2"/>
          <w:sz w:val="22"/>
          <w:szCs w:val="22"/>
        </w:rPr>
        <w:t>. During this period, the safety shall also be assessed when a safety</w:t>
      </w:r>
      <w:r w:rsidR="00AD6C06">
        <w:rPr>
          <w:rFonts w:asciiTheme="minorHAnsi" w:hAnsiTheme="minorHAnsi"/>
          <w:i/>
          <w:color w:val="4E1A74" w:themeColor="text2"/>
          <w:sz w:val="22"/>
          <w:szCs w:val="22"/>
        </w:rPr>
        <w:noBreakHyphen/>
      </w:r>
      <w:r w:rsidRPr="00D568C5">
        <w:rPr>
          <w:rFonts w:asciiTheme="minorHAnsi" w:hAnsiTheme="minorHAnsi"/>
          <w:i/>
          <w:color w:val="4E1A74" w:themeColor="text2"/>
          <w:sz w:val="22"/>
          <w:szCs w:val="22"/>
        </w:rPr>
        <w:t xml:space="preserve">significant modification is planned or in the event of changes with regard to the conditions of the authorisation. In the event that any </w:t>
      </w:r>
      <w:r w:rsidRPr="007C04EC">
        <w:rPr>
          <w:rFonts w:asciiTheme="minorHAnsi" w:hAnsiTheme="minorHAnsi"/>
          <w:i/>
          <w:color w:val="4E1A74" w:themeColor="text2"/>
          <w:sz w:val="22"/>
          <w:szCs w:val="22"/>
        </w:rPr>
        <w:t>requirements</w:t>
      </w:r>
      <w:r w:rsidRPr="00D568C5">
        <w:rPr>
          <w:rFonts w:asciiTheme="minorHAnsi" w:hAnsiTheme="minorHAnsi"/>
          <w:i/>
          <w:color w:val="4E1A74" w:themeColor="text2"/>
          <w:sz w:val="22"/>
          <w:szCs w:val="22"/>
        </w:rPr>
        <w:t xml:space="preserve"> set down in this Code are not met, measures shall be put in place to upgrade the safety of the facility, economic and social factors being taken into account.</w:t>
      </w:r>
      <w:bookmarkStart w:id="128" w:name="_Toc68587033"/>
      <w:bookmarkStart w:id="129" w:name="_Ref205881915"/>
      <w:bookmarkEnd w:id="127"/>
      <w:r w:rsidRPr="00D568C5">
        <w:rPr>
          <w:rFonts w:asciiTheme="minorHAnsi" w:hAnsiTheme="minorHAnsi"/>
          <w:i/>
          <w:color w:val="4E1A74" w:themeColor="text2"/>
          <w:sz w:val="22"/>
          <w:szCs w:val="22"/>
        </w:rPr>
        <w:t xml:space="preserve">  </w:t>
      </w:r>
    </w:p>
    <w:p w14:paraId="2757A479" w14:textId="77777777" w:rsidR="00D433D1" w:rsidRPr="00A80F9D" w:rsidRDefault="003467C2" w:rsidP="007C04EC">
      <w:pPr>
        <w:pStyle w:val="RPSNumberedBodyText"/>
        <w:tabs>
          <w:tab w:val="num" w:pos="0"/>
        </w:tabs>
        <w:ind w:left="709" w:hanging="709"/>
        <w:jc w:val="left"/>
        <w:rPr>
          <w:rFonts w:asciiTheme="minorHAnsi" w:eastAsia="TimesNewRoman" w:hAnsiTheme="minorHAnsi" w:cstheme="minorHAnsi"/>
          <w:color w:val="444448" w:themeColor="accent4"/>
          <w:sz w:val="22"/>
          <w:szCs w:val="22"/>
        </w:rPr>
      </w:pPr>
      <w:r w:rsidRPr="00A80F9D">
        <w:rPr>
          <w:rFonts w:asciiTheme="minorHAnsi" w:eastAsia="TimesNewRoman" w:hAnsiTheme="minorHAnsi" w:cstheme="minorHAnsi"/>
          <w:color w:val="444448" w:themeColor="accent4"/>
          <w:sz w:val="22"/>
          <w:szCs w:val="22"/>
        </w:rPr>
        <w:t xml:space="preserve">Periodic safety assessment for a disposal facility has to be aimed at providing an overall assessment of the status of protection and safety at the facility. It has to </w:t>
      </w:r>
      <w:r w:rsidRPr="007C04EC">
        <w:rPr>
          <w:rFonts w:asciiTheme="minorHAnsi" w:hAnsiTheme="minorHAnsi"/>
          <w:snapToGrid w:val="0"/>
          <w:color w:val="444448" w:themeColor="accent4"/>
          <w:sz w:val="22"/>
          <w:szCs w:val="22"/>
          <w:lang w:eastAsia="en-US"/>
        </w:rPr>
        <w:t>include</w:t>
      </w:r>
      <w:r w:rsidRPr="00A80F9D">
        <w:rPr>
          <w:rFonts w:asciiTheme="minorHAnsi" w:eastAsia="TimesNewRoman" w:hAnsiTheme="minorHAnsi" w:cstheme="minorHAnsi"/>
          <w:color w:val="444448" w:themeColor="accent4"/>
          <w:sz w:val="22"/>
          <w:szCs w:val="22"/>
        </w:rPr>
        <w:t xml:space="preserve"> an analysis of the operational experience acquired and possible improvements that could be made, with account taken of the existing situation and of whatever new technological developments or changes in regulatory control there might be. Periodic safety assessments cannot replace the activities for analysis, control and surveillance that are continuously carried out at disposal facilities.</w:t>
      </w:r>
    </w:p>
    <w:p w14:paraId="1B8F8B0A" w14:textId="5F23BBA3" w:rsidR="003467C2" w:rsidRPr="00D433D1" w:rsidRDefault="003467C2" w:rsidP="007C04EC">
      <w:pPr>
        <w:pStyle w:val="RPSNumberedBodyText"/>
        <w:tabs>
          <w:tab w:val="num" w:pos="0"/>
        </w:tabs>
        <w:ind w:left="709" w:hanging="709"/>
        <w:jc w:val="left"/>
        <w:rPr>
          <w:rFonts w:ascii="TimesNewRoman" w:eastAsia="TimesNewRoman" w:hAnsi="Times New Roman" w:cs="TimesNewRoman"/>
          <w:sz w:val="21"/>
          <w:szCs w:val="21"/>
        </w:rPr>
      </w:pPr>
      <w:bookmarkStart w:id="130" w:name="_Ref496699942"/>
      <w:r w:rsidRPr="00A80F9D">
        <w:rPr>
          <w:rFonts w:asciiTheme="minorHAnsi" w:eastAsia="TimesNewRoman" w:hAnsiTheme="minorHAnsi" w:cstheme="minorHAnsi"/>
          <w:color w:val="444448" w:themeColor="accent4"/>
          <w:sz w:val="22"/>
          <w:szCs w:val="22"/>
        </w:rPr>
        <w:t xml:space="preserve">Disposal facilities that were not constructed to present safety standards may not meet all the safety requirements established in this Safety Requirements publication. In assessing the safety of such facilities, there may be indications that safety criteria will not be met. In such circumstances, reasonably practicable measures have to be taken to upgrade the safety of </w:t>
      </w:r>
      <w:r w:rsidRPr="007C04EC">
        <w:rPr>
          <w:rFonts w:asciiTheme="minorHAnsi" w:hAnsiTheme="minorHAnsi"/>
          <w:snapToGrid w:val="0"/>
          <w:color w:val="444448" w:themeColor="accent4"/>
          <w:sz w:val="22"/>
          <w:szCs w:val="22"/>
          <w:lang w:eastAsia="en-US"/>
        </w:rPr>
        <w:t>the</w:t>
      </w:r>
      <w:r w:rsidRPr="00A80F9D">
        <w:rPr>
          <w:rFonts w:asciiTheme="minorHAnsi" w:eastAsia="TimesNewRoman" w:hAnsiTheme="minorHAnsi" w:cstheme="minorHAnsi"/>
          <w:color w:val="444448" w:themeColor="accent4"/>
          <w:sz w:val="22"/>
          <w:szCs w:val="22"/>
        </w:rPr>
        <w:t xml:space="preserve"> disposal facility. Possible options may include the removal of some or all of the waste from the facility, making engineering improvements, or putting in place or enhancing institutional controls. Evaluation of these options has to include broader technical, social and political issues.</w:t>
      </w:r>
      <w:bookmarkEnd w:id="130"/>
      <w:r>
        <w:br w:type="page"/>
      </w:r>
    </w:p>
    <w:p w14:paraId="00801FD8" w14:textId="609F0A73" w:rsidR="00325D28" w:rsidRPr="00933C78" w:rsidRDefault="00325D28" w:rsidP="00325D28">
      <w:pPr>
        <w:pStyle w:val="Schedule"/>
        <w:pBdr>
          <w:bottom w:val="single" w:sz="4" w:space="1" w:color="auto"/>
        </w:pBdr>
        <w:spacing w:before="0"/>
        <w:ind w:left="1559" w:hanging="1559"/>
      </w:pPr>
      <w:bookmarkStart w:id="131" w:name="_Toc492376241"/>
      <w:bookmarkStart w:id="132" w:name="_Toc524085226"/>
      <w:r>
        <w:lastRenderedPageBreak/>
        <w:t>Annex</w:t>
      </w:r>
      <w:r w:rsidRPr="00933C78">
        <w:t xml:space="preserve"> A</w:t>
      </w:r>
      <w:r>
        <w:t>:</w:t>
      </w:r>
      <w:r w:rsidRPr="00933C78">
        <w:tab/>
      </w:r>
      <w:bookmarkEnd w:id="131"/>
      <w:r>
        <w:t>The Safety Case</w:t>
      </w:r>
      <w:r w:rsidR="00FF6C0A">
        <w:t xml:space="preserve"> – Australian Guidance</w:t>
      </w:r>
      <w:bookmarkEnd w:id="132"/>
    </w:p>
    <w:p w14:paraId="2986B5F0" w14:textId="77777777" w:rsidR="003467C2" w:rsidRPr="00325D28" w:rsidRDefault="003467C2" w:rsidP="003467C2">
      <w:pPr>
        <w:pStyle w:val="RPSScheduleHeading2"/>
        <w:rPr>
          <w:color w:val="4E1A74" w:themeColor="text2"/>
        </w:rPr>
      </w:pPr>
      <w:bookmarkStart w:id="133" w:name="_Ref11643188"/>
      <w:bookmarkStart w:id="134" w:name="_Toc32205372"/>
      <w:bookmarkStart w:id="135" w:name="_Toc81212558"/>
      <w:bookmarkStart w:id="136" w:name="_Toc82571056"/>
      <w:bookmarkStart w:id="137" w:name="_Toc82930943"/>
      <w:bookmarkStart w:id="138" w:name="_Toc131910828"/>
      <w:bookmarkStart w:id="139" w:name="_Toc495493180"/>
      <w:bookmarkStart w:id="140" w:name="_Toc32205389"/>
      <w:bookmarkStart w:id="141" w:name="_Toc81212575"/>
      <w:bookmarkEnd w:id="128"/>
      <w:bookmarkEnd w:id="129"/>
      <w:r w:rsidRPr="00325D28">
        <w:rPr>
          <w:color w:val="4E1A74" w:themeColor="text2"/>
        </w:rPr>
        <w:t>Safety Case and Safety Assessment</w:t>
      </w:r>
      <w:bookmarkEnd w:id="133"/>
      <w:bookmarkEnd w:id="134"/>
      <w:bookmarkEnd w:id="135"/>
      <w:bookmarkEnd w:id="136"/>
      <w:bookmarkEnd w:id="137"/>
      <w:bookmarkEnd w:id="138"/>
      <w:bookmarkEnd w:id="139"/>
    </w:p>
    <w:bookmarkEnd w:id="140"/>
    <w:bookmarkEnd w:id="141"/>
    <w:p w14:paraId="622C4AF8" w14:textId="4079429F" w:rsidR="00325D28" w:rsidRPr="00A80F9D" w:rsidRDefault="003467C2" w:rsidP="00325D28">
      <w:pPr>
        <w:pStyle w:val="para-normal"/>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 xml:space="preserve">The development of a safety case and supporting safety assessment for review by the </w:t>
      </w:r>
      <w:r w:rsidR="002B3CBD">
        <w:rPr>
          <w:rFonts w:asciiTheme="minorHAnsi" w:eastAsia="TimesNewRoman" w:hAnsiTheme="minorHAnsi"/>
          <w:color w:val="444448" w:themeColor="accent4"/>
          <w:sz w:val="22"/>
        </w:rPr>
        <w:t xml:space="preserve">relevant </w:t>
      </w:r>
      <w:r w:rsidRPr="00A80F9D">
        <w:rPr>
          <w:rFonts w:asciiTheme="minorHAnsi" w:eastAsia="TimesNewRoman" w:hAnsiTheme="minorHAnsi"/>
          <w:color w:val="444448" w:themeColor="accent4"/>
          <w:sz w:val="22"/>
        </w:rPr>
        <w:t xml:space="preserve">regulatory </w:t>
      </w:r>
      <w:r w:rsidR="002B3CBD">
        <w:rPr>
          <w:rFonts w:asciiTheme="minorHAnsi" w:eastAsia="TimesNewRoman" w:hAnsiTheme="minorHAnsi"/>
          <w:color w:val="444448" w:themeColor="accent4"/>
          <w:sz w:val="22"/>
        </w:rPr>
        <w:t>authority</w:t>
      </w:r>
      <w:r w:rsidR="002B3CBD" w:rsidRPr="00A80F9D">
        <w:rPr>
          <w:rFonts w:asciiTheme="minorHAnsi" w:eastAsia="TimesNewRoman" w:hAnsiTheme="minorHAnsi"/>
          <w:color w:val="444448" w:themeColor="accent4"/>
          <w:sz w:val="22"/>
        </w:rPr>
        <w:t xml:space="preserve"> </w:t>
      </w:r>
      <w:r w:rsidRPr="00A80F9D">
        <w:rPr>
          <w:rFonts w:asciiTheme="minorHAnsi" w:eastAsia="TimesNewRoman" w:hAnsiTheme="minorHAnsi"/>
          <w:color w:val="444448" w:themeColor="accent4"/>
          <w:sz w:val="22"/>
        </w:rPr>
        <w:t>and interested parties is central to the development, operation and closure of a disposal facility for radi</w:t>
      </w:r>
      <w:r w:rsidR="00325D28" w:rsidRPr="00A80F9D">
        <w:rPr>
          <w:rFonts w:asciiTheme="minorHAnsi" w:eastAsia="TimesNewRoman" w:hAnsiTheme="minorHAnsi"/>
          <w:color w:val="444448" w:themeColor="accent4"/>
          <w:sz w:val="22"/>
        </w:rPr>
        <w:t>oactive waste. The safety case:</w:t>
      </w:r>
    </w:p>
    <w:p w14:paraId="1F124918" w14:textId="25E795AD"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substantiates the safety of the disposal facility and contribu</w:t>
      </w:r>
      <w:r w:rsidR="00030018">
        <w:rPr>
          <w:rFonts w:asciiTheme="minorHAnsi" w:eastAsia="TimesNewRoman" w:hAnsiTheme="minorHAnsi"/>
          <w:color w:val="444448" w:themeColor="accent4"/>
          <w:sz w:val="22"/>
        </w:rPr>
        <w:t>tes to confidence in its safety</w:t>
      </w:r>
    </w:p>
    <w:p w14:paraId="1847FDAF" w14:textId="6AB31B0D"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is an essential input to all important decisions c</w:t>
      </w:r>
      <w:r w:rsidR="00030018">
        <w:rPr>
          <w:rFonts w:asciiTheme="minorHAnsi" w:eastAsia="TimesNewRoman" w:hAnsiTheme="minorHAnsi"/>
          <w:color w:val="444448" w:themeColor="accent4"/>
          <w:sz w:val="22"/>
        </w:rPr>
        <w:t>oncerning the disposal facility</w:t>
      </w:r>
    </w:p>
    <w:p w14:paraId="114F2F1F" w14:textId="689FD534" w:rsidR="00325D28"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provides the basis for understanding the disposal system a</w:t>
      </w:r>
      <w:r w:rsidR="00030018">
        <w:rPr>
          <w:rFonts w:asciiTheme="minorHAnsi" w:eastAsia="TimesNewRoman" w:hAnsiTheme="minorHAnsi"/>
          <w:color w:val="444448" w:themeColor="accent4"/>
          <w:sz w:val="22"/>
        </w:rPr>
        <w:t>nd how it will behave over time</w:t>
      </w:r>
    </w:p>
    <w:p w14:paraId="5D001755" w14:textId="7CD411DA" w:rsidR="00325D28"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addresses site aspects and engineering aspects, providing the logi</w:t>
      </w:r>
      <w:r w:rsidR="00030018">
        <w:rPr>
          <w:rFonts w:asciiTheme="minorHAnsi" w:eastAsia="TimesNewRoman" w:hAnsiTheme="minorHAnsi"/>
          <w:color w:val="444448" w:themeColor="accent4"/>
          <w:sz w:val="22"/>
        </w:rPr>
        <w:t>c and rationale for the design</w:t>
      </w:r>
    </w:p>
    <w:p w14:paraId="3F052D59" w14:textId="06FDA0F0" w:rsidR="00325D28" w:rsidRPr="00A80F9D" w:rsidRDefault="008247E1" w:rsidP="000562A3">
      <w:pPr>
        <w:pStyle w:val="para-normal"/>
        <w:numPr>
          <w:ilvl w:val="0"/>
          <w:numId w:val="25"/>
        </w:numPr>
        <w:spacing w:line="240" w:lineRule="auto"/>
        <w:rPr>
          <w:rFonts w:asciiTheme="minorHAnsi" w:eastAsia="TimesNewRoman" w:hAnsiTheme="minorHAnsi"/>
          <w:color w:val="444448" w:themeColor="accent4"/>
          <w:sz w:val="22"/>
        </w:rPr>
      </w:pPr>
      <w:r w:rsidRPr="00440590">
        <w:rPr>
          <w:rFonts w:asciiTheme="minorHAnsi" w:eastAsia="TimesNewRoman" w:hAnsiTheme="minorHAnsi"/>
          <w:color w:val="444448" w:themeColor="accent4"/>
          <w:sz w:val="22"/>
        </w:rPr>
        <w:t xml:space="preserve">addresses interactions with non-radiological hazards </w:t>
      </w:r>
      <w:r w:rsidR="00E1764C">
        <w:rPr>
          <w:rFonts w:asciiTheme="minorHAnsi" w:eastAsia="TimesNewRoman" w:hAnsiTheme="minorHAnsi"/>
          <w:color w:val="444448" w:themeColor="accent4"/>
          <w:sz w:val="22"/>
        </w:rPr>
        <w:t>that have</w:t>
      </w:r>
      <w:r w:rsidR="00E1764C" w:rsidRPr="00A80F9D">
        <w:rPr>
          <w:rFonts w:asciiTheme="minorHAnsi" w:eastAsia="TimesNewRoman" w:hAnsiTheme="minorHAnsi"/>
          <w:color w:val="444448" w:themeColor="accent4"/>
          <w:sz w:val="22"/>
        </w:rPr>
        <w:t xml:space="preserve"> </w:t>
      </w:r>
      <w:r w:rsidR="003467C2" w:rsidRPr="00A80F9D">
        <w:rPr>
          <w:rFonts w:asciiTheme="minorHAnsi" w:eastAsia="TimesNewRoman" w:hAnsiTheme="minorHAnsi"/>
          <w:color w:val="444448" w:themeColor="accent4"/>
          <w:sz w:val="22"/>
        </w:rPr>
        <w:t>to be</w:t>
      </w:r>
      <w:r w:rsidR="00030018">
        <w:rPr>
          <w:rFonts w:asciiTheme="minorHAnsi" w:eastAsia="TimesNewRoman" w:hAnsiTheme="minorHAnsi"/>
          <w:color w:val="444448" w:themeColor="accent4"/>
          <w:sz w:val="22"/>
        </w:rPr>
        <w:t xml:space="preserve"> supported by safety assessment</w:t>
      </w:r>
      <w:r w:rsidR="003467C2" w:rsidRPr="00A80F9D">
        <w:rPr>
          <w:rFonts w:asciiTheme="minorHAnsi" w:eastAsia="TimesNewRoman" w:hAnsiTheme="minorHAnsi"/>
          <w:color w:val="444448" w:themeColor="accent4"/>
          <w:sz w:val="22"/>
        </w:rPr>
        <w:t xml:space="preserve"> </w:t>
      </w:r>
    </w:p>
    <w:p w14:paraId="7206E05C" w14:textId="4F46340D" w:rsidR="003467C2" w:rsidRPr="00A80F9D" w:rsidRDefault="003467C2" w:rsidP="000562A3">
      <w:pPr>
        <w:pStyle w:val="para-normal"/>
        <w:numPr>
          <w:ilvl w:val="0"/>
          <w:numId w:val="25"/>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addresses the management system put in place to ensure quality for all aspects important to safety.</w:t>
      </w:r>
    </w:p>
    <w:p w14:paraId="0CDA2236" w14:textId="65A312EC"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 xml:space="preserve">At any step in the development of a disposal facility, </w:t>
      </w:r>
      <w:r w:rsidR="00196503">
        <w:rPr>
          <w:rFonts w:asciiTheme="minorHAnsi" w:eastAsia="TimesNewRoman" w:hAnsiTheme="minorHAnsi"/>
          <w:color w:val="444448" w:themeColor="accent4"/>
          <w:sz w:val="22"/>
        </w:rPr>
        <w:t xml:space="preserve">or in the operation or closure of a facility, </w:t>
      </w:r>
      <w:r w:rsidRPr="00A80F9D">
        <w:rPr>
          <w:rFonts w:asciiTheme="minorHAnsi" w:eastAsia="TimesNewRoman" w:hAnsiTheme="minorHAnsi"/>
          <w:color w:val="444448" w:themeColor="accent4"/>
          <w:sz w:val="22"/>
        </w:rPr>
        <w:t xml:space="preserve">the safety case </w:t>
      </w:r>
      <w:r w:rsidR="00E1764C">
        <w:rPr>
          <w:rFonts w:asciiTheme="minorHAnsi" w:eastAsia="TimesNewRoman" w:hAnsiTheme="minorHAnsi"/>
          <w:color w:val="444448" w:themeColor="accent4"/>
          <w:sz w:val="22"/>
        </w:rPr>
        <w:t>should</w:t>
      </w:r>
      <w:r w:rsidRPr="00A80F9D">
        <w:rPr>
          <w:rFonts w:asciiTheme="minorHAnsi" w:eastAsia="TimesNewRoman" w:hAnsiTheme="minorHAnsi"/>
          <w:color w:val="444448" w:themeColor="accent4"/>
          <w:sz w:val="22"/>
        </w:rPr>
        <w:t xml:space="preserve"> identify and acknowledge </w:t>
      </w:r>
      <w:r w:rsidR="00E1764C">
        <w:rPr>
          <w:rFonts w:asciiTheme="minorHAnsi" w:eastAsia="TimesNewRoman" w:hAnsiTheme="minorHAnsi"/>
          <w:color w:val="444448" w:themeColor="accent4"/>
          <w:sz w:val="22"/>
        </w:rPr>
        <w:t>any</w:t>
      </w:r>
      <w:r w:rsidR="00E1764C" w:rsidRPr="00A80F9D">
        <w:rPr>
          <w:rFonts w:asciiTheme="minorHAnsi" w:eastAsia="TimesNewRoman" w:hAnsiTheme="minorHAnsi"/>
          <w:color w:val="444448" w:themeColor="accent4"/>
          <w:sz w:val="22"/>
        </w:rPr>
        <w:t xml:space="preserve"> </w:t>
      </w:r>
      <w:r w:rsidRPr="00A80F9D">
        <w:rPr>
          <w:rFonts w:asciiTheme="minorHAnsi" w:eastAsia="TimesNewRoman" w:hAnsiTheme="minorHAnsi"/>
          <w:color w:val="444448" w:themeColor="accent4"/>
          <w:sz w:val="22"/>
        </w:rPr>
        <w:t xml:space="preserve">unresolved </w:t>
      </w:r>
      <w:r w:rsidR="00196503">
        <w:rPr>
          <w:rFonts w:asciiTheme="minorHAnsi" w:eastAsia="TimesNewRoman" w:hAnsiTheme="minorHAnsi"/>
          <w:color w:val="444448" w:themeColor="accent4"/>
          <w:sz w:val="22"/>
        </w:rPr>
        <w:t>issues</w:t>
      </w:r>
      <w:r w:rsidR="00196503" w:rsidRPr="00A80F9D">
        <w:rPr>
          <w:rFonts w:asciiTheme="minorHAnsi" w:eastAsia="TimesNewRoman" w:hAnsiTheme="minorHAnsi"/>
          <w:color w:val="444448" w:themeColor="accent4"/>
          <w:sz w:val="22"/>
        </w:rPr>
        <w:t xml:space="preserve"> </w:t>
      </w:r>
      <w:r w:rsidRPr="00A80F9D">
        <w:rPr>
          <w:rFonts w:asciiTheme="minorHAnsi" w:eastAsia="TimesNewRoman" w:hAnsiTheme="minorHAnsi"/>
          <w:color w:val="444448" w:themeColor="accent4"/>
          <w:sz w:val="22"/>
        </w:rPr>
        <w:t>that exist at that stage and their safety significance, and approaches for their management.</w:t>
      </w:r>
    </w:p>
    <w:p w14:paraId="275F1D9A" w14:textId="516097AE" w:rsidR="003467C2" w:rsidRPr="00A80F9D" w:rsidRDefault="003467C2" w:rsidP="003467C2">
      <w:pPr>
        <w:pStyle w:val="para-normal"/>
        <w:rPr>
          <w:rFonts w:asciiTheme="minorHAnsi" w:eastAsia="TimesNewRoman" w:hAnsiTheme="minorHAnsi"/>
          <w:color w:val="444448" w:themeColor="accent4"/>
          <w:sz w:val="22"/>
        </w:rPr>
      </w:pPr>
      <w:r w:rsidRPr="00A80F9D">
        <w:rPr>
          <w:rStyle w:val="LineNumber"/>
          <w:rFonts w:asciiTheme="minorHAnsi" w:hAnsiTheme="minorHAnsi"/>
          <w:color w:val="444448" w:themeColor="accent4"/>
          <w:sz w:val="22"/>
        </w:rPr>
        <w:t>The impact of the disposal facility on the community in which the facility is, or is to be, situ</w:t>
      </w:r>
      <w:r w:rsidR="00C822E8">
        <w:rPr>
          <w:rStyle w:val="LineNumber"/>
          <w:rFonts w:asciiTheme="minorHAnsi" w:hAnsiTheme="minorHAnsi"/>
          <w:color w:val="444448" w:themeColor="accent4"/>
          <w:sz w:val="22"/>
        </w:rPr>
        <w:t xml:space="preserve">ated should also be addressed. </w:t>
      </w:r>
      <w:r w:rsidRPr="00A80F9D">
        <w:rPr>
          <w:rStyle w:val="LineNumber"/>
          <w:rFonts w:asciiTheme="minorHAnsi" w:hAnsiTheme="minorHAnsi"/>
          <w:color w:val="444448" w:themeColor="accent4"/>
          <w:sz w:val="22"/>
        </w:rPr>
        <w:t>All relevant societal aspects need to be considered including transport routes within Australia and public concerns regarding local transport conditions.</w:t>
      </w:r>
    </w:p>
    <w:p w14:paraId="06FF6854" w14:textId="77777777"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The safety case should include the output of the safety assessment together with additional information, including supporting evidence and reasoning on the robustness and reliability of the facility, its design, the logic of the design, and the quality of safety assessment and underlying assumptions.</w:t>
      </w:r>
    </w:p>
    <w:p w14:paraId="58FC60CB" w14:textId="1875282B"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 xml:space="preserve">The safety case may also include more general arguments relating to the disposal of radioactive waste and information to put the results of safety assessment into perspective. </w:t>
      </w:r>
    </w:p>
    <w:p w14:paraId="360CC995" w14:textId="2CD6BE55" w:rsidR="003467C2" w:rsidRPr="00A80F9D" w:rsidRDefault="003467C2" w:rsidP="003467C2">
      <w:pPr>
        <w:pStyle w:val="para-normal"/>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 xml:space="preserve">Safety assessment is the process of systematically analysing the hazards associated with a disposal facility and assessing the ability of the site and the design of the facility to provide for the fulfilment of safety functions and to meet technical requirements. Safety assessment has to include quantification of the overall level of performance, analysis of the associated uncertainties and comparison with the relevant design requirements and safety standards. The assessments </w:t>
      </w:r>
      <w:r w:rsidR="00196503">
        <w:rPr>
          <w:rFonts w:asciiTheme="minorHAnsi" w:eastAsia="TimesNewRoman" w:hAnsiTheme="minorHAnsi"/>
          <w:color w:val="444448" w:themeColor="accent4"/>
          <w:sz w:val="22"/>
        </w:rPr>
        <w:t>should</w:t>
      </w:r>
      <w:r w:rsidRPr="00A80F9D">
        <w:rPr>
          <w:rFonts w:asciiTheme="minorHAnsi" w:eastAsia="TimesNewRoman" w:hAnsiTheme="minorHAnsi"/>
          <w:color w:val="444448" w:themeColor="accent4"/>
          <w:sz w:val="22"/>
        </w:rPr>
        <w:t xml:space="preserve"> be site specific since the host environment of a disposal system, in contrast to engineered syste</w:t>
      </w:r>
      <w:r w:rsidR="001662B6">
        <w:rPr>
          <w:rFonts w:asciiTheme="minorHAnsi" w:eastAsia="TimesNewRoman" w:hAnsiTheme="minorHAnsi"/>
          <w:color w:val="444448" w:themeColor="accent4"/>
          <w:sz w:val="22"/>
        </w:rPr>
        <w:t>ms, cannot be standardis</w:t>
      </w:r>
      <w:r w:rsidRPr="00A80F9D">
        <w:rPr>
          <w:rFonts w:asciiTheme="minorHAnsi" w:eastAsia="TimesNewRoman" w:hAnsiTheme="minorHAnsi"/>
          <w:color w:val="444448" w:themeColor="accent4"/>
          <w:sz w:val="22"/>
        </w:rPr>
        <w:t>ed.</w:t>
      </w:r>
    </w:p>
    <w:p w14:paraId="239E1825" w14:textId="3D93D34E" w:rsidR="003467C2" w:rsidRPr="00A80F9D" w:rsidRDefault="003467C2" w:rsidP="003467C2">
      <w:pPr>
        <w:pStyle w:val="para-normal"/>
        <w:rPr>
          <w:rFonts w:asciiTheme="minorHAnsi" w:hAnsiTheme="minorHAnsi"/>
          <w:color w:val="444448" w:themeColor="accent4"/>
          <w:sz w:val="22"/>
        </w:rPr>
      </w:pPr>
      <w:r w:rsidRPr="00A80F9D">
        <w:rPr>
          <w:rFonts w:asciiTheme="minorHAnsi" w:eastAsia="TimesNewRoman" w:hAnsiTheme="minorHAnsi"/>
          <w:color w:val="444448" w:themeColor="accent4"/>
          <w:sz w:val="22"/>
        </w:rPr>
        <w:t xml:space="preserve">As site investigations and design studies progress, safety assessment </w:t>
      </w:r>
      <w:r w:rsidR="00196503">
        <w:rPr>
          <w:rFonts w:asciiTheme="minorHAnsi" w:eastAsia="TimesNewRoman" w:hAnsiTheme="minorHAnsi"/>
          <w:color w:val="444448" w:themeColor="accent4"/>
          <w:sz w:val="22"/>
        </w:rPr>
        <w:t>should</w:t>
      </w:r>
      <w:r w:rsidR="00196503" w:rsidRPr="00A80F9D">
        <w:rPr>
          <w:rFonts w:asciiTheme="minorHAnsi" w:eastAsia="TimesNewRoman" w:hAnsiTheme="minorHAnsi"/>
          <w:color w:val="444448" w:themeColor="accent4"/>
          <w:sz w:val="22"/>
        </w:rPr>
        <w:t xml:space="preserve"> </w:t>
      </w:r>
      <w:r w:rsidRPr="00A80F9D">
        <w:rPr>
          <w:rFonts w:asciiTheme="minorHAnsi" w:eastAsia="TimesNewRoman" w:hAnsiTheme="minorHAnsi"/>
          <w:color w:val="444448" w:themeColor="accent4"/>
          <w:sz w:val="22"/>
        </w:rPr>
        <w:t xml:space="preserve">become increasingly refined and specific to the site. At the end of a site investigation, sufficient data have to be available for a complete assessment. Any significant deficiencies in scientific understanding, </w:t>
      </w:r>
      <w:r w:rsidR="00A672EA">
        <w:rPr>
          <w:rFonts w:asciiTheme="minorHAnsi" w:eastAsia="TimesNewRoman" w:hAnsiTheme="minorHAnsi"/>
          <w:color w:val="444448" w:themeColor="accent4"/>
          <w:sz w:val="22"/>
        </w:rPr>
        <w:t xml:space="preserve">empirical </w:t>
      </w:r>
      <w:r w:rsidRPr="00A80F9D">
        <w:rPr>
          <w:rFonts w:asciiTheme="minorHAnsi" w:eastAsia="TimesNewRoman" w:hAnsiTheme="minorHAnsi"/>
          <w:color w:val="444448" w:themeColor="accent4"/>
          <w:sz w:val="22"/>
        </w:rPr>
        <w:t xml:space="preserve">data or analysis that might affect the results presented also </w:t>
      </w:r>
      <w:r w:rsidR="00A672EA">
        <w:rPr>
          <w:rFonts w:asciiTheme="minorHAnsi" w:eastAsia="TimesNewRoman" w:hAnsiTheme="minorHAnsi"/>
          <w:color w:val="444448" w:themeColor="accent4"/>
          <w:sz w:val="22"/>
        </w:rPr>
        <w:t>should</w:t>
      </w:r>
      <w:r w:rsidRPr="00A80F9D">
        <w:rPr>
          <w:rFonts w:asciiTheme="minorHAnsi" w:eastAsia="TimesNewRoman" w:hAnsiTheme="minorHAnsi"/>
          <w:color w:val="444448" w:themeColor="accent4"/>
          <w:sz w:val="22"/>
        </w:rPr>
        <w:t xml:space="preserve"> be identified in the safety assessment. Depending on the stage of </w:t>
      </w:r>
      <w:r w:rsidRPr="00A80F9D">
        <w:rPr>
          <w:rFonts w:asciiTheme="minorHAnsi" w:eastAsia="TimesNewRoman" w:hAnsiTheme="minorHAnsi"/>
          <w:color w:val="444448" w:themeColor="accent4"/>
          <w:sz w:val="22"/>
        </w:rPr>
        <w:lastRenderedPageBreak/>
        <w:t>development of the facility, safety assessment may be used in focusing research, and its results may be used to assess compliance with the safety objective and safety criteria.</w:t>
      </w:r>
    </w:p>
    <w:p w14:paraId="03111411" w14:textId="77777777" w:rsidR="003467C2" w:rsidRPr="00325D28" w:rsidRDefault="003467C2" w:rsidP="003467C2">
      <w:pPr>
        <w:pStyle w:val="RPSScheduleHeading2"/>
        <w:rPr>
          <w:color w:val="4E1A74" w:themeColor="text2"/>
        </w:rPr>
      </w:pPr>
      <w:bookmarkStart w:id="142" w:name="_Toc495493182"/>
      <w:r w:rsidRPr="00325D28">
        <w:rPr>
          <w:color w:val="4E1A74" w:themeColor="text2"/>
        </w:rPr>
        <w:t>Role of the Safety Case in Regulation</w:t>
      </w:r>
      <w:bookmarkEnd w:id="142"/>
    </w:p>
    <w:p w14:paraId="413B94BC" w14:textId="67EFE146" w:rsidR="003467C2" w:rsidRPr="00A80F9D" w:rsidRDefault="003467C2" w:rsidP="003467C2">
      <w:pPr>
        <w:pStyle w:val="RPSScheduleTextnumb"/>
        <w:numPr>
          <w:ilvl w:val="0"/>
          <w:numId w:val="0"/>
        </w:numPr>
        <w:rPr>
          <w:color w:val="444448" w:themeColor="accent4"/>
        </w:rPr>
      </w:pPr>
      <w:r w:rsidRPr="00A80F9D">
        <w:rPr>
          <w:color w:val="444448" w:themeColor="accent4"/>
        </w:rPr>
        <w:t>An applicant for a</w:t>
      </w:r>
      <w:r w:rsidR="00CB125A">
        <w:rPr>
          <w:color w:val="444448" w:themeColor="accent4"/>
        </w:rPr>
        <w:t xml:space="preserve">n </w:t>
      </w:r>
      <w:r w:rsidR="00CB125A">
        <w:rPr>
          <w:color w:val="444448" w:themeColor="accent4"/>
          <w:szCs w:val="22"/>
        </w:rPr>
        <w:t>authorisation</w:t>
      </w:r>
      <w:r w:rsidRPr="00A80F9D">
        <w:rPr>
          <w:color w:val="444448" w:themeColor="accent4"/>
        </w:rPr>
        <w:t xml:space="preserve"> under this Code is required to demonstrate that the proposed radioactive waste disposal facility will meet the required level of protection by carrying out and presenting a safety case that draws upon the organisational and technical arrangements put in place, the nature of the waste to be accepted, the characteristics of the site, the design of the facility including any engineered safety barriers, and the arrangements for i</w:t>
      </w:r>
      <w:r w:rsidR="00175726">
        <w:rPr>
          <w:color w:val="444448" w:themeColor="accent4"/>
        </w:rPr>
        <w:t xml:space="preserve">ts construction and operation. </w:t>
      </w:r>
      <w:r w:rsidRPr="00A80F9D">
        <w:rPr>
          <w:color w:val="444448" w:themeColor="accent4"/>
        </w:rPr>
        <w:t>Detailed requirements involving the safety case are presented above in Section 3 of this Code (</w:t>
      </w:r>
      <w:r w:rsidRPr="00C80082">
        <w:rPr>
          <w:color w:val="444448" w:themeColor="accent4"/>
        </w:rPr>
        <w:t>particularly</w:t>
      </w:r>
      <w:r w:rsidR="00757917" w:rsidRPr="00C80082">
        <w:rPr>
          <w:color w:val="444448" w:themeColor="accent4"/>
        </w:rPr>
        <w:t xml:space="preserve"> clauses </w:t>
      </w:r>
      <w:r w:rsidR="00757917" w:rsidRPr="003464AA">
        <w:rPr>
          <w:color w:val="444448" w:themeColor="accent4"/>
        </w:rPr>
        <w:fldChar w:fldCharType="begin"/>
      </w:r>
      <w:r w:rsidR="00757917" w:rsidRPr="003464AA">
        <w:rPr>
          <w:color w:val="444448" w:themeColor="accent4"/>
        </w:rPr>
        <w:instrText xml:space="preserve"> REF _Ref496698602 \r \h </w:instrText>
      </w:r>
      <w:r w:rsidR="00C80082" w:rsidRPr="003464AA">
        <w:rPr>
          <w:color w:val="444448" w:themeColor="accent4"/>
        </w:rPr>
        <w:instrText xml:space="preserve"> \* MERGEFORMAT </w:instrText>
      </w:r>
      <w:r w:rsidR="00757917" w:rsidRPr="003464AA">
        <w:rPr>
          <w:color w:val="444448" w:themeColor="accent4"/>
        </w:rPr>
      </w:r>
      <w:r w:rsidR="00757917" w:rsidRPr="003464AA">
        <w:rPr>
          <w:color w:val="444448" w:themeColor="accent4"/>
        </w:rPr>
        <w:fldChar w:fldCharType="separate"/>
      </w:r>
      <w:r w:rsidR="00C022DF">
        <w:rPr>
          <w:color w:val="444448" w:themeColor="accent4"/>
        </w:rPr>
        <w:t>3.2.49</w:t>
      </w:r>
      <w:r w:rsidR="00757917" w:rsidRPr="003464AA">
        <w:rPr>
          <w:color w:val="444448" w:themeColor="accent4"/>
        </w:rPr>
        <w:fldChar w:fldCharType="end"/>
      </w:r>
      <w:r w:rsidR="00757917" w:rsidRPr="003464AA">
        <w:rPr>
          <w:color w:val="444448" w:themeColor="accent4"/>
        </w:rPr>
        <w:t xml:space="preserve"> to </w:t>
      </w:r>
      <w:r w:rsidR="00757917" w:rsidRPr="003464AA">
        <w:rPr>
          <w:color w:val="444448" w:themeColor="accent4"/>
        </w:rPr>
        <w:fldChar w:fldCharType="begin"/>
      </w:r>
      <w:r w:rsidR="00757917" w:rsidRPr="003464AA">
        <w:rPr>
          <w:color w:val="444448" w:themeColor="accent4"/>
        </w:rPr>
        <w:instrText xml:space="preserve"> REF _Ref496698611 \r \h </w:instrText>
      </w:r>
      <w:r w:rsidR="00C80082" w:rsidRPr="003464AA">
        <w:rPr>
          <w:color w:val="444448" w:themeColor="accent4"/>
        </w:rPr>
        <w:instrText xml:space="preserve"> \* MERGEFORMAT </w:instrText>
      </w:r>
      <w:r w:rsidR="00757917" w:rsidRPr="003464AA">
        <w:rPr>
          <w:color w:val="444448" w:themeColor="accent4"/>
        </w:rPr>
      </w:r>
      <w:r w:rsidR="00757917" w:rsidRPr="003464AA">
        <w:rPr>
          <w:color w:val="444448" w:themeColor="accent4"/>
        </w:rPr>
        <w:fldChar w:fldCharType="separate"/>
      </w:r>
      <w:r w:rsidR="00C022DF">
        <w:rPr>
          <w:color w:val="444448" w:themeColor="accent4"/>
        </w:rPr>
        <w:t>3.2.65</w:t>
      </w:r>
      <w:r w:rsidR="00757917" w:rsidRPr="003464AA">
        <w:rPr>
          <w:color w:val="444448" w:themeColor="accent4"/>
        </w:rPr>
        <w:fldChar w:fldCharType="end"/>
      </w:r>
      <w:r w:rsidRPr="00A80F9D">
        <w:rPr>
          <w:color w:val="444448" w:themeColor="accent4"/>
        </w:rPr>
        <w:t>), and international guidance for develo</w:t>
      </w:r>
      <w:r w:rsidR="00F1126C">
        <w:rPr>
          <w:color w:val="444448" w:themeColor="accent4"/>
        </w:rPr>
        <w:t>ping a safety case is available (</w:t>
      </w:r>
      <w:r w:rsidR="00A47475">
        <w:rPr>
          <w:color w:val="444448" w:themeColor="accent4"/>
        </w:rPr>
        <w:t>e.g. IAEA 2012</w:t>
      </w:r>
      <w:r w:rsidR="00A672EA">
        <w:rPr>
          <w:color w:val="444448" w:themeColor="accent4"/>
        </w:rPr>
        <w:t xml:space="preserve">, </w:t>
      </w:r>
      <w:r w:rsidR="00A47475">
        <w:rPr>
          <w:color w:val="444448" w:themeColor="accent4"/>
        </w:rPr>
        <w:t>IAEA 2017).</w:t>
      </w:r>
      <w:r w:rsidR="00A47475" w:rsidRPr="00A80F9D">
        <w:rPr>
          <w:color w:val="444448" w:themeColor="accent4"/>
        </w:rPr>
        <w:t xml:space="preserve"> </w:t>
      </w:r>
    </w:p>
    <w:p w14:paraId="25C5D1DC" w14:textId="60DAD23C" w:rsidR="003467C2" w:rsidRPr="00A80F9D" w:rsidRDefault="003467C2" w:rsidP="003467C2">
      <w:pPr>
        <w:pStyle w:val="RPSScheduleTextnumb"/>
        <w:numPr>
          <w:ilvl w:val="0"/>
          <w:numId w:val="0"/>
        </w:numPr>
        <w:rPr>
          <w:color w:val="444448" w:themeColor="accent4"/>
        </w:rPr>
      </w:pPr>
      <w:r w:rsidRPr="00A80F9D">
        <w:rPr>
          <w:color w:val="444448" w:themeColor="accent4"/>
        </w:rPr>
        <w:t xml:space="preserve">It is important for an application to prepare a site for a facility to include details of the conceptual design as well as other aspects as further detailed in this Code. At each stage, a safety assessment </w:t>
      </w:r>
      <w:r w:rsidR="006F2956">
        <w:rPr>
          <w:color w:val="444448" w:themeColor="accent4"/>
        </w:rPr>
        <w:t>should</w:t>
      </w:r>
      <w:r w:rsidRPr="00A80F9D">
        <w:rPr>
          <w:color w:val="444448" w:themeColor="accent4"/>
        </w:rPr>
        <w:t xml:space="preserve"> be included and as the process proceeds through the various stages, the safety assessment and safety case will develop accordingly, in sufficient detail. The staged approach allows for continuous improvement in design, operation and safety throughout the lifetime of the facility. Under some circumstances, an applicant may choose to submit applications for more than one </w:t>
      </w:r>
      <w:r w:rsidR="00CB125A">
        <w:rPr>
          <w:color w:val="444448" w:themeColor="accent4"/>
          <w:szCs w:val="22"/>
        </w:rPr>
        <w:t>authorisation</w:t>
      </w:r>
      <w:r w:rsidRPr="00A80F9D">
        <w:rPr>
          <w:color w:val="444448" w:themeColor="accent4"/>
        </w:rPr>
        <w:t xml:space="preserve"> simultaneously.</w:t>
      </w:r>
    </w:p>
    <w:p w14:paraId="31109C12" w14:textId="77777777" w:rsidR="003467C2" w:rsidRPr="00325D28" w:rsidRDefault="003467C2" w:rsidP="003467C2">
      <w:pPr>
        <w:pStyle w:val="RPSScheduleHeading2"/>
        <w:rPr>
          <w:color w:val="4E1A74" w:themeColor="text2"/>
        </w:rPr>
      </w:pPr>
      <w:bookmarkStart w:id="143" w:name="_Toc495493183"/>
      <w:r w:rsidRPr="00325D28">
        <w:rPr>
          <w:color w:val="4E1A74" w:themeColor="text2"/>
        </w:rPr>
        <w:t>Role of the Safety Case in Consultation</w:t>
      </w:r>
      <w:bookmarkEnd w:id="143"/>
    </w:p>
    <w:p w14:paraId="65402C63" w14:textId="66688B06" w:rsidR="003467C2" w:rsidRDefault="003467C2" w:rsidP="003467C2">
      <w:pPr>
        <w:pStyle w:val="RPSScheduleTextnumb"/>
        <w:numPr>
          <w:ilvl w:val="0"/>
          <w:numId w:val="0"/>
        </w:numPr>
        <w:rPr>
          <w:rStyle w:val="LineNumber"/>
          <w:szCs w:val="22"/>
        </w:rPr>
      </w:pPr>
      <w:r w:rsidRPr="00A80F9D">
        <w:rPr>
          <w:rStyle w:val="LineNumber"/>
          <w:color w:val="444448" w:themeColor="accent4"/>
          <w:szCs w:val="22"/>
        </w:rPr>
        <w:t xml:space="preserve">The </w:t>
      </w:r>
      <w:r w:rsidRPr="00B52F5B">
        <w:rPr>
          <w:rStyle w:val="LineNumber"/>
          <w:color w:val="444448" w:themeColor="accent4"/>
          <w:szCs w:val="22"/>
        </w:rPr>
        <w:t xml:space="preserve">role of the safety case in communication and consultation with stakeholders is highlighted in </w:t>
      </w:r>
      <w:r w:rsidR="005B5050">
        <w:rPr>
          <w:rStyle w:val="LineNumber"/>
          <w:color w:val="444448" w:themeColor="accent4"/>
          <w:szCs w:val="22"/>
        </w:rPr>
        <w:t xml:space="preserve">Section 5 of </w:t>
      </w:r>
      <w:r w:rsidRPr="00B52F5B">
        <w:rPr>
          <w:rStyle w:val="LineNumber"/>
          <w:color w:val="444448" w:themeColor="accent4"/>
          <w:szCs w:val="22"/>
        </w:rPr>
        <w:t>the</w:t>
      </w:r>
      <w:r w:rsidR="00A04170">
        <w:rPr>
          <w:rStyle w:val="LineNumber"/>
          <w:color w:val="444448" w:themeColor="accent4"/>
          <w:szCs w:val="22"/>
        </w:rPr>
        <w:t xml:space="preserve"> IAEA Safety Guide</w:t>
      </w:r>
      <w:r w:rsidRPr="00B52F5B">
        <w:rPr>
          <w:rStyle w:val="LineNumber"/>
          <w:color w:val="444448" w:themeColor="accent4"/>
          <w:szCs w:val="22"/>
        </w:rPr>
        <w:t xml:space="preserve"> </w:t>
      </w:r>
      <w:r w:rsidRPr="00B52F5B">
        <w:rPr>
          <w:rStyle w:val="LineNumber"/>
          <w:i/>
          <w:color w:val="444448" w:themeColor="accent4"/>
          <w:szCs w:val="22"/>
        </w:rPr>
        <w:t xml:space="preserve">Safety Assessment for Facilities and Activities </w:t>
      </w:r>
      <w:r w:rsidRPr="00B52F5B">
        <w:rPr>
          <w:rStyle w:val="LineNumber"/>
          <w:color w:val="444448" w:themeColor="accent4"/>
          <w:szCs w:val="22"/>
        </w:rPr>
        <w:t>(GSR Part 4</w:t>
      </w:r>
      <w:r w:rsidR="00F0125B">
        <w:rPr>
          <w:rStyle w:val="LineNumber"/>
          <w:color w:val="444448" w:themeColor="accent4"/>
          <w:szCs w:val="22"/>
        </w:rPr>
        <w:t xml:space="preserve">, </w:t>
      </w:r>
      <w:r w:rsidR="00C00012" w:rsidRPr="00B52F5B">
        <w:rPr>
          <w:rStyle w:val="LineNumber"/>
          <w:color w:val="444448" w:themeColor="accent4"/>
          <w:szCs w:val="22"/>
        </w:rPr>
        <w:t xml:space="preserve">IAEA </w:t>
      </w:r>
      <w:r w:rsidR="005B5050">
        <w:rPr>
          <w:rStyle w:val="LineNumber"/>
          <w:color w:val="444448" w:themeColor="accent4"/>
          <w:szCs w:val="22"/>
        </w:rPr>
        <w:t>2016b</w:t>
      </w:r>
      <w:r w:rsidRPr="00B52F5B">
        <w:rPr>
          <w:rStyle w:val="LineNumber"/>
          <w:color w:val="444448" w:themeColor="accent4"/>
          <w:szCs w:val="22"/>
        </w:rPr>
        <w:t>).</w:t>
      </w:r>
      <w:r w:rsidR="00175726">
        <w:rPr>
          <w:rStyle w:val="LineNumber"/>
          <w:color w:val="444448" w:themeColor="accent4"/>
          <w:szCs w:val="22"/>
        </w:rPr>
        <w:t xml:space="preserve"> </w:t>
      </w:r>
      <w:r w:rsidRPr="00A80F9D">
        <w:rPr>
          <w:rStyle w:val="LineNumber"/>
          <w:color w:val="444448" w:themeColor="accent4"/>
          <w:szCs w:val="22"/>
        </w:rPr>
        <w:t>The operator is responsible for communicating the results and insights from the safety assessment to a wide range of interested parties, including the designers, the operating organisation, the</w:t>
      </w:r>
      <w:r w:rsidR="002B3CBD">
        <w:rPr>
          <w:rStyle w:val="LineNumber"/>
          <w:color w:val="444448" w:themeColor="accent4"/>
          <w:szCs w:val="22"/>
        </w:rPr>
        <w:t xml:space="preserve"> relevant</w:t>
      </w:r>
      <w:r w:rsidRPr="00A80F9D">
        <w:rPr>
          <w:rStyle w:val="LineNumber"/>
          <w:color w:val="444448" w:themeColor="accent4"/>
          <w:szCs w:val="22"/>
        </w:rPr>
        <w:t xml:space="preserve"> regulatory </w:t>
      </w:r>
      <w:r w:rsidR="002B3CBD">
        <w:rPr>
          <w:rStyle w:val="LineNumber"/>
          <w:color w:val="444448" w:themeColor="accent4"/>
          <w:szCs w:val="22"/>
        </w:rPr>
        <w:t>authority</w:t>
      </w:r>
      <w:r w:rsidR="000306A0">
        <w:rPr>
          <w:rStyle w:val="LineNumber"/>
          <w:color w:val="444448" w:themeColor="accent4"/>
          <w:szCs w:val="22"/>
        </w:rPr>
        <w:t xml:space="preserve">, the </w:t>
      </w:r>
      <w:r w:rsidR="000D54C8">
        <w:rPr>
          <w:rStyle w:val="LineNumber"/>
          <w:color w:val="444448" w:themeColor="accent4"/>
          <w:szCs w:val="22"/>
        </w:rPr>
        <w:t>community</w:t>
      </w:r>
      <w:r w:rsidRPr="00A80F9D">
        <w:rPr>
          <w:rStyle w:val="LineNumber"/>
          <w:color w:val="444448" w:themeColor="accent4"/>
          <w:szCs w:val="22"/>
        </w:rPr>
        <w:t xml:space="preserve"> and other professionals. Communication of the results from the safety assessment to stakeholders has to be commensurate with the possible radiation risks arising from the facility or activity and the complexity of the models and tools </w:t>
      </w:r>
      <w:r w:rsidRPr="00531F35">
        <w:rPr>
          <w:rStyle w:val="LineNumber"/>
          <w:szCs w:val="22"/>
        </w:rPr>
        <w:t>used.</w:t>
      </w:r>
    </w:p>
    <w:p w14:paraId="69F3C79A" w14:textId="3F8649D2" w:rsidR="003467C2" w:rsidRPr="00325D28" w:rsidRDefault="003467C2" w:rsidP="003467C2">
      <w:pPr>
        <w:pStyle w:val="RPSScheduleHeading2"/>
        <w:rPr>
          <w:color w:val="4E1A74" w:themeColor="text2"/>
          <w:sz w:val="22"/>
          <w:szCs w:val="24"/>
        </w:rPr>
      </w:pPr>
      <w:bookmarkStart w:id="144" w:name="_Toc495493184"/>
      <w:r w:rsidRPr="00325D28">
        <w:rPr>
          <w:color w:val="4E1A74" w:themeColor="text2"/>
        </w:rPr>
        <w:t>Waste Acceptance Criteria</w:t>
      </w:r>
      <w:bookmarkEnd w:id="144"/>
    </w:p>
    <w:p w14:paraId="681A1164" w14:textId="6F4046F0" w:rsidR="00325D28" w:rsidRPr="00A80F9D" w:rsidRDefault="003467C2" w:rsidP="00325D28">
      <w:pPr>
        <w:pStyle w:val="RPSScheduleTextnumb"/>
        <w:numPr>
          <w:ilvl w:val="0"/>
          <w:numId w:val="0"/>
        </w:numPr>
        <w:rPr>
          <w:rStyle w:val="LineNumber"/>
          <w:color w:val="444448" w:themeColor="accent4"/>
          <w:szCs w:val="22"/>
        </w:rPr>
      </w:pPr>
      <w:r w:rsidRPr="00A80F9D">
        <w:rPr>
          <w:rStyle w:val="LineNumber"/>
          <w:color w:val="444448" w:themeColor="accent4"/>
        </w:rPr>
        <w:t>Conformance</w:t>
      </w:r>
      <w:r w:rsidRPr="00A80F9D">
        <w:rPr>
          <w:rStyle w:val="LineNumber"/>
          <w:color w:val="444448" w:themeColor="accent4"/>
          <w:szCs w:val="22"/>
        </w:rPr>
        <w:t xml:space="preserve"> with radiation protection principles by means of the safety case forms the basis for developing acceptance criteria for classif</w:t>
      </w:r>
      <w:r w:rsidR="00F6292F">
        <w:rPr>
          <w:rStyle w:val="LineNumber"/>
          <w:color w:val="444448" w:themeColor="accent4"/>
          <w:szCs w:val="22"/>
        </w:rPr>
        <w:t xml:space="preserve">ying waste for disposal by near </w:t>
      </w:r>
      <w:r w:rsidRPr="00A80F9D">
        <w:rPr>
          <w:rStyle w:val="LineNumber"/>
          <w:color w:val="444448" w:themeColor="accent4"/>
          <w:szCs w:val="22"/>
        </w:rPr>
        <w:t>surface burial or for disposal at greater depths.</w:t>
      </w:r>
    </w:p>
    <w:p w14:paraId="70BAFD0D" w14:textId="4AEC58DE" w:rsidR="003467C2" w:rsidRPr="00A80F9D" w:rsidRDefault="003467C2" w:rsidP="00325D28">
      <w:pPr>
        <w:pStyle w:val="RPSScheduleTextnumb"/>
        <w:numPr>
          <w:ilvl w:val="0"/>
          <w:numId w:val="0"/>
        </w:numPr>
        <w:rPr>
          <w:color w:val="444448" w:themeColor="accent4"/>
          <w:szCs w:val="22"/>
        </w:rPr>
      </w:pPr>
      <w:r w:rsidRPr="00A80F9D">
        <w:rPr>
          <w:rStyle w:val="LineNumber"/>
          <w:color w:val="444448" w:themeColor="accent4"/>
          <w:szCs w:val="22"/>
        </w:rPr>
        <w:t>The Code requires the development of qualitative and quantitative waste acceptance criteria which are based upon primary dose limitation and safety assessments in the form of:</w:t>
      </w:r>
    </w:p>
    <w:p w14:paraId="2B8F37AB" w14:textId="427BF8A7" w:rsidR="00325D28"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derived activity concentration limits</w:t>
      </w:r>
      <w:r w:rsidR="00C822E8">
        <w:rPr>
          <w:rFonts w:asciiTheme="minorHAnsi" w:eastAsia="TimesNewRoman" w:hAnsiTheme="minorHAnsi"/>
          <w:color w:val="444448" w:themeColor="accent4"/>
          <w:sz w:val="22"/>
        </w:rPr>
        <w:t xml:space="preserve"> for radionuclides in the waste</w:t>
      </w:r>
    </w:p>
    <w:p w14:paraId="6627F54F" w14:textId="6D047DDB" w:rsidR="00325D28"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 restriction on the total activity of radionuclides to be disposed of at any particular d</w:t>
      </w:r>
      <w:r w:rsidR="00C822E8">
        <w:rPr>
          <w:rFonts w:asciiTheme="minorHAnsi" w:eastAsia="TimesNewRoman" w:hAnsiTheme="minorHAnsi"/>
          <w:color w:val="444448" w:themeColor="accent4"/>
          <w:sz w:val="22"/>
        </w:rPr>
        <w:t>isposal facility</w:t>
      </w:r>
    </w:p>
    <w:p w14:paraId="0EB5126B" w14:textId="4A5A95D0" w:rsidR="00325D28"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performance standards for was</w:t>
      </w:r>
      <w:r w:rsidR="00C822E8">
        <w:rPr>
          <w:rFonts w:asciiTheme="minorHAnsi" w:eastAsia="TimesNewRoman" w:hAnsiTheme="minorHAnsi"/>
          <w:color w:val="444448" w:themeColor="accent4"/>
          <w:sz w:val="22"/>
        </w:rPr>
        <w:t>te forms and waste packages</w:t>
      </w:r>
    </w:p>
    <w:p w14:paraId="379512B5" w14:textId="31727311" w:rsidR="003467C2" w:rsidRPr="00A80F9D" w:rsidRDefault="003467C2" w:rsidP="000562A3">
      <w:pPr>
        <w:pStyle w:val="para-normal"/>
        <w:numPr>
          <w:ilvl w:val="0"/>
          <w:numId w:val="26"/>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restrictions on public access and land use during the operation of the facility and during a subsequent specified period of institutional control.</w:t>
      </w:r>
    </w:p>
    <w:p w14:paraId="055FB292" w14:textId="234E1996" w:rsidR="00493F71" w:rsidRDefault="00493F71" w:rsidP="003467C2">
      <w:pPr>
        <w:pStyle w:val="RPSNumberedBodyText"/>
        <w:numPr>
          <w:ilvl w:val="0"/>
          <w:numId w:val="0"/>
        </w:numPr>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lastRenderedPageBreak/>
        <w:t>The safety case should demonstrate that the waste acceptance criteria (</w:t>
      </w:r>
      <w:r w:rsidR="00F0125B">
        <w:rPr>
          <w:rStyle w:val="LineNumber"/>
          <w:rFonts w:asciiTheme="minorHAnsi" w:hAnsiTheme="minorHAnsi"/>
          <w:color w:val="444448" w:themeColor="accent4"/>
          <w:sz w:val="22"/>
          <w:szCs w:val="22"/>
        </w:rPr>
        <w:t xml:space="preserve">including </w:t>
      </w:r>
      <w:r w:rsidR="00EC7362">
        <w:rPr>
          <w:rStyle w:val="LineNumber"/>
          <w:rFonts w:asciiTheme="minorHAnsi" w:hAnsiTheme="minorHAnsi"/>
          <w:color w:val="444448" w:themeColor="accent4"/>
          <w:sz w:val="22"/>
          <w:szCs w:val="22"/>
        </w:rPr>
        <w:t xml:space="preserve">the </w:t>
      </w:r>
      <w:r>
        <w:rPr>
          <w:rStyle w:val="LineNumber"/>
          <w:rFonts w:asciiTheme="minorHAnsi" w:hAnsiTheme="minorHAnsi"/>
          <w:color w:val="444448" w:themeColor="accent4"/>
          <w:sz w:val="22"/>
          <w:szCs w:val="22"/>
        </w:rPr>
        <w:t>form</w:t>
      </w:r>
      <w:r w:rsidR="00F0125B">
        <w:rPr>
          <w:rStyle w:val="LineNumber"/>
          <w:rFonts w:asciiTheme="minorHAnsi" w:hAnsiTheme="minorHAnsi"/>
          <w:color w:val="444448" w:themeColor="accent4"/>
          <w:sz w:val="22"/>
          <w:szCs w:val="22"/>
        </w:rPr>
        <w:t xml:space="preserve"> of the waste</w:t>
      </w:r>
      <w:r>
        <w:rPr>
          <w:rStyle w:val="LineNumber"/>
          <w:rFonts w:asciiTheme="minorHAnsi" w:hAnsiTheme="minorHAnsi"/>
          <w:color w:val="444448" w:themeColor="accent4"/>
          <w:sz w:val="22"/>
          <w:szCs w:val="22"/>
        </w:rPr>
        <w:t xml:space="preserve">, </w:t>
      </w:r>
      <w:r w:rsidR="00EC7362">
        <w:rPr>
          <w:rStyle w:val="LineNumber"/>
          <w:rFonts w:asciiTheme="minorHAnsi" w:hAnsiTheme="minorHAnsi"/>
          <w:color w:val="444448" w:themeColor="accent4"/>
          <w:sz w:val="22"/>
          <w:szCs w:val="22"/>
        </w:rPr>
        <w:t xml:space="preserve">its </w:t>
      </w:r>
      <w:r>
        <w:rPr>
          <w:rStyle w:val="LineNumber"/>
          <w:rFonts w:asciiTheme="minorHAnsi" w:hAnsiTheme="minorHAnsi"/>
          <w:color w:val="444448" w:themeColor="accent4"/>
          <w:sz w:val="22"/>
          <w:szCs w:val="22"/>
        </w:rPr>
        <w:t>volume, radionuclide inventory, chemical composition, toxicity, stability and all other physical, chemical and radiological characteristics) are appropriate for the facility.</w:t>
      </w:r>
    </w:p>
    <w:p w14:paraId="1A6572E1" w14:textId="2A81DCA7" w:rsidR="00844609" w:rsidRDefault="00844609" w:rsidP="003467C2">
      <w:pPr>
        <w:pStyle w:val="RPSNumberedBodyText"/>
        <w:numPr>
          <w:ilvl w:val="0"/>
          <w:numId w:val="0"/>
        </w:numPr>
        <w:jc w:val="left"/>
        <w:rPr>
          <w:rStyle w:val="LineNumber"/>
          <w:rFonts w:asciiTheme="minorHAnsi" w:hAnsiTheme="minorHAnsi"/>
          <w:color w:val="444448" w:themeColor="accent4"/>
          <w:sz w:val="22"/>
          <w:szCs w:val="22"/>
        </w:rPr>
      </w:pPr>
      <w:r w:rsidRPr="00844609">
        <w:rPr>
          <w:rStyle w:val="LineNumber"/>
          <w:rFonts w:asciiTheme="minorHAnsi" w:hAnsiTheme="minorHAnsi"/>
          <w:color w:val="444448" w:themeColor="accent4"/>
          <w:sz w:val="22"/>
          <w:szCs w:val="22"/>
        </w:rPr>
        <w:t xml:space="preserve">Solid waste suitable for disposal in a radioactive waste disposal facility </w:t>
      </w:r>
      <w:r>
        <w:rPr>
          <w:rStyle w:val="LineNumber"/>
          <w:rFonts w:asciiTheme="minorHAnsi" w:hAnsiTheme="minorHAnsi"/>
          <w:color w:val="444448" w:themeColor="accent4"/>
          <w:sz w:val="22"/>
          <w:szCs w:val="22"/>
        </w:rPr>
        <w:t>is required to</w:t>
      </w:r>
      <w:r w:rsidRPr="00844609">
        <w:rPr>
          <w:rStyle w:val="LineNumber"/>
          <w:rFonts w:asciiTheme="minorHAnsi" w:hAnsiTheme="minorHAnsi"/>
          <w:color w:val="444448" w:themeColor="accent4"/>
          <w:sz w:val="22"/>
          <w:szCs w:val="22"/>
        </w:rPr>
        <w:t xml:space="preserve"> be chemically inert.</w:t>
      </w:r>
    </w:p>
    <w:p w14:paraId="07AC5321" w14:textId="134F882D" w:rsidR="003467C2" w:rsidRDefault="00F6292F" w:rsidP="003467C2">
      <w:pPr>
        <w:pStyle w:val="RPSNumberedBodyText"/>
        <w:numPr>
          <w:ilvl w:val="0"/>
          <w:numId w:val="0"/>
        </w:numPr>
        <w:jc w:val="left"/>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 xml:space="preserve">For near </w:t>
      </w:r>
      <w:r w:rsidR="003467C2" w:rsidRPr="00A80F9D">
        <w:rPr>
          <w:rStyle w:val="LineNumber"/>
          <w:rFonts w:asciiTheme="minorHAnsi" w:hAnsiTheme="minorHAnsi"/>
          <w:color w:val="444448" w:themeColor="accent4"/>
          <w:sz w:val="22"/>
          <w:szCs w:val="22"/>
        </w:rPr>
        <w:t>surface disposal facilities, the waste acceptance criteria are expected to limit any consequences of human intrusion to within the specified dose criteria, even i</w:t>
      </w:r>
      <w:r w:rsidR="00C80082">
        <w:rPr>
          <w:rStyle w:val="LineNumber"/>
          <w:rFonts w:asciiTheme="minorHAnsi" w:hAnsiTheme="minorHAnsi"/>
          <w:color w:val="444448" w:themeColor="accent4"/>
          <w:sz w:val="22"/>
          <w:szCs w:val="22"/>
        </w:rPr>
        <w:t>f control over the site is lost.</w:t>
      </w:r>
    </w:p>
    <w:p w14:paraId="78FDC006" w14:textId="77777777" w:rsidR="003467C2" w:rsidRPr="00795AB0" w:rsidRDefault="003467C2" w:rsidP="003467C2">
      <w:pPr>
        <w:pStyle w:val="RPSScheduleHeading2"/>
        <w:rPr>
          <w:color w:val="4E1A74" w:themeColor="text2"/>
        </w:rPr>
      </w:pPr>
      <w:bookmarkStart w:id="145" w:name="_Toc495493185"/>
      <w:r w:rsidRPr="00795AB0">
        <w:rPr>
          <w:color w:val="4E1A74" w:themeColor="text2"/>
        </w:rPr>
        <w:t>Human Intrusion during the Period of Passive Safety</w:t>
      </w:r>
      <w:bookmarkEnd w:id="145"/>
    </w:p>
    <w:p w14:paraId="710DA116" w14:textId="0842A5CC" w:rsidR="006322A5" w:rsidRDefault="006322A5" w:rsidP="006322A5">
      <w:pPr>
        <w:pStyle w:val="para-normal"/>
        <w:rPr>
          <w:rStyle w:val="LineNumber"/>
          <w:rFonts w:asciiTheme="minorHAnsi" w:hAnsiTheme="minorHAnsi"/>
          <w:color w:val="444448" w:themeColor="accent4"/>
          <w:sz w:val="22"/>
          <w:szCs w:val="22"/>
        </w:rPr>
      </w:pPr>
      <w:bookmarkStart w:id="146" w:name="_Toc495493186"/>
      <w:r w:rsidRPr="006322A5">
        <w:rPr>
          <w:rStyle w:val="LineNumber"/>
          <w:rFonts w:asciiTheme="minorHAnsi" w:hAnsiTheme="minorHAnsi"/>
          <w:color w:val="444448" w:themeColor="accent4"/>
          <w:sz w:val="22"/>
          <w:szCs w:val="22"/>
        </w:rPr>
        <w:t>A</w:t>
      </w:r>
      <w:r w:rsidR="00844609">
        <w:rPr>
          <w:rStyle w:val="LineNumber"/>
          <w:rFonts w:asciiTheme="minorHAnsi" w:hAnsiTheme="minorHAnsi"/>
          <w:color w:val="444448" w:themeColor="accent4"/>
          <w:sz w:val="22"/>
          <w:szCs w:val="22"/>
        </w:rPr>
        <w:t>n</w:t>
      </w:r>
      <w:r w:rsidRPr="006322A5">
        <w:rPr>
          <w:rStyle w:val="LineNumber"/>
          <w:rFonts w:asciiTheme="minorHAnsi" w:hAnsiTheme="minorHAnsi"/>
          <w:color w:val="444448" w:themeColor="accent4"/>
          <w:sz w:val="22"/>
          <w:szCs w:val="22"/>
        </w:rPr>
        <w:t xml:space="preserve"> applicant is required to address reasonably possible scenarios involving inadvertent human intrusion into the disposal facility in the period of passive safety (post-closure phase, no active or institutional controls).</w:t>
      </w:r>
    </w:p>
    <w:p w14:paraId="7FDF2666" w14:textId="3A5BBDCD" w:rsidR="00EC3E68" w:rsidRPr="006322A5" w:rsidRDefault="00EC3E68" w:rsidP="006322A5">
      <w:pPr>
        <w:pStyle w:val="para-normal"/>
        <w:rPr>
          <w:rStyle w:val="LineNumber"/>
          <w:rFonts w:asciiTheme="minorHAnsi" w:hAnsiTheme="minorHAnsi"/>
          <w:color w:val="444448" w:themeColor="accent4"/>
          <w:sz w:val="22"/>
          <w:szCs w:val="22"/>
        </w:rPr>
      </w:pPr>
      <w:r w:rsidRPr="008D4DFC">
        <w:rPr>
          <w:rStyle w:val="LineNumber"/>
          <w:rFonts w:asciiTheme="minorHAnsi" w:hAnsiTheme="minorHAnsi"/>
          <w:color w:val="444448" w:themeColor="accent4"/>
          <w:sz w:val="22"/>
          <w:szCs w:val="22"/>
        </w:rPr>
        <w:t>In the event of inadvertent human intrusion in</w:t>
      </w:r>
      <w:r>
        <w:rPr>
          <w:rStyle w:val="LineNumber"/>
          <w:rFonts w:asciiTheme="minorHAnsi" w:hAnsiTheme="minorHAnsi"/>
          <w:color w:val="444448" w:themeColor="accent4"/>
          <w:sz w:val="22"/>
          <w:szCs w:val="22"/>
        </w:rPr>
        <w:t xml:space="preserve">to a disposal facility, a small </w:t>
      </w:r>
      <w:r w:rsidRPr="008D4DFC">
        <w:rPr>
          <w:rStyle w:val="LineNumber"/>
          <w:rFonts w:asciiTheme="minorHAnsi" w:hAnsiTheme="minorHAnsi"/>
          <w:color w:val="444448" w:themeColor="accent4"/>
          <w:sz w:val="22"/>
          <w:szCs w:val="22"/>
        </w:rPr>
        <w:t>number of individuals involved in activities such a</w:t>
      </w:r>
      <w:r>
        <w:rPr>
          <w:rStyle w:val="LineNumber"/>
          <w:rFonts w:asciiTheme="minorHAnsi" w:hAnsiTheme="minorHAnsi"/>
          <w:color w:val="444448" w:themeColor="accent4"/>
          <w:sz w:val="22"/>
          <w:szCs w:val="22"/>
        </w:rPr>
        <w:t xml:space="preserve">s drilling into the facility or </w:t>
      </w:r>
      <w:r w:rsidRPr="008D4DFC">
        <w:rPr>
          <w:rStyle w:val="LineNumber"/>
          <w:rFonts w:asciiTheme="minorHAnsi" w:hAnsiTheme="minorHAnsi"/>
          <w:color w:val="444448" w:themeColor="accent4"/>
          <w:sz w:val="22"/>
          <w:szCs w:val="22"/>
        </w:rPr>
        <w:t>mining could receive high radiation doses and e</w:t>
      </w:r>
      <w:r>
        <w:rPr>
          <w:rStyle w:val="LineNumber"/>
          <w:rFonts w:asciiTheme="minorHAnsi" w:hAnsiTheme="minorHAnsi"/>
          <w:color w:val="444448" w:themeColor="accent4"/>
          <w:sz w:val="22"/>
          <w:szCs w:val="22"/>
        </w:rPr>
        <w:t xml:space="preserve">xposures of other persons could </w:t>
      </w:r>
      <w:r w:rsidRPr="008D4DFC">
        <w:rPr>
          <w:rStyle w:val="LineNumber"/>
          <w:rFonts w:asciiTheme="minorHAnsi" w:hAnsiTheme="minorHAnsi"/>
          <w:color w:val="444448" w:themeColor="accent4"/>
          <w:sz w:val="22"/>
          <w:szCs w:val="22"/>
        </w:rPr>
        <w:t xml:space="preserve">also arise as a result of the intrusion. </w:t>
      </w:r>
      <w:r w:rsidRPr="00EC3E68">
        <w:rPr>
          <w:rStyle w:val="LineNumber"/>
          <w:rFonts w:asciiTheme="minorHAnsi" w:hAnsiTheme="minorHAnsi"/>
          <w:color w:val="444448" w:themeColor="accent4"/>
          <w:sz w:val="22"/>
          <w:szCs w:val="22"/>
        </w:rPr>
        <w:t>In general, the likelihood of inadvertent huma</w:t>
      </w:r>
      <w:r>
        <w:rPr>
          <w:rStyle w:val="LineNumber"/>
          <w:rFonts w:asciiTheme="minorHAnsi" w:hAnsiTheme="minorHAnsi"/>
          <w:color w:val="444448" w:themeColor="accent4"/>
          <w:sz w:val="22"/>
          <w:szCs w:val="22"/>
        </w:rPr>
        <w:t xml:space="preserve">n intrusion into the waste will </w:t>
      </w:r>
      <w:r w:rsidRPr="00EC3E68">
        <w:rPr>
          <w:rStyle w:val="LineNumber"/>
          <w:rFonts w:asciiTheme="minorHAnsi" w:hAnsiTheme="minorHAnsi"/>
          <w:color w:val="444448" w:themeColor="accent4"/>
          <w:sz w:val="22"/>
          <w:szCs w:val="22"/>
        </w:rPr>
        <w:t xml:space="preserve">be low as a </w:t>
      </w:r>
      <w:r>
        <w:rPr>
          <w:rStyle w:val="LineNumber"/>
          <w:rFonts w:asciiTheme="minorHAnsi" w:hAnsiTheme="minorHAnsi"/>
          <w:color w:val="444448" w:themeColor="accent4"/>
          <w:sz w:val="22"/>
          <w:szCs w:val="22"/>
        </w:rPr>
        <w:t>consequence of the chosen depth, design and</w:t>
      </w:r>
      <w:r w:rsidRPr="00EC3E68">
        <w:rPr>
          <w:rStyle w:val="LineNumber"/>
          <w:rFonts w:asciiTheme="minorHAnsi" w:hAnsiTheme="minorHAnsi"/>
          <w:color w:val="444448" w:themeColor="accent4"/>
          <w:sz w:val="22"/>
          <w:szCs w:val="22"/>
        </w:rPr>
        <w:t xml:space="preserve"> </w:t>
      </w:r>
      <w:r>
        <w:rPr>
          <w:rStyle w:val="LineNumber"/>
          <w:rFonts w:asciiTheme="minorHAnsi" w:hAnsiTheme="minorHAnsi"/>
          <w:color w:val="444448" w:themeColor="accent4"/>
          <w:sz w:val="22"/>
          <w:szCs w:val="22"/>
        </w:rPr>
        <w:t>the</w:t>
      </w:r>
      <w:r w:rsidRPr="00EC3E68">
        <w:rPr>
          <w:rStyle w:val="LineNumber"/>
          <w:rFonts w:asciiTheme="minorHAnsi" w:hAnsiTheme="minorHAnsi"/>
          <w:color w:val="444448" w:themeColor="accent4"/>
          <w:sz w:val="22"/>
          <w:szCs w:val="22"/>
        </w:rPr>
        <w:t xml:space="preserve"> institutional</w:t>
      </w:r>
      <w:r>
        <w:rPr>
          <w:rStyle w:val="LineNumber"/>
          <w:rFonts w:asciiTheme="minorHAnsi" w:hAnsiTheme="minorHAnsi"/>
          <w:color w:val="444448" w:themeColor="accent4"/>
          <w:sz w:val="22"/>
          <w:szCs w:val="22"/>
        </w:rPr>
        <w:t xml:space="preserve"> controls for the</w:t>
      </w:r>
      <w:r w:rsidRPr="00EC3E68">
        <w:rPr>
          <w:rStyle w:val="LineNumber"/>
          <w:rFonts w:asciiTheme="minorHAnsi" w:hAnsiTheme="minorHAnsi"/>
          <w:color w:val="444448" w:themeColor="accent4"/>
          <w:sz w:val="22"/>
          <w:szCs w:val="22"/>
        </w:rPr>
        <w:t xml:space="preserve"> disposal facility, and because of the </w:t>
      </w:r>
      <w:r w:rsidR="00237B6A">
        <w:rPr>
          <w:rStyle w:val="LineNumber"/>
          <w:rFonts w:asciiTheme="minorHAnsi" w:hAnsiTheme="minorHAnsi"/>
          <w:color w:val="444448" w:themeColor="accent4"/>
          <w:sz w:val="22"/>
          <w:szCs w:val="22"/>
        </w:rPr>
        <w:t>characteristics of the chosen site</w:t>
      </w:r>
      <w:r>
        <w:rPr>
          <w:rStyle w:val="LineNumber"/>
          <w:rFonts w:asciiTheme="minorHAnsi" w:hAnsiTheme="minorHAnsi"/>
          <w:color w:val="444448" w:themeColor="accent4"/>
          <w:sz w:val="22"/>
          <w:szCs w:val="22"/>
        </w:rPr>
        <w:t xml:space="preserve">. The possible </w:t>
      </w:r>
      <w:r w:rsidRPr="00EC3E68">
        <w:rPr>
          <w:rStyle w:val="LineNumber"/>
          <w:rFonts w:asciiTheme="minorHAnsi" w:hAnsiTheme="minorHAnsi"/>
          <w:color w:val="444448" w:themeColor="accent4"/>
          <w:sz w:val="22"/>
          <w:szCs w:val="22"/>
        </w:rPr>
        <w:t>doses that would be received from such an inadv</w:t>
      </w:r>
      <w:r>
        <w:rPr>
          <w:rStyle w:val="LineNumber"/>
          <w:rFonts w:asciiTheme="minorHAnsi" w:hAnsiTheme="minorHAnsi"/>
          <w:color w:val="444448" w:themeColor="accent4"/>
          <w:sz w:val="22"/>
          <w:szCs w:val="22"/>
        </w:rPr>
        <w:t>ertent intrusion could be high</w:t>
      </w:r>
      <w:r w:rsidR="00A53C70">
        <w:rPr>
          <w:rStyle w:val="LineNumber"/>
          <w:rFonts w:asciiTheme="minorHAnsi" w:hAnsiTheme="minorHAnsi"/>
          <w:color w:val="444448" w:themeColor="accent4"/>
          <w:sz w:val="22"/>
          <w:szCs w:val="22"/>
        </w:rPr>
        <w:t xml:space="preserve"> for an individual in the immediate vicinity during the intrusion</w:t>
      </w:r>
      <w:r>
        <w:rPr>
          <w:rStyle w:val="LineNumber"/>
          <w:rFonts w:asciiTheme="minorHAnsi" w:hAnsiTheme="minorHAnsi"/>
          <w:color w:val="444448" w:themeColor="accent4"/>
          <w:sz w:val="22"/>
          <w:szCs w:val="22"/>
        </w:rPr>
        <w:t xml:space="preserve">. </w:t>
      </w:r>
      <w:r w:rsidRPr="00EC3E68">
        <w:rPr>
          <w:rStyle w:val="LineNumber"/>
          <w:rFonts w:asciiTheme="minorHAnsi" w:hAnsiTheme="minorHAnsi"/>
          <w:color w:val="444448" w:themeColor="accent4"/>
          <w:sz w:val="22"/>
          <w:szCs w:val="22"/>
        </w:rPr>
        <w:t>However, since the likelihood of inadvertent intrus</w:t>
      </w:r>
      <w:r>
        <w:rPr>
          <w:rStyle w:val="LineNumber"/>
          <w:rFonts w:asciiTheme="minorHAnsi" w:hAnsiTheme="minorHAnsi"/>
          <w:color w:val="444448" w:themeColor="accent4"/>
          <w:sz w:val="22"/>
          <w:szCs w:val="22"/>
        </w:rPr>
        <w:t xml:space="preserve">ion is low, the associated risk </w:t>
      </w:r>
      <w:r w:rsidRPr="00EC3E68">
        <w:rPr>
          <w:rStyle w:val="LineNumber"/>
          <w:rFonts w:asciiTheme="minorHAnsi" w:hAnsiTheme="minorHAnsi"/>
          <w:color w:val="444448" w:themeColor="accent4"/>
          <w:sz w:val="22"/>
          <w:szCs w:val="22"/>
        </w:rPr>
        <w:t>is likely to be outweighed by the higher level of pr</w:t>
      </w:r>
      <w:r>
        <w:rPr>
          <w:rStyle w:val="LineNumber"/>
          <w:rFonts w:asciiTheme="minorHAnsi" w:hAnsiTheme="minorHAnsi"/>
          <w:color w:val="444448" w:themeColor="accent4"/>
          <w:sz w:val="22"/>
          <w:szCs w:val="22"/>
        </w:rPr>
        <w:t xml:space="preserve">otection and safety afforded by </w:t>
      </w:r>
      <w:r w:rsidRPr="00EC3E68">
        <w:rPr>
          <w:rStyle w:val="LineNumber"/>
          <w:rFonts w:asciiTheme="minorHAnsi" w:hAnsiTheme="minorHAnsi"/>
          <w:color w:val="444448" w:themeColor="accent4"/>
          <w:sz w:val="22"/>
          <w:szCs w:val="22"/>
        </w:rPr>
        <w:t>the disposal of waste in comparison with other strategies.</w:t>
      </w:r>
      <w:r w:rsidR="00A53C70">
        <w:rPr>
          <w:rStyle w:val="LineNumber"/>
          <w:rFonts w:asciiTheme="minorHAnsi" w:hAnsiTheme="minorHAnsi"/>
          <w:color w:val="444448" w:themeColor="accent4"/>
          <w:sz w:val="22"/>
          <w:szCs w:val="22"/>
        </w:rPr>
        <w:t xml:space="preserve"> The relevant regulatory authority will </w:t>
      </w:r>
      <w:r w:rsidR="00A226C6">
        <w:rPr>
          <w:rStyle w:val="LineNumber"/>
          <w:rFonts w:asciiTheme="minorHAnsi" w:hAnsiTheme="minorHAnsi"/>
          <w:color w:val="444448" w:themeColor="accent4"/>
          <w:sz w:val="22"/>
          <w:szCs w:val="22"/>
        </w:rPr>
        <w:t>determine whether</w:t>
      </w:r>
      <w:r w:rsidR="00A53C70">
        <w:rPr>
          <w:rStyle w:val="LineNumber"/>
          <w:rFonts w:asciiTheme="minorHAnsi" w:hAnsiTheme="minorHAnsi"/>
          <w:color w:val="444448" w:themeColor="accent4"/>
          <w:sz w:val="22"/>
          <w:szCs w:val="22"/>
        </w:rPr>
        <w:t xml:space="preserve"> ‘potential exposures’</w:t>
      </w:r>
      <w:r w:rsidR="00A226C6">
        <w:rPr>
          <w:rStyle w:val="LineNumber"/>
          <w:rFonts w:asciiTheme="minorHAnsi" w:hAnsiTheme="minorHAnsi"/>
          <w:color w:val="444448" w:themeColor="accent4"/>
          <w:sz w:val="22"/>
          <w:szCs w:val="22"/>
        </w:rPr>
        <w:t xml:space="preserve"> from such scenarios, balanced against the benefits to society of the waste disposal facility, are reasonable.</w:t>
      </w:r>
    </w:p>
    <w:p w14:paraId="4E5D752F" w14:textId="77CB2CA7" w:rsidR="00E968B6" w:rsidRPr="006322A5" w:rsidRDefault="001B5CAB" w:rsidP="00E968B6">
      <w:pPr>
        <w:pStyle w:val="para-normal"/>
        <w:rPr>
          <w:rStyle w:val="LineNumber"/>
          <w:rFonts w:asciiTheme="minorHAnsi" w:hAnsiTheme="minorHAnsi"/>
          <w:color w:val="444448" w:themeColor="accent4"/>
          <w:sz w:val="22"/>
          <w:szCs w:val="22"/>
        </w:rPr>
      </w:pPr>
      <w:r>
        <w:rPr>
          <w:rStyle w:val="LineNumber"/>
          <w:rFonts w:asciiTheme="minorHAnsi" w:hAnsiTheme="minorHAnsi"/>
          <w:color w:val="444448" w:themeColor="accent4"/>
          <w:sz w:val="22"/>
          <w:szCs w:val="22"/>
        </w:rPr>
        <w:t>F</w:t>
      </w:r>
      <w:r w:rsidRPr="006322A5">
        <w:rPr>
          <w:rStyle w:val="LineNumber"/>
          <w:rFonts w:asciiTheme="minorHAnsi" w:hAnsiTheme="minorHAnsi"/>
          <w:color w:val="444448" w:themeColor="accent4"/>
          <w:sz w:val="22"/>
          <w:szCs w:val="22"/>
        </w:rPr>
        <w:t xml:space="preserve">or </w:t>
      </w:r>
      <w:r>
        <w:rPr>
          <w:rStyle w:val="LineNumber"/>
          <w:rFonts w:asciiTheme="minorHAnsi" w:hAnsiTheme="minorHAnsi"/>
          <w:color w:val="444448" w:themeColor="accent4"/>
          <w:sz w:val="22"/>
          <w:szCs w:val="22"/>
        </w:rPr>
        <w:t xml:space="preserve">those living around the site, if </w:t>
      </w:r>
      <w:r w:rsidR="00E968B6">
        <w:rPr>
          <w:rStyle w:val="LineNumber"/>
          <w:rFonts w:asciiTheme="minorHAnsi" w:hAnsiTheme="minorHAnsi"/>
          <w:color w:val="444448" w:themeColor="accent4"/>
          <w:sz w:val="22"/>
          <w:szCs w:val="22"/>
        </w:rPr>
        <w:t>as a result of a plausible human intrusion scenario,</w:t>
      </w:r>
      <w:r w:rsidR="00E968B6" w:rsidRPr="006322A5">
        <w:rPr>
          <w:rStyle w:val="LineNumber"/>
          <w:rFonts w:asciiTheme="minorHAnsi" w:hAnsiTheme="minorHAnsi"/>
          <w:color w:val="444448" w:themeColor="accent4"/>
          <w:sz w:val="22"/>
          <w:szCs w:val="22"/>
        </w:rPr>
        <w:t xml:space="preserve"> doses of greater than 1</w:t>
      </w:r>
      <w:r w:rsidR="00E968B6">
        <w:rPr>
          <w:rStyle w:val="LineNumber"/>
          <w:rFonts w:asciiTheme="minorHAnsi" w:hAnsiTheme="minorHAnsi"/>
          <w:color w:val="444448" w:themeColor="accent4"/>
          <w:sz w:val="22"/>
          <w:szCs w:val="22"/>
        </w:rPr>
        <w:t>0</w:t>
      </w:r>
      <w:r w:rsidR="00E968B6" w:rsidRPr="006322A5">
        <w:rPr>
          <w:rStyle w:val="LineNumber"/>
          <w:rFonts w:asciiTheme="minorHAnsi" w:hAnsiTheme="minorHAnsi"/>
          <w:color w:val="444448" w:themeColor="accent4"/>
          <w:sz w:val="22"/>
          <w:szCs w:val="22"/>
        </w:rPr>
        <w:t xml:space="preserve"> mSv per year are calculated</w:t>
      </w:r>
      <w:r>
        <w:rPr>
          <w:rStyle w:val="LineNumber"/>
          <w:rFonts w:asciiTheme="minorHAnsi" w:hAnsiTheme="minorHAnsi"/>
          <w:color w:val="444448" w:themeColor="accent4"/>
          <w:sz w:val="22"/>
          <w:szCs w:val="22"/>
        </w:rPr>
        <w:t>,</w:t>
      </w:r>
      <w:r w:rsidR="00E968B6" w:rsidRPr="006322A5">
        <w:rPr>
          <w:rStyle w:val="LineNumber"/>
          <w:rFonts w:asciiTheme="minorHAnsi" w:hAnsiTheme="minorHAnsi"/>
          <w:color w:val="444448" w:themeColor="accent4"/>
          <w:sz w:val="22"/>
          <w:szCs w:val="22"/>
        </w:rPr>
        <w:t xml:space="preserve"> </w:t>
      </w:r>
      <w:r w:rsidR="00E968B6">
        <w:rPr>
          <w:rStyle w:val="LineNumber"/>
          <w:rFonts w:asciiTheme="minorHAnsi" w:hAnsiTheme="minorHAnsi"/>
          <w:color w:val="444448" w:themeColor="accent4"/>
          <w:sz w:val="22"/>
          <w:szCs w:val="22"/>
        </w:rPr>
        <w:t>additional controls are likely to be required</w:t>
      </w:r>
      <w:r w:rsidR="00E968B6" w:rsidRPr="006322A5">
        <w:rPr>
          <w:rStyle w:val="LineNumber"/>
          <w:rFonts w:asciiTheme="minorHAnsi" w:hAnsiTheme="minorHAnsi"/>
          <w:color w:val="444448" w:themeColor="accent4"/>
          <w:sz w:val="22"/>
          <w:szCs w:val="22"/>
        </w:rPr>
        <w:t xml:space="preserve"> for the disposal facility to further limit the possibility of human intrusion or to limit its consequen</w:t>
      </w:r>
      <w:r w:rsidR="00E968B6">
        <w:rPr>
          <w:rStyle w:val="LineNumber"/>
          <w:rFonts w:asciiTheme="minorHAnsi" w:hAnsiTheme="minorHAnsi"/>
          <w:color w:val="444448" w:themeColor="accent4"/>
          <w:sz w:val="22"/>
          <w:szCs w:val="22"/>
        </w:rPr>
        <w:t xml:space="preserve">ces to below that dose figure. </w:t>
      </w:r>
      <w:r w:rsidR="00E968B6" w:rsidRPr="006322A5">
        <w:rPr>
          <w:rStyle w:val="LineNumber"/>
          <w:rFonts w:asciiTheme="minorHAnsi" w:hAnsiTheme="minorHAnsi"/>
          <w:color w:val="444448" w:themeColor="accent4"/>
          <w:sz w:val="22"/>
          <w:szCs w:val="22"/>
        </w:rPr>
        <w:t>This may involve re-design of the fa</w:t>
      </w:r>
      <w:r w:rsidR="00E968B6">
        <w:rPr>
          <w:rStyle w:val="LineNumber"/>
          <w:rFonts w:asciiTheme="minorHAnsi" w:hAnsiTheme="minorHAnsi"/>
          <w:color w:val="444448" w:themeColor="accent4"/>
          <w:sz w:val="22"/>
          <w:szCs w:val="22"/>
        </w:rPr>
        <w:t>cility o</w:t>
      </w:r>
      <w:r w:rsidR="00E968B6" w:rsidRPr="00263660">
        <w:rPr>
          <w:rStyle w:val="LineNumber"/>
          <w:rFonts w:asciiTheme="minorHAnsi" w:hAnsiTheme="minorHAnsi"/>
          <w:color w:val="444448" w:themeColor="accent4"/>
          <w:sz w:val="22"/>
          <w:szCs w:val="22"/>
        </w:rPr>
        <w:t>r</w:t>
      </w:r>
      <w:r w:rsidR="00E968B6">
        <w:rPr>
          <w:rStyle w:val="LineNumber"/>
          <w:rFonts w:asciiTheme="minorHAnsi" w:hAnsiTheme="minorHAnsi"/>
          <w:color w:val="444448" w:themeColor="accent4"/>
          <w:sz w:val="22"/>
          <w:szCs w:val="22"/>
        </w:rPr>
        <w:t xml:space="preserve"> separation of the radionuclide </w:t>
      </w:r>
      <w:r w:rsidR="00E968B6" w:rsidRPr="00263660">
        <w:rPr>
          <w:rStyle w:val="LineNumber"/>
          <w:rFonts w:asciiTheme="minorHAnsi" w:hAnsiTheme="minorHAnsi"/>
          <w:color w:val="444448" w:themeColor="accent4"/>
          <w:sz w:val="22"/>
          <w:szCs w:val="22"/>
        </w:rPr>
        <w:t>content giving rise to the higher dose</w:t>
      </w:r>
      <w:r w:rsidR="00E968B6">
        <w:rPr>
          <w:rStyle w:val="LineNumber"/>
          <w:rFonts w:asciiTheme="minorHAnsi" w:hAnsiTheme="minorHAnsi"/>
          <w:color w:val="444448" w:themeColor="accent4"/>
          <w:sz w:val="22"/>
          <w:szCs w:val="22"/>
        </w:rPr>
        <w:t>.</w:t>
      </w:r>
    </w:p>
    <w:p w14:paraId="172D076A" w14:textId="2C0514B8" w:rsidR="008D4DFC" w:rsidRPr="006322A5" w:rsidRDefault="006322A5" w:rsidP="00EC3E68">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Where it is calculated that human intrusion cou</w:t>
      </w:r>
      <w:r>
        <w:rPr>
          <w:rStyle w:val="LineNumber"/>
          <w:rFonts w:asciiTheme="minorHAnsi" w:hAnsiTheme="minorHAnsi"/>
          <w:color w:val="444448" w:themeColor="accent4"/>
          <w:sz w:val="22"/>
          <w:szCs w:val="22"/>
        </w:rPr>
        <w:t xml:space="preserve">ld result in </w:t>
      </w:r>
      <w:r w:rsidR="008D4DFC">
        <w:rPr>
          <w:rStyle w:val="LineNumber"/>
          <w:rFonts w:asciiTheme="minorHAnsi" w:hAnsiTheme="minorHAnsi"/>
          <w:color w:val="444448" w:themeColor="accent4"/>
          <w:sz w:val="22"/>
          <w:szCs w:val="22"/>
        </w:rPr>
        <w:t xml:space="preserve">annual </w:t>
      </w:r>
      <w:r>
        <w:rPr>
          <w:rStyle w:val="LineNumber"/>
          <w:rFonts w:asciiTheme="minorHAnsi" w:hAnsiTheme="minorHAnsi"/>
          <w:color w:val="444448" w:themeColor="accent4"/>
          <w:sz w:val="22"/>
          <w:szCs w:val="22"/>
        </w:rPr>
        <w:t xml:space="preserve">doses of between </w:t>
      </w:r>
      <w:r w:rsidRPr="008D4DFC">
        <w:rPr>
          <w:rStyle w:val="LineNumber"/>
          <w:rFonts w:asciiTheme="minorHAnsi" w:hAnsiTheme="minorHAnsi"/>
          <w:color w:val="444448" w:themeColor="accent4"/>
          <w:sz w:val="22"/>
          <w:szCs w:val="22"/>
        </w:rPr>
        <w:t>1 and 10 mSv</w:t>
      </w:r>
      <w:r w:rsidRPr="006322A5">
        <w:rPr>
          <w:rStyle w:val="LineNumber"/>
          <w:rFonts w:asciiTheme="minorHAnsi" w:hAnsiTheme="minorHAnsi"/>
          <w:color w:val="444448" w:themeColor="accent4"/>
          <w:sz w:val="22"/>
          <w:szCs w:val="22"/>
        </w:rPr>
        <w:t xml:space="preserve"> for </w:t>
      </w:r>
      <w:r w:rsidR="008D4DFC">
        <w:rPr>
          <w:rStyle w:val="LineNumber"/>
          <w:rFonts w:asciiTheme="minorHAnsi" w:hAnsiTheme="minorHAnsi"/>
          <w:color w:val="444448" w:themeColor="accent4"/>
          <w:sz w:val="22"/>
          <w:szCs w:val="22"/>
        </w:rPr>
        <w:t>those living around the site</w:t>
      </w:r>
      <w:r w:rsidRPr="006322A5">
        <w:rPr>
          <w:rStyle w:val="LineNumber"/>
          <w:rFonts w:asciiTheme="minorHAnsi" w:hAnsiTheme="minorHAnsi"/>
          <w:color w:val="444448" w:themeColor="accent4"/>
          <w:sz w:val="22"/>
          <w:szCs w:val="22"/>
        </w:rPr>
        <w:t xml:space="preserve">, </w:t>
      </w:r>
      <w:r w:rsidR="008D4DFC" w:rsidRPr="008D4DFC">
        <w:rPr>
          <w:rStyle w:val="LineNumber"/>
          <w:rFonts w:asciiTheme="minorHAnsi" w:hAnsiTheme="minorHAnsi"/>
          <w:color w:val="444448" w:themeColor="accent4"/>
          <w:sz w:val="22"/>
          <w:szCs w:val="22"/>
        </w:rPr>
        <w:t xml:space="preserve">then reasonable efforts are warranted at </w:t>
      </w:r>
      <w:r w:rsidR="008D4DFC">
        <w:rPr>
          <w:rStyle w:val="LineNumber"/>
          <w:rFonts w:asciiTheme="minorHAnsi" w:hAnsiTheme="minorHAnsi"/>
          <w:color w:val="444448" w:themeColor="accent4"/>
          <w:sz w:val="22"/>
          <w:szCs w:val="22"/>
        </w:rPr>
        <w:t xml:space="preserve">the stage of development of the </w:t>
      </w:r>
      <w:r w:rsidR="008D4DFC" w:rsidRPr="008D4DFC">
        <w:rPr>
          <w:rStyle w:val="LineNumber"/>
          <w:rFonts w:asciiTheme="minorHAnsi" w:hAnsiTheme="minorHAnsi"/>
          <w:color w:val="444448" w:themeColor="accent4"/>
          <w:sz w:val="22"/>
          <w:szCs w:val="22"/>
        </w:rPr>
        <w:t xml:space="preserve">facility to reduce the probability of intrusion </w:t>
      </w:r>
      <w:r w:rsidR="008D4DFC">
        <w:rPr>
          <w:rStyle w:val="LineNumber"/>
          <w:rFonts w:asciiTheme="minorHAnsi" w:hAnsiTheme="minorHAnsi"/>
          <w:color w:val="444448" w:themeColor="accent4"/>
          <w:sz w:val="22"/>
          <w:szCs w:val="22"/>
        </w:rPr>
        <w:t>or to limit its consequences by means of optimis</w:t>
      </w:r>
      <w:r w:rsidR="008D4DFC" w:rsidRPr="008D4DFC">
        <w:rPr>
          <w:rStyle w:val="LineNumber"/>
          <w:rFonts w:asciiTheme="minorHAnsi" w:hAnsiTheme="minorHAnsi"/>
          <w:color w:val="444448" w:themeColor="accent4"/>
          <w:sz w:val="22"/>
          <w:szCs w:val="22"/>
        </w:rPr>
        <w:t>ation of the facility’s design.</w:t>
      </w:r>
    </w:p>
    <w:p w14:paraId="16E7EBA6" w14:textId="05BCAEDD" w:rsidR="006322A5" w:rsidRPr="006322A5" w:rsidRDefault="006322A5" w:rsidP="006322A5">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 xml:space="preserve">Deliberate intrusion may result from any future attempt to alter the engineered barriers or retrieve the waste, or any other reason that today could only be speculated upon. Whilst it is difficult to forecast such events and their probabilities, </w:t>
      </w:r>
      <w:r w:rsidR="008D4DFC">
        <w:rPr>
          <w:rStyle w:val="LineNumber"/>
          <w:rFonts w:asciiTheme="minorHAnsi" w:hAnsiTheme="minorHAnsi"/>
          <w:color w:val="444448" w:themeColor="accent4"/>
          <w:sz w:val="22"/>
          <w:szCs w:val="22"/>
        </w:rPr>
        <w:t>t</w:t>
      </w:r>
      <w:r w:rsidR="008D4DFC" w:rsidRPr="008D4DFC">
        <w:rPr>
          <w:rStyle w:val="LineNumber"/>
          <w:rFonts w:asciiTheme="minorHAnsi" w:hAnsiTheme="minorHAnsi"/>
          <w:color w:val="444448" w:themeColor="accent4"/>
          <w:sz w:val="22"/>
          <w:szCs w:val="22"/>
        </w:rPr>
        <w:t>he doses and risks invol</w:t>
      </w:r>
      <w:r w:rsidR="008D4DFC">
        <w:rPr>
          <w:rStyle w:val="LineNumber"/>
          <w:rFonts w:asciiTheme="minorHAnsi" w:hAnsiTheme="minorHAnsi"/>
          <w:color w:val="444448" w:themeColor="accent4"/>
          <w:sz w:val="22"/>
          <w:szCs w:val="22"/>
        </w:rPr>
        <w:t>ved for any individuals authoris</w:t>
      </w:r>
      <w:r w:rsidR="008D4DFC" w:rsidRPr="008D4DFC">
        <w:rPr>
          <w:rStyle w:val="LineNumber"/>
          <w:rFonts w:asciiTheme="minorHAnsi" w:hAnsiTheme="minorHAnsi"/>
          <w:color w:val="444448" w:themeColor="accent4"/>
          <w:sz w:val="22"/>
          <w:szCs w:val="22"/>
        </w:rPr>
        <w:t>ed to take part in activities that deliberately disturb the disposal facility or its waste need not be taken into consideration in this context, as such activities would constitute planned exposure situations.</w:t>
      </w:r>
      <w:r w:rsidR="00EC3E68">
        <w:rPr>
          <w:rStyle w:val="LineNumber"/>
          <w:rFonts w:asciiTheme="minorHAnsi" w:hAnsiTheme="minorHAnsi"/>
          <w:color w:val="444448" w:themeColor="accent4"/>
          <w:sz w:val="22"/>
          <w:szCs w:val="22"/>
        </w:rPr>
        <w:t xml:space="preserve"> Nevertheless, t</w:t>
      </w:r>
      <w:r w:rsidRPr="006322A5">
        <w:rPr>
          <w:rStyle w:val="LineNumber"/>
          <w:rFonts w:asciiTheme="minorHAnsi" w:hAnsiTheme="minorHAnsi"/>
          <w:color w:val="444448" w:themeColor="accent4"/>
          <w:sz w:val="22"/>
          <w:szCs w:val="22"/>
        </w:rPr>
        <w:t xml:space="preserve">he framework for institutional control and preservation of information </w:t>
      </w:r>
      <w:r w:rsidR="00EC3E68">
        <w:rPr>
          <w:rStyle w:val="LineNumber"/>
          <w:rFonts w:asciiTheme="minorHAnsi" w:hAnsiTheme="minorHAnsi"/>
          <w:color w:val="444448" w:themeColor="accent4"/>
          <w:sz w:val="22"/>
          <w:szCs w:val="22"/>
        </w:rPr>
        <w:t>should</w:t>
      </w:r>
      <w:r w:rsidR="00EC3E68" w:rsidRPr="006322A5">
        <w:rPr>
          <w:rStyle w:val="LineNumber"/>
          <w:rFonts w:asciiTheme="minorHAnsi" w:hAnsiTheme="minorHAnsi"/>
          <w:color w:val="444448" w:themeColor="accent4"/>
          <w:sz w:val="22"/>
          <w:szCs w:val="22"/>
        </w:rPr>
        <w:t xml:space="preserve"> </w:t>
      </w:r>
      <w:r w:rsidRPr="006322A5">
        <w:rPr>
          <w:rStyle w:val="LineNumber"/>
          <w:rFonts w:asciiTheme="minorHAnsi" w:hAnsiTheme="minorHAnsi"/>
          <w:color w:val="444448" w:themeColor="accent4"/>
          <w:sz w:val="22"/>
          <w:szCs w:val="22"/>
        </w:rPr>
        <w:t>be developed with potential for future planned actions in mind.</w:t>
      </w:r>
    </w:p>
    <w:p w14:paraId="5A4804E9" w14:textId="328D1792" w:rsidR="006322A5" w:rsidRPr="006322A5" w:rsidRDefault="006322A5" w:rsidP="006322A5">
      <w:pPr>
        <w:pStyle w:val="para-normal"/>
        <w:rPr>
          <w:rStyle w:val="LineNumber"/>
          <w:rFonts w:asciiTheme="minorHAnsi" w:hAnsiTheme="minorHAnsi"/>
          <w:color w:val="444448" w:themeColor="accent4"/>
          <w:sz w:val="22"/>
          <w:szCs w:val="22"/>
        </w:rPr>
      </w:pPr>
      <w:r w:rsidRPr="006322A5">
        <w:rPr>
          <w:rStyle w:val="LineNumber"/>
          <w:rFonts w:asciiTheme="minorHAnsi" w:hAnsiTheme="minorHAnsi"/>
          <w:color w:val="444448" w:themeColor="accent4"/>
          <w:sz w:val="22"/>
          <w:szCs w:val="22"/>
        </w:rPr>
        <w:t xml:space="preserve">Deliberate intrusion may also arise from malicious intent. The concern here is with the safety of those indirectly affected by the intrusion. The arrangements for institutional control including security </w:t>
      </w:r>
      <w:r w:rsidR="00EC3E68">
        <w:rPr>
          <w:rStyle w:val="LineNumber"/>
          <w:rFonts w:asciiTheme="minorHAnsi" w:hAnsiTheme="minorHAnsi"/>
          <w:color w:val="444448" w:themeColor="accent4"/>
          <w:sz w:val="22"/>
          <w:szCs w:val="22"/>
        </w:rPr>
        <w:t>should</w:t>
      </w:r>
      <w:r w:rsidRPr="006322A5">
        <w:rPr>
          <w:rStyle w:val="LineNumber"/>
          <w:rFonts w:asciiTheme="minorHAnsi" w:hAnsiTheme="minorHAnsi"/>
          <w:color w:val="444448" w:themeColor="accent4"/>
          <w:sz w:val="22"/>
          <w:szCs w:val="22"/>
        </w:rPr>
        <w:t xml:space="preserve"> </w:t>
      </w:r>
      <w:r w:rsidRPr="006322A5">
        <w:rPr>
          <w:rStyle w:val="LineNumber"/>
          <w:rFonts w:asciiTheme="minorHAnsi" w:hAnsiTheme="minorHAnsi"/>
          <w:color w:val="444448" w:themeColor="accent4"/>
          <w:sz w:val="22"/>
          <w:szCs w:val="22"/>
        </w:rPr>
        <w:lastRenderedPageBreak/>
        <w:t>reduce the worker, public and environmental risks associated with such intrusion to the level as low as reasonably achievable.</w:t>
      </w:r>
    </w:p>
    <w:p w14:paraId="711DF618" w14:textId="1DBF8A13" w:rsidR="003467C2" w:rsidRPr="00795AB0" w:rsidRDefault="003467C2" w:rsidP="003467C2">
      <w:pPr>
        <w:pStyle w:val="RPSScheduleHeading2"/>
        <w:rPr>
          <w:color w:val="4E1A74" w:themeColor="text2"/>
        </w:rPr>
      </w:pPr>
      <w:r w:rsidRPr="00795AB0">
        <w:rPr>
          <w:color w:val="4E1A74" w:themeColor="text2"/>
        </w:rPr>
        <w:t xml:space="preserve">Post </w:t>
      </w:r>
      <w:r w:rsidR="00263660">
        <w:rPr>
          <w:color w:val="4E1A74" w:themeColor="text2"/>
        </w:rPr>
        <w:t>C</w:t>
      </w:r>
      <w:r w:rsidRPr="00795AB0">
        <w:rPr>
          <w:color w:val="4E1A74" w:themeColor="text2"/>
        </w:rPr>
        <w:t xml:space="preserve">losure </w:t>
      </w:r>
      <w:r w:rsidR="00263660">
        <w:rPr>
          <w:color w:val="4E1A74" w:themeColor="text2"/>
        </w:rPr>
        <w:t>U</w:t>
      </w:r>
      <w:r w:rsidRPr="00795AB0">
        <w:rPr>
          <w:color w:val="4E1A74" w:themeColor="text2"/>
        </w:rPr>
        <w:t>ncertainties</w:t>
      </w:r>
      <w:bookmarkEnd w:id="146"/>
    </w:p>
    <w:p w14:paraId="2576F4D4" w14:textId="6C723800" w:rsidR="003467C2" w:rsidRPr="00A80F9D" w:rsidRDefault="003467C2" w:rsidP="003467C2">
      <w:pPr>
        <w:pStyle w:val="para-normal"/>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Based on international best practice, an applicant for </w:t>
      </w:r>
      <w:r w:rsidR="00AE1E08">
        <w:rPr>
          <w:rStyle w:val="LineNumber"/>
          <w:rFonts w:asciiTheme="minorHAnsi" w:hAnsiTheme="minorHAnsi"/>
          <w:color w:val="444448" w:themeColor="accent4"/>
          <w:sz w:val="22"/>
          <w:szCs w:val="22"/>
        </w:rPr>
        <w:t xml:space="preserve">an </w:t>
      </w:r>
      <w:r w:rsidR="00CB125A">
        <w:rPr>
          <w:rFonts w:asciiTheme="minorHAnsi" w:hAnsiTheme="minorHAnsi"/>
          <w:color w:val="444448" w:themeColor="accent4"/>
          <w:sz w:val="22"/>
          <w:szCs w:val="22"/>
        </w:rPr>
        <w:t>authorisation</w:t>
      </w:r>
      <w:r w:rsidR="00CB125A" w:rsidRPr="00A80F9D">
        <w:rPr>
          <w:rStyle w:val="LineNumber"/>
          <w:rFonts w:asciiTheme="minorHAnsi" w:hAnsiTheme="minorHAnsi"/>
          <w:color w:val="444448" w:themeColor="accent4"/>
          <w:sz w:val="22"/>
          <w:szCs w:val="22"/>
        </w:rPr>
        <w:t xml:space="preserve"> </w:t>
      </w:r>
      <w:r w:rsidRPr="00A80F9D">
        <w:rPr>
          <w:rStyle w:val="LineNumber"/>
          <w:rFonts w:asciiTheme="minorHAnsi" w:hAnsiTheme="minorHAnsi"/>
          <w:color w:val="444448" w:themeColor="accent4"/>
          <w:sz w:val="22"/>
          <w:szCs w:val="22"/>
        </w:rPr>
        <w:t>to close a radioactive waste disposal facility, and/or intending to surrender a</w:t>
      </w:r>
      <w:r w:rsidR="00CB125A">
        <w:rPr>
          <w:rStyle w:val="LineNumber"/>
          <w:rFonts w:asciiTheme="minorHAnsi" w:hAnsiTheme="minorHAnsi"/>
          <w:color w:val="444448" w:themeColor="accent4"/>
          <w:sz w:val="22"/>
          <w:szCs w:val="22"/>
        </w:rPr>
        <w:t xml:space="preserve">n </w:t>
      </w:r>
      <w:r w:rsidR="00CB125A">
        <w:rPr>
          <w:rFonts w:asciiTheme="minorHAnsi" w:hAnsiTheme="minorHAnsi"/>
          <w:color w:val="444448" w:themeColor="accent4"/>
          <w:sz w:val="22"/>
          <w:szCs w:val="22"/>
        </w:rPr>
        <w:t>authorisation</w:t>
      </w:r>
      <w:r w:rsidRPr="00A80F9D">
        <w:rPr>
          <w:rStyle w:val="LineNumber"/>
          <w:rFonts w:asciiTheme="minorHAnsi" w:hAnsiTheme="minorHAnsi"/>
          <w:color w:val="444448" w:themeColor="accent4"/>
          <w:sz w:val="22"/>
          <w:szCs w:val="22"/>
        </w:rPr>
        <w:t xml:space="preserve"> for such a facility, needs to undertake a post-closure safety assessment. This process will effectively take into consideration the uncertainties arising from changes in human behaviour and environmental and facility conditions over the very long timescales that are deemed appropriate by the </w:t>
      </w:r>
      <w:r w:rsidR="00E23874">
        <w:rPr>
          <w:rStyle w:val="LineNumber"/>
          <w:rFonts w:asciiTheme="minorHAnsi" w:hAnsiTheme="minorHAnsi"/>
          <w:color w:val="444448" w:themeColor="accent4"/>
          <w:sz w:val="22"/>
          <w:szCs w:val="22"/>
        </w:rPr>
        <w:t>r</w:t>
      </w:r>
      <w:r w:rsidRPr="00A80F9D">
        <w:rPr>
          <w:rStyle w:val="LineNumber"/>
          <w:rFonts w:asciiTheme="minorHAnsi" w:hAnsiTheme="minorHAnsi"/>
          <w:color w:val="444448" w:themeColor="accent4"/>
          <w:sz w:val="22"/>
          <w:szCs w:val="22"/>
        </w:rPr>
        <w:t xml:space="preserve">elevant </w:t>
      </w:r>
      <w:r w:rsidR="00E23874">
        <w:rPr>
          <w:rStyle w:val="LineNumber"/>
          <w:rFonts w:asciiTheme="minorHAnsi" w:hAnsiTheme="minorHAnsi"/>
          <w:color w:val="444448" w:themeColor="accent4"/>
          <w:sz w:val="22"/>
          <w:szCs w:val="22"/>
        </w:rPr>
        <w:t>r</w:t>
      </w:r>
      <w:r w:rsidRPr="00A80F9D">
        <w:rPr>
          <w:rStyle w:val="LineNumber"/>
          <w:rFonts w:asciiTheme="minorHAnsi" w:hAnsiTheme="minorHAnsi"/>
          <w:color w:val="444448" w:themeColor="accent4"/>
          <w:sz w:val="22"/>
          <w:szCs w:val="22"/>
        </w:rPr>
        <w:t xml:space="preserve">egulatory </w:t>
      </w:r>
      <w:r w:rsidR="00E23874">
        <w:rPr>
          <w:rStyle w:val="LineNumber"/>
          <w:rFonts w:asciiTheme="minorHAnsi" w:hAnsiTheme="minorHAnsi"/>
          <w:color w:val="444448" w:themeColor="accent4"/>
          <w:sz w:val="22"/>
          <w:szCs w:val="22"/>
        </w:rPr>
        <w:t>a</w:t>
      </w:r>
      <w:r w:rsidRPr="00A80F9D">
        <w:rPr>
          <w:rStyle w:val="LineNumber"/>
          <w:rFonts w:asciiTheme="minorHAnsi" w:hAnsiTheme="minorHAnsi"/>
          <w:color w:val="444448" w:themeColor="accent4"/>
          <w:sz w:val="22"/>
          <w:szCs w:val="22"/>
        </w:rPr>
        <w:t>uthority (e.g. 10,000 years for disposal of intermediate level waste).</w:t>
      </w:r>
    </w:p>
    <w:p w14:paraId="5F9B1EBD" w14:textId="77777777" w:rsidR="003467C2" w:rsidRPr="00795AB0" w:rsidRDefault="003467C2" w:rsidP="003467C2">
      <w:pPr>
        <w:pStyle w:val="RPSScheduleHeading2"/>
        <w:rPr>
          <w:color w:val="4E1A74" w:themeColor="text2"/>
        </w:rPr>
      </w:pPr>
      <w:bookmarkStart w:id="147" w:name="_Toc495493187"/>
      <w:r w:rsidRPr="00795AB0">
        <w:rPr>
          <w:color w:val="4E1A74" w:themeColor="text2"/>
        </w:rPr>
        <w:t>Remediation Preparedness</w:t>
      </w:r>
      <w:bookmarkEnd w:id="147"/>
    </w:p>
    <w:p w14:paraId="5CF71B90" w14:textId="77777777" w:rsidR="003467C2" w:rsidRPr="004C55E4" w:rsidRDefault="003467C2" w:rsidP="007C7DE6">
      <w:pPr>
        <w:pStyle w:val="ListParagraph"/>
        <w:numPr>
          <w:ilvl w:val="1"/>
          <w:numId w:val="12"/>
        </w:numPr>
        <w:spacing w:before="240" w:line="276" w:lineRule="auto"/>
        <w:rPr>
          <w:b/>
          <w:vanish/>
          <w:sz w:val="32"/>
          <w:szCs w:val="36"/>
        </w:rPr>
      </w:pPr>
    </w:p>
    <w:p w14:paraId="0EE95A87"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purpose of the information presented in this Code is to assist in preventing any radiation accident associated with the operation of a radioactive waste disposal facility in Australia. However, world-wide history has clearly demonstrated that nuclear and radiation accidents that affect public and environmental health do occur.</w:t>
      </w:r>
    </w:p>
    <w:p w14:paraId="2942A025" w14:textId="08BE2582" w:rsidR="003467C2" w:rsidRPr="00A80F9D" w:rsidRDefault="003467C2" w:rsidP="003467C2">
      <w:pPr>
        <w:pStyle w:val="RPSNumberedBodyText"/>
        <w:numPr>
          <w:ilvl w:val="0"/>
          <w:numId w:val="0"/>
        </w:numPr>
        <w:jc w:val="left"/>
        <w:rPr>
          <w:color w:val="444448" w:themeColor="accent4"/>
          <w:szCs w:val="22"/>
        </w:rPr>
      </w:pPr>
      <w:r w:rsidRPr="00A80F9D">
        <w:rPr>
          <w:rStyle w:val="LineNumber"/>
          <w:rFonts w:asciiTheme="minorHAnsi" w:hAnsiTheme="minorHAnsi"/>
          <w:color w:val="444448" w:themeColor="accent4"/>
          <w:sz w:val="22"/>
          <w:szCs w:val="22"/>
        </w:rPr>
        <w:t xml:space="preserve">As highly improbable as such an accident is in the operation of radioactive waste disposal facilities in accordance with the requirements of this Code, international best practice in light of the Fukushima nuclear accident dictates that an application for any </w:t>
      </w:r>
      <w:r w:rsidR="00CB125A">
        <w:rPr>
          <w:rFonts w:asciiTheme="minorHAnsi" w:hAnsiTheme="minorHAnsi"/>
          <w:color w:val="444448" w:themeColor="accent4"/>
          <w:sz w:val="22"/>
          <w:szCs w:val="22"/>
        </w:rPr>
        <w:t>authorisation</w:t>
      </w:r>
      <w:r w:rsidRPr="00A80F9D">
        <w:rPr>
          <w:rStyle w:val="LineNumber"/>
          <w:rFonts w:asciiTheme="minorHAnsi" w:hAnsiTheme="minorHAnsi"/>
          <w:color w:val="444448" w:themeColor="accent4"/>
          <w:sz w:val="22"/>
          <w:szCs w:val="22"/>
        </w:rPr>
        <w:t xml:space="preserve"> covered by this Code must provide information on remediation preparedness. Demonstration of adequate preparedness to remediate the effects of any environmental contamination arising from a radiation accident, including accidents associated with the transport of radioactive materials, should be included in the safety case. Information should be included on</w:t>
      </w:r>
      <w:r w:rsidRPr="00116D80">
        <w:rPr>
          <w:rStyle w:val="LineNumber"/>
          <w:rFonts w:asciiTheme="minorHAnsi" w:hAnsiTheme="minorHAnsi"/>
          <w:sz w:val="22"/>
        </w:rPr>
        <w:t>:</w:t>
      </w:r>
    </w:p>
    <w:p w14:paraId="3CA9D66A" w14:textId="52C11146" w:rsidR="00795AB0"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division of responsibilities in accident recovery, inc</w:t>
      </w:r>
      <w:r w:rsidR="00116D80">
        <w:rPr>
          <w:rFonts w:asciiTheme="minorHAnsi" w:eastAsia="TimesNewRoman" w:hAnsiTheme="minorHAnsi"/>
          <w:color w:val="444448" w:themeColor="accent4"/>
          <w:sz w:val="22"/>
        </w:rPr>
        <w:t>luding the role of stakeholders</w:t>
      </w:r>
    </w:p>
    <w:p w14:paraId="55140F33" w14:textId="214B34A2" w:rsidR="00795AB0"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approaches to defining targets</w:t>
      </w:r>
      <w:r w:rsidR="00116D80">
        <w:rPr>
          <w:rFonts w:asciiTheme="minorHAnsi" w:eastAsia="TimesNewRoman" w:hAnsiTheme="minorHAnsi"/>
          <w:color w:val="444448" w:themeColor="accent4"/>
          <w:sz w:val="22"/>
        </w:rPr>
        <w:t xml:space="preserve"> for remediation and end states</w:t>
      </w:r>
    </w:p>
    <w:p w14:paraId="4FCAE768" w14:textId="71AA9D80" w:rsidR="00795AB0"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potential methods and technology available fo</w:t>
      </w:r>
      <w:r w:rsidR="00116D80">
        <w:rPr>
          <w:rFonts w:asciiTheme="minorHAnsi" w:eastAsia="TimesNewRoman" w:hAnsiTheme="minorHAnsi"/>
          <w:color w:val="444448" w:themeColor="accent4"/>
          <w:sz w:val="22"/>
        </w:rPr>
        <w:t>r environmental remediation</w:t>
      </w:r>
    </w:p>
    <w:p w14:paraId="484AA96F" w14:textId="7C07BC2C" w:rsidR="003467C2" w:rsidRPr="00A80F9D" w:rsidRDefault="003467C2" w:rsidP="000562A3">
      <w:pPr>
        <w:pStyle w:val="para-normal"/>
        <w:numPr>
          <w:ilvl w:val="0"/>
          <w:numId w:val="27"/>
        </w:numPr>
        <w:spacing w:line="240" w:lineRule="auto"/>
        <w:rPr>
          <w:rFonts w:asciiTheme="minorHAnsi" w:eastAsia="TimesNewRoman" w:hAnsiTheme="minorHAnsi"/>
          <w:color w:val="444448" w:themeColor="accent4"/>
          <w:sz w:val="22"/>
        </w:rPr>
      </w:pPr>
      <w:r w:rsidRPr="00A80F9D">
        <w:rPr>
          <w:rFonts w:asciiTheme="minorHAnsi" w:eastAsia="TimesNewRoman" w:hAnsiTheme="minorHAnsi"/>
          <w:color w:val="444448" w:themeColor="accent4"/>
          <w:sz w:val="22"/>
        </w:rPr>
        <w:t>development of a generic waste management program, including the use of the concepts of exemption and clearance, predisposal management and conditioning, storage and disposal of the potentially large amounts of waste arisings from environmental remediation.</w:t>
      </w:r>
    </w:p>
    <w:p w14:paraId="7352ED99"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rPr>
        <w:t>The purpose of such remediation preparedness, as well as helping to build trust and provide assurance for relevant stakeholders, is the recognition within the international radiation safety community, based on lessons learned from past major nuclear accidents, that it is too late to begin planning for accident recovery after an accident has occurred.</w:t>
      </w:r>
    </w:p>
    <w:p w14:paraId="4F720476" w14:textId="66CC5B20" w:rsidR="003467C2" w:rsidRPr="00A80F9D" w:rsidRDefault="003467C2" w:rsidP="003467C2">
      <w:pPr>
        <w:pStyle w:val="RPSNumberedBodyText"/>
        <w:numPr>
          <w:ilvl w:val="0"/>
          <w:numId w:val="0"/>
        </w:numPr>
        <w:jc w:val="left"/>
        <w:rPr>
          <w:color w:val="444448" w:themeColor="accent4"/>
          <w:sz w:val="23"/>
          <w:szCs w:val="23"/>
        </w:rPr>
      </w:pPr>
      <w:r w:rsidRPr="00A80F9D">
        <w:rPr>
          <w:rStyle w:val="LineNumber"/>
          <w:rFonts w:asciiTheme="minorHAnsi" w:hAnsiTheme="minorHAnsi"/>
          <w:color w:val="444448" w:themeColor="accent4"/>
          <w:sz w:val="22"/>
        </w:rPr>
        <w:t>An additional aspect of remediation preparedness for a radioactive waste disposal facility is the awareness that for any nuclear or radiation accident, an urgent need may arise for rapid disposal of unplanned waste arising</w:t>
      </w:r>
      <w:r w:rsidR="00175726">
        <w:rPr>
          <w:rStyle w:val="LineNumber"/>
          <w:rFonts w:asciiTheme="minorHAnsi" w:hAnsiTheme="minorHAnsi"/>
          <w:color w:val="444448" w:themeColor="accent4"/>
          <w:sz w:val="22"/>
        </w:rPr>
        <w:t xml:space="preserve"> from an accident or emergency.</w:t>
      </w:r>
      <w:r w:rsidRPr="00A80F9D">
        <w:rPr>
          <w:rStyle w:val="LineNumber"/>
          <w:rFonts w:asciiTheme="minorHAnsi" w:hAnsiTheme="minorHAnsi"/>
          <w:color w:val="444448" w:themeColor="accent4"/>
          <w:sz w:val="22"/>
        </w:rPr>
        <w:t xml:space="preserve"> It is anticipated that such contingencies to the extent possible and practicable, as well as the limitations, will be considered as part of the remediation preparedness planning for any disposal facility</w:t>
      </w:r>
      <w:r w:rsidRPr="00A80F9D">
        <w:rPr>
          <w:color w:val="444448" w:themeColor="accent4"/>
          <w:szCs w:val="22"/>
        </w:rPr>
        <w:t>.</w:t>
      </w:r>
    </w:p>
    <w:p w14:paraId="698686E6" w14:textId="29EA1792" w:rsidR="00795AB0" w:rsidRDefault="00795AB0" w:rsidP="00E34C85">
      <w:pPr>
        <w:pStyle w:val="Schedule"/>
        <w:pBdr>
          <w:bottom w:val="single" w:sz="4" w:space="1" w:color="auto"/>
        </w:pBdr>
        <w:spacing w:before="0"/>
        <w:ind w:left="0" w:firstLine="0"/>
        <w:sectPr w:rsidR="00795AB0" w:rsidSect="00912E5D">
          <w:pgSz w:w="11906" w:h="16838"/>
          <w:pgMar w:top="1134" w:right="1134" w:bottom="1134" w:left="1134" w:header="720" w:footer="720" w:gutter="0"/>
          <w:cols w:space="720"/>
        </w:sectPr>
      </w:pPr>
    </w:p>
    <w:p w14:paraId="157BCE2C" w14:textId="01DE9C15" w:rsidR="00795AB0" w:rsidRPr="00933C78" w:rsidRDefault="00795AB0" w:rsidP="00795AB0">
      <w:pPr>
        <w:pStyle w:val="Schedule"/>
        <w:pBdr>
          <w:bottom w:val="single" w:sz="4" w:space="1" w:color="auto"/>
        </w:pBdr>
        <w:spacing w:before="0"/>
        <w:ind w:left="1559" w:hanging="1559"/>
      </w:pPr>
      <w:bookmarkStart w:id="148" w:name="_Toc524085227"/>
      <w:r>
        <w:lastRenderedPageBreak/>
        <w:t>Annex B:</w:t>
      </w:r>
      <w:r w:rsidRPr="00933C78">
        <w:tab/>
      </w:r>
      <w:r>
        <w:t>Demonstrating Compliance</w:t>
      </w:r>
      <w:bookmarkEnd w:id="148"/>
    </w:p>
    <w:p w14:paraId="254CA35C" w14:textId="77777777" w:rsidR="003467C2" w:rsidRPr="00795AB0" w:rsidRDefault="003467C2" w:rsidP="003467C2">
      <w:pPr>
        <w:pStyle w:val="RPSSectionHeading2"/>
        <w:numPr>
          <w:ilvl w:val="0"/>
          <w:numId w:val="0"/>
        </w:numPr>
        <w:rPr>
          <w:color w:val="4E1A74" w:themeColor="text2"/>
        </w:rPr>
      </w:pPr>
      <w:bookmarkStart w:id="149" w:name="_Toc495493189"/>
      <w:r w:rsidRPr="00795AB0">
        <w:rPr>
          <w:color w:val="4E1A74" w:themeColor="text2"/>
        </w:rPr>
        <w:t xml:space="preserve">B1 </w:t>
      </w:r>
      <w:r w:rsidRPr="00795AB0">
        <w:rPr>
          <w:color w:val="4E1A74" w:themeColor="text2"/>
        </w:rPr>
        <w:tab/>
        <w:t>Identification of Representative Individuals of the Public</w:t>
      </w:r>
      <w:bookmarkEnd w:id="149"/>
    </w:p>
    <w:p w14:paraId="0823BEFE" w14:textId="2B54A123"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In accordance with the ICRP </w:t>
      </w:r>
      <w:r w:rsidRPr="00B52F5B">
        <w:rPr>
          <w:rStyle w:val="LineNumber"/>
          <w:rFonts w:asciiTheme="minorHAnsi" w:hAnsiTheme="minorHAnsi"/>
          <w:color w:val="444448" w:themeColor="accent4"/>
          <w:sz w:val="22"/>
          <w:szCs w:val="22"/>
        </w:rPr>
        <w:t>recommendations in Publication 10</w:t>
      </w:r>
      <w:r w:rsidR="00E85675">
        <w:rPr>
          <w:rStyle w:val="LineNumber"/>
          <w:rFonts w:asciiTheme="minorHAnsi" w:hAnsiTheme="minorHAnsi"/>
          <w:color w:val="444448" w:themeColor="accent4"/>
          <w:sz w:val="22"/>
          <w:szCs w:val="22"/>
        </w:rPr>
        <w:t>3</w:t>
      </w:r>
      <w:r w:rsidR="00D4096F" w:rsidRPr="00B52F5B">
        <w:rPr>
          <w:rStyle w:val="LineNumber"/>
          <w:rFonts w:asciiTheme="minorHAnsi" w:hAnsiTheme="minorHAnsi"/>
          <w:color w:val="444448" w:themeColor="accent4"/>
          <w:sz w:val="22"/>
          <w:szCs w:val="22"/>
        </w:rPr>
        <w:t xml:space="preserve"> (ICRP 2007</w:t>
      </w:r>
      <w:r w:rsidR="00D4096F">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the goal of protection of the public is achieved if the relevant dose constraint for the appropriately characterised representative individual is met and </w:t>
      </w:r>
      <w:r w:rsidR="00370708">
        <w:rPr>
          <w:rStyle w:val="LineNumber"/>
          <w:rFonts w:asciiTheme="minorHAnsi" w:hAnsiTheme="minorHAnsi"/>
          <w:color w:val="444448" w:themeColor="accent4"/>
          <w:sz w:val="22"/>
          <w:szCs w:val="22"/>
        </w:rPr>
        <w:t xml:space="preserve">radiation </w:t>
      </w:r>
      <w:r w:rsidRPr="00A80F9D">
        <w:rPr>
          <w:rStyle w:val="LineNumber"/>
          <w:rFonts w:asciiTheme="minorHAnsi" w:hAnsiTheme="minorHAnsi"/>
          <w:color w:val="444448" w:themeColor="accent4"/>
          <w:sz w:val="22"/>
          <w:szCs w:val="22"/>
        </w:rPr>
        <w:t>protection is optimised.</w:t>
      </w:r>
    </w:p>
    <w:p w14:paraId="5E62BD16" w14:textId="77777777" w:rsidR="003467C2" w:rsidRPr="00A80F9D" w:rsidRDefault="003467C2" w:rsidP="003467C2">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representative individual may be chosen to be characteristic of reasonably foreseeable exposure scenarios at the site of the facility, or reasonably foreseeable exposure scenarios resulting from handling, including transport, of the waste.</w:t>
      </w:r>
    </w:p>
    <w:p w14:paraId="0CFCD248" w14:textId="77777777" w:rsidR="003467C2" w:rsidRPr="00795AB0" w:rsidRDefault="003467C2" w:rsidP="003467C2">
      <w:pPr>
        <w:pStyle w:val="RPSSectionHeading2"/>
        <w:numPr>
          <w:ilvl w:val="0"/>
          <w:numId w:val="0"/>
        </w:numPr>
        <w:rPr>
          <w:color w:val="4E1A74" w:themeColor="text2"/>
        </w:rPr>
      </w:pPr>
      <w:bookmarkStart w:id="150" w:name="_Toc495493190"/>
      <w:r w:rsidRPr="00795AB0">
        <w:rPr>
          <w:color w:val="4E1A74" w:themeColor="text2"/>
        </w:rPr>
        <w:t>B2</w:t>
      </w:r>
      <w:r w:rsidRPr="00795AB0">
        <w:rPr>
          <w:color w:val="4E1A74" w:themeColor="text2"/>
        </w:rPr>
        <w:tab/>
        <w:t>Compliance with Requirements for Public Protection</w:t>
      </w:r>
      <w:bookmarkEnd w:id="150"/>
    </w:p>
    <w:p w14:paraId="5A1BCD1A" w14:textId="77777777" w:rsidR="003467C2" w:rsidRPr="00A80F9D" w:rsidRDefault="003467C2" w:rsidP="005F5A85">
      <w:pPr>
        <w:pStyle w:val="Heading4"/>
        <w:rPr>
          <w:rStyle w:val="LineNumber"/>
          <w:color w:val="4E1A74" w:themeColor="text2"/>
        </w:rPr>
      </w:pPr>
      <w:r w:rsidRPr="00A80F9D">
        <w:rPr>
          <w:rStyle w:val="LineNumber"/>
          <w:color w:val="4E1A74" w:themeColor="text2"/>
        </w:rPr>
        <w:t>The Operational Phase</w:t>
      </w:r>
    </w:p>
    <w:p w14:paraId="77983A14" w14:textId="1D8F3030"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During the operational phase, </w:t>
      </w:r>
      <w:r w:rsidR="00691796">
        <w:rPr>
          <w:rStyle w:val="LineNumber"/>
          <w:rFonts w:asciiTheme="minorHAnsi" w:hAnsiTheme="minorHAnsi"/>
          <w:color w:val="444448" w:themeColor="accent4"/>
          <w:sz w:val="22"/>
          <w:szCs w:val="22"/>
        </w:rPr>
        <w:t xml:space="preserve">the proponent </w:t>
      </w:r>
      <w:r w:rsidR="00A672EA">
        <w:rPr>
          <w:rStyle w:val="LineNumber"/>
          <w:rFonts w:asciiTheme="minorHAnsi" w:hAnsiTheme="minorHAnsi"/>
          <w:color w:val="444448" w:themeColor="accent4"/>
          <w:sz w:val="22"/>
          <w:szCs w:val="22"/>
        </w:rPr>
        <w:t xml:space="preserve">must </w:t>
      </w:r>
      <w:r w:rsidR="00691796">
        <w:rPr>
          <w:rStyle w:val="LineNumber"/>
          <w:rFonts w:asciiTheme="minorHAnsi" w:hAnsiTheme="minorHAnsi"/>
          <w:color w:val="444448" w:themeColor="accent4"/>
          <w:sz w:val="22"/>
          <w:szCs w:val="22"/>
        </w:rPr>
        <w:t xml:space="preserve">demonstrate that the public exposure is below the dose constraint </w:t>
      </w:r>
      <w:r w:rsidRPr="00A80F9D">
        <w:rPr>
          <w:rStyle w:val="LineNumber"/>
          <w:rFonts w:asciiTheme="minorHAnsi" w:hAnsiTheme="minorHAnsi"/>
          <w:color w:val="444448" w:themeColor="accent4"/>
          <w:sz w:val="22"/>
          <w:szCs w:val="22"/>
        </w:rPr>
        <w:t>as</w:t>
      </w:r>
      <w:r w:rsidR="00440590">
        <w:rPr>
          <w:rStyle w:val="LineNumber"/>
          <w:rFonts w:asciiTheme="minorHAnsi" w:hAnsiTheme="minorHAnsi"/>
          <w:color w:val="444448" w:themeColor="accent4"/>
          <w:sz w:val="22"/>
          <w:szCs w:val="22"/>
        </w:rPr>
        <w:t xml:space="preserve"> agreed by the proponent and the </w:t>
      </w:r>
      <w:r w:rsidR="00D3529D">
        <w:rPr>
          <w:rStyle w:val="LineNumber"/>
          <w:rFonts w:asciiTheme="minorHAnsi" w:hAnsiTheme="minorHAnsi"/>
          <w:color w:val="444448" w:themeColor="accent4"/>
          <w:sz w:val="22"/>
          <w:szCs w:val="22"/>
        </w:rPr>
        <w:t xml:space="preserve">relevant </w:t>
      </w:r>
      <w:r w:rsidR="00440590">
        <w:rPr>
          <w:rStyle w:val="LineNumber"/>
          <w:rFonts w:asciiTheme="minorHAnsi" w:hAnsiTheme="minorHAnsi"/>
          <w:color w:val="444448" w:themeColor="accent4"/>
          <w:sz w:val="22"/>
          <w:szCs w:val="22"/>
        </w:rPr>
        <w:t>regulator</w:t>
      </w:r>
      <w:r w:rsidR="00D3529D">
        <w:rPr>
          <w:rStyle w:val="LineNumber"/>
          <w:rFonts w:asciiTheme="minorHAnsi" w:hAnsiTheme="minorHAnsi"/>
          <w:color w:val="444448" w:themeColor="accent4"/>
          <w:sz w:val="22"/>
          <w:szCs w:val="22"/>
        </w:rPr>
        <w:t>y authority</w:t>
      </w:r>
      <w:r w:rsidR="00E85675">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Any indication of exposure above that level would need separate investigation, and corrective actions as necessary.</w:t>
      </w:r>
    </w:p>
    <w:p w14:paraId="25F91717" w14:textId="77777777" w:rsidR="003467C2" w:rsidRPr="00A80F9D" w:rsidRDefault="003467C2" w:rsidP="005F5A85">
      <w:pPr>
        <w:pStyle w:val="Heading4"/>
        <w:rPr>
          <w:rStyle w:val="LineNumber"/>
          <w:color w:val="4E1A74" w:themeColor="text2"/>
        </w:rPr>
      </w:pPr>
      <w:r w:rsidRPr="00A80F9D">
        <w:rPr>
          <w:rStyle w:val="LineNumber"/>
          <w:color w:val="4E1A74" w:themeColor="text2"/>
        </w:rPr>
        <w:t>Post-closure</w:t>
      </w:r>
    </w:p>
    <w:p w14:paraId="5FF790B7" w14:textId="7B889EF0" w:rsidR="003467C2" w:rsidRPr="00A80F9D" w:rsidRDefault="003467C2" w:rsidP="0090753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For the post-closure phase of a waste disposal facility, the proponent should put forward arguments to demonstrate that the disposal facility will not exceed an annual risk for a member of the public in the foreseeable normal evolution of the disposal facility and its environment in the range of 10</w:t>
      </w:r>
      <w:r w:rsidRPr="00A80F9D">
        <w:rPr>
          <w:rStyle w:val="LineNumber"/>
          <w:rFonts w:asciiTheme="minorHAnsi" w:hAnsiTheme="minorHAnsi"/>
          <w:color w:val="444448" w:themeColor="accent4"/>
          <w:sz w:val="22"/>
          <w:szCs w:val="22"/>
          <w:vertAlign w:val="superscript"/>
        </w:rPr>
        <w:t>-5</w:t>
      </w:r>
      <w:r w:rsidRPr="00A80F9D">
        <w:rPr>
          <w:rStyle w:val="LineNumber"/>
          <w:rFonts w:asciiTheme="minorHAnsi" w:hAnsiTheme="minorHAnsi"/>
          <w:color w:val="444448" w:themeColor="accent4"/>
          <w:sz w:val="22"/>
          <w:szCs w:val="22"/>
        </w:rPr>
        <w:t xml:space="preserve"> to 10</w:t>
      </w:r>
      <w:r w:rsidRPr="00A80F9D">
        <w:rPr>
          <w:rStyle w:val="LineNumber"/>
          <w:rFonts w:asciiTheme="minorHAnsi" w:hAnsiTheme="minorHAnsi"/>
          <w:color w:val="444448" w:themeColor="accent4"/>
          <w:sz w:val="22"/>
          <w:szCs w:val="22"/>
          <w:vertAlign w:val="superscript"/>
        </w:rPr>
        <w:t>-6</w:t>
      </w:r>
      <w:r w:rsidRPr="00A80F9D">
        <w:rPr>
          <w:rStyle w:val="LineNumber"/>
          <w:rFonts w:asciiTheme="minorHAnsi" w:hAnsiTheme="minorHAnsi"/>
          <w:color w:val="444448" w:themeColor="accent4"/>
          <w:sz w:val="22"/>
          <w:szCs w:val="22"/>
        </w:rPr>
        <w:t xml:space="preserve"> for detriment (by use of detriment-adjusted nominal risk coefficients for stochastic effects in the population as a whole, as outlined in Table 1, page 53, ICRP </w:t>
      </w:r>
      <w:r w:rsidRPr="00B52F5B">
        <w:rPr>
          <w:rStyle w:val="LineNumber"/>
          <w:rFonts w:asciiTheme="minorHAnsi" w:hAnsiTheme="minorHAnsi"/>
          <w:color w:val="444448" w:themeColor="accent4"/>
          <w:sz w:val="22"/>
          <w:szCs w:val="22"/>
        </w:rPr>
        <w:t xml:space="preserve">Publication </w:t>
      </w:r>
      <w:r w:rsidRPr="00B52F5B">
        <w:rPr>
          <w:rStyle w:val="LineNumber"/>
          <w:rFonts w:ascii="Calibri" w:hAnsi="Calibri"/>
          <w:color w:val="444448" w:themeColor="accent4"/>
          <w:sz w:val="22"/>
          <w:szCs w:val="22"/>
        </w:rPr>
        <w:t>103</w:t>
      </w:r>
      <w:r w:rsidR="00D4096F">
        <w:rPr>
          <w:rStyle w:val="LineNumber"/>
          <w:rFonts w:ascii="Calibri" w:hAnsi="Calibri"/>
          <w:color w:val="444448" w:themeColor="accent4"/>
          <w:sz w:val="22"/>
          <w:szCs w:val="22"/>
        </w:rPr>
        <w:t xml:space="preserve"> (</w:t>
      </w:r>
      <w:r w:rsidR="00D4096F" w:rsidRPr="00907536">
        <w:rPr>
          <w:rStyle w:val="LineNumber"/>
          <w:rFonts w:asciiTheme="minorHAnsi" w:hAnsiTheme="minorHAnsi"/>
          <w:color w:val="444448" w:themeColor="accent4"/>
          <w:sz w:val="22"/>
          <w:szCs w:val="22"/>
        </w:rPr>
        <w:t>ICRP 2007)</w:t>
      </w:r>
      <w:r w:rsidRPr="00907536">
        <w:rPr>
          <w:rStyle w:val="LineNumber"/>
          <w:rFonts w:asciiTheme="minorHAnsi" w:hAnsiTheme="minorHAnsi"/>
          <w:color w:val="444448" w:themeColor="accent4"/>
          <w:sz w:val="22"/>
          <w:szCs w:val="22"/>
        </w:rPr>
        <w:t>)</w:t>
      </w:r>
      <w:r w:rsidR="00175726">
        <w:rPr>
          <w:rStyle w:val="LineNumber"/>
          <w:rFonts w:asciiTheme="minorHAnsi" w:hAnsiTheme="minorHAnsi"/>
          <w:color w:val="444448" w:themeColor="accent4"/>
          <w:sz w:val="22"/>
          <w:szCs w:val="22"/>
        </w:rPr>
        <w:t>.</w:t>
      </w:r>
      <w:r w:rsidRPr="00A80F9D">
        <w:rPr>
          <w:rStyle w:val="LineNumber"/>
          <w:rFonts w:asciiTheme="minorHAnsi" w:hAnsiTheme="minorHAnsi"/>
          <w:color w:val="444448" w:themeColor="accent4"/>
          <w:sz w:val="22"/>
          <w:szCs w:val="22"/>
        </w:rPr>
        <w:t xml:space="preserve"> </w:t>
      </w:r>
      <w:r w:rsidR="00907536" w:rsidRPr="00907536">
        <w:rPr>
          <w:rStyle w:val="LineNumber"/>
          <w:rFonts w:asciiTheme="minorHAnsi" w:hAnsiTheme="minorHAnsi"/>
          <w:color w:val="444448" w:themeColor="accent4"/>
          <w:sz w:val="22"/>
          <w:szCs w:val="22"/>
        </w:rPr>
        <w:t xml:space="preserve">This range takes into account the various means (and inherent uncertainty) in predicting the characteristics, including behaviour and land use of future populations including the representative person, over time periods of centuries and beyond. </w:t>
      </w:r>
      <w:r w:rsidR="00D12C9F">
        <w:rPr>
          <w:rStyle w:val="LineNumber"/>
          <w:rFonts w:asciiTheme="minorHAnsi" w:hAnsiTheme="minorHAnsi"/>
          <w:color w:val="444448" w:themeColor="accent4"/>
          <w:sz w:val="22"/>
          <w:szCs w:val="22"/>
        </w:rPr>
        <w:t>The supporting arguments</w:t>
      </w:r>
      <w:r w:rsidRPr="00A80F9D">
        <w:rPr>
          <w:rStyle w:val="LineNumber"/>
          <w:rFonts w:asciiTheme="minorHAnsi" w:hAnsiTheme="minorHAnsi"/>
          <w:color w:val="444448" w:themeColor="accent4"/>
          <w:sz w:val="22"/>
          <w:szCs w:val="22"/>
        </w:rPr>
        <w:t xml:space="preserve"> must be presented in the applications to prepare a site, to construct</w:t>
      </w:r>
      <w:r w:rsidR="00175726">
        <w:rPr>
          <w:rStyle w:val="LineNumber"/>
          <w:rFonts w:asciiTheme="minorHAnsi" w:hAnsiTheme="minorHAnsi"/>
          <w:color w:val="444448" w:themeColor="accent4"/>
          <w:sz w:val="22"/>
          <w:szCs w:val="22"/>
        </w:rPr>
        <w:t xml:space="preserve">, and to operate the facility. </w:t>
      </w:r>
      <w:r w:rsidRPr="00A80F9D">
        <w:rPr>
          <w:rStyle w:val="LineNumber"/>
          <w:rFonts w:asciiTheme="minorHAnsi" w:hAnsiTheme="minorHAnsi"/>
          <w:color w:val="444448" w:themeColor="accent4"/>
          <w:sz w:val="22"/>
          <w:szCs w:val="22"/>
        </w:rPr>
        <w:t>It is expected that the discussion would become more detailed and based upon more complete knowledge as the application process proceeds.</w:t>
      </w:r>
      <w:r w:rsidR="00907536" w:rsidRPr="00907536">
        <w:rPr>
          <w:rStyle w:val="LineNumber"/>
          <w:rFonts w:asciiTheme="minorHAnsi" w:hAnsiTheme="minorHAnsi"/>
          <w:color w:val="444448" w:themeColor="accent4"/>
          <w:sz w:val="22"/>
          <w:szCs w:val="22"/>
        </w:rPr>
        <w:t xml:space="preserve"> The applicant should also provide information on how the risk may vary over time.</w:t>
      </w:r>
    </w:p>
    <w:p w14:paraId="3777A1A2" w14:textId="77777777"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concept of risk as used in this Code integrates the probability of an event with the probability of harm should the event occur (the consequence). A high probability event with a low probability of harm may thus pose the same risk as a low probability event with high probability of harm (or, expressed differently, with severe consequences). Thus, the applicant will need to define the scenarios that govern the risk estimates, in order to provide a means for assessing the average risk (often done by performing a number of realisations in a probabilistic approach to the assessment of risk), and the time frames within which these events are assessed.</w:t>
      </w:r>
    </w:p>
    <w:p w14:paraId="0380A5F0" w14:textId="46E37480"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The analysis of the design basis for the risk calculations may include reasonably foreseeable natural disruptive events as well as accidents.</w:t>
      </w:r>
    </w:p>
    <w:p w14:paraId="796A92BE" w14:textId="4637C869" w:rsidR="003467C2" w:rsidRPr="00A80F9D" w:rsidRDefault="003467C2" w:rsidP="00D20806">
      <w:pPr>
        <w:pStyle w:val="RPSNumberedBodyText"/>
        <w:numPr>
          <w:ilvl w:val="0"/>
          <w:numId w:val="0"/>
        </w:numPr>
        <w:jc w:val="left"/>
        <w:rPr>
          <w:rStyle w:val="LineNumber"/>
          <w:rFonts w:asciiTheme="minorHAnsi" w:hAnsiTheme="minorHAnsi"/>
          <w:color w:val="444448" w:themeColor="accent4"/>
          <w:sz w:val="22"/>
          <w:szCs w:val="22"/>
        </w:rPr>
      </w:pPr>
      <w:r w:rsidRPr="00A80F9D">
        <w:rPr>
          <w:rStyle w:val="LineNumber"/>
          <w:rFonts w:asciiTheme="minorHAnsi" w:hAnsiTheme="minorHAnsi"/>
          <w:color w:val="444448" w:themeColor="accent4"/>
          <w:sz w:val="22"/>
          <w:szCs w:val="22"/>
        </w:rPr>
        <w:t xml:space="preserve">For the post-closure period, the proponent is expected to separately and deterministically assess and report on a suite of severely disruptive events that may result in an annual dose of ≥1 mSv if such scenarios </w:t>
      </w:r>
      <w:r w:rsidRPr="00A80F9D">
        <w:rPr>
          <w:rStyle w:val="LineNumber"/>
          <w:rFonts w:asciiTheme="minorHAnsi" w:hAnsiTheme="minorHAnsi"/>
          <w:color w:val="444448" w:themeColor="accent4"/>
          <w:sz w:val="22"/>
          <w:szCs w:val="22"/>
        </w:rPr>
        <w:lastRenderedPageBreak/>
        <w:t xml:space="preserve">exist (i.e. at or above the dose limit for the public). The potential impact of severe disruptive events may be estimated at the design stage by use of stylised or simplified calculations, and must be updated at subsequent </w:t>
      </w:r>
      <w:r w:rsidR="00CB125A">
        <w:rPr>
          <w:rFonts w:asciiTheme="minorHAnsi" w:hAnsiTheme="minorHAnsi"/>
          <w:color w:val="444448" w:themeColor="accent4"/>
          <w:sz w:val="22"/>
          <w:szCs w:val="22"/>
        </w:rPr>
        <w:t>authorisation</w:t>
      </w:r>
      <w:r w:rsidRPr="00A80F9D">
        <w:rPr>
          <w:rStyle w:val="LineNumber"/>
          <w:rFonts w:asciiTheme="minorHAnsi" w:hAnsiTheme="minorHAnsi"/>
          <w:color w:val="444448" w:themeColor="accent4"/>
          <w:sz w:val="22"/>
          <w:szCs w:val="22"/>
        </w:rPr>
        <w:t xml:space="preserve"> phases. The rationale for selecting scenarios and their associated assumptions must be explained in order for the relevant regulatory authority to determine whether the design is adequate and the proposed time of institutional control is appropriate.</w:t>
      </w:r>
    </w:p>
    <w:p w14:paraId="02845070" w14:textId="22C5EFFB" w:rsidR="00795AB0" w:rsidRPr="00E34C85" w:rsidRDefault="003467C2" w:rsidP="00E34C85">
      <w:pPr>
        <w:pStyle w:val="RPSNumberedBodyText"/>
        <w:numPr>
          <w:ilvl w:val="0"/>
          <w:numId w:val="0"/>
        </w:numPr>
        <w:jc w:val="left"/>
        <w:rPr>
          <w:color w:val="444448" w:themeColor="accent4"/>
        </w:rPr>
        <w:sectPr w:rsidR="00795AB0" w:rsidRPr="00E34C85" w:rsidSect="00912E5D">
          <w:pgSz w:w="11906" w:h="16838"/>
          <w:pgMar w:top="1134" w:right="1134" w:bottom="1134" w:left="1134" w:header="720" w:footer="720" w:gutter="0"/>
          <w:cols w:space="720"/>
        </w:sectPr>
      </w:pPr>
      <w:r w:rsidRPr="00A80F9D">
        <w:rPr>
          <w:rStyle w:val="LineNumber"/>
          <w:rFonts w:asciiTheme="minorHAnsi" w:hAnsiTheme="minorHAnsi"/>
          <w:color w:val="444448" w:themeColor="accent4"/>
          <w:sz w:val="22"/>
          <w:szCs w:val="22"/>
        </w:rPr>
        <w:t>The proponent may impose a time cut-off in the assessment of passive safety. The reason for cut-off must be explained</w:t>
      </w:r>
      <w:r w:rsidR="00F1509B">
        <w:rPr>
          <w:rStyle w:val="LineNumber"/>
          <w:rFonts w:asciiTheme="minorHAnsi" w:hAnsiTheme="minorHAnsi"/>
          <w:color w:val="444448" w:themeColor="accent4"/>
          <w:sz w:val="22"/>
          <w:szCs w:val="22"/>
        </w:rPr>
        <w:t xml:space="preserve"> and justified in the safety case</w:t>
      </w:r>
      <w:r w:rsidR="00E24971">
        <w:rPr>
          <w:rStyle w:val="LineNumber"/>
          <w:rFonts w:asciiTheme="minorHAnsi" w:hAnsiTheme="minorHAnsi"/>
          <w:color w:val="444448" w:themeColor="accent4"/>
          <w:sz w:val="22"/>
          <w:szCs w:val="22"/>
        </w:rPr>
        <w:t>.</w:t>
      </w:r>
      <w:bookmarkStart w:id="151" w:name="_Toc495493191"/>
    </w:p>
    <w:p w14:paraId="3351B22A" w14:textId="3B1AB538" w:rsidR="005F5A85" w:rsidRPr="00F31AFA" w:rsidRDefault="005F5A85" w:rsidP="00871DBC">
      <w:pPr>
        <w:pStyle w:val="Schedule"/>
        <w:pBdr>
          <w:bottom w:val="single" w:sz="8" w:space="1" w:color="4E1A74" w:themeColor="text2"/>
        </w:pBdr>
        <w:spacing w:before="0"/>
        <w:ind w:left="1843" w:hanging="1843"/>
      </w:pPr>
      <w:bookmarkStart w:id="152" w:name="_Toc492376242"/>
      <w:bookmarkStart w:id="153" w:name="_Toc524085228"/>
      <w:r w:rsidRPr="004E215B">
        <w:lastRenderedPageBreak/>
        <w:t>Appendix</w:t>
      </w:r>
      <w:r>
        <w:t xml:space="preserve"> 1:</w:t>
      </w:r>
      <w:r>
        <w:tab/>
      </w:r>
      <w:bookmarkEnd w:id="152"/>
      <w:r w:rsidR="00D12C9F">
        <w:t>Mapping of clauses in the Disposal Facilities Code with requirements in SSR-5</w:t>
      </w:r>
      <w:bookmarkEnd w:id="153"/>
    </w:p>
    <w:p w14:paraId="602CD1A5" w14:textId="2642C493" w:rsidR="005F5A85" w:rsidRPr="00B52F5B" w:rsidRDefault="005F5A85" w:rsidP="005F5A85">
      <w:pPr>
        <w:rPr>
          <w:rFonts w:eastAsia="Calibri"/>
        </w:rPr>
      </w:pPr>
      <w:r w:rsidRPr="005B517F">
        <w:rPr>
          <w:rFonts w:eastAsia="Calibri"/>
        </w:rPr>
        <w:t>The following table cross</w:t>
      </w:r>
      <w:r>
        <w:t>-</w:t>
      </w:r>
      <w:r w:rsidRPr="005B517F">
        <w:rPr>
          <w:rFonts w:eastAsia="Calibri"/>
        </w:rPr>
        <w:t xml:space="preserve">references each clause in Section 3 of this </w:t>
      </w:r>
      <w:r>
        <w:rPr>
          <w:rFonts w:eastAsia="Calibri"/>
        </w:rPr>
        <w:t>Code</w:t>
      </w:r>
      <w:r w:rsidRPr="005B517F">
        <w:rPr>
          <w:rFonts w:eastAsia="Calibri"/>
        </w:rPr>
        <w:t xml:space="preserve"> to the relevant requirement in the </w:t>
      </w:r>
      <w:r w:rsidR="00B2547B">
        <w:rPr>
          <w:rFonts w:eastAsia="Calibri"/>
        </w:rPr>
        <w:t>i</w:t>
      </w:r>
      <w:r w:rsidRPr="005B517F">
        <w:rPr>
          <w:rFonts w:eastAsia="Calibri"/>
        </w:rPr>
        <w:t xml:space="preserve">nternational </w:t>
      </w:r>
      <w:r w:rsidR="00B2547B">
        <w:rPr>
          <w:rFonts w:eastAsia="Calibri"/>
        </w:rPr>
        <w:t>s</w:t>
      </w:r>
      <w:r w:rsidRPr="005B517F">
        <w:rPr>
          <w:rFonts w:eastAsia="Calibri"/>
        </w:rPr>
        <w:t xml:space="preserve">tandard, </w:t>
      </w:r>
      <w:r w:rsidRPr="00801CFE">
        <w:rPr>
          <w:rFonts w:eastAsia="Calibri"/>
        </w:rPr>
        <w:t xml:space="preserve">IAEA </w:t>
      </w:r>
      <w:r w:rsidR="00801CFE" w:rsidRPr="00801CFE">
        <w:rPr>
          <w:rFonts w:eastAsia="Calibri"/>
        </w:rPr>
        <w:t xml:space="preserve">Safety Standard: Specific </w:t>
      </w:r>
      <w:r w:rsidRPr="00801CFE">
        <w:rPr>
          <w:rFonts w:eastAsia="Calibri"/>
        </w:rPr>
        <w:t xml:space="preserve">Safety </w:t>
      </w:r>
      <w:r w:rsidR="00801CFE" w:rsidRPr="00801CFE">
        <w:rPr>
          <w:rFonts w:eastAsia="Calibri"/>
        </w:rPr>
        <w:t xml:space="preserve">Requirements </w:t>
      </w:r>
      <w:r w:rsidR="00B2547B">
        <w:rPr>
          <w:rFonts w:eastAsia="Calibri"/>
        </w:rPr>
        <w:t>for</w:t>
      </w:r>
      <w:r w:rsidR="00801CFE" w:rsidRPr="00801CFE">
        <w:rPr>
          <w:rFonts w:eastAsia="Calibri"/>
        </w:rPr>
        <w:t xml:space="preserve"> </w:t>
      </w:r>
      <w:r w:rsidR="00801CFE" w:rsidRPr="00D12C9F">
        <w:rPr>
          <w:rFonts w:eastAsia="Calibri"/>
          <w:i/>
        </w:rPr>
        <w:t>Disposal of Radioactive Waste</w:t>
      </w:r>
      <w:r w:rsidR="00801CFE" w:rsidRPr="00B52F5B">
        <w:rPr>
          <w:rFonts w:eastAsia="Calibri"/>
        </w:rPr>
        <w:t xml:space="preserve"> </w:t>
      </w:r>
      <w:r w:rsidR="00B2547B">
        <w:rPr>
          <w:rFonts w:eastAsia="Calibri"/>
        </w:rPr>
        <w:t>(</w:t>
      </w:r>
      <w:r w:rsidR="00801CFE" w:rsidRPr="00B52F5B">
        <w:rPr>
          <w:rFonts w:eastAsia="Calibri"/>
        </w:rPr>
        <w:t>SSR-5</w:t>
      </w:r>
      <w:r w:rsidR="00B2547B">
        <w:rPr>
          <w:rFonts w:eastAsia="Calibri"/>
        </w:rPr>
        <w:t>)</w:t>
      </w:r>
      <w:r w:rsidRPr="00B52F5B">
        <w:rPr>
          <w:rFonts w:eastAsia="Calibri"/>
        </w:rPr>
        <w:t xml:space="preserve"> (IAEA</w:t>
      </w:r>
      <w:r w:rsidR="00801CFE" w:rsidRPr="00B52F5B">
        <w:rPr>
          <w:rFonts w:eastAsia="Calibri"/>
        </w:rPr>
        <w:t xml:space="preserve"> 2011</w:t>
      </w:r>
      <w:r w:rsidR="002B1125">
        <w:rPr>
          <w:rFonts w:eastAsia="Calibri"/>
        </w:rPr>
        <w:t>a</w:t>
      </w:r>
      <w:r w:rsidRPr="00B52F5B">
        <w:rPr>
          <w:rFonts w:eastAsia="Calibri"/>
        </w:rPr>
        <w:t xml:space="preserve">). </w:t>
      </w:r>
    </w:p>
    <w:p w14:paraId="7564ECC5" w14:textId="45E4894E" w:rsidR="005E3253" w:rsidRDefault="005E3253" w:rsidP="005F5A85">
      <w:pPr>
        <w:rPr>
          <w:rFonts w:eastAsia="Calibri"/>
        </w:rPr>
      </w:pPr>
      <w:r w:rsidRPr="00B52F5B">
        <w:rPr>
          <w:rFonts w:eastAsia="Calibri"/>
        </w:rPr>
        <w:t xml:space="preserve">Requirements 1 (Government </w:t>
      </w:r>
      <w:r w:rsidR="00B2547B">
        <w:rPr>
          <w:rFonts w:eastAsia="Calibri"/>
        </w:rPr>
        <w:t>r</w:t>
      </w:r>
      <w:r w:rsidRPr="00B52F5B">
        <w:rPr>
          <w:rFonts w:eastAsia="Calibri"/>
        </w:rPr>
        <w:t>esponsibilities) and 2 (Responsibilities</w:t>
      </w:r>
      <w:r w:rsidRPr="005E3253">
        <w:rPr>
          <w:rFonts w:eastAsia="Calibri"/>
        </w:rPr>
        <w:t xml:space="preserve"> of the </w:t>
      </w:r>
      <w:r w:rsidR="00B2547B">
        <w:rPr>
          <w:rFonts w:eastAsia="Calibri"/>
        </w:rPr>
        <w:t>r</w:t>
      </w:r>
      <w:r w:rsidRPr="005E3253">
        <w:rPr>
          <w:rFonts w:eastAsia="Calibri"/>
        </w:rPr>
        <w:t xml:space="preserve">egulatory </w:t>
      </w:r>
      <w:r w:rsidR="00B2547B">
        <w:rPr>
          <w:rFonts w:eastAsia="Calibri"/>
        </w:rPr>
        <w:t>b</w:t>
      </w:r>
      <w:r w:rsidRPr="005E3253">
        <w:rPr>
          <w:rFonts w:eastAsia="Calibri"/>
        </w:rPr>
        <w:t xml:space="preserve">ody) from SSR-5 are not applicable as potential </w:t>
      </w:r>
      <w:r w:rsidR="00CB125A">
        <w:t>authorisation</w:t>
      </w:r>
      <w:r w:rsidRPr="005E3253">
        <w:rPr>
          <w:rFonts w:eastAsia="Calibri"/>
        </w:rPr>
        <w:t xml:space="preserve"> conditions for inclusion in an Australian national code, and thus have been removed from inclus</w:t>
      </w:r>
      <w:r>
        <w:rPr>
          <w:rFonts w:eastAsia="Calibri"/>
        </w:rPr>
        <w:t>ion as requirements under this C</w:t>
      </w:r>
      <w:r w:rsidRPr="005E3253">
        <w:rPr>
          <w:rFonts w:eastAsia="Calibri"/>
        </w:rPr>
        <w:t>ode.</w:t>
      </w:r>
    </w:p>
    <w:p w14:paraId="32737F5C" w14:textId="77777777" w:rsidR="005F5A85" w:rsidRDefault="005F5A85" w:rsidP="005F5A85">
      <w:pPr>
        <w:spacing w:before="0"/>
        <w:rPr>
          <w:rFonts w:eastAsia="Calibri"/>
        </w:rPr>
      </w:pPr>
    </w:p>
    <w:tbl>
      <w:tblPr>
        <w:tblStyle w:val="LightList-Accent1"/>
        <w:tblW w:w="9639" w:type="dxa"/>
        <w:tblLook w:val="0420" w:firstRow="1" w:lastRow="0" w:firstColumn="0" w:lastColumn="0" w:noHBand="0" w:noVBand="1"/>
      </w:tblPr>
      <w:tblGrid>
        <w:gridCol w:w="2169"/>
        <w:gridCol w:w="5136"/>
        <w:gridCol w:w="2334"/>
      </w:tblGrid>
      <w:tr w:rsidR="000A1607" w:rsidRPr="00BD6F60" w14:paraId="55390BA7" w14:textId="77777777" w:rsidTr="002E670C">
        <w:trPr>
          <w:cnfStyle w:val="100000000000" w:firstRow="1" w:lastRow="0" w:firstColumn="0" w:lastColumn="0" w:oddVBand="0" w:evenVBand="0" w:oddHBand="0" w:evenHBand="0" w:firstRowFirstColumn="0" w:firstRowLastColumn="0" w:lastRowFirstColumn="0" w:lastRowLastColumn="0"/>
          <w:trHeight w:val="454"/>
          <w:tblHeader/>
        </w:trPr>
        <w:tc>
          <w:tcPr>
            <w:tcW w:w="1975" w:type="dxa"/>
            <w:tcBorders>
              <w:top w:val="single" w:sz="8" w:space="0" w:color="4E1A74" w:themeColor="text2"/>
              <w:left w:val="single" w:sz="8" w:space="0" w:color="4E1A74" w:themeColor="text2"/>
              <w:bottom w:val="single" w:sz="8" w:space="0" w:color="FFFFFF" w:themeColor="background1"/>
              <w:right w:val="single" w:sz="8" w:space="0" w:color="FFFFFF" w:themeColor="background1"/>
            </w:tcBorders>
            <w:shd w:val="clear" w:color="auto" w:fill="4E1A74" w:themeFill="text2"/>
            <w:vAlign w:val="center"/>
          </w:tcPr>
          <w:p w14:paraId="7CA8D1A1" w14:textId="353A1CDD" w:rsidR="000A1607" w:rsidRDefault="000A1607" w:rsidP="00521E2B">
            <w:pPr>
              <w:rPr>
                <w:color w:val="FFFFFF" w:themeColor="background1"/>
              </w:rPr>
            </w:pPr>
            <w:r>
              <w:rPr>
                <w:color w:val="FFFFFF" w:themeColor="background1"/>
              </w:rPr>
              <w:t>IAEA SSR-5</w:t>
            </w:r>
          </w:p>
        </w:tc>
        <w:tc>
          <w:tcPr>
            <w:tcW w:w="6804" w:type="dxa"/>
            <w:gridSpan w:val="2"/>
            <w:tcBorders>
              <w:top w:val="single" w:sz="8" w:space="0" w:color="4E1A74" w:themeColor="text2"/>
              <w:left w:val="single" w:sz="8" w:space="0" w:color="FFFFFF" w:themeColor="background1"/>
              <w:bottom w:val="single" w:sz="8" w:space="0" w:color="FFFFFF" w:themeColor="background1"/>
              <w:right w:val="single" w:sz="8" w:space="0" w:color="4E1A74" w:themeColor="text2"/>
            </w:tcBorders>
            <w:shd w:val="clear" w:color="auto" w:fill="4E1A74" w:themeFill="text2"/>
            <w:vAlign w:val="center"/>
          </w:tcPr>
          <w:p w14:paraId="13E9ACCA" w14:textId="0C7D26F8" w:rsidR="000A1607" w:rsidRPr="000A1607" w:rsidRDefault="000A1607" w:rsidP="00521E2B">
            <w:pPr>
              <w:rPr>
                <w:color w:val="FFFFFF" w:themeColor="background1"/>
              </w:rPr>
            </w:pPr>
            <w:r>
              <w:rPr>
                <w:color w:val="FFFFFF" w:themeColor="background1"/>
              </w:rPr>
              <w:t>RPS C</w:t>
            </w:r>
            <w:r w:rsidRPr="000A1607">
              <w:rPr>
                <w:color w:val="FFFFFF" w:themeColor="background1"/>
              </w:rPr>
              <w:t>-</w:t>
            </w:r>
            <w:r>
              <w:rPr>
                <w:color w:val="FFFFFF" w:themeColor="background1"/>
              </w:rPr>
              <w:t>3</w:t>
            </w:r>
          </w:p>
        </w:tc>
      </w:tr>
      <w:tr w:rsidR="000A1607" w:rsidRPr="00BD6F60" w14:paraId="7BFDA045" w14:textId="77777777" w:rsidTr="002E670C">
        <w:trPr>
          <w:cnfStyle w:val="100000000000" w:firstRow="1" w:lastRow="0" w:firstColumn="0" w:lastColumn="0" w:oddVBand="0" w:evenVBand="0" w:oddHBand="0" w:evenHBand="0" w:firstRowFirstColumn="0" w:firstRowLastColumn="0" w:lastRowFirstColumn="0" w:lastRowLastColumn="0"/>
          <w:trHeight w:val="454"/>
          <w:tblHeader/>
        </w:trPr>
        <w:tc>
          <w:tcPr>
            <w:tcW w:w="1975" w:type="dxa"/>
            <w:tcBorders>
              <w:top w:val="single" w:sz="8" w:space="0" w:color="FFFFFF" w:themeColor="background1"/>
              <w:left w:val="single" w:sz="8" w:space="0" w:color="4E1A74" w:themeColor="text2"/>
              <w:bottom w:val="single" w:sz="8" w:space="0" w:color="006600"/>
              <w:right w:val="single" w:sz="8" w:space="0" w:color="FFFFFF" w:themeColor="background1"/>
            </w:tcBorders>
            <w:shd w:val="clear" w:color="auto" w:fill="4E1A74" w:themeFill="text2"/>
            <w:vAlign w:val="center"/>
          </w:tcPr>
          <w:p w14:paraId="6AD8A115" w14:textId="117219DD" w:rsidR="000A1607" w:rsidRPr="00BD6F60" w:rsidRDefault="000A1607" w:rsidP="00521E2B">
            <w:pPr>
              <w:rPr>
                <w:b w:val="0"/>
                <w:color w:val="FFFFFF" w:themeColor="background1"/>
              </w:rPr>
            </w:pPr>
            <w:r w:rsidRPr="00BD6F60">
              <w:rPr>
                <w:b w:val="0"/>
                <w:color w:val="FFFFFF" w:themeColor="background1"/>
              </w:rPr>
              <w:t>Requirement</w:t>
            </w:r>
          </w:p>
        </w:tc>
        <w:tc>
          <w:tcPr>
            <w:tcW w:w="4678" w:type="dxa"/>
            <w:tcBorders>
              <w:top w:val="single" w:sz="8" w:space="0" w:color="FFFFFF" w:themeColor="background1"/>
              <w:left w:val="single" w:sz="8" w:space="0" w:color="FFFFFF" w:themeColor="background1"/>
              <w:bottom w:val="single" w:sz="8" w:space="0" w:color="4E1A74" w:themeColor="text2"/>
              <w:right w:val="single" w:sz="8" w:space="0" w:color="FFFFFF" w:themeColor="background1"/>
            </w:tcBorders>
            <w:shd w:val="clear" w:color="auto" w:fill="4E1A74" w:themeFill="text2"/>
            <w:vAlign w:val="center"/>
          </w:tcPr>
          <w:p w14:paraId="0880EDF9" w14:textId="483761C2" w:rsidR="000A1607" w:rsidRPr="00BD6F60" w:rsidRDefault="000A1607" w:rsidP="00521E2B">
            <w:pPr>
              <w:rPr>
                <w:b w:val="0"/>
                <w:color w:val="FFFFFF" w:themeColor="background1"/>
              </w:rPr>
            </w:pPr>
            <w:r>
              <w:rPr>
                <w:b w:val="0"/>
                <w:color w:val="FFFFFF" w:themeColor="background1"/>
              </w:rPr>
              <w:t>Requirement</w:t>
            </w:r>
          </w:p>
        </w:tc>
        <w:tc>
          <w:tcPr>
            <w:tcW w:w="2126" w:type="dxa"/>
            <w:tcBorders>
              <w:top w:val="single" w:sz="8" w:space="0" w:color="FFFFFF" w:themeColor="background1"/>
              <w:left w:val="single" w:sz="8" w:space="0" w:color="FFFFFF" w:themeColor="background1"/>
              <w:bottom w:val="single" w:sz="8" w:space="0" w:color="4E1A74" w:themeColor="text2"/>
              <w:right w:val="single" w:sz="8" w:space="0" w:color="4E1A74" w:themeColor="text2"/>
            </w:tcBorders>
            <w:shd w:val="clear" w:color="auto" w:fill="4E1A74" w:themeFill="text2"/>
            <w:vAlign w:val="center"/>
          </w:tcPr>
          <w:p w14:paraId="553616F0" w14:textId="77777777" w:rsidR="000A1607" w:rsidRPr="00BD6F60" w:rsidRDefault="000A1607" w:rsidP="00521E2B">
            <w:pPr>
              <w:rPr>
                <w:b w:val="0"/>
                <w:color w:val="FFFFFF" w:themeColor="background1"/>
              </w:rPr>
            </w:pPr>
            <w:r w:rsidRPr="00BD6F60">
              <w:rPr>
                <w:b w:val="0"/>
                <w:color w:val="FFFFFF" w:themeColor="background1"/>
              </w:rPr>
              <w:t>Clause(s)</w:t>
            </w:r>
          </w:p>
        </w:tc>
      </w:tr>
      <w:tr w:rsidR="000A1607" w:rsidRPr="00BD6F60" w14:paraId="7B4CFF3A" w14:textId="77777777" w:rsidTr="002E670C">
        <w:trPr>
          <w:cnfStyle w:val="000000100000" w:firstRow="0" w:lastRow="0" w:firstColumn="0" w:lastColumn="0" w:oddVBand="0" w:evenVBand="0" w:oddHBand="1" w:evenHBand="0" w:firstRowFirstColumn="0" w:firstRowLastColumn="0" w:lastRowFirstColumn="0" w:lastRowLastColumn="0"/>
          <w:trHeight w:val="790"/>
        </w:trPr>
        <w:tc>
          <w:tcPr>
            <w:tcW w:w="1975" w:type="dxa"/>
            <w:tcBorders>
              <w:top w:val="single" w:sz="8" w:space="0" w:color="006600"/>
              <w:left w:val="single" w:sz="8" w:space="0" w:color="4E1A74" w:themeColor="text2"/>
              <w:bottom w:val="single" w:sz="8" w:space="0" w:color="4E1A74" w:themeColor="text2"/>
              <w:right w:val="single" w:sz="8" w:space="0" w:color="4E1A74" w:themeColor="text2"/>
            </w:tcBorders>
            <w:vAlign w:val="center"/>
          </w:tcPr>
          <w:p w14:paraId="449038C0" w14:textId="7A5DB88E" w:rsidR="000A1607" w:rsidRPr="005E3253" w:rsidRDefault="000A1607"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3</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BFA740C" w14:textId="0AC3B916" w:rsidR="000A1607" w:rsidRPr="005E3253" w:rsidRDefault="00EC1DCC"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Responsibilities of the operator</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242C94C" w14:textId="6D92934E" w:rsidR="000A1607"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_Ref496697609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_Ref496697618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3.2.6</w:t>
            </w:r>
            <w:r>
              <w:rPr>
                <w:rFonts w:asciiTheme="minorHAnsi" w:hAnsiTheme="minorHAnsi"/>
                <w:color w:val="444448" w:themeColor="accent4"/>
                <w:szCs w:val="22"/>
              </w:rPr>
              <w:fldChar w:fldCharType="end"/>
            </w:r>
          </w:p>
        </w:tc>
      </w:tr>
      <w:tr w:rsidR="000A1607" w:rsidRPr="00BD6F60" w14:paraId="7428355F"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E02C6EF" w14:textId="4855CFEC" w:rsidR="000A1607" w:rsidRPr="005E3253" w:rsidRDefault="000A1607"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4</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3E8442A" w14:textId="53A03773" w:rsidR="000A1607" w:rsidRPr="005E3253" w:rsidRDefault="00EC1DCC"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Importance of safety in the process of development and operation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08BCEE9" w14:textId="26267308" w:rsidR="000A1607"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_Ref496699467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_Ref496699471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3.2.11</w:t>
            </w:r>
            <w:r>
              <w:rPr>
                <w:rFonts w:asciiTheme="minorHAnsi" w:hAnsiTheme="minorHAnsi"/>
                <w:color w:val="444448" w:themeColor="accent4"/>
                <w:szCs w:val="22"/>
              </w:rPr>
              <w:fldChar w:fldCharType="end"/>
            </w:r>
          </w:p>
        </w:tc>
      </w:tr>
      <w:tr w:rsidR="000A1607" w:rsidRPr="00BD6F60" w14:paraId="3CD676AE"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89CE3C3" w14:textId="64656ADE" w:rsidR="000A1607" w:rsidRPr="005E3253" w:rsidRDefault="000A1607"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5</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5946583" w14:textId="67C11E02" w:rsidR="000A1607" w:rsidRPr="005E3253" w:rsidRDefault="00EC1DCC"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Passive means for the safety of the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90730EC" w14:textId="1E5E13E2" w:rsidR="000A1607" w:rsidRPr="005E3253" w:rsidRDefault="00F1126C" w:rsidP="003B6C21">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_Ref496697947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sidR="003B6C21">
              <w:rPr>
                <w:rFonts w:asciiTheme="minorHAnsi" w:hAnsiTheme="minorHAnsi"/>
                <w:color w:val="444448" w:themeColor="accent4"/>
                <w:szCs w:val="22"/>
              </w:rPr>
              <w:fldChar w:fldCharType="begin"/>
            </w:r>
            <w:r w:rsidR="003B6C21">
              <w:rPr>
                <w:rFonts w:asciiTheme="minorHAnsi" w:hAnsiTheme="minorHAnsi"/>
                <w:color w:val="444448" w:themeColor="accent4"/>
                <w:szCs w:val="22"/>
              </w:rPr>
              <w:instrText xml:space="preserve"> REF _Ref516652158 \r \h </w:instrText>
            </w:r>
            <w:r w:rsidR="003B6C21">
              <w:rPr>
                <w:rFonts w:asciiTheme="minorHAnsi" w:hAnsiTheme="minorHAnsi"/>
                <w:color w:val="444448" w:themeColor="accent4"/>
                <w:szCs w:val="22"/>
              </w:rPr>
            </w:r>
            <w:r w:rsidR="003B6C21">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3.2.17</w:t>
            </w:r>
            <w:r w:rsidR="003B6C21">
              <w:rPr>
                <w:rFonts w:asciiTheme="minorHAnsi" w:hAnsiTheme="minorHAnsi"/>
                <w:color w:val="444448" w:themeColor="accent4"/>
                <w:szCs w:val="22"/>
              </w:rPr>
              <w:fldChar w:fldCharType="end"/>
            </w:r>
          </w:p>
        </w:tc>
      </w:tr>
      <w:tr w:rsidR="00D568C5" w:rsidRPr="00BD6F60" w14:paraId="57A2C841"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AFAB43A" w14:textId="06A90043"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6</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A93D5EB" w14:textId="7440AD5D"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Understanding of a disposal facility and confidence in safety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48250A4" w14:textId="1A2A0513"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_Ref496699517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3.2.18</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_Ref496699522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3.2.24</w:t>
            </w:r>
            <w:r>
              <w:rPr>
                <w:rFonts w:asciiTheme="minorHAnsi" w:hAnsiTheme="minorHAnsi"/>
                <w:color w:val="444448" w:themeColor="accent4"/>
                <w:szCs w:val="22"/>
              </w:rPr>
              <w:fldChar w:fldCharType="end"/>
            </w:r>
          </w:p>
        </w:tc>
      </w:tr>
      <w:tr w:rsidR="00D568C5" w:rsidRPr="00BD6F60" w14:paraId="76661A86"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992CBC6" w14:textId="11303177"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7</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AE94BE5" w14:textId="41F8963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Multiple safety functions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3114159" w14:textId="78730315"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_Ref496699555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3.2.28</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_Ref496699556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3.2.32</w:t>
            </w:r>
            <w:r>
              <w:rPr>
                <w:rFonts w:asciiTheme="minorHAnsi" w:hAnsiTheme="minorHAnsi"/>
                <w:color w:val="444448" w:themeColor="accent4"/>
                <w:szCs w:val="22"/>
              </w:rPr>
              <w:fldChar w:fldCharType="end"/>
            </w:r>
          </w:p>
        </w:tc>
      </w:tr>
      <w:tr w:rsidR="00D568C5" w:rsidRPr="00BD6F60" w14:paraId="78557D67"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8184A94" w14:textId="1A79D476"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8</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61486A8" w14:textId="0ED096E9"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Containment of radioactive waste</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C7EBE2A" w14:textId="1552E365"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_Ref496699571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3.2.33</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_Ref496699574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3.2.37</w:t>
            </w:r>
            <w:r>
              <w:rPr>
                <w:rFonts w:asciiTheme="minorHAnsi" w:hAnsiTheme="minorHAnsi"/>
                <w:color w:val="444448" w:themeColor="accent4"/>
                <w:szCs w:val="22"/>
              </w:rPr>
              <w:fldChar w:fldCharType="end"/>
            </w:r>
          </w:p>
        </w:tc>
      </w:tr>
      <w:tr w:rsidR="00D568C5" w:rsidRPr="00BD6F60" w14:paraId="0FE60A24"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DF5570D" w14:textId="5B9E663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9</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81945D8" w14:textId="7A487296"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Isolation of radioactive waste</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C994B2F" w14:textId="14F6C204"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_Ref496699592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3.2.38</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_Ref496699595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3.2.43</w:t>
            </w:r>
            <w:r>
              <w:rPr>
                <w:rFonts w:asciiTheme="minorHAnsi" w:hAnsiTheme="minorHAnsi"/>
                <w:color w:val="444448" w:themeColor="accent4"/>
                <w:szCs w:val="22"/>
              </w:rPr>
              <w:fldChar w:fldCharType="end"/>
            </w:r>
          </w:p>
        </w:tc>
      </w:tr>
      <w:tr w:rsidR="00D568C5" w:rsidRPr="00BD6F60" w14:paraId="63D49C25"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772796F" w14:textId="45A223C8"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10</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DA9537E" w14:textId="6425E236"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Surveillance and control of passive safety features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3F4DD26" w14:textId="1444A82B"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_Ref496699619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3.2.44</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_Ref496699621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3.2.45</w:t>
            </w:r>
            <w:r>
              <w:rPr>
                <w:rFonts w:asciiTheme="minorHAnsi" w:hAnsiTheme="minorHAnsi"/>
                <w:color w:val="444448" w:themeColor="accent4"/>
                <w:szCs w:val="22"/>
              </w:rPr>
              <w:fldChar w:fldCharType="end"/>
            </w:r>
          </w:p>
        </w:tc>
      </w:tr>
      <w:tr w:rsidR="00D568C5" w:rsidRPr="00BD6F60" w14:paraId="7F77B495"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EA99E93" w14:textId="3D5EE7E2"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11</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C354897" w14:textId="5AF8F35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Step by step development and evaluation of disposal facilities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32EA4DF" w14:textId="4ACEAD3C"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_Ref496699644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3.2.46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_Ref496699647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3.2.48</w:t>
            </w:r>
            <w:r>
              <w:rPr>
                <w:rFonts w:asciiTheme="minorHAnsi" w:hAnsiTheme="minorHAnsi"/>
                <w:color w:val="444448" w:themeColor="accent4"/>
                <w:szCs w:val="22"/>
              </w:rPr>
              <w:fldChar w:fldCharType="end"/>
            </w:r>
          </w:p>
        </w:tc>
      </w:tr>
      <w:tr w:rsidR="00D568C5" w:rsidRPr="00BD6F60" w14:paraId="49FAADA3"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09B4B9F" w14:textId="2DE83AB5"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12</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0B0F90A" w14:textId="0C6F7FC7"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Preparation, approval and use of the safety case and safety assessment for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04ECC26" w14:textId="2B82563C"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_Ref496698602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3.2.49</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_Ref496699668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3.2.52</w:t>
            </w:r>
            <w:r>
              <w:rPr>
                <w:rFonts w:asciiTheme="minorHAnsi" w:hAnsiTheme="minorHAnsi"/>
                <w:color w:val="444448" w:themeColor="accent4"/>
                <w:szCs w:val="22"/>
              </w:rPr>
              <w:fldChar w:fldCharType="end"/>
            </w:r>
          </w:p>
        </w:tc>
      </w:tr>
      <w:tr w:rsidR="00D568C5" w:rsidRPr="00BD6F60" w14:paraId="1D74D58F"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3808C14" w14:textId="4A227106"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13</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058ACE22" w14:textId="725F2A32"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Scope of the safety case and safety assessment</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912B349" w14:textId="6C0D07C8"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_Ref496699695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3.2.53</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_Ref496699698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3.2.61</w:t>
            </w:r>
            <w:r>
              <w:rPr>
                <w:rFonts w:asciiTheme="minorHAnsi" w:hAnsiTheme="minorHAnsi"/>
                <w:color w:val="444448" w:themeColor="accent4"/>
                <w:szCs w:val="22"/>
              </w:rPr>
              <w:fldChar w:fldCharType="end"/>
            </w:r>
          </w:p>
        </w:tc>
      </w:tr>
      <w:tr w:rsidR="00D568C5" w:rsidRPr="00BD6F60" w14:paraId="1FD8B99B"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2532AA9" w14:textId="350132FA"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14</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B9842F4" w14:textId="122401D4"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Documentation of the safety case and safety assessment</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B4D4EE7" w14:textId="2601820B"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_Ref496699717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3.2.62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_Ref496698611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3.2.65</w:t>
            </w:r>
            <w:r>
              <w:rPr>
                <w:rFonts w:asciiTheme="minorHAnsi" w:hAnsiTheme="minorHAnsi"/>
                <w:color w:val="444448" w:themeColor="accent4"/>
                <w:szCs w:val="22"/>
              </w:rPr>
              <w:fldChar w:fldCharType="end"/>
            </w:r>
          </w:p>
        </w:tc>
      </w:tr>
      <w:tr w:rsidR="00D568C5" w:rsidRPr="00BD6F60" w14:paraId="6E1F6B14"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51CD2A1" w14:textId="12B463A1"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lastRenderedPageBreak/>
              <w:t>Requirement 15</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DC9666C" w14:textId="50440991" w:rsidR="00D568C5" w:rsidRPr="005E3253" w:rsidRDefault="001662B6"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t>Site characteris</w:t>
            </w:r>
            <w:r w:rsidR="00D568C5" w:rsidRPr="005E3253">
              <w:rPr>
                <w:rFonts w:asciiTheme="minorHAnsi" w:hAnsiTheme="minorHAnsi"/>
                <w:color w:val="444448" w:themeColor="accent4"/>
                <w:szCs w:val="22"/>
              </w:rPr>
              <w:t>ation for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26B0158" w14:textId="32E8415F"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_Ref496699738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3.2.66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_Ref496699742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3.2.70</w:t>
            </w:r>
            <w:r>
              <w:rPr>
                <w:rFonts w:asciiTheme="minorHAnsi" w:hAnsiTheme="minorHAnsi"/>
                <w:color w:val="444448" w:themeColor="accent4"/>
                <w:szCs w:val="22"/>
              </w:rPr>
              <w:fldChar w:fldCharType="end"/>
            </w:r>
          </w:p>
        </w:tc>
      </w:tr>
      <w:tr w:rsidR="00D568C5" w:rsidRPr="00BD6F60" w14:paraId="13728AEF"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B5CE2DA" w14:textId="11FE4EEF"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16</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577BC54" w14:textId="2547469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Design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D80DB86" w14:textId="32458B7E"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_Ref496699757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3.2.71</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_Ref496699760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3.2.75</w:t>
            </w:r>
            <w:r>
              <w:rPr>
                <w:rFonts w:asciiTheme="minorHAnsi" w:hAnsiTheme="minorHAnsi"/>
                <w:color w:val="444448" w:themeColor="accent4"/>
                <w:szCs w:val="22"/>
              </w:rPr>
              <w:fldChar w:fldCharType="end"/>
            </w:r>
          </w:p>
        </w:tc>
      </w:tr>
      <w:tr w:rsidR="00D568C5" w:rsidRPr="00BD6F60" w14:paraId="3940B7B2"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5A795C0" w14:textId="592AE01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17</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928A46A" w14:textId="29B553FA"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Construction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7386328" w14:textId="7035DF51"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_Ref496697652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_Ref496699778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3.2.78</w:t>
            </w:r>
            <w:r>
              <w:rPr>
                <w:rFonts w:asciiTheme="minorHAnsi" w:hAnsiTheme="minorHAnsi"/>
                <w:color w:val="444448" w:themeColor="accent4"/>
                <w:szCs w:val="22"/>
              </w:rPr>
              <w:fldChar w:fldCharType="end"/>
            </w:r>
          </w:p>
        </w:tc>
      </w:tr>
      <w:tr w:rsidR="00D568C5" w:rsidRPr="00BD6F60" w14:paraId="22E37FF3"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62BBD98" w14:textId="4E27E76A"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18</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7152798" w14:textId="465DB5A7"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Operation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19CAE9C" w14:textId="25D9D3D4"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_Ref496699795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3.2.79</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_Ref496699796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3.2.82</w:t>
            </w:r>
            <w:r>
              <w:rPr>
                <w:rFonts w:asciiTheme="minorHAnsi" w:hAnsiTheme="minorHAnsi"/>
                <w:color w:val="444448" w:themeColor="accent4"/>
                <w:szCs w:val="22"/>
              </w:rPr>
              <w:fldChar w:fldCharType="end"/>
            </w:r>
          </w:p>
        </w:tc>
      </w:tr>
      <w:tr w:rsidR="00D568C5" w:rsidRPr="00BD6F60" w14:paraId="410D95AC"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BFF2381" w14:textId="2DB68A0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19</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601E6C0" w14:textId="550BE3E7"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Closure of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1FE3A40" w14:textId="1F515D6F"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_Ref496699814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3.2.83</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_Ref496699816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3.2.87</w:t>
            </w:r>
            <w:r>
              <w:rPr>
                <w:rFonts w:asciiTheme="minorHAnsi" w:hAnsiTheme="minorHAnsi"/>
                <w:color w:val="444448" w:themeColor="accent4"/>
                <w:szCs w:val="22"/>
              </w:rPr>
              <w:fldChar w:fldCharType="end"/>
            </w:r>
          </w:p>
        </w:tc>
      </w:tr>
      <w:tr w:rsidR="00D568C5" w:rsidRPr="00BD6F60" w14:paraId="414D1C24"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E455322" w14:textId="6103B52B"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20</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493106C" w14:textId="2FFF151C"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Waste acceptance in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8E9ED9A" w14:textId="511A01AD" w:rsidR="00D568C5" w:rsidRPr="005E3253" w:rsidRDefault="00F1126C"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_Ref496697713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3.2.88</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_Ref496697717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3.2.91</w:t>
            </w:r>
            <w:r>
              <w:rPr>
                <w:rFonts w:asciiTheme="minorHAnsi" w:hAnsiTheme="minorHAnsi"/>
                <w:color w:val="444448" w:themeColor="accent4"/>
                <w:szCs w:val="22"/>
              </w:rPr>
              <w:fldChar w:fldCharType="end"/>
            </w:r>
          </w:p>
        </w:tc>
      </w:tr>
      <w:tr w:rsidR="00D568C5" w:rsidRPr="00BD6F60" w14:paraId="69AB5CC7"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293D796" w14:textId="6521D4E2"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21</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CC28476" w14:textId="5CFC216D"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Monitoring programmes at a disposal facility</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D607D15" w14:textId="1108B67C" w:rsidR="00D568C5" w:rsidRPr="005E3253" w:rsidRDefault="00A40A67"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_Ref496697768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3.2.92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_Ref496699856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3.2.95</w:t>
            </w:r>
            <w:r>
              <w:rPr>
                <w:rFonts w:asciiTheme="minorHAnsi" w:hAnsiTheme="minorHAnsi"/>
                <w:color w:val="444448" w:themeColor="accent4"/>
                <w:szCs w:val="22"/>
              </w:rPr>
              <w:fldChar w:fldCharType="end"/>
            </w:r>
          </w:p>
        </w:tc>
      </w:tr>
      <w:tr w:rsidR="00D568C5" w:rsidRPr="00BD6F60" w14:paraId="091A2655"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7DA22C3D" w14:textId="635682EB"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22</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18820A9" w14:textId="4F4D491E"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The period after closure and institutional controls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E59E103" w14:textId="751D234B" w:rsidR="00D568C5" w:rsidRPr="005E3253" w:rsidRDefault="00A40A67"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_Ref496697832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3.2.96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_Ref496697776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3.2.105</w:t>
            </w:r>
            <w:r>
              <w:rPr>
                <w:rFonts w:asciiTheme="minorHAnsi" w:hAnsiTheme="minorHAnsi"/>
                <w:color w:val="444448" w:themeColor="accent4"/>
                <w:szCs w:val="22"/>
              </w:rPr>
              <w:fldChar w:fldCharType="end"/>
            </w:r>
          </w:p>
        </w:tc>
      </w:tr>
      <w:tr w:rsidR="00D568C5" w:rsidRPr="00BD6F60" w14:paraId="6E857945"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53225203" w14:textId="3AD1D671"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23</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6B115E1" w14:textId="15AFFDF5"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Consideration of the State system of accounting for, and control of, nuclear material</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2A13BF2" w14:textId="5184818B" w:rsidR="00D568C5" w:rsidRPr="005E3253" w:rsidRDefault="00A40A67"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_Ref496697986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3.2.106</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_Ref496697991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3.2.111</w:t>
            </w:r>
            <w:r>
              <w:rPr>
                <w:rFonts w:asciiTheme="minorHAnsi" w:hAnsiTheme="minorHAnsi"/>
                <w:color w:val="444448" w:themeColor="accent4"/>
                <w:szCs w:val="22"/>
              </w:rPr>
              <w:fldChar w:fldCharType="end"/>
            </w:r>
          </w:p>
        </w:tc>
      </w:tr>
      <w:tr w:rsidR="00D568C5" w:rsidRPr="00BD6F60" w14:paraId="205B0766"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6EC1AC1E" w14:textId="39D66D67"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24</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6F4E453" w14:textId="6951A2FB"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Requirements in respect of nuclear security measures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BE80D82" w14:textId="1B703FD2" w:rsidR="00D568C5" w:rsidRPr="005E3253" w:rsidRDefault="00A40A67"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_Ref496699908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3.2.112</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_Ref496699910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3.2.114</w:t>
            </w:r>
            <w:r>
              <w:rPr>
                <w:rFonts w:asciiTheme="minorHAnsi" w:hAnsiTheme="minorHAnsi"/>
                <w:color w:val="444448" w:themeColor="accent4"/>
                <w:szCs w:val="22"/>
              </w:rPr>
              <w:fldChar w:fldCharType="end"/>
            </w:r>
          </w:p>
        </w:tc>
      </w:tr>
      <w:tr w:rsidR="00D568C5" w:rsidRPr="00BD6F60" w14:paraId="3ABF7BB1" w14:textId="77777777" w:rsidTr="002E670C">
        <w:trPr>
          <w:cnfStyle w:val="000000100000" w:firstRow="0" w:lastRow="0" w:firstColumn="0" w:lastColumn="0" w:oddVBand="0" w:evenVBand="0" w:oddHBand="1" w:evenHBand="0" w:firstRowFirstColumn="0" w:firstRowLastColumn="0" w:lastRowFirstColumn="0" w:lastRowLastColumn="0"/>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E7493A2" w14:textId="7FCE2231"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25</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19508A8A" w14:textId="15D3760B"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Management systems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41DF9E0F" w14:textId="6054493A" w:rsidR="00D568C5" w:rsidRPr="005E3253" w:rsidRDefault="00A40A67"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_Ref496699925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3.2.115</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_Ref496699926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3.2.120</w:t>
            </w:r>
            <w:r>
              <w:rPr>
                <w:rFonts w:asciiTheme="minorHAnsi" w:hAnsiTheme="minorHAnsi"/>
                <w:color w:val="444448" w:themeColor="accent4"/>
                <w:szCs w:val="22"/>
              </w:rPr>
              <w:fldChar w:fldCharType="end"/>
            </w:r>
          </w:p>
        </w:tc>
      </w:tr>
      <w:tr w:rsidR="00D568C5" w:rsidRPr="00BD6F60" w14:paraId="7E94281B" w14:textId="77777777" w:rsidTr="002E670C">
        <w:trPr>
          <w:trHeight w:val="737"/>
        </w:trPr>
        <w:tc>
          <w:tcPr>
            <w:tcW w:w="1975"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1E47287" w14:textId="4369BDC9"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Requirement 26</w:t>
            </w:r>
          </w:p>
        </w:tc>
        <w:tc>
          <w:tcPr>
            <w:tcW w:w="4678"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240A7152" w14:textId="4D34908B" w:rsidR="00D568C5" w:rsidRPr="005E3253" w:rsidRDefault="00D568C5" w:rsidP="00521E2B">
            <w:pPr>
              <w:pStyle w:val="PlainText"/>
              <w:spacing w:after="0"/>
              <w:rPr>
                <w:rFonts w:asciiTheme="minorHAnsi" w:hAnsiTheme="minorHAnsi"/>
                <w:color w:val="444448" w:themeColor="accent4"/>
                <w:szCs w:val="22"/>
              </w:rPr>
            </w:pPr>
            <w:r w:rsidRPr="005E3253">
              <w:rPr>
                <w:rFonts w:asciiTheme="minorHAnsi" w:hAnsiTheme="minorHAnsi"/>
                <w:color w:val="444448" w:themeColor="accent4"/>
                <w:szCs w:val="22"/>
              </w:rPr>
              <w:t>Existing disposal facilities</w:t>
            </w:r>
          </w:p>
        </w:tc>
        <w:tc>
          <w:tcPr>
            <w:tcW w:w="2126" w:type="dxa"/>
            <w:tcBorders>
              <w:top w:val="single" w:sz="8" w:space="0" w:color="4E1A74" w:themeColor="text2"/>
              <w:left w:val="single" w:sz="8" w:space="0" w:color="4E1A74" w:themeColor="text2"/>
              <w:bottom w:val="single" w:sz="8" w:space="0" w:color="4E1A74" w:themeColor="text2"/>
              <w:right w:val="single" w:sz="8" w:space="0" w:color="4E1A74" w:themeColor="text2"/>
            </w:tcBorders>
            <w:vAlign w:val="center"/>
          </w:tcPr>
          <w:p w14:paraId="3FAA2D2F" w14:textId="4EE5532B" w:rsidR="00D568C5" w:rsidRPr="005E3253" w:rsidRDefault="00A40A67" w:rsidP="00521E2B">
            <w:pPr>
              <w:pStyle w:val="PlainText"/>
              <w:spacing w:after="0"/>
              <w:rPr>
                <w:rFonts w:asciiTheme="minorHAnsi" w:hAnsiTheme="minorHAnsi"/>
                <w:color w:val="444448" w:themeColor="accent4"/>
                <w:szCs w:val="22"/>
              </w:rPr>
            </w:pP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_Ref496699940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3.2.121</w:t>
            </w:r>
            <w:r>
              <w:rPr>
                <w:rFonts w:asciiTheme="minorHAnsi" w:hAnsiTheme="minorHAnsi"/>
                <w:color w:val="444448" w:themeColor="accent4"/>
                <w:szCs w:val="22"/>
              </w:rPr>
              <w:fldChar w:fldCharType="end"/>
            </w:r>
            <w:r>
              <w:rPr>
                <w:rFonts w:asciiTheme="minorHAnsi" w:hAnsiTheme="minorHAnsi"/>
                <w:color w:val="444448" w:themeColor="accent4"/>
                <w:szCs w:val="22"/>
              </w:rPr>
              <w:t xml:space="preserve"> to </w:t>
            </w:r>
            <w:r>
              <w:rPr>
                <w:rFonts w:asciiTheme="minorHAnsi" w:hAnsiTheme="minorHAnsi"/>
                <w:color w:val="444448" w:themeColor="accent4"/>
                <w:szCs w:val="22"/>
              </w:rPr>
              <w:fldChar w:fldCharType="begin"/>
            </w:r>
            <w:r>
              <w:rPr>
                <w:rFonts w:asciiTheme="minorHAnsi" w:hAnsiTheme="minorHAnsi"/>
                <w:color w:val="444448" w:themeColor="accent4"/>
                <w:szCs w:val="22"/>
              </w:rPr>
              <w:instrText xml:space="preserve"> REF _Ref496699942 \r \h </w:instrText>
            </w:r>
            <w:r w:rsidR="007055FB">
              <w:rPr>
                <w:rFonts w:asciiTheme="minorHAnsi" w:hAnsiTheme="minorHAnsi"/>
                <w:color w:val="444448" w:themeColor="accent4"/>
                <w:szCs w:val="22"/>
              </w:rPr>
              <w:instrText xml:space="preserve"> \* MERGEFORMAT </w:instrText>
            </w:r>
            <w:r>
              <w:rPr>
                <w:rFonts w:asciiTheme="minorHAnsi" w:hAnsiTheme="minorHAnsi"/>
                <w:color w:val="444448" w:themeColor="accent4"/>
                <w:szCs w:val="22"/>
              </w:rPr>
            </w:r>
            <w:r>
              <w:rPr>
                <w:rFonts w:asciiTheme="minorHAnsi" w:hAnsiTheme="minorHAnsi"/>
                <w:color w:val="444448" w:themeColor="accent4"/>
                <w:szCs w:val="22"/>
              </w:rPr>
              <w:fldChar w:fldCharType="separate"/>
            </w:r>
            <w:r w:rsidR="00C022DF">
              <w:rPr>
                <w:rFonts w:asciiTheme="minorHAnsi" w:hAnsiTheme="minorHAnsi"/>
                <w:color w:val="444448" w:themeColor="accent4"/>
                <w:szCs w:val="22"/>
              </w:rPr>
              <w:t>3.2.123</w:t>
            </w:r>
            <w:r>
              <w:rPr>
                <w:rFonts w:asciiTheme="minorHAnsi" w:hAnsiTheme="minorHAnsi"/>
                <w:color w:val="444448" w:themeColor="accent4"/>
                <w:szCs w:val="22"/>
              </w:rPr>
              <w:fldChar w:fldCharType="end"/>
            </w:r>
          </w:p>
        </w:tc>
      </w:tr>
    </w:tbl>
    <w:p w14:paraId="07D40384" w14:textId="77777777" w:rsidR="005F5A85" w:rsidRDefault="005F5A85" w:rsidP="005F5A85">
      <w:pPr>
        <w:pStyle w:val="Schedule"/>
        <w:pBdr>
          <w:bottom w:val="single" w:sz="4" w:space="1" w:color="auto"/>
        </w:pBdr>
        <w:spacing w:before="0"/>
        <w:ind w:left="1559" w:hanging="1559"/>
        <w:sectPr w:rsidR="005F5A85" w:rsidSect="00912E5D">
          <w:headerReference w:type="even" r:id="rId38"/>
          <w:headerReference w:type="default" r:id="rId39"/>
          <w:headerReference w:type="first" r:id="rId40"/>
          <w:pgSz w:w="11906" w:h="16838"/>
          <w:pgMar w:top="1134" w:right="1134" w:bottom="1134" w:left="1134" w:header="720" w:footer="720" w:gutter="0"/>
          <w:cols w:space="720"/>
          <w:docGrid w:linePitch="360"/>
        </w:sectPr>
      </w:pPr>
    </w:p>
    <w:p w14:paraId="7B6A7841" w14:textId="3F1D90AD" w:rsidR="00795AB0" w:rsidRPr="00795AB0" w:rsidRDefault="00795AB0" w:rsidP="00795AB0">
      <w:pPr>
        <w:pStyle w:val="Schedule"/>
        <w:pBdr>
          <w:bottom w:val="single" w:sz="4" w:space="1" w:color="auto"/>
        </w:pBdr>
        <w:spacing w:before="0"/>
        <w:ind w:left="1559" w:hanging="1559"/>
      </w:pPr>
      <w:bookmarkStart w:id="154" w:name="_Toc524085229"/>
      <w:bookmarkStart w:id="155" w:name="_Toc495493192"/>
      <w:bookmarkEnd w:id="151"/>
      <w:r>
        <w:lastRenderedPageBreak/>
        <w:t>Glossary</w:t>
      </w:r>
      <w:bookmarkEnd w:id="154"/>
    </w:p>
    <w:bookmarkEnd w:id="155"/>
    <w:p w14:paraId="2D8E07A2" w14:textId="50728E18" w:rsidR="003467C2" w:rsidRPr="00A45691" w:rsidRDefault="003467C2" w:rsidP="003467C2">
      <w:pPr>
        <w:autoSpaceDE w:val="0"/>
        <w:autoSpaceDN w:val="0"/>
        <w:adjustRightInd w:val="0"/>
      </w:pPr>
      <w:r w:rsidRPr="00961FB0">
        <w:t xml:space="preserve">All </w:t>
      </w:r>
      <w:r>
        <w:t>definitions in this Glossary</w:t>
      </w:r>
      <w:r w:rsidRPr="00961FB0">
        <w:t xml:space="preserve"> are intended to be consistent with the definitions in the </w:t>
      </w:r>
      <w:r>
        <w:t>IAEA</w:t>
      </w:r>
      <w:r w:rsidRPr="00961FB0">
        <w:t xml:space="preserve"> Safety Glossary </w:t>
      </w:r>
      <w:r w:rsidR="001B4639">
        <w:t>[</w:t>
      </w:r>
      <w:r w:rsidRPr="00961FB0">
        <w:rPr>
          <w:i/>
        </w:rPr>
        <w:t xml:space="preserve">IAEA Safety Glossary – Terminology Used in Nuclear Safety and Radiation Protection, </w:t>
      </w:r>
      <w:r w:rsidR="00800BAA" w:rsidRPr="00961FB0">
        <w:rPr>
          <w:i/>
        </w:rPr>
        <w:t>20</w:t>
      </w:r>
      <w:r w:rsidR="00800BAA">
        <w:rPr>
          <w:i/>
        </w:rPr>
        <w:t>16</w:t>
      </w:r>
      <w:r w:rsidR="00800BAA" w:rsidRPr="00961FB0">
        <w:rPr>
          <w:i/>
        </w:rPr>
        <w:t xml:space="preserve"> </w:t>
      </w:r>
      <w:r w:rsidR="0077210E">
        <w:rPr>
          <w:i/>
        </w:rPr>
        <w:t>Revis</w:t>
      </w:r>
      <w:r w:rsidR="0077210E" w:rsidRPr="00961FB0">
        <w:rPr>
          <w:i/>
        </w:rPr>
        <w:t>ion</w:t>
      </w:r>
      <w:r w:rsidR="0077210E">
        <w:rPr>
          <w:i/>
        </w:rPr>
        <w:t xml:space="preserve"> </w:t>
      </w:r>
      <w:r w:rsidR="001B4639" w:rsidRPr="0077210E">
        <w:t>(IAEA 2016c</w:t>
      </w:r>
      <w:r w:rsidRPr="0077210E">
        <w:t>)</w:t>
      </w:r>
      <w:r w:rsidR="001B4639">
        <w:t>]</w:t>
      </w:r>
      <w:r w:rsidRPr="00961FB0">
        <w:t xml:space="preserve">. </w:t>
      </w:r>
    </w:p>
    <w:p w14:paraId="71C753DC" w14:textId="77777777" w:rsidR="00795AB0" w:rsidRPr="00795AB0" w:rsidRDefault="00795AB0" w:rsidP="00795AB0">
      <w:pPr>
        <w:pStyle w:val="GlossaryTerm"/>
      </w:pPr>
      <w:r w:rsidRPr="00830AE0">
        <w:t>Authorisation</w:t>
      </w:r>
      <w:r w:rsidRPr="00795AB0">
        <w:t xml:space="preserve"> </w:t>
      </w:r>
    </w:p>
    <w:p w14:paraId="02AAA396" w14:textId="34E9E7B2" w:rsidR="008C1231" w:rsidRPr="00830F19" w:rsidRDefault="008C1231" w:rsidP="008C1231">
      <w:pPr>
        <w:spacing w:before="60" w:after="240"/>
      </w:pPr>
      <w:r w:rsidRPr="00830F19">
        <w:t xml:space="preserve">The granting by a relevant regulatory </w:t>
      </w:r>
      <w:r>
        <w:t>authorit</w:t>
      </w:r>
      <w:r w:rsidRPr="00830F19">
        <w:t>y of written permission for a Responsible Person t</w:t>
      </w:r>
      <w:r w:rsidR="00EA6BFF">
        <w:t>o conduct specified activities.</w:t>
      </w:r>
    </w:p>
    <w:p w14:paraId="02EF39FD" w14:textId="0C3C8D89" w:rsidR="000D477A" w:rsidRDefault="000D477A" w:rsidP="00795AB0">
      <w:pPr>
        <w:pStyle w:val="GlossaryTerm"/>
      </w:pPr>
      <w:r>
        <w:t xml:space="preserve">Best Available Techniques </w:t>
      </w:r>
    </w:p>
    <w:p w14:paraId="0999FE19" w14:textId="4387EA21" w:rsidR="000A27AA" w:rsidRPr="00EB4BEF" w:rsidRDefault="000A27AA" w:rsidP="000A27AA">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 xml:space="preserve">Best available techniques (BAT) means the most effective and advanced stage in the development of </w:t>
      </w:r>
      <w:r w:rsidR="006462B9">
        <w:rPr>
          <w:rFonts w:asciiTheme="minorHAnsi" w:hAnsiTheme="minorHAnsi"/>
          <w:color w:val="444448" w:themeColor="accent4"/>
          <w:szCs w:val="22"/>
        </w:rPr>
        <w:t>activit</w:t>
      </w:r>
      <w:r w:rsidRPr="00EB4BEF">
        <w:rPr>
          <w:rFonts w:asciiTheme="minorHAnsi" w:hAnsiTheme="minorHAnsi"/>
          <w:color w:val="444448" w:themeColor="accent4"/>
          <w:szCs w:val="22"/>
        </w:rPr>
        <w:t>ies and their methods of operation</w:t>
      </w:r>
      <w:r w:rsidR="001017B1" w:rsidRPr="00EB4BEF">
        <w:rPr>
          <w:rFonts w:asciiTheme="minorHAnsi" w:hAnsiTheme="minorHAnsi"/>
          <w:color w:val="444448" w:themeColor="accent4"/>
          <w:szCs w:val="22"/>
        </w:rPr>
        <w:t xml:space="preserve"> for achieving the required levels</w:t>
      </w:r>
      <w:r w:rsidR="001017B1" w:rsidRPr="00EB4BEF">
        <w:rPr>
          <w:color w:val="444448" w:themeColor="accent4"/>
        </w:rPr>
        <w:t xml:space="preserve"> of </w:t>
      </w:r>
      <w:r w:rsidR="001017B1" w:rsidRPr="00EB4BEF">
        <w:rPr>
          <w:rFonts w:asciiTheme="minorHAnsi" w:hAnsiTheme="minorHAnsi"/>
          <w:color w:val="444448" w:themeColor="accent4"/>
          <w:szCs w:val="22"/>
        </w:rPr>
        <w:t>protection of people, society, and the environment</w:t>
      </w:r>
      <w:r w:rsidR="00754C6A" w:rsidRPr="00EB4BEF">
        <w:rPr>
          <w:rFonts w:asciiTheme="minorHAnsi" w:hAnsiTheme="minorHAnsi"/>
          <w:color w:val="444448" w:themeColor="accent4"/>
          <w:szCs w:val="22"/>
        </w:rPr>
        <w:t>, where</w:t>
      </w:r>
      <w:r w:rsidR="001017B1" w:rsidRPr="00EB4BEF">
        <w:rPr>
          <w:rFonts w:asciiTheme="minorHAnsi" w:hAnsiTheme="minorHAnsi"/>
          <w:color w:val="444448" w:themeColor="accent4"/>
          <w:szCs w:val="22"/>
        </w:rPr>
        <w:t>:</w:t>
      </w:r>
    </w:p>
    <w:p w14:paraId="73B5C90A" w14:textId="52DE2F81" w:rsidR="000A27AA" w:rsidRPr="00EB4BEF" w:rsidRDefault="001017B1" w:rsidP="001017B1">
      <w:pPr>
        <w:pStyle w:val="RPSSchedAnnexText"/>
        <w:numPr>
          <w:ilvl w:val="0"/>
          <w:numId w:val="39"/>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‘techniques’</w:t>
      </w:r>
      <w:r w:rsidR="000A27AA" w:rsidRPr="00EB4BEF">
        <w:rPr>
          <w:rFonts w:asciiTheme="minorHAnsi" w:hAnsiTheme="minorHAnsi"/>
          <w:color w:val="444448" w:themeColor="accent4"/>
          <w:szCs w:val="22"/>
        </w:rPr>
        <w:t xml:space="preserve"> include both the technology used and the way in which the facility is designed, built, maintain</w:t>
      </w:r>
      <w:r w:rsidR="00D20806">
        <w:rPr>
          <w:rFonts w:asciiTheme="minorHAnsi" w:hAnsiTheme="minorHAnsi"/>
          <w:color w:val="444448" w:themeColor="accent4"/>
          <w:szCs w:val="22"/>
        </w:rPr>
        <w:t>ed, operated and decommissioned</w:t>
      </w:r>
    </w:p>
    <w:p w14:paraId="1FEE7B2C" w14:textId="6E50A8D1" w:rsidR="000A27AA" w:rsidRPr="00EB4BEF" w:rsidRDefault="001017B1" w:rsidP="001017B1">
      <w:pPr>
        <w:pStyle w:val="RPSSchedAnnexText"/>
        <w:numPr>
          <w:ilvl w:val="0"/>
          <w:numId w:val="39"/>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‘available’</w:t>
      </w:r>
      <w:r w:rsidR="000A27AA" w:rsidRPr="00EB4BEF">
        <w:rPr>
          <w:rFonts w:asciiTheme="minorHAnsi" w:hAnsiTheme="minorHAnsi"/>
          <w:color w:val="444448" w:themeColor="accent4"/>
          <w:szCs w:val="22"/>
        </w:rPr>
        <w:t xml:space="preserve"> techniques means those developed on a scale which allows implementation, under economically and technically viable conditions, taking into conside</w:t>
      </w:r>
      <w:r w:rsidR="00754C6A" w:rsidRPr="00EB4BEF">
        <w:rPr>
          <w:rFonts w:asciiTheme="minorHAnsi" w:hAnsiTheme="minorHAnsi"/>
          <w:color w:val="444448" w:themeColor="accent4"/>
          <w:szCs w:val="22"/>
        </w:rPr>
        <w:t>rati</w:t>
      </w:r>
      <w:r w:rsidR="00D20806">
        <w:rPr>
          <w:rFonts w:asciiTheme="minorHAnsi" w:hAnsiTheme="minorHAnsi"/>
          <w:color w:val="444448" w:themeColor="accent4"/>
          <w:szCs w:val="22"/>
        </w:rPr>
        <w:t>on the costs and advantages</w:t>
      </w:r>
    </w:p>
    <w:p w14:paraId="0A0E65F0" w14:textId="1ED1CF93" w:rsidR="000D477A" w:rsidRPr="00EB4BEF" w:rsidRDefault="001017B1" w:rsidP="00754C6A">
      <w:pPr>
        <w:pStyle w:val="RPSSchedAnnexText"/>
        <w:numPr>
          <w:ilvl w:val="0"/>
          <w:numId w:val="39"/>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w:t>
      </w:r>
      <w:r w:rsidR="00754C6A" w:rsidRPr="00EB4BEF">
        <w:rPr>
          <w:rFonts w:asciiTheme="minorHAnsi" w:hAnsiTheme="minorHAnsi"/>
          <w:color w:val="444448" w:themeColor="accent4"/>
          <w:szCs w:val="22"/>
        </w:rPr>
        <w:t>b</w:t>
      </w:r>
      <w:r w:rsidRPr="00EB4BEF">
        <w:rPr>
          <w:rFonts w:asciiTheme="minorHAnsi" w:hAnsiTheme="minorHAnsi"/>
          <w:color w:val="444448" w:themeColor="accent4"/>
          <w:szCs w:val="22"/>
        </w:rPr>
        <w:t>est’</w:t>
      </w:r>
      <w:r w:rsidR="000A27AA" w:rsidRPr="00EB4BEF">
        <w:rPr>
          <w:rFonts w:asciiTheme="minorHAnsi" w:hAnsiTheme="minorHAnsi"/>
          <w:color w:val="444448" w:themeColor="accent4"/>
          <w:szCs w:val="22"/>
        </w:rPr>
        <w:t xml:space="preserve"> means most effective in achieving a high general level of </w:t>
      </w:r>
      <w:r w:rsidRPr="00EB4BEF">
        <w:rPr>
          <w:rFonts w:asciiTheme="minorHAnsi" w:hAnsiTheme="minorHAnsi"/>
          <w:color w:val="444448" w:themeColor="accent4"/>
          <w:szCs w:val="22"/>
        </w:rPr>
        <w:t>protection</w:t>
      </w:r>
      <w:r w:rsidR="000A27AA" w:rsidRPr="00EB4BEF">
        <w:rPr>
          <w:rFonts w:asciiTheme="minorHAnsi" w:hAnsiTheme="minorHAnsi"/>
          <w:color w:val="444448" w:themeColor="accent4"/>
          <w:szCs w:val="22"/>
        </w:rPr>
        <w:t>.</w:t>
      </w:r>
    </w:p>
    <w:p w14:paraId="051FB552" w14:textId="1A6DD774" w:rsidR="003467C2" w:rsidRPr="00A45691" w:rsidRDefault="003467C2" w:rsidP="00795AB0">
      <w:pPr>
        <w:pStyle w:val="GlossaryTerm"/>
      </w:pPr>
      <w:r w:rsidRPr="00A45691">
        <w:t>Clearance</w:t>
      </w:r>
    </w:p>
    <w:p w14:paraId="2C7BC4DC" w14:textId="24918894" w:rsidR="003467C2"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 xml:space="preserve">Removal of radioactive material or radioactive objects within authorised practices from any further regulatory control by the </w:t>
      </w:r>
      <w:r w:rsidR="00D3529D">
        <w:rPr>
          <w:rFonts w:asciiTheme="minorHAnsi" w:hAnsiTheme="minorHAnsi"/>
          <w:color w:val="444448" w:themeColor="accent4"/>
          <w:szCs w:val="22"/>
        </w:rPr>
        <w:t xml:space="preserve">relevant </w:t>
      </w:r>
      <w:r w:rsidRPr="00EB4BEF">
        <w:rPr>
          <w:rFonts w:asciiTheme="minorHAnsi" w:hAnsiTheme="minorHAnsi"/>
          <w:color w:val="444448" w:themeColor="accent4"/>
          <w:szCs w:val="22"/>
        </w:rPr>
        <w:t>regulatory authority.</w:t>
      </w:r>
    </w:p>
    <w:p w14:paraId="06C90689" w14:textId="2225F8F5" w:rsidR="008C1231" w:rsidRPr="00396043" w:rsidRDefault="00B56EE8" w:rsidP="008C1231">
      <w:pPr>
        <w:pStyle w:val="GlossaryTerm"/>
      </w:pPr>
      <w:r>
        <w:t>Clearance L</w:t>
      </w:r>
      <w:r w:rsidR="008C1231" w:rsidRPr="00396043">
        <w:t>evel</w:t>
      </w:r>
    </w:p>
    <w:p w14:paraId="09BE2208" w14:textId="73DEE799" w:rsidR="008C1231" w:rsidRPr="00EB4BEF" w:rsidRDefault="008C1231" w:rsidP="004F74E7">
      <w:pPr>
        <w:keepNext/>
        <w:spacing w:before="60" w:after="240"/>
      </w:pPr>
      <w:r>
        <w:t>A value, established by the relevant regulatory authority and expressed in terms of activity concentration</w:t>
      </w:r>
      <w:r w:rsidR="00C8093D">
        <w:t xml:space="preserve"> and/or total activity</w:t>
      </w:r>
      <w:r>
        <w:t>, at or below which regulatory control may be removed from a source of radiation within a notified or authorised practice.</w:t>
      </w:r>
    </w:p>
    <w:p w14:paraId="233BFCFF" w14:textId="77777777" w:rsidR="003467C2" w:rsidRPr="005B6390" w:rsidRDefault="003467C2" w:rsidP="004F74E7">
      <w:pPr>
        <w:pStyle w:val="GlossaryTerm"/>
      </w:pPr>
      <w:r w:rsidRPr="005B6390">
        <w:t>Closure</w:t>
      </w:r>
    </w:p>
    <w:p w14:paraId="4F658AA4" w14:textId="65D00503"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Administrative and technical actions directed at a disposal facility at the end of its operating lifetime — e.g. covering of</w:t>
      </w:r>
      <w:r w:rsidR="00F6292F">
        <w:rPr>
          <w:rFonts w:asciiTheme="minorHAnsi" w:hAnsiTheme="minorHAnsi"/>
          <w:color w:val="444448" w:themeColor="accent4"/>
          <w:szCs w:val="22"/>
        </w:rPr>
        <w:t xml:space="preserve"> the disposed waste (for a near </w:t>
      </w:r>
      <w:r w:rsidRPr="00EB4BEF">
        <w:rPr>
          <w:rFonts w:asciiTheme="minorHAnsi" w:hAnsiTheme="minorHAnsi"/>
          <w:color w:val="444448" w:themeColor="accent4"/>
          <w:szCs w:val="22"/>
        </w:rPr>
        <w:t>surface disposal facility) or backfilling and/or sealing (for a geological facility and the passages leading to it) — and the termination and completion of activities in any associated structures.</w:t>
      </w:r>
    </w:p>
    <w:p w14:paraId="0584A4C7" w14:textId="0931F55A"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 xml:space="preserve">For other </w:t>
      </w:r>
      <w:r w:rsidR="006462B9">
        <w:rPr>
          <w:rFonts w:asciiTheme="minorHAnsi" w:hAnsiTheme="minorHAnsi"/>
          <w:color w:val="444448" w:themeColor="accent4"/>
          <w:szCs w:val="22"/>
        </w:rPr>
        <w:t xml:space="preserve">types of </w:t>
      </w:r>
      <w:r w:rsidRPr="00EB4BEF">
        <w:rPr>
          <w:rFonts w:asciiTheme="minorHAnsi" w:hAnsiTheme="minorHAnsi"/>
          <w:color w:val="444448" w:themeColor="accent4"/>
          <w:szCs w:val="22"/>
        </w:rPr>
        <w:t xml:space="preserve">facilities, </w:t>
      </w:r>
      <w:r w:rsidR="000730AC">
        <w:rPr>
          <w:rFonts w:asciiTheme="minorHAnsi" w:hAnsiTheme="minorHAnsi"/>
          <w:color w:val="444448" w:themeColor="accent4"/>
          <w:szCs w:val="22"/>
        </w:rPr>
        <w:t xml:space="preserve">including ancillary waste management infrastructure at a disposal facility, </w:t>
      </w:r>
      <w:r w:rsidRPr="00EB4BEF">
        <w:rPr>
          <w:rFonts w:asciiTheme="minorHAnsi" w:hAnsiTheme="minorHAnsi"/>
          <w:color w:val="444448" w:themeColor="accent4"/>
          <w:szCs w:val="22"/>
        </w:rPr>
        <w:t>the term decommissioning is used.</w:t>
      </w:r>
    </w:p>
    <w:p w14:paraId="4CB208AF" w14:textId="77777777" w:rsidR="003467C2" w:rsidRPr="00750AD8" w:rsidRDefault="003467C2" w:rsidP="00795AB0">
      <w:pPr>
        <w:pStyle w:val="GlossaryTerm"/>
      </w:pPr>
      <w:r w:rsidRPr="00750AD8">
        <w:t>Decommissioning</w:t>
      </w:r>
    </w:p>
    <w:p w14:paraId="650409B9"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eastAsiaTheme="minorHAnsi" w:hAnsiTheme="minorHAnsi" w:cstheme="minorBidi"/>
          <w:color w:val="444448" w:themeColor="accent4"/>
          <w:sz w:val="23"/>
          <w:szCs w:val="23"/>
        </w:rPr>
        <w:t>Administrative and technical actions taken to allow the removal of some or all of the regulatory controls from a facility (except for a facility used for the disposal of radioactive waste which is ‘closed’ and not ‘decommissioned’).</w:t>
      </w:r>
    </w:p>
    <w:p w14:paraId="66F5EA7A" w14:textId="77777777" w:rsidR="003467C2" w:rsidRPr="00A45691" w:rsidRDefault="003467C2" w:rsidP="00795AB0">
      <w:pPr>
        <w:pStyle w:val="GlossaryTerm"/>
        <w:rPr>
          <w:rStyle w:val="Emphasis"/>
          <w:rFonts w:asciiTheme="minorHAnsi" w:hAnsiTheme="minorHAnsi"/>
          <w:i w:val="0"/>
        </w:rPr>
      </w:pPr>
      <w:r w:rsidRPr="00297D05">
        <w:lastRenderedPageBreak/>
        <w:t>Disposal</w:t>
      </w:r>
    </w:p>
    <w:p w14:paraId="03313639"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Emplacement of waste in a purpose-built facility, which will eventually be closed, without any intention of retrieval of waste packages or recovery of the radioactive material in it for any purpose.</w:t>
      </w:r>
    </w:p>
    <w:p w14:paraId="11F9CB67" w14:textId="77777777" w:rsidR="003467C2" w:rsidRPr="00A45691" w:rsidRDefault="003467C2" w:rsidP="00795AB0">
      <w:pPr>
        <w:pStyle w:val="GlossaryTerm"/>
      </w:pPr>
      <w:r w:rsidRPr="00A45691">
        <w:t>Dose</w:t>
      </w:r>
    </w:p>
    <w:p w14:paraId="2E6BC2E4" w14:textId="713330CD" w:rsidR="008C1231" w:rsidRPr="004E0D51" w:rsidRDefault="008C1231" w:rsidP="00B56EE8">
      <w:pPr>
        <w:pStyle w:val="Glossarydescription"/>
        <w:ind w:left="425" w:hanging="425"/>
        <w:rPr>
          <w:color w:val="444448"/>
        </w:rPr>
      </w:pPr>
      <w:r w:rsidRPr="004E0D51">
        <w:rPr>
          <w:color w:val="444448"/>
        </w:rPr>
        <w:t>1.</w:t>
      </w:r>
      <w:r w:rsidRPr="004E0D51">
        <w:rPr>
          <w:color w:val="444448"/>
        </w:rPr>
        <w:tab/>
        <w:t>A measure of the energy dep</w:t>
      </w:r>
      <w:r w:rsidR="00B56EE8">
        <w:rPr>
          <w:color w:val="444448"/>
        </w:rPr>
        <w:t>osited by radiation in a target</w:t>
      </w:r>
    </w:p>
    <w:p w14:paraId="77208183" w14:textId="655F128D" w:rsidR="008C1231" w:rsidRPr="004E0D51" w:rsidRDefault="008C1231" w:rsidP="00B56EE8">
      <w:pPr>
        <w:pStyle w:val="Glossarydescription"/>
        <w:ind w:left="425" w:hanging="425"/>
        <w:rPr>
          <w:color w:val="444448"/>
        </w:rPr>
      </w:pPr>
      <w:r w:rsidRPr="004E0D51">
        <w:rPr>
          <w:color w:val="444448"/>
        </w:rPr>
        <w:t>2.</w:t>
      </w:r>
      <w:r w:rsidRPr="004E0D51">
        <w:rPr>
          <w:color w:val="444448"/>
        </w:rPr>
        <w:tab/>
      </w:r>
      <w:r w:rsidRPr="008F3FA7">
        <w:rPr>
          <w:color w:val="444448"/>
        </w:rPr>
        <w:t>A</w:t>
      </w:r>
      <w:r w:rsidR="000957A0">
        <w:rPr>
          <w:color w:val="444448"/>
        </w:rPr>
        <w:t xml:space="preserve"> generic term that may mean a</w:t>
      </w:r>
      <w:r w:rsidRPr="008F3FA7">
        <w:rPr>
          <w:color w:val="444448"/>
        </w:rPr>
        <w:t>bsorbed dose</w:t>
      </w:r>
      <w:r w:rsidRPr="004E0D51">
        <w:rPr>
          <w:color w:val="444448"/>
        </w:rPr>
        <w:t>, committed dose (i.e. committed equivalent dose or committed effective dose), effective dose, equivalent dose or organ dose, as indicated by the context.</w:t>
      </w:r>
    </w:p>
    <w:p w14:paraId="1F059046" w14:textId="77777777" w:rsidR="003467C2" w:rsidRPr="00A45691" w:rsidRDefault="003467C2" w:rsidP="00795AB0">
      <w:pPr>
        <w:pStyle w:val="GlossaryTerm"/>
      </w:pPr>
      <w:r w:rsidRPr="001F4460">
        <w:t>Dose Constraint</w:t>
      </w:r>
    </w:p>
    <w:p w14:paraId="337C8B65" w14:textId="77777777"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lang w:eastAsia="en-US"/>
        </w:rPr>
        <w:t>A prospective and source-related restriction on the individual dose from a source, which provides a basic level of protection for the most highly exposed individuals from a source, and serves as an upper bound on the dose in optimisation of protection for that source. For occupational exposures, the dose constraint is a value of individual dose used to limit the range of options considered in the process of optimisation. For public exposure, the dose constraint is an upper bound on the annual doses that members of the public should receive from the planned operation of any controlled source.</w:t>
      </w:r>
    </w:p>
    <w:p w14:paraId="4BFC83D9" w14:textId="77777777" w:rsidR="003467C2" w:rsidRPr="00A45691" w:rsidRDefault="003467C2" w:rsidP="00795AB0">
      <w:pPr>
        <w:pStyle w:val="GlossaryTerm"/>
      </w:pPr>
      <w:r w:rsidRPr="001F4460">
        <w:t>Effective Dose</w:t>
      </w:r>
    </w:p>
    <w:p w14:paraId="49BAB865" w14:textId="77777777" w:rsidR="008C1231" w:rsidRPr="006E1605" w:rsidRDefault="008C1231" w:rsidP="008C1231">
      <w:pPr>
        <w:spacing w:before="60" w:after="240"/>
      </w:pPr>
      <w:r w:rsidRPr="006E1605">
        <w:t xml:space="preserve">The quantity </w:t>
      </w:r>
      <w:r w:rsidRPr="00A22215">
        <w:rPr>
          <w:i/>
        </w:rPr>
        <w:t>E</w:t>
      </w:r>
      <w:r w:rsidRPr="006E1605">
        <w:t xml:space="preserve">, defined as a summation of the tissue or organ equivalent doses, each multiplied by the appropriate </w:t>
      </w:r>
      <w:r w:rsidRPr="008F3FA7">
        <w:rPr>
          <w:rFonts w:ascii="Calibri" w:eastAsia="Calibri" w:hAnsi="Calibri" w:cs="Courier New"/>
          <w:color w:val="444448"/>
        </w:rPr>
        <w:t>tissue weighting factor</w:t>
      </w:r>
      <w:r w:rsidRPr="006E1605">
        <w:t>:</w:t>
      </w:r>
    </w:p>
    <w:p w14:paraId="1B40CF70" w14:textId="77777777" w:rsidR="008C1231" w:rsidRPr="00C4147E" w:rsidRDefault="008C1231" w:rsidP="008C1231">
      <w:pPr>
        <w:pStyle w:val="Glossarydescription"/>
        <w:spacing w:before="60" w:after="240"/>
        <w:rPr>
          <w:rFonts w:asciiTheme="minorHAnsi" w:hAnsiTheme="minorHAnsi"/>
          <w:color w:val="444448"/>
        </w:rPr>
      </w:pPr>
      <m:oMathPara>
        <m:oMathParaPr>
          <m:jc m:val="center"/>
        </m:oMathParaPr>
        <m:oMath>
          <m:r>
            <w:rPr>
              <w:rFonts w:ascii="Cambria Math" w:hAnsi="Cambria Math"/>
              <w:color w:val="444448"/>
              <w:sz w:val="20"/>
            </w:rPr>
            <m:t>E</m:t>
          </m:r>
          <m:r>
            <m:rPr>
              <m:sty m:val="p"/>
            </m:rPr>
            <w:rPr>
              <w:rFonts w:ascii="Cambria Math" w:hAnsi="Cambria Math"/>
              <w:color w:val="444448"/>
              <w:sz w:val="20"/>
            </w:rPr>
            <m:t xml:space="preserve">= </m:t>
          </m:r>
          <m:nary>
            <m:naryPr>
              <m:chr m:val="∑"/>
              <m:limLoc m:val="undOvr"/>
              <m:supHide m:val="1"/>
              <m:ctrlPr>
                <w:rPr>
                  <w:rFonts w:ascii="Cambria Math" w:hAnsi="Cambria Math"/>
                  <w:color w:val="444448"/>
                  <w:sz w:val="20"/>
                </w:rPr>
              </m:ctrlPr>
            </m:naryPr>
            <m:sub>
              <m:r>
                <m:rPr>
                  <m:sty m:val="p"/>
                </m:rPr>
                <w:rPr>
                  <w:rFonts w:ascii="Cambria Math" w:hAnsi="Cambria Math"/>
                  <w:color w:val="444448"/>
                  <w:sz w:val="20"/>
                </w:rPr>
                <m:t>T</m:t>
              </m:r>
            </m:sub>
            <m:sup/>
            <m:e>
              <m:sSub>
                <m:sSubPr>
                  <m:ctrlPr>
                    <w:rPr>
                      <w:rFonts w:ascii="Cambria Math" w:hAnsi="Cambria Math"/>
                      <w:color w:val="444448"/>
                      <w:sz w:val="20"/>
                    </w:rPr>
                  </m:ctrlPr>
                </m:sSubPr>
                <m:e>
                  <m:r>
                    <w:rPr>
                      <w:rFonts w:ascii="Cambria Math" w:hAnsi="Cambria Math"/>
                      <w:color w:val="444448"/>
                      <w:sz w:val="20"/>
                    </w:rPr>
                    <m:t>w</m:t>
                  </m:r>
                </m:e>
                <m:sub>
                  <m:r>
                    <m:rPr>
                      <m:sty m:val="p"/>
                    </m:rPr>
                    <w:rPr>
                      <w:rFonts w:ascii="Cambria Math" w:hAnsi="Cambria Math"/>
                      <w:color w:val="444448"/>
                      <w:sz w:val="20"/>
                    </w:rPr>
                    <m:t>T</m:t>
                  </m:r>
                </m:sub>
              </m:sSub>
            </m:e>
          </m:nary>
          <m:r>
            <w:rPr>
              <w:rFonts w:ascii="Cambria Math" w:hAnsi="Cambria Math"/>
              <w:color w:val="444448"/>
              <w:sz w:val="20"/>
            </w:rPr>
            <m:t xml:space="preserve">. </m:t>
          </m:r>
          <m:sSub>
            <m:sSubPr>
              <m:ctrlPr>
                <w:rPr>
                  <w:rFonts w:ascii="Cambria Math" w:hAnsi="Cambria Math"/>
                  <w:i/>
                  <w:color w:val="444448"/>
                  <w:sz w:val="20"/>
                </w:rPr>
              </m:ctrlPr>
            </m:sSubPr>
            <m:e>
              <m:r>
                <w:rPr>
                  <w:rFonts w:ascii="Cambria Math" w:hAnsi="Cambria Math"/>
                  <w:color w:val="444448"/>
                  <w:sz w:val="20"/>
                </w:rPr>
                <m:t>H</m:t>
              </m:r>
            </m:e>
            <m:sub>
              <m:r>
                <m:rPr>
                  <m:sty m:val="p"/>
                </m:rPr>
                <w:rPr>
                  <w:rFonts w:ascii="Cambria Math" w:hAnsi="Cambria Math"/>
                  <w:color w:val="444448"/>
                  <w:sz w:val="20"/>
                </w:rPr>
                <m:t>T</m:t>
              </m:r>
            </m:sub>
          </m:sSub>
        </m:oMath>
      </m:oMathPara>
    </w:p>
    <w:p w14:paraId="2062BFE0" w14:textId="77777777" w:rsidR="008C1231" w:rsidRPr="006E1605" w:rsidRDefault="008C1231" w:rsidP="008C1231">
      <w:pPr>
        <w:pStyle w:val="GlossaryTerm"/>
        <w:keepNext w:val="0"/>
        <w:tabs>
          <w:tab w:val="clear" w:pos="0"/>
          <w:tab w:val="left" w:pos="1134"/>
        </w:tabs>
        <w:ind w:left="1134" w:hanging="850"/>
        <w:rPr>
          <w:b w:val="0"/>
          <w:color w:val="auto"/>
        </w:rPr>
      </w:pPr>
      <w:r w:rsidRPr="006E1605">
        <w:rPr>
          <w:b w:val="0"/>
          <w:color w:val="auto"/>
        </w:rPr>
        <w:t xml:space="preserve">where </w:t>
      </w:r>
      <w:r w:rsidRPr="006E1605">
        <w:rPr>
          <w:b w:val="0"/>
          <w:color w:val="auto"/>
        </w:rPr>
        <w:tab/>
      </w:r>
      <w:r w:rsidRPr="00A22215">
        <w:rPr>
          <w:b w:val="0"/>
          <w:i/>
          <w:color w:val="auto"/>
        </w:rPr>
        <w:t>H</w:t>
      </w:r>
      <w:r w:rsidRPr="00A22215">
        <w:rPr>
          <w:b w:val="0"/>
          <w:color w:val="auto"/>
          <w:vertAlign w:val="subscript"/>
        </w:rPr>
        <w:t>T</w:t>
      </w:r>
      <w:r w:rsidRPr="006E1605">
        <w:rPr>
          <w:b w:val="0"/>
          <w:color w:val="auto"/>
        </w:rPr>
        <w:t xml:space="preserve"> is the equivalent dose in tissue or organ T, and</w:t>
      </w:r>
      <w:r>
        <w:rPr>
          <w:b w:val="0"/>
          <w:color w:val="auto"/>
        </w:rPr>
        <w:br/>
      </w:r>
      <w:r w:rsidRPr="00A22215">
        <w:rPr>
          <w:b w:val="0"/>
          <w:i/>
          <w:color w:val="auto"/>
        </w:rPr>
        <w:t>w</w:t>
      </w:r>
      <w:r w:rsidRPr="00A22215">
        <w:rPr>
          <w:b w:val="0"/>
          <w:color w:val="auto"/>
          <w:vertAlign w:val="subscript"/>
        </w:rPr>
        <w:t>T</w:t>
      </w:r>
      <w:r w:rsidRPr="006E1605">
        <w:rPr>
          <w:b w:val="0"/>
          <w:color w:val="auto"/>
        </w:rPr>
        <w:t xml:space="preserve"> is the tissue weighting factor for tissue or organ T. </w:t>
      </w:r>
    </w:p>
    <w:p w14:paraId="0944DC86" w14:textId="0CF3E380" w:rsidR="003467C2" w:rsidRPr="00EB4BEF" w:rsidRDefault="003467C2" w:rsidP="003467C2">
      <w:pPr>
        <w:pStyle w:val="RPSSchedAnnexText"/>
        <w:numPr>
          <w:ilvl w:val="0"/>
          <w:numId w:val="0"/>
        </w:numPr>
        <w:spacing w:before="120"/>
        <w:jc w:val="left"/>
        <w:rPr>
          <w:rFonts w:asciiTheme="minorHAnsi" w:hAnsiTheme="minorHAnsi"/>
          <w:color w:val="444448" w:themeColor="accent4"/>
          <w:szCs w:val="22"/>
        </w:rPr>
      </w:pPr>
      <w:r w:rsidRPr="00EB4BEF">
        <w:rPr>
          <w:rFonts w:asciiTheme="minorHAnsi" w:hAnsiTheme="minorHAnsi"/>
          <w:color w:val="444448" w:themeColor="accent4"/>
          <w:szCs w:val="22"/>
        </w:rPr>
        <w:t>The unit of effective dose is J kg</w:t>
      </w:r>
      <w:r w:rsidRPr="00EB4BEF">
        <w:rPr>
          <w:rFonts w:asciiTheme="minorHAnsi" w:hAnsiTheme="minorHAnsi"/>
          <w:color w:val="444448" w:themeColor="accent4"/>
          <w:szCs w:val="22"/>
          <w:vertAlign w:val="superscript"/>
        </w:rPr>
        <w:t>-1</w:t>
      </w:r>
      <w:r w:rsidRPr="00EB4BEF">
        <w:rPr>
          <w:rFonts w:asciiTheme="minorHAnsi" w:hAnsiTheme="minorHAnsi"/>
          <w:color w:val="444448" w:themeColor="accent4"/>
          <w:szCs w:val="22"/>
        </w:rPr>
        <w:t xml:space="preserve">, </w:t>
      </w:r>
      <w:r w:rsidR="00373385" w:rsidRPr="00440590">
        <w:rPr>
          <w:rFonts w:asciiTheme="minorHAnsi" w:hAnsiTheme="minorHAnsi"/>
          <w:color w:val="444448" w:themeColor="accent4"/>
          <w:szCs w:val="22"/>
        </w:rPr>
        <w:t>termed the sievert</w:t>
      </w:r>
      <w:r w:rsidRPr="00EB4BEF">
        <w:rPr>
          <w:rFonts w:asciiTheme="minorHAnsi" w:hAnsiTheme="minorHAnsi"/>
          <w:color w:val="444448" w:themeColor="accent4"/>
          <w:szCs w:val="22"/>
        </w:rPr>
        <w:t xml:space="preserve"> (Sv).</w:t>
      </w:r>
    </w:p>
    <w:p w14:paraId="31CCABC4" w14:textId="77777777" w:rsidR="003467C2" w:rsidRPr="00A45691" w:rsidRDefault="003467C2" w:rsidP="00795AB0">
      <w:pPr>
        <w:pStyle w:val="GlossaryTerm"/>
      </w:pPr>
      <w:r w:rsidRPr="00126F57">
        <w:t>Environment</w:t>
      </w:r>
    </w:p>
    <w:p w14:paraId="13E642B1" w14:textId="27558A3F" w:rsidR="003467C2" w:rsidRPr="00EB4BEF" w:rsidRDefault="003467C2" w:rsidP="00B56EE8">
      <w:pPr>
        <w:pStyle w:val="RPSSchedAnnexText"/>
        <w:numPr>
          <w:ilvl w:val="0"/>
          <w:numId w:val="0"/>
        </w:numPr>
        <w:spacing w:before="120"/>
        <w:rPr>
          <w:rFonts w:asciiTheme="minorHAnsi" w:hAnsiTheme="minorHAnsi"/>
          <w:color w:val="444448" w:themeColor="accent4"/>
          <w:szCs w:val="22"/>
        </w:rPr>
      </w:pPr>
      <w:r w:rsidRPr="00EB4BEF">
        <w:rPr>
          <w:rFonts w:asciiTheme="minorHAnsi" w:hAnsiTheme="minorHAnsi"/>
          <w:color w:val="444448" w:themeColor="accent4"/>
          <w:szCs w:val="22"/>
        </w:rPr>
        <w:t>The conditions under which people, animals and plants live or develop and which sustain all life and development; especially such conditions as</w:t>
      </w:r>
      <w:r w:rsidR="00EB4BEF">
        <w:rPr>
          <w:rFonts w:asciiTheme="minorHAnsi" w:hAnsiTheme="minorHAnsi"/>
          <w:color w:val="444448" w:themeColor="accent4"/>
          <w:szCs w:val="22"/>
        </w:rPr>
        <w:t xml:space="preserve"> affected by human activities. </w:t>
      </w:r>
      <w:r w:rsidRPr="00EB4BEF">
        <w:rPr>
          <w:rFonts w:asciiTheme="minorHAnsi" w:hAnsiTheme="minorHAnsi"/>
          <w:color w:val="444448" w:themeColor="accent4"/>
          <w:szCs w:val="22"/>
        </w:rPr>
        <w:t xml:space="preserve">Protection of the environment includes the protection and conservation of: </w:t>
      </w:r>
    </w:p>
    <w:p w14:paraId="03993488" w14:textId="1DAC08F1" w:rsidR="003467C2" w:rsidRPr="00EB4BEF" w:rsidRDefault="003467C2" w:rsidP="00DD46B3">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non-human species, both animal an</w:t>
      </w:r>
      <w:r w:rsidR="00EB4BEF">
        <w:rPr>
          <w:rFonts w:asciiTheme="minorHAnsi" w:hAnsiTheme="minorHAnsi"/>
          <w:color w:val="444448" w:themeColor="accent4"/>
          <w:sz w:val="22"/>
        </w:rPr>
        <w:t>d plant, and their biodiversity</w:t>
      </w:r>
    </w:p>
    <w:p w14:paraId="2780E9AC" w14:textId="2114A4FE" w:rsidR="003467C2" w:rsidRPr="00EB4BEF" w:rsidRDefault="003467C2" w:rsidP="00DD46B3">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 xml:space="preserve">environmental goods and services such as </w:t>
      </w:r>
      <w:r w:rsidR="00EB4BEF">
        <w:rPr>
          <w:rFonts w:asciiTheme="minorHAnsi" w:hAnsiTheme="minorHAnsi"/>
          <w:color w:val="444448" w:themeColor="accent4"/>
          <w:sz w:val="22"/>
        </w:rPr>
        <w:t>the production of food and feed</w:t>
      </w:r>
    </w:p>
    <w:p w14:paraId="17914208" w14:textId="28B0DE1E" w:rsidR="003467C2" w:rsidRPr="00EB4BEF" w:rsidRDefault="003467C2" w:rsidP="00DD46B3">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 xml:space="preserve">resources used in agriculture, </w:t>
      </w:r>
      <w:r w:rsidR="00EB4BEF">
        <w:rPr>
          <w:rFonts w:asciiTheme="minorHAnsi" w:hAnsiTheme="minorHAnsi"/>
          <w:color w:val="444448" w:themeColor="accent4"/>
          <w:sz w:val="22"/>
        </w:rPr>
        <w:t>forestry, fisheries and tourism</w:t>
      </w:r>
    </w:p>
    <w:p w14:paraId="3A9ED884" w14:textId="5B3E4415" w:rsidR="003467C2" w:rsidRPr="00EB4BEF" w:rsidRDefault="003467C2" w:rsidP="00DD46B3">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amenities used in spiritual, cultu</w:t>
      </w:r>
      <w:r w:rsidR="00EB4BEF">
        <w:rPr>
          <w:rFonts w:asciiTheme="minorHAnsi" w:hAnsiTheme="minorHAnsi"/>
          <w:color w:val="444448" w:themeColor="accent4"/>
          <w:sz w:val="22"/>
        </w:rPr>
        <w:t>ral and recreational activities</w:t>
      </w:r>
    </w:p>
    <w:p w14:paraId="7AE50ED9" w14:textId="2B9EC3C1" w:rsidR="003467C2" w:rsidRPr="00EB4BEF" w:rsidRDefault="003467C2" w:rsidP="00DD46B3">
      <w:pPr>
        <w:pStyle w:val="StyleRPSBodyTextNumbered"/>
        <w:numPr>
          <w:ilvl w:val="0"/>
          <w:numId w:val="15"/>
        </w:numPr>
        <w:tabs>
          <w:tab w:val="left" w:pos="0"/>
        </w:tabs>
        <w:ind w:left="714" w:hanging="357"/>
        <w:rPr>
          <w:rFonts w:asciiTheme="minorHAnsi" w:hAnsiTheme="minorHAnsi"/>
          <w:color w:val="444448" w:themeColor="accent4"/>
          <w:sz w:val="22"/>
        </w:rPr>
      </w:pPr>
      <w:r w:rsidRPr="00EB4BEF">
        <w:rPr>
          <w:rFonts w:asciiTheme="minorHAnsi" w:hAnsiTheme="minorHAnsi"/>
          <w:color w:val="444448" w:themeColor="accent4"/>
          <w:sz w:val="22"/>
        </w:rPr>
        <w:t xml:space="preserve">media </w:t>
      </w:r>
      <w:r w:rsidR="00EB4BEF">
        <w:rPr>
          <w:rFonts w:asciiTheme="minorHAnsi" w:hAnsiTheme="minorHAnsi"/>
          <w:color w:val="444448" w:themeColor="accent4"/>
          <w:sz w:val="22"/>
        </w:rPr>
        <w:t>such as soil, water and air</w:t>
      </w:r>
    </w:p>
    <w:p w14:paraId="4077A54D" w14:textId="6171D521" w:rsidR="003467C2" w:rsidRPr="00EB4BEF" w:rsidRDefault="003467C2" w:rsidP="00DD46B3">
      <w:pPr>
        <w:pStyle w:val="StyleRPSBodyTextNumbered"/>
        <w:numPr>
          <w:ilvl w:val="0"/>
          <w:numId w:val="15"/>
        </w:numPr>
        <w:tabs>
          <w:tab w:val="left" w:pos="0"/>
        </w:tabs>
        <w:ind w:left="714" w:hanging="357"/>
        <w:rPr>
          <w:rFonts w:asciiTheme="minorHAnsi" w:hAnsiTheme="minorHAnsi"/>
          <w:color w:val="444448" w:themeColor="accent4"/>
          <w:szCs w:val="22"/>
        </w:rPr>
      </w:pPr>
      <w:r w:rsidRPr="00EB4BEF">
        <w:rPr>
          <w:rFonts w:asciiTheme="minorHAnsi" w:hAnsiTheme="minorHAnsi"/>
          <w:color w:val="444448" w:themeColor="accent4"/>
          <w:sz w:val="22"/>
        </w:rPr>
        <w:t>natural processes such</w:t>
      </w:r>
      <w:r w:rsidRPr="00EB4BEF">
        <w:rPr>
          <w:rFonts w:asciiTheme="minorHAnsi" w:hAnsiTheme="minorHAnsi"/>
          <w:color w:val="444448" w:themeColor="accent4"/>
          <w:szCs w:val="22"/>
        </w:rPr>
        <w:t xml:space="preserve"> as carbon, nitrogen and water cycles.</w:t>
      </w:r>
    </w:p>
    <w:p w14:paraId="490D4839" w14:textId="77777777" w:rsidR="003467C2" w:rsidRPr="00A45691" w:rsidRDefault="003467C2" w:rsidP="00795AB0">
      <w:pPr>
        <w:pStyle w:val="GlossaryTerm"/>
      </w:pPr>
      <w:r w:rsidRPr="00126F57">
        <w:t>Equivalent Dose</w:t>
      </w:r>
    </w:p>
    <w:p w14:paraId="6DD85459" w14:textId="77777777" w:rsidR="00373385" w:rsidRPr="00F444DA" w:rsidRDefault="00373385" w:rsidP="00DD46B3">
      <w:pPr>
        <w:pStyle w:val="GlossaryTerm"/>
        <w:keepNext w:val="0"/>
        <w:spacing w:before="120"/>
        <w:ind w:left="0" w:firstLine="0"/>
        <w:rPr>
          <w:b w:val="0"/>
          <w:color w:val="auto"/>
        </w:rPr>
      </w:pPr>
      <w:r w:rsidRPr="00F444DA">
        <w:rPr>
          <w:b w:val="0"/>
          <w:color w:val="auto"/>
        </w:rPr>
        <w:t>Equivalent dose is a measure of the dose to a tissue or organ designed to reflect the amount of harm caused.</w:t>
      </w:r>
    </w:p>
    <w:p w14:paraId="5E2D1129" w14:textId="77777777" w:rsidR="00373385" w:rsidRPr="00F444DA" w:rsidRDefault="00373385" w:rsidP="00DD46B3">
      <w:pPr>
        <w:pStyle w:val="GlossaryTerm"/>
        <w:keepNext w:val="0"/>
        <w:spacing w:before="120"/>
        <w:ind w:left="0" w:firstLine="0"/>
        <w:rPr>
          <w:b w:val="0"/>
          <w:color w:val="auto"/>
        </w:rPr>
      </w:pPr>
      <w:r w:rsidRPr="00F444DA">
        <w:rPr>
          <w:b w:val="0"/>
          <w:color w:val="auto"/>
        </w:rPr>
        <w:lastRenderedPageBreak/>
        <w:t>Equivalent dose cannot be used to quantify higher doses or to make decisions</w:t>
      </w:r>
      <w:r>
        <w:rPr>
          <w:b w:val="0"/>
          <w:color w:val="auto"/>
        </w:rPr>
        <w:t xml:space="preserve"> </w:t>
      </w:r>
      <w:r w:rsidRPr="00F444DA">
        <w:rPr>
          <w:b w:val="0"/>
          <w:color w:val="auto"/>
        </w:rPr>
        <w:t>on the need for any medical treatment relating to deterministic effects.</w:t>
      </w:r>
    </w:p>
    <w:p w14:paraId="01F82D3C" w14:textId="77777777" w:rsidR="00373385" w:rsidRDefault="00373385" w:rsidP="00DD46B3">
      <w:pPr>
        <w:pStyle w:val="GlossaryTerm"/>
        <w:keepNext w:val="0"/>
        <w:spacing w:before="120"/>
        <w:ind w:left="0" w:firstLine="0"/>
        <w:rPr>
          <w:b w:val="0"/>
          <w:color w:val="auto"/>
        </w:rPr>
      </w:pPr>
      <w:r w:rsidRPr="00F444DA">
        <w:rPr>
          <w:b w:val="0"/>
          <w:color w:val="auto"/>
        </w:rPr>
        <w:t xml:space="preserve">Values of equivalent dose to a specified tissue or organ from any type(s) of </w:t>
      </w:r>
      <w:r>
        <w:rPr>
          <w:b w:val="0"/>
          <w:color w:val="auto"/>
        </w:rPr>
        <w:t xml:space="preserve">radiation can be </w:t>
      </w:r>
      <w:r w:rsidRPr="00F444DA">
        <w:rPr>
          <w:b w:val="0"/>
          <w:color w:val="auto"/>
        </w:rPr>
        <w:t>compared directly.</w:t>
      </w:r>
    </w:p>
    <w:p w14:paraId="110A57AB" w14:textId="77777777" w:rsidR="00373385" w:rsidRPr="003323DF" w:rsidRDefault="00373385" w:rsidP="00373385">
      <w:pPr>
        <w:pStyle w:val="GlossaryTerm"/>
        <w:keepNext w:val="0"/>
        <w:ind w:left="0" w:firstLine="0"/>
      </w:pPr>
      <w:r w:rsidRPr="003323DF">
        <w:t>Exemption</w:t>
      </w:r>
    </w:p>
    <w:p w14:paraId="54D1F078" w14:textId="77777777" w:rsidR="00373385" w:rsidRPr="004E0D51" w:rsidRDefault="00373385" w:rsidP="00373385">
      <w:pPr>
        <w:pStyle w:val="Glossarydescription"/>
        <w:spacing w:before="60" w:after="240"/>
        <w:rPr>
          <w:color w:val="444448"/>
        </w:rPr>
      </w:pPr>
      <w:r w:rsidRPr="004E0D51">
        <w:rPr>
          <w:color w:val="444448"/>
        </w:rPr>
        <w:t>The determination by the relevant regulatory authority that a source or practice need not be subject to some or all aspects of regulatory control on the basis that the exposure and the potential exposure due to the source or practice are too small to warrant the application of those aspects or that this is the optimum option for protection irrespective of the actual level of the doses or risks.</w:t>
      </w:r>
    </w:p>
    <w:p w14:paraId="2B0DC199" w14:textId="77777777" w:rsidR="003467C2" w:rsidRDefault="003467C2" w:rsidP="00795AB0">
      <w:pPr>
        <w:pStyle w:val="GlossaryTerm"/>
      </w:pPr>
      <w:r w:rsidRPr="00C05D04">
        <w:t>Existing Exposure Situation</w:t>
      </w:r>
    </w:p>
    <w:p w14:paraId="49C8E685"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situation of exposure that already exists when a decision on the need for control needs to be taken, including prolonged exposure situations after emergencies.</w:t>
      </w:r>
    </w:p>
    <w:p w14:paraId="07A8B9F4" w14:textId="77777777" w:rsidR="00373385" w:rsidRDefault="00373385" w:rsidP="00373385">
      <w:pPr>
        <w:pStyle w:val="GlossaryTerm"/>
        <w:keepNext w:val="0"/>
      </w:pPr>
      <w:r>
        <w:t>Facility</w:t>
      </w:r>
    </w:p>
    <w:p w14:paraId="6EF27392" w14:textId="77777777" w:rsidR="00373385" w:rsidRPr="004E0D51" w:rsidRDefault="00373385" w:rsidP="00373385">
      <w:pPr>
        <w:pStyle w:val="GlossaryTerm"/>
        <w:keepNext w:val="0"/>
        <w:ind w:left="0" w:firstLine="0"/>
        <w:rPr>
          <w:b w:val="0"/>
          <w:color w:val="444448"/>
        </w:rPr>
      </w:pPr>
      <w:r w:rsidRPr="004E0D51">
        <w:rPr>
          <w:b w:val="0"/>
          <w:color w:val="444448"/>
        </w:rPr>
        <w:t>A general term that includes nuclear facilities, irradiation installations, some mining and raw material processing facilities such as uranium mines, radioactive waste management facilities, and any other places where radioactive material is produced, processed, used, handled, stored or disposed of, or where radiation generators are installed on such a scale that consideration of protection and safety is required.</w:t>
      </w:r>
    </w:p>
    <w:p w14:paraId="66488F23" w14:textId="77777777" w:rsidR="00373385" w:rsidRPr="004E0D51" w:rsidRDefault="00373385" w:rsidP="00373385">
      <w:pPr>
        <w:pStyle w:val="GlossaryTerm"/>
        <w:keepNext w:val="0"/>
        <w:ind w:left="0" w:firstLine="0"/>
        <w:rPr>
          <w:b w:val="0"/>
          <w:color w:val="444448"/>
        </w:rPr>
      </w:pPr>
      <w:r w:rsidRPr="004E0D51">
        <w:rPr>
          <w:b w:val="0"/>
          <w:color w:val="444448"/>
        </w:rPr>
        <w:t>A facility includes one for which little or no regulatory control may be necessary or achievable. The more specific term ‘authorised facility’ should be used to distinguish those facilities for which the relevant regulatory authority has given any form of authorisation.</w:t>
      </w:r>
    </w:p>
    <w:p w14:paraId="3B40684A" w14:textId="77777777" w:rsidR="003467C2" w:rsidRPr="00A45691" w:rsidRDefault="003467C2" w:rsidP="00795AB0">
      <w:pPr>
        <w:pStyle w:val="GlossaryTerm"/>
      </w:pPr>
      <w:r w:rsidRPr="00A45691">
        <w:t>Graded Approach</w:t>
      </w:r>
    </w:p>
    <w:p w14:paraId="30EDAEE8"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An application of safety requirements that is commensurate with the characteristics of the practice or source and with the magnitude and likelihood of the exposures.</w:t>
      </w:r>
    </w:p>
    <w:p w14:paraId="37819788" w14:textId="77777777" w:rsidR="003467C2" w:rsidRPr="00A45691" w:rsidRDefault="003467C2" w:rsidP="00795AB0">
      <w:pPr>
        <w:pStyle w:val="GlossaryTerm"/>
        <w:rPr>
          <w:bCs/>
        </w:rPr>
      </w:pPr>
      <w:r w:rsidRPr="00297D05">
        <w:t>Institutional</w:t>
      </w:r>
      <w:r w:rsidRPr="00A45691">
        <w:rPr>
          <w:bCs/>
        </w:rPr>
        <w:t xml:space="preserve"> Control</w:t>
      </w:r>
    </w:p>
    <w:p w14:paraId="019F0E15" w14:textId="1EC79F2B"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 xml:space="preserve">Control of a radioactive waste site by an authority or institution designated under the laws of a jurisdiction. Control may be active (monitoring, surveillance, remedial work) or passive (land use control) and may be a determining factor in the design of a waste management facility (e.g. </w:t>
      </w:r>
      <w:r w:rsidR="00CD46FF">
        <w:rPr>
          <w:rFonts w:asciiTheme="minorHAnsi" w:hAnsiTheme="minorHAnsi"/>
          <w:color w:val="444448" w:themeColor="accent4"/>
          <w:szCs w:val="22"/>
        </w:rPr>
        <w:t xml:space="preserve">a </w:t>
      </w:r>
      <w:r w:rsidRPr="00F65CC4">
        <w:rPr>
          <w:rFonts w:asciiTheme="minorHAnsi" w:hAnsiTheme="minorHAnsi"/>
          <w:color w:val="444448" w:themeColor="accent4"/>
          <w:szCs w:val="22"/>
        </w:rPr>
        <w:t>near surface repository).</w:t>
      </w:r>
    </w:p>
    <w:p w14:paraId="0E8F7B5A" w14:textId="736B51E4" w:rsidR="00424561" w:rsidRDefault="00424561" w:rsidP="00795AB0">
      <w:pPr>
        <w:pStyle w:val="GlossaryTerm"/>
      </w:pPr>
      <w:r>
        <w:t>Intrusion</w:t>
      </w:r>
    </w:p>
    <w:p w14:paraId="77319149" w14:textId="04C2C17D" w:rsidR="00424561" w:rsidRPr="00424561" w:rsidRDefault="00424561" w:rsidP="00424561">
      <w:pPr>
        <w:pStyle w:val="RPSSchedAnnexText"/>
        <w:numPr>
          <w:ilvl w:val="0"/>
          <w:numId w:val="0"/>
        </w:numPr>
        <w:spacing w:before="120"/>
        <w:jc w:val="left"/>
        <w:rPr>
          <w:rFonts w:asciiTheme="minorHAnsi" w:hAnsiTheme="minorHAnsi"/>
          <w:color w:val="444448" w:themeColor="accent4"/>
          <w:szCs w:val="22"/>
        </w:rPr>
      </w:pPr>
      <w:r>
        <w:rPr>
          <w:rFonts w:asciiTheme="minorHAnsi" w:hAnsiTheme="minorHAnsi"/>
          <w:color w:val="444448" w:themeColor="accent4"/>
          <w:szCs w:val="22"/>
        </w:rPr>
        <w:t>May be inadvertent or intentional. T</w:t>
      </w:r>
      <w:r w:rsidRPr="00424561">
        <w:rPr>
          <w:rFonts w:asciiTheme="minorHAnsi" w:hAnsiTheme="minorHAnsi"/>
          <w:color w:val="444448" w:themeColor="accent4"/>
          <w:szCs w:val="22"/>
        </w:rPr>
        <w:t>he process by which living organisms, including humans, may come in contact with disposed or stored waste.</w:t>
      </w:r>
      <w:r w:rsidR="00036AA8">
        <w:rPr>
          <w:rFonts w:asciiTheme="minorHAnsi" w:hAnsiTheme="minorHAnsi"/>
          <w:color w:val="444448" w:themeColor="accent4"/>
          <w:szCs w:val="22"/>
        </w:rPr>
        <w:t xml:space="preserve"> </w:t>
      </w:r>
      <w:r w:rsidR="00036AA8" w:rsidRPr="00036AA8">
        <w:rPr>
          <w:rFonts w:asciiTheme="minorHAnsi" w:hAnsiTheme="minorHAnsi"/>
          <w:color w:val="444448" w:themeColor="accent4"/>
          <w:szCs w:val="22"/>
        </w:rPr>
        <w:t xml:space="preserve">The term </w:t>
      </w:r>
      <w:r w:rsidR="00036AA8">
        <w:rPr>
          <w:rFonts w:asciiTheme="minorHAnsi" w:hAnsiTheme="minorHAnsi"/>
          <w:color w:val="444448" w:themeColor="accent4"/>
          <w:szCs w:val="22"/>
        </w:rPr>
        <w:t>‘</w:t>
      </w:r>
      <w:r w:rsidR="00036AA8" w:rsidRPr="00036AA8">
        <w:rPr>
          <w:rFonts w:asciiTheme="minorHAnsi" w:hAnsiTheme="minorHAnsi"/>
          <w:color w:val="444448" w:themeColor="accent4"/>
          <w:szCs w:val="22"/>
        </w:rPr>
        <w:t>human intrusion</w:t>
      </w:r>
      <w:r w:rsidR="00036AA8">
        <w:rPr>
          <w:rFonts w:asciiTheme="minorHAnsi" w:hAnsiTheme="minorHAnsi"/>
          <w:color w:val="444448" w:themeColor="accent4"/>
          <w:szCs w:val="22"/>
        </w:rPr>
        <w:t>’</w:t>
      </w:r>
      <w:r w:rsidR="00036AA8" w:rsidRPr="00036AA8">
        <w:rPr>
          <w:rFonts w:asciiTheme="minorHAnsi" w:hAnsiTheme="minorHAnsi"/>
          <w:color w:val="444448" w:themeColor="accent4"/>
          <w:szCs w:val="22"/>
        </w:rPr>
        <w:t xml:space="preserve"> is used for human activities that could affect the integrity of a disposal facility and which could potentially give rise to radiological consequences.</w:t>
      </w:r>
      <w:r w:rsidR="00036AA8">
        <w:rPr>
          <w:rFonts w:asciiTheme="minorHAnsi" w:hAnsiTheme="minorHAnsi"/>
          <w:color w:val="444448" w:themeColor="accent4"/>
          <w:szCs w:val="22"/>
        </w:rPr>
        <w:t xml:space="preserve"> </w:t>
      </w:r>
      <w:r w:rsidR="00036AA8" w:rsidRPr="00036AA8">
        <w:rPr>
          <w:rFonts w:asciiTheme="minorHAnsi" w:hAnsiTheme="minorHAnsi"/>
          <w:color w:val="444448" w:themeColor="accent4"/>
          <w:szCs w:val="22"/>
        </w:rPr>
        <w:t>Only those human activities (such as construction work, mining or drilli</w:t>
      </w:r>
      <w:r w:rsidR="00036AA8">
        <w:rPr>
          <w:rFonts w:asciiTheme="minorHAnsi" w:hAnsiTheme="minorHAnsi"/>
          <w:color w:val="444448" w:themeColor="accent4"/>
          <w:szCs w:val="22"/>
        </w:rPr>
        <w:t xml:space="preserve">ng) that could result in direct </w:t>
      </w:r>
      <w:r w:rsidR="00036AA8" w:rsidRPr="00036AA8">
        <w:rPr>
          <w:rFonts w:asciiTheme="minorHAnsi" w:hAnsiTheme="minorHAnsi"/>
          <w:color w:val="444448" w:themeColor="accent4"/>
          <w:szCs w:val="22"/>
        </w:rPr>
        <w:t>disturbance of the disposal facility (i.e. disturbance of the waste itself, of the contaminated near field or of materials of the engineered barrier) are included.</w:t>
      </w:r>
    </w:p>
    <w:p w14:paraId="4B6E6FE5" w14:textId="229022B0" w:rsidR="00E76592" w:rsidRDefault="00E76592" w:rsidP="00795AB0">
      <w:pPr>
        <w:pStyle w:val="GlossaryTerm"/>
      </w:pPr>
      <w:r>
        <w:lastRenderedPageBreak/>
        <w:t>Justification</w:t>
      </w:r>
    </w:p>
    <w:p w14:paraId="1BADA647" w14:textId="3ACCC709" w:rsidR="00373385" w:rsidRPr="004E0D51" w:rsidRDefault="00373385" w:rsidP="00373385">
      <w:pPr>
        <w:pStyle w:val="Glossarydescription"/>
        <w:spacing w:before="60" w:after="240"/>
        <w:rPr>
          <w:color w:val="444448"/>
        </w:rPr>
      </w:pPr>
      <w:r w:rsidRPr="004E0D51">
        <w:rPr>
          <w:color w:val="444448"/>
        </w:rPr>
        <w:t xml:space="preserve">For a planned exposure situation, the process of determining whether a practice is </w:t>
      </w:r>
      <w:r w:rsidR="00CD46FF">
        <w:rPr>
          <w:color w:val="444448"/>
        </w:rPr>
        <w:t>beneficial overall,</w:t>
      </w:r>
      <w:r w:rsidRPr="004E0D51">
        <w:rPr>
          <w:color w:val="444448"/>
        </w:rPr>
        <w:t xml:space="preserve"> i.e. whether the expected benefits to individuals and to society from introducing or continuing the practice outweigh the harm (including radiation detriment) resulting from the practice.</w:t>
      </w:r>
    </w:p>
    <w:p w14:paraId="4DEBEEA8" w14:textId="66A7FD06" w:rsidR="003467C2" w:rsidRPr="00A45691" w:rsidRDefault="00F6292F" w:rsidP="00795AB0">
      <w:pPr>
        <w:pStyle w:val="GlossaryTerm"/>
        <w:rPr>
          <w:rFonts w:cs="TimesTen-BoldItalic"/>
          <w:bCs/>
          <w:i/>
          <w:iCs/>
        </w:rPr>
      </w:pPr>
      <w:r>
        <w:t xml:space="preserve">Near </w:t>
      </w:r>
      <w:r w:rsidR="003467C2" w:rsidRPr="00A45691">
        <w:t xml:space="preserve">Surface </w:t>
      </w:r>
      <w:r w:rsidR="00C05D04">
        <w:t>Disposal</w:t>
      </w:r>
    </w:p>
    <w:p w14:paraId="6F2F7141" w14:textId="5B0AB209" w:rsidR="003467C2" w:rsidRPr="00F65CC4" w:rsidRDefault="00C05D04"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R</w:t>
      </w:r>
      <w:r w:rsidR="003467C2" w:rsidRPr="00F65CC4">
        <w:rPr>
          <w:rFonts w:asciiTheme="minorHAnsi" w:hAnsiTheme="minorHAnsi"/>
          <w:color w:val="444448" w:themeColor="accent4"/>
          <w:szCs w:val="22"/>
        </w:rPr>
        <w:t>adioactive waste disposal located at or within a few tens of metres of the Earth’s surface.</w:t>
      </w:r>
    </w:p>
    <w:p w14:paraId="64569DCC" w14:textId="77777777" w:rsidR="003467C2" w:rsidRPr="00A45691" w:rsidRDefault="003467C2" w:rsidP="00795AB0">
      <w:pPr>
        <w:pStyle w:val="GlossaryTerm"/>
      </w:pPr>
      <w:r w:rsidRPr="00A45691">
        <w:t>Nuclear Material</w:t>
      </w:r>
    </w:p>
    <w:p w14:paraId="69F082BC" w14:textId="1E3AE43D" w:rsidR="003467C2" w:rsidRPr="00F65CC4" w:rsidRDefault="00B43094" w:rsidP="003467C2">
      <w:pPr>
        <w:pStyle w:val="RPSSchedAnnexText"/>
        <w:numPr>
          <w:ilvl w:val="0"/>
          <w:numId w:val="0"/>
        </w:numPr>
        <w:spacing w:before="120"/>
        <w:jc w:val="left"/>
        <w:rPr>
          <w:rFonts w:asciiTheme="minorHAnsi" w:hAnsiTheme="minorHAnsi"/>
          <w:color w:val="444448" w:themeColor="accent4"/>
          <w:szCs w:val="22"/>
        </w:rPr>
      </w:pPr>
      <w:r>
        <w:rPr>
          <w:rFonts w:asciiTheme="minorHAnsi" w:hAnsiTheme="minorHAnsi"/>
          <w:color w:val="444448" w:themeColor="accent4"/>
          <w:szCs w:val="22"/>
        </w:rPr>
        <w:t>Includes p</w:t>
      </w:r>
      <w:r w:rsidR="003467C2" w:rsidRPr="00F65CC4">
        <w:rPr>
          <w:rFonts w:asciiTheme="minorHAnsi" w:hAnsiTheme="minorHAnsi"/>
          <w:color w:val="444448" w:themeColor="accent4"/>
          <w:szCs w:val="22"/>
        </w:rPr>
        <w:t xml:space="preserve">lutonium </w:t>
      </w:r>
      <w:r>
        <w:rPr>
          <w:rFonts w:asciiTheme="minorHAnsi" w:hAnsiTheme="minorHAnsi"/>
          <w:color w:val="444448" w:themeColor="accent4"/>
          <w:szCs w:val="22"/>
        </w:rPr>
        <w:t>(</w:t>
      </w:r>
      <w:r w:rsidR="003467C2" w:rsidRPr="00F65CC4">
        <w:rPr>
          <w:rFonts w:asciiTheme="minorHAnsi" w:hAnsiTheme="minorHAnsi"/>
          <w:color w:val="444448" w:themeColor="accent4"/>
          <w:szCs w:val="22"/>
        </w:rPr>
        <w:t>except that with isotopic concentration exceeding 80% in plutonium-238</w:t>
      </w:r>
      <w:r>
        <w:rPr>
          <w:rFonts w:asciiTheme="minorHAnsi" w:hAnsiTheme="minorHAnsi"/>
          <w:color w:val="444448" w:themeColor="accent4"/>
          <w:szCs w:val="22"/>
        </w:rPr>
        <w:t>)</w:t>
      </w:r>
      <w:r w:rsidR="003467C2" w:rsidRPr="00F65CC4">
        <w:rPr>
          <w:rFonts w:asciiTheme="minorHAnsi" w:hAnsiTheme="minorHAnsi"/>
          <w:color w:val="444448" w:themeColor="accent4"/>
          <w:szCs w:val="22"/>
        </w:rPr>
        <w:t>; uranium-233; uranium enriched in the isotope 235 or 233; uranium containing the mixture of isotopes as occurring in nature other than in the form of ore or ore residue; depleted uranium; thorium; any material containing one or more of the fo</w:t>
      </w:r>
      <w:r w:rsidR="00175726">
        <w:rPr>
          <w:rFonts w:asciiTheme="minorHAnsi" w:hAnsiTheme="minorHAnsi"/>
          <w:color w:val="444448" w:themeColor="accent4"/>
          <w:szCs w:val="22"/>
        </w:rPr>
        <w:t>regoing</w:t>
      </w:r>
      <w:r w:rsidR="00373385">
        <w:rPr>
          <w:rFonts w:asciiTheme="minorHAnsi" w:hAnsiTheme="minorHAnsi"/>
          <w:color w:val="444448" w:themeColor="accent4"/>
          <w:szCs w:val="22"/>
        </w:rPr>
        <w:t xml:space="preserve">. </w:t>
      </w:r>
      <w:r w:rsidR="003467C2" w:rsidRPr="00F65CC4">
        <w:rPr>
          <w:rFonts w:asciiTheme="minorHAnsi" w:hAnsiTheme="minorHAnsi"/>
          <w:color w:val="444448" w:themeColor="accent4"/>
          <w:szCs w:val="22"/>
        </w:rPr>
        <w:t>For the purposes of IAEA safeguards agreements, see the Commonwealth Nuclear Non-Proliferation (Safeguards) Act 1987.</w:t>
      </w:r>
    </w:p>
    <w:p w14:paraId="4AD44827" w14:textId="77777777" w:rsidR="003467C2" w:rsidRPr="00A45691" w:rsidRDefault="003467C2" w:rsidP="00795AB0">
      <w:pPr>
        <w:pStyle w:val="GlossaryTerm"/>
      </w:pPr>
      <w:r w:rsidRPr="00A45691">
        <w:t xml:space="preserve">(Nuclear) </w:t>
      </w:r>
      <w:r w:rsidRPr="00297D05">
        <w:t>Security</w:t>
      </w:r>
    </w:p>
    <w:p w14:paraId="4CE0E28C"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prevention and detection of, and response to, theft, sabotage, unauthorised access, illegal transfer or other malicious acts involving nuclear material, other radioactive substances or their associated facilities.</w:t>
      </w:r>
    </w:p>
    <w:p w14:paraId="6A6001A7" w14:textId="77777777" w:rsidR="003467C2" w:rsidRPr="00A45691" w:rsidRDefault="003467C2" w:rsidP="00795AB0">
      <w:pPr>
        <w:pStyle w:val="GlossaryTerm"/>
        <w:rPr>
          <w:bCs/>
        </w:rPr>
      </w:pPr>
      <w:r w:rsidRPr="003925B9">
        <w:t>Occupational</w:t>
      </w:r>
      <w:r w:rsidRPr="003925B9">
        <w:rPr>
          <w:bCs/>
        </w:rPr>
        <w:t xml:space="preserve"> Exposure</w:t>
      </w:r>
    </w:p>
    <w:p w14:paraId="002C59FC" w14:textId="3E00D34C" w:rsidR="003467C2" w:rsidRPr="00F65CC4" w:rsidRDefault="00BC4D89" w:rsidP="003467C2">
      <w:pPr>
        <w:pStyle w:val="RPSSchedAnnexText"/>
        <w:numPr>
          <w:ilvl w:val="0"/>
          <w:numId w:val="0"/>
        </w:numPr>
        <w:spacing w:before="120"/>
        <w:jc w:val="left"/>
        <w:rPr>
          <w:rFonts w:asciiTheme="minorHAnsi" w:hAnsiTheme="minorHAnsi"/>
          <w:color w:val="444448" w:themeColor="accent4"/>
          <w:szCs w:val="22"/>
        </w:rPr>
      </w:pPr>
      <w:r>
        <w:rPr>
          <w:rFonts w:asciiTheme="minorHAnsi" w:hAnsiTheme="minorHAnsi"/>
          <w:color w:val="444448" w:themeColor="accent4"/>
          <w:szCs w:val="22"/>
        </w:rPr>
        <w:t>E</w:t>
      </w:r>
      <w:r w:rsidR="003467C2" w:rsidRPr="00F65CC4">
        <w:rPr>
          <w:rFonts w:asciiTheme="minorHAnsi" w:hAnsiTheme="minorHAnsi"/>
          <w:color w:val="444448" w:themeColor="accent4"/>
          <w:szCs w:val="22"/>
        </w:rPr>
        <w:t>xposure of workers incurred in the course of their work</w:t>
      </w:r>
      <w:r w:rsidR="00BC1FF3">
        <w:rPr>
          <w:rFonts w:asciiTheme="minorHAnsi" w:hAnsiTheme="minorHAnsi"/>
          <w:color w:val="444448" w:themeColor="accent4"/>
          <w:szCs w:val="22"/>
        </w:rPr>
        <w:t>.</w:t>
      </w:r>
    </w:p>
    <w:p w14:paraId="4084C4C1" w14:textId="5E2B4DE9" w:rsidR="003467C2" w:rsidRPr="00A45691" w:rsidRDefault="003467C2" w:rsidP="00795AB0">
      <w:pPr>
        <w:pStyle w:val="GlossaryTerm"/>
      </w:pPr>
      <w:r w:rsidRPr="003925B9">
        <w:t>Optimisation</w:t>
      </w:r>
      <w:r w:rsidRPr="00A45691">
        <w:t xml:space="preserve"> (of Protection and Safety)</w:t>
      </w:r>
    </w:p>
    <w:p w14:paraId="79B50D2F" w14:textId="7C61B572" w:rsidR="00BC1FF3" w:rsidRPr="00C4147E" w:rsidRDefault="00BC1FF3" w:rsidP="00BC1FF3">
      <w:pPr>
        <w:pStyle w:val="Glossarydescription"/>
        <w:spacing w:before="60" w:after="240"/>
        <w:rPr>
          <w:color w:val="444448"/>
        </w:rPr>
      </w:pPr>
      <w:r w:rsidRPr="00C4147E">
        <w:rPr>
          <w:color w:val="444448"/>
        </w:rPr>
        <w:t xml:space="preserve">The process of determining what level of protection and safety would result in the magnitude of individual doses, the number of individuals (workers and members of the public) subject to exposure and the likelihood of exposure being ‘as low as reasonably achievable, economic and societal factors being taken into account’ (ALARA). </w:t>
      </w:r>
      <w:r w:rsidR="00BC4D89" w:rsidRPr="00BC4D89">
        <w:rPr>
          <w:color w:val="444448"/>
        </w:rPr>
        <w:t>Note that this is not the same as optimisation of the process or practice concerned.</w:t>
      </w:r>
    </w:p>
    <w:p w14:paraId="007319D1" w14:textId="77777777" w:rsidR="003467C2" w:rsidRPr="001558A7" w:rsidRDefault="003467C2" w:rsidP="00795AB0">
      <w:pPr>
        <w:pStyle w:val="GlossaryTerm"/>
      </w:pPr>
      <w:r>
        <w:t>Planned Exposure S</w:t>
      </w:r>
      <w:r w:rsidRPr="001558A7">
        <w:t>ituation</w:t>
      </w:r>
    </w:p>
    <w:p w14:paraId="4AF05ABF" w14:textId="77777777" w:rsidR="00BC1FF3" w:rsidRPr="004E0D51" w:rsidRDefault="00BC1FF3" w:rsidP="00BC1FF3">
      <w:pPr>
        <w:pStyle w:val="Glossarydescription"/>
        <w:spacing w:before="60" w:after="240"/>
        <w:rPr>
          <w:color w:val="444448"/>
        </w:rPr>
      </w:pPr>
      <w:r w:rsidRPr="004E0D51">
        <w:rPr>
          <w:color w:val="444448"/>
        </w:rPr>
        <w:t>The situation of exposure that arises from the planned operation of a source</w:t>
      </w:r>
      <w:r w:rsidRPr="004E0D51">
        <w:rPr>
          <w:b/>
          <w:color w:val="444448"/>
        </w:rPr>
        <w:t xml:space="preserve"> </w:t>
      </w:r>
      <w:r w:rsidRPr="004E0D51">
        <w:rPr>
          <w:color w:val="444448"/>
        </w:rPr>
        <w:t>or from a planned activity that results in an exposure due to a source.</w:t>
      </w:r>
      <w:r w:rsidRPr="004E0D51">
        <w:rPr>
          <w:b/>
          <w:color w:val="444448"/>
        </w:rPr>
        <w:t xml:space="preserve"> </w:t>
      </w:r>
      <w:r w:rsidRPr="004E0D51">
        <w:rPr>
          <w:color w:val="444448"/>
        </w:rPr>
        <w:t xml:space="preserve">Since provision for protection and safety can be made before embarking on the activity concerned, associated exposures and their probabilities of occurrence can be restricted from the outset. The primary means of controlling exposure in planned exposure situations is by good design of installations, equipment and operating procedures. In planned exposure situations, a certain level of exposure is expected to occur. </w:t>
      </w:r>
    </w:p>
    <w:p w14:paraId="7B728CB2" w14:textId="77777777" w:rsidR="003467C2" w:rsidRPr="00A91524" w:rsidRDefault="003467C2" w:rsidP="00795AB0">
      <w:pPr>
        <w:pStyle w:val="GlossaryTerm"/>
      </w:pPr>
      <w:r w:rsidRPr="00A91524">
        <w:t>Potential Exposure</w:t>
      </w:r>
    </w:p>
    <w:p w14:paraId="7C2CD407" w14:textId="32599F8A" w:rsidR="00BC1FF3" w:rsidRDefault="00BC1FF3" w:rsidP="00BC1FF3">
      <w:pPr>
        <w:pStyle w:val="Glossarydescription"/>
        <w:spacing w:before="60" w:after="240"/>
        <w:rPr>
          <w:color w:val="444448"/>
        </w:rPr>
      </w:pPr>
      <w:r w:rsidRPr="004E0D51">
        <w:rPr>
          <w:color w:val="444448"/>
        </w:rPr>
        <w:t>Prospectively considered exposure that is not expected to be delivered with certainty but that may result from an anticipated operational occurrence or accident at a source or owing to an event or sequence of events of a probabilistic nature, including equipment failures and operating errors.</w:t>
      </w:r>
    </w:p>
    <w:p w14:paraId="334A395D" w14:textId="1BA52E18" w:rsidR="00A226C6" w:rsidRDefault="00A226C6" w:rsidP="00BC1FF3">
      <w:pPr>
        <w:pStyle w:val="Glossarydescription"/>
        <w:spacing w:before="60" w:after="240"/>
        <w:rPr>
          <w:color w:val="444448"/>
        </w:rPr>
      </w:pPr>
      <w:r w:rsidRPr="00A226C6">
        <w:rPr>
          <w:color w:val="444448"/>
        </w:rPr>
        <w:t xml:space="preserve">Potential exposure includes prospectively considered (i.e. hypothetical or postulated) exposures due to a </w:t>
      </w:r>
      <w:r>
        <w:rPr>
          <w:color w:val="444448"/>
        </w:rPr>
        <w:t xml:space="preserve">radiation </w:t>
      </w:r>
      <w:r w:rsidRPr="00A226C6">
        <w:rPr>
          <w:color w:val="444448"/>
        </w:rPr>
        <w:t>source in an event or sequence of events of a probabilistic nature, including exposures resulting from inadvertent human intrusion (such as a human</w:t>
      </w:r>
      <w:r w:rsidRPr="00A226C6">
        <w:t xml:space="preserve"> </w:t>
      </w:r>
      <w:r w:rsidRPr="00A226C6">
        <w:rPr>
          <w:color w:val="444448"/>
        </w:rPr>
        <w:t>intrusion into a near surface disposal facility after institutional control is removed).</w:t>
      </w:r>
    </w:p>
    <w:p w14:paraId="2AE60558" w14:textId="5B8835A8" w:rsidR="00A226C6" w:rsidRPr="004E0D51" w:rsidRDefault="00A226C6" w:rsidP="00BC1FF3">
      <w:pPr>
        <w:pStyle w:val="Glossarydescription"/>
        <w:spacing w:before="60" w:after="240"/>
        <w:rPr>
          <w:color w:val="444448"/>
        </w:rPr>
      </w:pPr>
      <w:r w:rsidRPr="00A226C6">
        <w:rPr>
          <w:color w:val="444448"/>
        </w:rPr>
        <w:lastRenderedPageBreak/>
        <w:t>In the case of a geological disposal facility, assessment of the long term action of processes and events that are uncertain leads to projections of long term potential exposure.</w:t>
      </w:r>
    </w:p>
    <w:p w14:paraId="16213862" w14:textId="77777777" w:rsidR="00BC1FF3" w:rsidRPr="003947F6" w:rsidRDefault="00BC1FF3" w:rsidP="00BC1FF3">
      <w:pPr>
        <w:pStyle w:val="GlossaryTerm"/>
      </w:pPr>
      <w:r w:rsidRPr="003947F6">
        <w:t xml:space="preserve">Practice </w:t>
      </w:r>
    </w:p>
    <w:p w14:paraId="6CB0F9AD" w14:textId="29F1DE84" w:rsidR="003831CB" w:rsidRPr="008F017D" w:rsidRDefault="003831CB" w:rsidP="00BC1FF3">
      <w:pPr>
        <w:keepLines/>
        <w:spacing w:before="60" w:after="240"/>
        <w:rPr>
          <w:rFonts w:cs="Courier New"/>
          <w:spacing w:val="-2"/>
        </w:rPr>
      </w:pPr>
      <w:r w:rsidRPr="003831CB">
        <w:rPr>
          <w:rFonts w:cs="Courier New"/>
          <w:spacing w:val="-2"/>
        </w:rPr>
        <w:t>Any human activity that introduces additional sources of exposure or additional exposure pathways, so as to increase the exposure or the likelihood of exposure of people or the number of people exposed, or that modifies the network of exposure pathways from existing sources.</w:t>
      </w:r>
    </w:p>
    <w:p w14:paraId="696BF157" w14:textId="7D3BD30C" w:rsidR="00BC1FF3" w:rsidRPr="000B2749" w:rsidRDefault="00B56EE8" w:rsidP="00BC1FF3">
      <w:pPr>
        <w:pStyle w:val="GlossaryTerm"/>
      </w:pPr>
      <w:r>
        <w:t>Protection and S</w:t>
      </w:r>
      <w:r w:rsidR="00BC1FF3" w:rsidRPr="000B2749">
        <w:t>afety</w:t>
      </w:r>
    </w:p>
    <w:p w14:paraId="6D168F8A" w14:textId="1204C040" w:rsidR="00BC1FF3" w:rsidRPr="004E0D51" w:rsidRDefault="00BC1FF3" w:rsidP="00B56EE8">
      <w:pPr>
        <w:pStyle w:val="Glossarydescription"/>
        <w:rPr>
          <w:color w:val="444448"/>
        </w:rPr>
      </w:pPr>
      <w:r w:rsidRPr="004E0D51">
        <w:rPr>
          <w:color w:val="444448"/>
        </w:rPr>
        <w:t>The protection of people against exposure to ionising radiation or exposure due to radioactive material and the safety of sources, including the means for achieving this, and the means for preventing accidents and for mitigating the consequences</w:t>
      </w:r>
      <w:r w:rsidR="003831CB">
        <w:rPr>
          <w:color w:val="444448"/>
        </w:rPr>
        <w:t xml:space="preserve"> of accidents if they do occur.</w:t>
      </w:r>
    </w:p>
    <w:p w14:paraId="158D816B" w14:textId="6656CDF9" w:rsidR="00BC1FF3" w:rsidRPr="004E0D51" w:rsidRDefault="00BC1FF3" w:rsidP="00B56EE8">
      <w:pPr>
        <w:pStyle w:val="Glossarydescription"/>
        <w:rPr>
          <w:color w:val="444448"/>
        </w:rPr>
      </w:pPr>
      <w:r w:rsidRPr="004E0D51">
        <w:rPr>
          <w:color w:val="444448"/>
        </w:rPr>
        <w:t>For the purposes of this Code, ‘protection and safety’ includes the protection of people against ionising radiation and</w:t>
      </w:r>
      <w:r w:rsidR="0083346D">
        <w:rPr>
          <w:color w:val="444448"/>
        </w:rPr>
        <w:t xml:space="preserve"> assoc</w:t>
      </w:r>
      <w:r w:rsidR="003831CB">
        <w:rPr>
          <w:color w:val="444448"/>
        </w:rPr>
        <w:t>iated</w:t>
      </w:r>
      <w:r w:rsidRPr="004E0D51">
        <w:rPr>
          <w:color w:val="444448"/>
        </w:rPr>
        <w:t xml:space="preserve"> safety</w:t>
      </w:r>
      <w:r w:rsidR="003831CB">
        <w:rPr>
          <w:color w:val="444448"/>
        </w:rPr>
        <w:t xml:space="preserve"> measures</w:t>
      </w:r>
      <w:r w:rsidRPr="004E0D51">
        <w:rPr>
          <w:color w:val="444448"/>
        </w:rPr>
        <w:t>; it does not include non-radiation-related aspects of safety. ‘Protection and safety’ is concerned with both radiation risks under normal circumstances and radiation risks as a consequence of incidents,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14:paraId="4BDEFBAD" w14:textId="77777777" w:rsidR="003467C2" w:rsidRPr="00A45691" w:rsidRDefault="003467C2" w:rsidP="00795AB0">
      <w:pPr>
        <w:pStyle w:val="GlossaryTerm"/>
      </w:pPr>
      <w:r w:rsidRPr="00963CF7">
        <w:t>Public Exposure</w:t>
      </w:r>
    </w:p>
    <w:p w14:paraId="446A0413" w14:textId="7480747D"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Exposure incurred by members of the public from radiation sources, excluding any occupational or medical exposure and the normal local natural background radiation but including exposure from authorised sources and practices</w:t>
      </w:r>
      <w:r w:rsidR="0083346D">
        <w:rPr>
          <w:rFonts w:asciiTheme="minorHAnsi" w:hAnsiTheme="minorHAnsi"/>
          <w:color w:val="444448" w:themeColor="accent4"/>
          <w:szCs w:val="22"/>
        </w:rPr>
        <w:t xml:space="preserve"> (planned exposure situations), and including e</w:t>
      </w:r>
      <w:r w:rsidR="0083346D" w:rsidRPr="0083346D">
        <w:rPr>
          <w:rFonts w:asciiTheme="minorHAnsi" w:hAnsiTheme="minorHAnsi"/>
          <w:color w:val="444448" w:themeColor="accent4"/>
          <w:szCs w:val="22"/>
        </w:rPr>
        <w:t>xposure incurred</w:t>
      </w:r>
      <w:r w:rsidR="0083346D">
        <w:rPr>
          <w:rFonts w:asciiTheme="minorHAnsi" w:hAnsiTheme="minorHAnsi"/>
          <w:color w:val="444448" w:themeColor="accent4"/>
          <w:szCs w:val="22"/>
        </w:rPr>
        <w:t xml:space="preserve"> in emergency and existing exposure situations.</w:t>
      </w:r>
    </w:p>
    <w:p w14:paraId="322B19C8" w14:textId="77777777" w:rsidR="003467C2" w:rsidRPr="00A45691" w:rsidRDefault="003467C2" w:rsidP="00795AB0">
      <w:pPr>
        <w:pStyle w:val="GlossaryTerm"/>
      </w:pPr>
      <w:r w:rsidRPr="00A45691">
        <w:t>Radiation</w:t>
      </w:r>
    </w:p>
    <w:p w14:paraId="1F5C28E6" w14:textId="5658ED12" w:rsidR="00BC1FF3" w:rsidRPr="004E0D51" w:rsidRDefault="00BC1FF3" w:rsidP="009405E6">
      <w:pPr>
        <w:pStyle w:val="Glossarydescription"/>
        <w:rPr>
          <w:color w:val="444448"/>
        </w:rPr>
      </w:pPr>
      <w:r w:rsidRPr="004E0D51">
        <w:rPr>
          <w:color w:val="444448"/>
        </w:rPr>
        <w:t>In this Code, the term ‘radiation’ refers only to ionising rad</w:t>
      </w:r>
      <w:r w:rsidR="003831CB">
        <w:rPr>
          <w:color w:val="444448"/>
        </w:rPr>
        <w:t>iation unless otherwise stated.</w:t>
      </w:r>
      <w:r w:rsidR="009405E6">
        <w:rPr>
          <w:color w:val="444448"/>
        </w:rPr>
        <w:t xml:space="preserve"> </w:t>
      </w:r>
      <w:r w:rsidRPr="004E0D51">
        <w:rPr>
          <w:color w:val="444448"/>
        </w:rPr>
        <w:t>For the purposes of radiation protection, ionising radiation is capable of producing ion pairs in biological material(s).</w:t>
      </w:r>
    </w:p>
    <w:p w14:paraId="2D99B428" w14:textId="0ED58016" w:rsidR="00BC1FF3" w:rsidRPr="004E0D51" w:rsidRDefault="00BC1FF3" w:rsidP="009405E6">
      <w:pPr>
        <w:pStyle w:val="Glossarydescription"/>
        <w:rPr>
          <w:color w:val="444448"/>
        </w:rPr>
      </w:pPr>
      <w:r w:rsidRPr="004E0D51">
        <w:rPr>
          <w:color w:val="444448"/>
        </w:rPr>
        <w:t xml:space="preserve">For most practical purposes, it may be assumed that strongly penetrating radiation includes photons of energy above about 12 keV, electrons of energy more </w:t>
      </w:r>
      <w:r w:rsidR="009405E6">
        <w:rPr>
          <w:color w:val="444448"/>
        </w:rPr>
        <w:t>than about 2 MeV, and neutrons.</w:t>
      </w:r>
    </w:p>
    <w:p w14:paraId="7CA129A3" w14:textId="77777777" w:rsidR="00BC1FF3" w:rsidRPr="004E0D51" w:rsidRDefault="00BC1FF3" w:rsidP="009405E6">
      <w:pPr>
        <w:pStyle w:val="Glossarydescription"/>
        <w:rPr>
          <w:color w:val="444448"/>
        </w:rPr>
      </w:pPr>
      <w:r w:rsidRPr="004E0D51">
        <w:rPr>
          <w:color w:val="444448"/>
        </w:rPr>
        <w:t>For most practical purposes, it may be assumed that weakly penetrating radiation includes photons of energy below about 12 keV, electrons of energy less than about 2 MeV, and massive charged particles such as protons and alpha particles.</w:t>
      </w:r>
    </w:p>
    <w:p w14:paraId="704671D9" w14:textId="06E64E12" w:rsidR="002375CC" w:rsidRPr="00C738A4" w:rsidRDefault="00B56EE8" w:rsidP="002375CC">
      <w:pPr>
        <w:pStyle w:val="GlossaryTerm"/>
        <w:keepNext w:val="0"/>
      </w:pPr>
      <w:r>
        <w:t>Radiation S</w:t>
      </w:r>
      <w:r w:rsidR="002375CC" w:rsidRPr="00C738A4">
        <w:t>ource</w:t>
      </w:r>
    </w:p>
    <w:p w14:paraId="598A7E8D" w14:textId="77777777" w:rsidR="002375CC" w:rsidRDefault="002375CC" w:rsidP="002375CC">
      <w:pPr>
        <w:pStyle w:val="Glossarydescription"/>
        <w:spacing w:before="60" w:after="240"/>
      </w:pPr>
      <w:r w:rsidRPr="00D86680">
        <w:rPr>
          <w:color w:val="auto"/>
        </w:rPr>
        <w:t xml:space="preserve">Anything that may cause radiation exposure — such as by emitting ionising radiation or by releasing radioactive substances or radioactive material — and can be treated as a single entity for purposes of </w:t>
      </w:r>
      <w:r w:rsidRPr="008F3FA7">
        <w:rPr>
          <w:color w:val="auto"/>
        </w:rPr>
        <w:t>protection and safety.</w:t>
      </w:r>
    </w:p>
    <w:p w14:paraId="6B6C211C" w14:textId="4881C596" w:rsidR="002375CC" w:rsidRDefault="00B56EE8" w:rsidP="002375CC">
      <w:pPr>
        <w:pStyle w:val="GlossaryTerm"/>
        <w:keepNext w:val="0"/>
      </w:pPr>
      <w:r>
        <w:t>Radiation W</w:t>
      </w:r>
      <w:r w:rsidR="002375CC">
        <w:t xml:space="preserve">eighting </w:t>
      </w:r>
      <w:r>
        <w:rPr>
          <w:color w:val="4E1A74"/>
        </w:rPr>
        <w:t>F</w:t>
      </w:r>
      <w:r w:rsidR="002375CC" w:rsidRPr="00C4147E">
        <w:rPr>
          <w:color w:val="4E1A74"/>
        </w:rPr>
        <w:t>actor</w:t>
      </w:r>
      <w:r w:rsidR="002375CC">
        <w:t xml:space="preserve">, </w:t>
      </w:r>
      <w:r w:rsidR="002375CC" w:rsidRPr="00E66AEF">
        <w:rPr>
          <w:i/>
        </w:rPr>
        <w:t>w</w:t>
      </w:r>
      <w:r w:rsidR="002375CC" w:rsidRPr="00E66AEF">
        <w:rPr>
          <w:vertAlign w:val="subscript"/>
        </w:rPr>
        <w:t>R</w:t>
      </w:r>
    </w:p>
    <w:p w14:paraId="2E3F251C" w14:textId="77777777" w:rsidR="002375CC" w:rsidRPr="00C4147E" w:rsidRDefault="002375CC" w:rsidP="002375CC">
      <w:pPr>
        <w:pStyle w:val="Glossarydescription"/>
        <w:spacing w:before="60" w:after="240"/>
        <w:rPr>
          <w:color w:val="444448"/>
        </w:rPr>
      </w:pPr>
      <w:r w:rsidRPr="00C4147E">
        <w:rPr>
          <w:color w:val="444448"/>
        </w:rPr>
        <w:t xml:space="preserve">A number by which the absorbed dose in a tissue or organ is multiplied to reflect the relative biological effectiveness of the radiation in inducing stochastic effects at low doses, the result being the </w:t>
      </w:r>
      <w:r w:rsidRPr="008F3FA7">
        <w:rPr>
          <w:color w:val="auto"/>
        </w:rPr>
        <w:t>equivalent dose.</w:t>
      </w:r>
    </w:p>
    <w:p w14:paraId="2D7CAEF8" w14:textId="77777777" w:rsidR="003467C2" w:rsidRPr="00A45691" w:rsidRDefault="003467C2" w:rsidP="00795AB0">
      <w:pPr>
        <w:pStyle w:val="GlossaryTerm"/>
      </w:pPr>
      <w:r w:rsidRPr="00963CF7">
        <w:lastRenderedPageBreak/>
        <w:t>Radioactive Material</w:t>
      </w:r>
    </w:p>
    <w:p w14:paraId="52D31F61" w14:textId="401D0BBD" w:rsidR="002375CC" w:rsidRPr="00C4147E" w:rsidRDefault="002375CC" w:rsidP="002375CC">
      <w:pPr>
        <w:pStyle w:val="Glossarydescription"/>
        <w:spacing w:before="60" w:after="240"/>
        <w:rPr>
          <w:color w:val="444448"/>
        </w:rPr>
      </w:pPr>
      <w:r w:rsidRPr="00C4147E">
        <w:rPr>
          <w:color w:val="444448"/>
        </w:rPr>
        <w:t>Scientific meaning: Material exhibiting radioactivity; emitting</w:t>
      </w:r>
      <w:r w:rsidR="00A93E29">
        <w:rPr>
          <w:color w:val="444448"/>
        </w:rPr>
        <w:t>,</w:t>
      </w:r>
      <w:r w:rsidRPr="00C4147E">
        <w:rPr>
          <w:color w:val="444448"/>
        </w:rPr>
        <w:t xml:space="preserve"> or relating to the emission of</w:t>
      </w:r>
      <w:r w:rsidR="00A93E29">
        <w:rPr>
          <w:color w:val="444448"/>
        </w:rPr>
        <w:t>,</w:t>
      </w:r>
      <w:r w:rsidRPr="00C4147E">
        <w:rPr>
          <w:color w:val="444448"/>
        </w:rPr>
        <w:t xml:space="preserve"> ionising radiation or particles.</w:t>
      </w:r>
    </w:p>
    <w:p w14:paraId="0867A0E9" w14:textId="4C081C88" w:rsidR="002375CC" w:rsidRPr="00C4147E" w:rsidRDefault="002375CC" w:rsidP="002375CC">
      <w:pPr>
        <w:pStyle w:val="Glossarydescription"/>
        <w:spacing w:before="60" w:after="240"/>
        <w:rPr>
          <w:color w:val="444448"/>
        </w:rPr>
      </w:pPr>
      <w:r w:rsidRPr="00C4147E">
        <w:rPr>
          <w:color w:val="444448"/>
        </w:rPr>
        <w:t>Regulatory meaning: Material designated by the relevant regulatory authority as being subject to regulatory contro</w:t>
      </w:r>
      <w:r w:rsidR="00A93E29">
        <w:rPr>
          <w:color w:val="444448"/>
        </w:rPr>
        <w:t>l because of its radioactivity.</w:t>
      </w:r>
    </w:p>
    <w:p w14:paraId="7D345627" w14:textId="77777777" w:rsidR="003467C2" w:rsidRPr="00A45691" w:rsidRDefault="003467C2" w:rsidP="00795AB0">
      <w:pPr>
        <w:pStyle w:val="GlossaryTerm"/>
        <w:rPr>
          <w:bCs/>
        </w:rPr>
      </w:pPr>
      <w:r w:rsidRPr="00297D05">
        <w:t>Radioactive</w:t>
      </w:r>
      <w:r w:rsidRPr="00A45691">
        <w:rPr>
          <w:bCs/>
        </w:rPr>
        <w:t xml:space="preserve"> Waste</w:t>
      </w:r>
    </w:p>
    <w:p w14:paraId="5BDA012A" w14:textId="49ABC01E"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 xml:space="preserve">‘Radioactive waste’ is defined for regulatory purposes as </w:t>
      </w:r>
      <w:r w:rsidR="002375CC">
        <w:rPr>
          <w:rFonts w:asciiTheme="minorHAnsi" w:hAnsiTheme="minorHAnsi"/>
          <w:color w:val="444448" w:themeColor="accent4"/>
          <w:szCs w:val="22"/>
        </w:rPr>
        <w:t>material for which no further use is for</w:t>
      </w:r>
      <w:r w:rsidR="00F1509B">
        <w:rPr>
          <w:rFonts w:asciiTheme="minorHAnsi" w:hAnsiTheme="minorHAnsi"/>
          <w:color w:val="444448" w:themeColor="accent4"/>
          <w:szCs w:val="22"/>
        </w:rPr>
        <w:t>e</w:t>
      </w:r>
      <w:r w:rsidR="002375CC">
        <w:rPr>
          <w:rFonts w:asciiTheme="minorHAnsi" w:hAnsiTheme="minorHAnsi"/>
          <w:color w:val="444448" w:themeColor="accent4"/>
          <w:szCs w:val="22"/>
        </w:rPr>
        <w:t>seen that contains, or is contaminated with, radionuclides at concentrations</w:t>
      </w:r>
      <w:r w:rsidRPr="00F65CC4">
        <w:rPr>
          <w:rFonts w:asciiTheme="minorHAnsi" w:hAnsiTheme="minorHAnsi"/>
          <w:color w:val="444448" w:themeColor="accent4"/>
          <w:szCs w:val="22"/>
        </w:rPr>
        <w:t xml:space="preserve"> </w:t>
      </w:r>
      <w:r w:rsidR="00A93E29">
        <w:rPr>
          <w:rFonts w:asciiTheme="minorHAnsi" w:hAnsiTheme="minorHAnsi"/>
          <w:color w:val="444448" w:themeColor="accent4"/>
          <w:szCs w:val="22"/>
        </w:rPr>
        <w:t xml:space="preserve">or activities </w:t>
      </w:r>
      <w:r w:rsidRPr="00F65CC4">
        <w:rPr>
          <w:rFonts w:asciiTheme="minorHAnsi" w:hAnsiTheme="minorHAnsi"/>
          <w:color w:val="444448" w:themeColor="accent4"/>
          <w:szCs w:val="22"/>
        </w:rPr>
        <w:t xml:space="preserve">greater than clearance levels as established by the </w:t>
      </w:r>
      <w:r w:rsidR="002375CC">
        <w:rPr>
          <w:rFonts w:asciiTheme="minorHAnsi" w:hAnsiTheme="minorHAnsi"/>
          <w:color w:val="444448" w:themeColor="accent4"/>
          <w:szCs w:val="22"/>
        </w:rPr>
        <w:t xml:space="preserve">relevant </w:t>
      </w:r>
      <w:r w:rsidRPr="00F65CC4">
        <w:rPr>
          <w:rFonts w:asciiTheme="minorHAnsi" w:hAnsiTheme="minorHAnsi"/>
          <w:color w:val="444448" w:themeColor="accent4"/>
          <w:szCs w:val="22"/>
        </w:rPr>
        <w:t xml:space="preserve">regulatory </w:t>
      </w:r>
      <w:r w:rsidR="00A93E29">
        <w:rPr>
          <w:rFonts w:asciiTheme="minorHAnsi" w:hAnsiTheme="minorHAnsi"/>
          <w:color w:val="444448" w:themeColor="accent4"/>
          <w:szCs w:val="22"/>
        </w:rPr>
        <w:t xml:space="preserve">authority. </w:t>
      </w:r>
      <w:r w:rsidR="00A93E29" w:rsidRPr="00A93E29">
        <w:rPr>
          <w:rFonts w:asciiTheme="minorHAnsi" w:hAnsiTheme="minorHAnsi"/>
          <w:color w:val="444448" w:themeColor="accent4"/>
          <w:szCs w:val="22"/>
        </w:rPr>
        <w:t>Radioactive waste comprises radioactive material in solid, liquid or gaseous form but only solid radioactive waste is suitable for disposal under the scope of this Code.</w:t>
      </w:r>
    </w:p>
    <w:p w14:paraId="556B90C8" w14:textId="77777777" w:rsidR="003467C2" w:rsidRPr="00A45691" w:rsidRDefault="003467C2" w:rsidP="00795AB0">
      <w:pPr>
        <w:pStyle w:val="GlossaryTerm"/>
      </w:pPr>
      <w:r w:rsidRPr="00A37F5B">
        <w:t>Relevant Regulatory Authority</w:t>
      </w:r>
    </w:p>
    <w:p w14:paraId="643FA48C" w14:textId="2A9BBEAD" w:rsidR="002375CC" w:rsidRDefault="002375CC" w:rsidP="002375CC">
      <w:pPr>
        <w:pStyle w:val="Glossarydescription"/>
        <w:spacing w:before="60" w:after="240"/>
        <w:rPr>
          <w:color w:val="444448"/>
        </w:rPr>
      </w:pPr>
      <w:r w:rsidRPr="00C4147E">
        <w:rPr>
          <w:color w:val="444448"/>
        </w:rPr>
        <w:t xml:space="preserve">The radiation protection authority or authorities designated, or otherwise recognised, for regulatory purposes in connection with protection and safety relating to applications of ionising radiation. A list of relevant regulatory authorities in Australia can be found on ARPANSA’s website at </w:t>
      </w:r>
      <w:hyperlink r:id="rId41" w:history="1">
        <w:r w:rsidRPr="001B24BC">
          <w:rPr>
            <w:rStyle w:val="Hyperlink"/>
            <w:color w:val="2E74B5"/>
          </w:rPr>
          <w:t>www.arpansa.gov.au/Regulation/Regulators</w:t>
        </w:r>
      </w:hyperlink>
      <w:r w:rsidRPr="00C4147E">
        <w:rPr>
          <w:color w:val="444448"/>
        </w:rPr>
        <w:t>.</w:t>
      </w:r>
    </w:p>
    <w:p w14:paraId="24B421C0" w14:textId="64D5A2C0" w:rsidR="00B56EE8" w:rsidRPr="00EA59D9" w:rsidRDefault="00B56EE8" w:rsidP="00B56EE8">
      <w:pPr>
        <w:pStyle w:val="GlossaryTerm"/>
      </w:pPr>
      <w:r>
        <w:t>Responsible Person</w:t>
      </w:r>
    </w:p>
    <w:p w14:paraId="0780DC4B" w14:textId="15E75F0C" w:rsidR="00B56EE8" w:rsidRDefault="00B56EE8" w:rsidP="000F54F2">
      <w:pPr>
        <w:autoSpaceDE w:val="0"/>
        <w:autoSpaceDN w:val="0"/>
        <w:adjustRightInd w:val="0"/>
        <w:spacing w:before="120" w:line="276" w:lineRule="auto"/>
        <w:rPr>
          <w:rFonts w:ascii="Calibri" w:eastAsia="Calibri" w:hAnsi="Calibri" w:cs="Courier New"/>
          <w:color w:val="444448"/>
        </w:rPr>
      </w:pPr>
      <w:r w:rsidRPr="00B56EE8">
        <w:rPr>
          <w:rFonts w:ascii="Calibri" w:eastAsia="Calibri" w:hAnsi="Calibri" w:cs="Courier New"/>
          <w:color w:val="444448"/>
        </w:rPr>
        <w:t>In relation to any radiation source, prescribed radiation facility or premises on which radiation</w:t>
      </w:r>
      <w:r>
        <w:rPr>
          <w:rFonts w:ascii="Calibri" w:eastAsia="Calibri" w:hAnsi="Calibri" w:cs="Courier New"/>
          <w:color w:val="444448"/>
        </w:rPr>
        <w:t xml:space="preserve"> </w:t>
      </w:r>
      <w:r w:rsidRPr="00B56EE8">
        <w:rPr>
          <w:rFonts w:ascii="Calibri" w:eastAsia="Calibri" w:hAnsi="Calibri" w:cs="Courier New"/>
          <w:color w:val="444448"/>
        </w:rPr>
        <w:t>sources are stored or used</w:t>
      </w:r>
      <w:r>
        <w:rPr>
          <w:rFonts w:ascii="Calibri" w:eastAsia="Calibri" w:hAnsi="Calibri" w:cs="Courier New"/>
          <w:color w:val="444448"/>
        </w:rPr>
        <w:t>,</w:t>
      </w:r>
      <w:r w:rsidRPr="00B56EE8">
        <w:rPr>
          <w:rFonts w:ascii="Calibri" w:eastAsia="Calibri" w:hAnsi="Calibri" w:cs="Courier New"/>
          <w:color w:val="444448"/>
        </w:rPr>
        <w:t xml:space="preserve"> means the legal person:</w:t>
      </w:r>
    </w:p>
    <w:p w14:paraId="2CCB4318" w14:textId="4073564A" w:rsidR="00B56EE8" w:rsidRPr="00B56EE8" w:rsidRDefault="00B56EE8" w:rsidP="000F54F2">
      <w:pPr>
        <w:pStyle w:val="ListParagraph"/>
        <w:numPr>
          <w:ilvl w:val="0"/>
          <w:numId w:val="61"/>
        </w:numPr>
        <w:autoSpaceDE w:val="0"/>
        <w:autoSpaceDN w:val="0"/>
        <w:adjustRightInd w:val="0"/>
        <w:spacing w:line="276" w:lineRule="auto"/>
        <w:rPr>
          <w:rFonts w:ascii="Calibri" w:eastAsia="Calibri" w:hAnsi="Calibri" w:cs="Courier New"/>
          <w:color w:val="444448"/>
        </w:rPr>
      </w:pPr>
      <w:r w:rsidRPr="00B56EE8">
        <w:rPr>
          <w:rFonts w:ascii="Calibri" w:hAnsi="Calibri" w:cs="Calibri"/>
          <w:color w:val="262626"/>
        </w:rPr>
        <w:t>having overall management responsibility including responsibility for the security and</w:t>
      </w:r>
      <w:r>
        <w:rPr>
          <w:rFonts w:ascii="Calibri" w:hAnsi="Calibri" w:cs="Calibri"/>
          <w:color w:val="262626"/>
        </w:rPr>
        <w:t xml:space="preserve"> </w:t>
      </w:r>
      <w:r w:rsidRPr="00B56EE8">
        <w:rPr>
          <w:rFonts w:ascii="Calibri" w:hAnsi="Calibri" w:cs="Calibri"/>
          <w:color w:val="262626"/>
        </w:rPr>
        <w:t>maintenance of the radiation source, facility or premises</w:t>
      </w:r>
    </w:p>
    <w:p w14:paraId="0CD9B87A" w14:textId="29643953" w:rsidR="00B56EE8" w:rsidRPr="00B56EE8" w:rsidRDefault="00B56EE8" w:rsidP="000F54F2">
      <w:pPr>
        <w:pStyle w:val="ListParagraph"/>
        <w:numPr>
          <w:ilvl w:val="0"/>
          <w:numId w:val="61"/>
        </w:numPr>
        <w:autoSpaceDE w:val="0"/>
        <w:autoSpaceDN w:val="0"/>
        <w:adjustRightInd w:val="0"/>
        <w:spacing w:line="276" w:lineRule="auto"/>
        <w:rPr>
          <w:rFonts w:ascii="Calibri" w:eastAsia="Calibri" w:hAnsi="Calibri" w:cs="Courier New"/>
          <w:color w:val="444448"/>
        </w:rPr>
      </w:pPr>
      <w:r w:rsidRPr="00B56EE8">
        <w:rPr>
          <w:rFonts w:ascii="Calibri" w:hAnsi="Calibri" w:cs="Calibri"/>
          <w:color w:val="262626"/>
        </w:rPr>
        <w:t>having overall control over who may use the radiation source, facility or premises</w:t>
      </w:r>
    </w:p>
    <w:p w14:paraId="33EEC439" w14:textId="758CB434" w:rsidR="00B56EE8" w:rsidRPr="00B56EE8" w:rsidRDefault="00B56EE8" w:rsidP="000F54F2">
      <w:pPr>
        <w:pStyle w:val="ListParagraph"/>
        <w:numPr>
          <w:ilvl w:val="0"/>
          <w:numId w:val="61"/>
        </w:numPr>
        <w:autoSpaceDE w:val="0"/>
        <w:autoSpaceDN w:val="0"/>
        <w:adjustRightInd w:val="0"/>
        <w:spacing w:line="276" w:lineRule="auto"/>
        <w:rPr>
          <w:rFonts w:ascii="Calibri" w:eastAsia="Calibri" w:hAnsi="Calibri" w:cs="Courier New"/>
          <w:color w:val="444448"/>
        </w:rPr>
      </w:pPr>
      <w:r w:rsidRPr="00B56EE8">
        <w:rPr>
          <w:rFonts w:ascii="Calibri" w:hAnsi="Calibri" w:cs="Calibri"/>
          <w:color w:val="262626"/>
        </w:rPr>
        <w:t>in whose name the radiation source, facility or premises would be registered if this is</w:t>
      </w:r>
      <w:r>
        <w:rPr>
          <w:rFonts w:ascii="Calibri" w:hAnsi="Calibri" w:cs="Calibri"/>
          <w:color w:val="262626"/>
        </w:rPr>
        <w:t xml:space="preserve"> </w:t>
      </w:r>
      <w:r w:rsidRPr="00B56EE8">
        <w:rPr>
          <w:rFonts w:ascii="Calibri" w:hAnsi="Calibri" w:cs="Calibri"/>
          <w:color w:val="262626"/>
        </w:rPr>
        <w:t>required.</w:t>
      </w:r>
    </w:p>
    <w:p w14:paraId="41DA3A13" w14:textId="77777777" w:rsidR="003467C2" w:rsidRPr="00EA59D9" w:rsidRDefault="003467C2" w:rsidP="00795AB0">
      <w:pPr>
        <w:pStyle w:val="GlossaryTerm"/>
      </w:pPr>
      <w:r w:rsidRPr="00EA59D9">
        <w:t>Retrievability</w:t>
      </w:r>
    </w:p>
    <w:p w14:paraId="6BF2B5D4" w14:textId="6231271D"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ability in principle to recover waste or entire waste packages once they have been emp</w:t>
      </w:r>
      <w:r w:rsidR="00175726">
        <w:rPr>
          <w:rFonts w:asciiTheme="minorHAnsi" w:hAnsiTheme="minorHAnsi"/>
          <w:color w:val="444448" w:themeColor="accent4"/>
          <w:szCs w:val="22"/>
        </w:rPr>
        <w:t>laced in the disposal facility.</w:t>
      </w:r>
      <w:r w:rsidRPr="00F65CC4">
        <w:rPr>
          <w:rFonts w:asciiTheme="minorHAnsi" w:hAnsiTheme="minorHAnsi"/>
          <w:color w:val="444448" w:themeColor="accent4"/>
          <w:szCs w:val="22"/>
        </w:rPr>
        <w:t xml:space="preserve"> For a waste disposal facility, retrievability denotes making provisions in order, should it be required, to allow retrieval, which is the concrete action of removal of the waste.</w:t>
      </w:r>
    </w:p>
    <w:p w14:paraId="5936786E" w14:textId="77777777" w:rsidR="003467C2" w:rsidRPr="00EA59D9" w:rsidRDefault="003467C2" w:rsidP="00795AB0">
      <w:pPr>
        <w:pStyle w:val="GlossaryTerm"/>
      </w:pPr>
      <w:r w:rsidRPr="00EA59D9">
        <w:t>Reversibility</w:t>
      </w:r>
    </w:p>
    <w:p w14:paraId="19B6FBE4"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The ability in principle to reverse or reconsider decisions taken during the progressive implementation of a waste disposal facility.</w:t>
      </w:r>
    </w:p>
    <w:p w14:paraId="2434769B" w14:textId="77777777" w:rsidR="002375CC" w:rsidRDefault="002375CC" w:rsidP="002375CC">
      <w:pPr>
        <w:pStyle w:val="GlossaryTerm"/>
      </w:pPr>
      <w:r>
        <w:t>Safety</w:t>
      </w:r>
    </w:p>
    <w:p w14:paraId="0BB6D887" w14:textId="77777777" w:rsidR="002375CC" w:rsidRPr="00C4147E" w:rsidRDefault="002375CC" w:rsidP="002375CC">
      <w:pPr>
        <w:pStyle w:val="Glossarydescription"/>
        <w:keepLines/>
        <w:spacing w:before="60" w:after="120"/>
        <w:rPr>
          <w:color w:val="444448"/>
        </w:rPr>
      </w:pPr>
      <w:r w:rsidRPr="00C4147E">
        <w:rPr>
          <w:color w:val="444448"/>
        </w:rPr>
        <w:t>For the purposes of this Code, ‘safety’ means the protection of people and the environment against radiation risks, and the safety of facilities and activities that give rise to radiation risks.  ‘Safety’ as used here includes the safety of nuclear installations, radiation safety, the safety of radioactive waste management and safety in the transport of radioactive material; it does not include non-radiation-related aspects of safety.</w:t>
      </w:r>
    </w:p>
    <w:p w14:paraId="009D59B6" w14:textId="77777777" w:rsidR="002375CC" w:rsidRDefault="002375CC" w:rsidP="002375CC">
      <w:pPr>
        <w:pStyle w:val="Glossarydescription"/>
        <w:spacing w:before="0" w:after="240"/>
        <w:rPr>
          <w:color w:val="444448"/>
        </w:rPr>
      </w:pPr>
      <w:r w:rsidRPr="00C4147E">
        <w:rPr>
          <w:color w:val="444448"/>
        </w:rPr>
        <w:lastRenderedPageBreak/>
        <w:t>Safety is concerned with both radiation risks under normal circumstances and radiation risks as a consequence of incidents,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14:paraId="4889EEB9" w14:textId="77777777" w:rsidR="003467C2" w:rsidRPr="00A45691" w:rsidRDefault="003467C2" w:rsidP="00795AB0">
      <w:pPr>
        <w:pStyle w:val="GlossaryTerm"/>
      </w:pPr>
      <w:r w:rsidRPr="00297D05">
        <w:t>Safety</w:t>
      </w:r>
      <w:r w:rsidRPr="00A45691">
        <w:t xml:space="preserve"> Assessment</w:t>
      </w:r>
    </w:p>
    <w:p w14:paraId="6E98176E" w14:textId="6805EF3B"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Assessment of all aspects of a practice that are relevant to protection and safety; for a disposal facility, this includes siting, design and construction, operation and closure o</w:t>
      </w:r>
      <w:r w:rsidR="00175726">
        <w:rPr>
          <w:rFonts w:asciiTheme="minorHAnsi" w:hAnsiTheme="minorHAnsi"/>
          <w:color w:val="444448" w:themeColor="accent4"/>
          <w:szCs w:val="22"/>
        </w:rPr>
        <w:t xml:space="preserve">f the facility. </w:t>
      </w:r>
      <w:r w:rsidRPr="00F65CC4">
        <w:rPr>
          <w:rFonts w:asciiTheme="minorHAnsi" w:hAnsiTheme="minorHAnsi"/>
          <w:color w:val="444448" w:themeColor="accent4"/>
          <w:szCs w:val="22"/>
        </w:rPr>
        <w:t>This will normally include formalised risk assessment.</w:t>
      </w:r>
    </w:p>
    <w:p w14:paraId="5BC7CA33" w14:textId="77777777" w:rsidR="003467C2" w:rsidRPr="00A45691" w:rsidRDefault="003467C2" w:rsidP="00795AB0">
      <w:pPr>
        <w:pStyle w:val="GlossaryTerm"/>
      </w:pPr>
      <w:r w:rsidRPr="00A45691">
        <w:t>Safety Case</w:t>
      </w:r>
    </w:p>
    <w:p w14:paraId="1AA4EE75" w14:textId="77777777"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 collection of arguments and evidence in support of the safety of a facility or activity. This will normally include the findings of a safety assessment and a statement of confidence in these findings together with any safety analysis report that is a regulatory requirement. For a disposal facility, the safety case may relate to a given stage of development. In such cases, the safety case should acknowledge the existence of any unresolved issues and should provide guidance for work to resolve these issues in future development stages.</w:t>
      </w:r>
    </w:p>
    <w:p w14:paraId="6195C995" w14:textId="77777777" w:rsidR="00EC0ED6" w:rsidRDefault="00EC0ED6" w:rsidP="00EC0ED6">
      <w:pPr>
        <w:pStyle w:val="GlossaryTerm"/>
        <w:keepNext w:val="0"/>
      </w:pPr>
      <w:r>
        <w:t>Security</w:t>
      </w:r>
    </w:p>
    <w:p w14:paraId="4A634B8B" w14:textId="77777777" w:rsidR="00EC0ED6" w:rsidRDefault="00EC0ED6" w:rsidP="00EC0ED6">
      <w:pPr>
        <w:pStyle w:val="Glossarydescription"/>
        <w:spacing w:before="60" w:after="120"/>
        <w:rPr>
          <w:color w:val="444448"/>
        </w:rPr>
      </w:pPr>
      <w:r w:rsidRPr="00C4147E">
        <w:rPr>
          <w:color w:val="444448"/>
        </w:rPr>
        <w:t>The prevention of, detection of, and response to, criminal or intentional unauthorised acts involving or directed at nuclear material, other radioactive material, associated facilities, or associated activities.</w:t>
      </w:r>
    </w:p>
    <w:p w14:paraId="357CFE8D" w14:textId="77777777" w:rsidR="003467C2" w:rsidRPr="00A45691" w:rsidRDefault="003467C2" w:rsidP="00795AB0">
      <w:pPr>
        <w:pStyle w:val="GlossaryTerm"/>
      </w:pPr>
      <w:r w:rsidRPr="00A45691">
        <w:t>Storage</w:t>
      </w:r>
    </w:p>
    <w:p w14:paraId="173E41BD" w14:textId="5607B10D" w:rsidR="003467C2" w:rsidRPr="00F65CC4" w:rsidRDefault="00EC0ED6" w:rsidP="003467C2">
      <w:pPr>
        <w:pStyle w:val="RPSSchedAnnexText"/>
        <w:numPr>
          <w:ilvl w:val="0"/>
          <w:numId w:val="0"/>
        </w:numPr>
        <w:spacing w:before="120"/>
        <w:jc w:val="left"/>
        <w:rPr>
          <w:rFonts w:asciiTheme="minorHAnsi" w:hAnsiTheme="minorHAnsi"/>
          <w:color w:val="444448" w:themeColor="accent4"/>
          <w:szCs w:val="22"/>
        </w:rPr>
      </w:pPr>
      <w:r>
        <w:rPr>
          <w:rFonts w:asciiTheme="minorHAnsi" w:hAnsiTheme="minorHAnsi"/>
          <w:color w:val="444448" w:themeColor="accent4"/>
          <w:szCs w:val="22"/>
        </w:rPr>
        <w:t xml:space="preserve">The holding of radioactive sources, radioactive material, spent fuel </w:t>
      </w:r>
      <w:r w:rsidR="00BD7F8B">
        <w:rPr>
          <w:rFonts w:asciiTheme="minorHAnsi" w:hAnsiTheme="minorHAnsi"/>
          <w:color w:val="444448" w:themeColor="accent4"/>
          <w:szCs w:val="22"/>
        </w:rPr>
        <w:t>and/</w:t>
      </w:r>
      <w:r>
        <w:rPr>
          <w:rFonts w:asciiTheme="minorHAnsi" w:hAnsiTheme="minorHAnsi"/>
          <w:color w:val="444448" w:themeColor="accent4"/>
          <w:szCs w:val="22"/>
        </w:rPr>
        <w:t>or radioactive waste in a facility that provides for their/its containment, with an intention of retrieval.</w:t>
      </w:r>
    </w:p>
    <w:p w14:paraId="6F894FCA" w14:textId="22E7366F" w:rsidR="00EC0ED6" w:rsidRPr="00C67D88" w:rsidRDefault="00B56EE8" w:rsidP="00EC0ED6">
      <w:pPr>
        <w:pStyle w:val="GlossaryTerm"/>
      </w:pPr>
      <w:r>
        <w:t>Tissue Weighting F</w:t>
      </w:r>
      <w:r w:rsidR="00EC0ED6" w:rsidRPr="00C67D88">
        <w:t xml:space="preserve">actor, </w:t>
      </w:r>
      <w:r w:rsidR="00EC0ED6" w:rsidRPr="00C67D88">
        <w:rPr>
          <w:i/>
        </w:rPr>
        <w:t>w</w:t>
      </w:r>
      <w:r w:rsidR="00EC0ED6" w:rsidRPr="00C67D88">
        <w:rPr>
          <w:vertAlign w:val="subscript"/>
        </w:rPr>
        <w:t>T</w:t>
      </w:r>
    </w:p>
    <w:p w14:paraId="01C6FC30" w14:textId="77777777" w:rsidR="00EC0ED6" w:rsidRPr="00C67D88" w:rsidRDefault="00EC0ED6" w:rsidP="00EC0ED6">
      <w:pPr>
        <w:spacing w:before="60" w:after="120"/>
        <w:rPr>
          <w:rFonts w:cs="Courier New"/>
        </w:rPr>
      </w:pPr>
      <w:r w:rsidRPr="00C67D88">
        <w:rPr>
          <w:rFonts w:cs="Courier New"/>
        </w:rPr>
        <w:t>Multiplier of the equivalent dose to a tissue or organ used to account for the different sensitivities of different tissues or</w:t>
      </w:r>
      <w:r>
        <w:rPr>
          <w:rFonts w:cs="Courier New"/>
        </w:rPr>
        <w:t xml:space="preserve"> </w:t>
      </w:r>
      <w:r w:rsidRPr="00C67D88">
        <w:rPr>
          <w:rFonts w:cs="Courier New"/>
        </w:rPr>
        <w:t>organs to the induction of stochastic effects of radiation.</w:t>
      </w:r>
    </w:p>
    <w:p w14:paraId="6B17D2BC" w14:textId="596A76E8" w:rsidR="003467C2" w:rsidRPr="00A45691" w:rsidRDefault="003467C2" w:rsidP="00795AB0">
      <w:pPr>
        <w:pStyle w:val="GlossaryTerm"/>
        <w:rPr>
          <w:bCs/>
        </w:rPr>
      </w:pPr>
      <w:r w:rsidRPr="00297D05">
        <w:t>Wildlife</w:t>
      </w:r>
    </w:p>
    <w:p w14:paraId="0BFC6F16" w14:textId="608C3B7C" w:rsidR="003467C2" w:rsidRPr="00F65CC4" w:rsidRDefault="003467C2" w:rsidP="003467C2">
      <w:pPr>
        <w:pStyle w:val="RPSSchedAnnexText"/>
        <w:numPr>
          <w:ilvl w:val="0"/>
          <w:numId w:val="0"/>
        </w:numPr>
        <w:spacing w:before="120"/>
        <w:jc w:val="left"/>
        <w:rPr>
          <w:rFonts w:asciiTheme="minorHAnsi" w:hAnsiTheme="minorHAnsi"/>
          <w:color w:val="444448" w:themeColor="accent4"/>
          <w:szCs w:val="22"/>
        </w:rPr>
      </w:pPr>
      <w:r w:rsidRPr="00F65CC4">
        <w:rPr>
          <w:rFonts w:asciiTheme="minorHAnsi" w:hAnsiTheme="minorHAnsi"/>
          <w:color w:val="444448" w:themeColor="accent4"/>
          <w:szCs w:val="22"/>
        </w:rPr>
        <w:t>An animal or plant living within its natural environment.</w:t>
      </w:r>
    </w:p>
    <w:p w14:paraId="6E3E4AF9" w14:textId="77777777" w:rsidR="003467C2" w:rsidRPr="00297D05" w:rsidRDefault="003467C2" w:rsidP="003467C2">
      <w:pPr>
        <w:pStyle w:val="RPSSchedAnnexText"/>
        <w:numPr>
          <w:ilvl w:val="0"/>
          <w:numId w:val="0"/>
        </w:numPr>
        <w:tabs>
          <w:tab w:val="left" w:pos="284"/>
        </w:tabs>
        <w:spacing w:before="120"/>
        <w:ind w:left="284"/>
        <w:rPr>
          <w:rFonts w:asciiTheme="minorHAnsi" w:hAnsiTheme="minorHAnsi"/>
          <w:szCs w:val="22"/>
        </w:rPr>
        <w:sectPr w:rsidR="003467C2" w:rsidRPr="00297D05" w:rsidSect="00912E5D">
          <w:headerReference w:type="even" r:id="rId42"/>
          <w:headerReference w:type="default" r:id="rId43"/>
          <w:headerReference w:type="first" r:id="rId44"/>
          <w:pgSz w:w="11905" w:h="16837" w:code="9"/>
          <w:pgMar w:top="1134" w:right="1134" w:bottom="1134" w:left="1134" w:header="720" w:footer="454" w:gutter="0"/>
          <w:cols w:space="720"/>
        </w:sectPr>
      </w:pPr>
    </w:p>
    <w:p w14:paraId="430FB0A2" w14:textId="77777777" w:rsidR="000F6297" w:rsidRPr="00933C78" w:rsidRDefault="000F6297" w:rsidP="000F6297">
      <w:pPr>
        <w:pStyle w:val="Schedule"/>
        <w:pBdr>
          <w:bottom w:val="single" w:sz="4" w:space="1" w:color="auto"/>
        </w:pBdr>
        <w:spacing w:before="0"/>
        <w:ind w:left="1559" w:hanging="1559"/>
      </w:pPr>
      <w:bookmarkStart w:id="156" w:name="_Toc524085230"/>
      <w:bookmarkStart w:id="157" w:name="_Toc495493193"/>
      <w:r>
        <w:lastRenderedPageBreak/>
        <w:t>References</w:t>
      </w:r>
      <w:bookmarkEnd w:id="156"/>
    </w:p>
    <w:p w14:paraId="4836F2B0" w14:textId="6E226066" w:rsidR="00557F4A" w:rsidRDefault="00557F4A" w:rsidP="005F4B25">
      <w:pPr>
        <w:ind w:left="426" w:hanging="426"/>
      </w:pPr>
      <w:r>
        <w:t>Archives Act 1983</w:t>
      </w:r>
      <w:r w:rsidR="00B96540">
        <w:t xml:space="preserve"> (Cth)</w:t>
      </w:r>
      <w:r>
        <w:t xml:space="preserve">. </w:t>
      </w:r>
      <w:r w:rsidRPr="0029182C">
        <w:t>Federal Register of Legislation</w:t>
      </w:r>
    </w:p>
    <w:p w14:paraId="77EBB60F" w14:textId="0D40E3C4" w:rsidR="005F4B25" w:rsidRDefault="003F495A" w:rsidP="005F4B25">
      <w:pPr>
        <w:ind w:left="426" w:hanging="426"/>
      </w:pPr>
      <w:r w:rsidRPr="003F495A">
        <w:t xml:space="preserve">ARPANSA </w:t>
      </w:r>
      <w:r w:rsidR="00240F0C">
        <w:t>2005</w:t>
      </w:r>
      <w:r>
        <w:t xml:space="preserve">. </w:t>
      </w:r>
      <w:r w:rsidR="005F4B25" w:rsidRPr="00871F89">
        <w:t>Australian Radiation Protection and Nuclear Safety Agency</w:t>
      </w:r>
      <w:r w:rsidR="005F4B25">
        <w:t xml:space="preserve"> 2005</w:t>
      </w:r>
      <w:r w:rsidR="005F4B25" w:rsidRPr="00871F89">
        <w:t xml:space="preserve">. </w:t>
      </w:r>
      <w:r w:rsidR="005F4B25" w:rsidRPr="0029182C">
        <w:t>Code of Practice and Safety Guide</w:t>
      </w:r>
      <w:r w:rsidR="005F4B25">
        <w:rPr>
          <w:i/>
        </w:rPr>
        <w:t xml:space="preserve"> Radiation Protection and Radioactive Waste Management in Mining and Mineral Processing</w:t>
      </w:r>
      <w:r w:rsidR="005F4B25" w:rsidRPr="00871F89">
        <w:t xml:space="preserve">. Radiation Protection Series </w:t>
      </w:r>
      <w:r w:rsidR="005F4B25">
        <w:t>No. 9. [</w:t>
      </w:r>
      <w:hyperlink r:id="rId45" w:history="1">
        <w:r w:rsidR="005F4B25" w:rsidRPr="00750913">
          <w:rPr>
            <w:rStyle w:val="Hyperlink"/>
          </w:rPr>
          <w:t>https://www.arpansa.gov.au/regulation-and-licensing/regulatory-publications/radiation-protection-series/codes-and-standards/rps9</w:t>
        </w:r>
      </w:hyperlink>
      <w:r w:rsidR="005F4B25">
        <w:t xml:space="preserve">] </w:t>
      </w:r>
    </w:p>
    <w:p w14:paraId="29008B26" w14:textId="29EBF18B" w:rsidR="00FB193F" w:rsidRPr="00FB193F" w:rsidRDefault="00240F0C" w:rsidP="00FB193F">
      <w:pPr>
        <w:ind w:left="426" w:hanging="426"/>
      </w:pPr>
      <w:r>
        <w:t xml:space="preserve">ARPANSA </w:t>
      </w:r>
      <w:r w:rsidR="00FB193F">
        <w:t>2007</w:t>
      </w:r>
      <w:r w:rsidR="00FB193F" w:rsidRPr="00FB193F">
        <w:t xml:space="preserve">. Australian Radiation Protection and Nuclear Safety Agency </w:t>
      </w:r>
      <w:r w:rsidR="00FB193F">
        <w:t>2007</w:t>
      </w:r>
      <w:r w:rsidR="00FB193F" w:rsidRPr="00FB193F">
        <w:t xml:space="preserve">. </w:t>
      </w:r>
      <w:r w:rsidR="00FB193F">
        <w:t>Co</w:t>
      </w:r>
      <w:r w:rsidR="00FB193F" w:rsidRPr="00FB193F">
        <w:t xml:space="preserve">de </w:t>
      </w:r>
      <w:r w:rsidR="00FB193F">
        <w:t xml:space="preserve">of Practice </w:t>
      </w:r>
      <w:r w:rsidR="00FB193F" w:rsidRPr="00FB193F">
        <w:t xml:space="preserve">for </w:t>
      </w:r>
      <w:r w:rsidR="00FB193F" w:rsidRPr="00FB193F">
        <w:rPr>
          <w:i/>
        </w:rPr>
        <w:t>Security of Radioactive Sources</w:t>
      </w:r>
      <w:r w:rsidR="00FB193F" w:rsidRPr="00FB193F">
        <w:t>. Ra</w:t>
      </w:r>
      <w:r w:rsidR="00FB193F">
        <w:t>diation Protection Series No. 11</w:t>
      </w:r>
      <w:r w:rsidR="00FB193F" w:rsidRPr="00FB193F">
        <w:t>.</w:t>
      </w:r>
      <w:r w:rsidR="00FB193F">
        <w:t xml:space="preserve"> [</w:t>
      </w:r>
      <w:hyperlink r:id="rId46" w:history="1">
        <w:r w:rsidR="00FB193F" w:rsidRPr="00F6292F">
          <w:rPr>
            <w:rStyle w:val="Hyperlink"/>
          </w:rPr>
          <w:t>https://www.arpansa.gov.au/regulation-and-licensing/regulatory-publications/radiation-protection-series/codes-and-standards/rps11</w:t>
        </w:r>
      </w:hyperlink>
      <w:r w:rsidR="00FB193F">
        <w:t>]</w:t>
      </w:r>
    </w:p>
    <w:p w14:paraId="5E44B2DA" w14:textId="0249DB66" w:rsidR="00005866" w:rsidRDefault="00EE15CD" w:rsidP="00005866">
      <w:pPr>
        <w:ind w:left="426" w:hanging="426"/>
      </w:pPr>
      <w:r w:rsidRPr="00EE15CD">
        <w:t>ARPANSA 2008</w:t>
      </w:r>
      <w:r>
        <w:t xml:space="preserve">. </w:t>
      </w:r>
      <w:r w:rsidR="00005866" w:rsidRPr="00871F89">
        <w:t>Australian Radiation Protection and Nuclear Safety Agency</w:t>
      </w:r>
      <w:r w:rsidR="00005866">
        <w:t xml:space="preserve"> 2008</w:t>
      </w:r>
      <w:r w:rsidR="00005866" w:rsidRPr="00871F89">
        <w:t xml:space="preserve">. </w:t>
      </w:r>
      <w:r w:rsidRPr="00EE15CD">
        <w:t xml:space="preserve">Safety Guide for </w:t>
      </w:r>
      <w:r>
        <w:t xml:space="preserve">the </w:t>
      </w:r>
      <w:r w:rsidR="00005866">
        <w:rPr>
          <w:i/>
        </w:rPr>
        <w:t>Predisposal Management of Radioactive Waste</w:t>
      </w:r>
      <w:r w:rsidR="00005866" w:rsidRPr="00871F89">
        <w:t xml:space="preserve">. Radiation Protection Series </w:t>
      </w:r>
      <w:r w:rsidR="00005866">
        <w:t>No. 16. [</w:t>
      </w:r>
      <w:hyperlink r:id="rId47" w:history="1">
        <w:r w:rsidR="00005866" w:rsidRPr="00005866">
          <w:rPr>
            <w:rStyle w:val="Hyperlink"/>
          </w:rPr>
          <w:t>https://www.arpansa.gov.au/regulation-and-licensing/regulatory-publications/radiation-protection-series/guides-and-recommendations/rps16</w:t>
        </w:r>
      </w:hyperlink>
      <w:r w:rsidR="00005866">
        <w:t xml:space="preserve">] </w:t>
      </w:r>
    </w:p>
    <w:p w14:paraId="01793471" w14:textId="17292BB4" w:rsidR="005F4B25" w:rsidRDefault="00240F0C" w:rsidP="005F4B25">
      <w:pPr>
        <w:ind w:left="426" w:hanging="426"/>
      </w:pPr>
      <w:r>
        <w:t>ARPANSA 2010</w:t>
      </w:r>
      <w:r w:rsidR="00FF21C1">
        <w:t xml:space="preserve">. </w:t>
      </w:r>
      <w:r w:rsidR="005F4B25" w:rsidRPr="00871F89">
        <w:t>Australian Radiation Protection and Nuclear Safety Agency</w:t>
      </w:r>
      <w:r w:rsidR="005F4B25">
        <w:t xml:space="preserve"> 2010</w:t>
      </w:r>
      <w:r w:rsidR="005F4B25" w:rsidRPr="00871F89">
        <w:t xml:space="preserve">. </w:t>
      </w:r>
      <w:r w:rsidR="005F4B25" w:rsidRPr="0029182C">
        <w:t>Safety Guide for</w:t>
      </w:r>
      <w:r w:rsidR="005F4B25">
        <w:rPr>
          <w:i/>
        </w:rPr>
        <w:t xml:space="preserve"> Classification of Radioactive Waste</w:t>
      </w:r>
      <w:r w:rsidR="005F4B25" w:rsidRPr="00871F89">
        <w:t xml:space="preserve">. Radiation Protection Series </w:t>
      </w:r>
      <w:r w:rsidR="005F4B25">
        <w:t>No. 20. [</w:t>
      </w:r>
      <w:hyperlink r:id="rId48" w:history="1">
        <w:r w:rsidR="005F4B25" w:rsidRPr="00750913">
          <w:rPr>
            <w:rStyle w:val="Hyperlink"/>
          </w:rPr>
          <w:t>https://www.arpansa.gov.au/regulation-and-licensing/regulatory-publications/radiation-protection-series/guides-and-recommendations/rps20</w:t>
        </w:r>
      </w:hyperlink>
      <w:r w:rsidR="005F4B25">
        <w:t xml:space="preserve">] </w:t>
      </w:r>
    </w:p>
    <w:p w14:paraId="4BF80800" w14:textId="33306DA3" w:rsidR="000F6297" w:rsidRDefault="0074214A" w:rsidP="000F6297">
      <w:pPr>
        <w:ind w:left="426" w:hanging="426"/>
      </w:pPr>
      <w:r w:rsidRPr="0074214A">
        <w:t>ARPANSA 2014a</w:t>
      </w:r>
      <w:r>
        <w:t>.</w:t>
      </w:r>
      <w:r w:rsidRPr="0074214A">
        <w:t xml:space="preserve"> </w:t>
      </w:r>
      <w:r w:rsidR="000F6297" w:rsidRPr="00397DE3">
        <w:t>Australian Radiation Protection and Nuclear Safety Agency</w:t>
      </w:r>
      <w:r w:rsidR="000F6297">
        <w:t xml:space="preserve"> </w:t>
      </w:r>
      <w:r w:rsidR="000F6297" w:rsidRPr="00397DE3">
        <w:t xml:space="preserve">2014. </w:t>
      </w:r>
      <w:r w:rsidR="000F6297" w:rsidRPr="0029182C">
        <w:t>Fundamentals for</w:t>
      </w:r>
      <w:r w:rsidR="000F6297">
        <w:rPr>
          <w:i/>
        </w:rPr>
        <w:t xml:space="preserve"> Protection </w:t>
      </w:r>
      <w:r w:rsidR="000F6297" w:rsidRPr="00397DE3">
        <w:rPr>
          <w:i/>
        </w:rPr>
        <w:t>Against Ionising Radiation</w:t>
      </w:r>
      <w:r w:rsidR="000F6297" w:rsidRPr="00397DE3">
        <w:t>. Radiation Protection Series F</w:t>
      </w:r>
      <w:r w:rsidR="000F6297">
        <w:t>-</w:t>
      </w:r>
      <w:r w:rsidR="000F6297" w:rsidRPr="00397DE3">
        <w:t>1</w:t>
      </w:r>
      <w:r w:rsidR="000F6297">
        <w:t>.</w:t>
      </w:r>
      <w:r w:rsidR="000F6297">
        <w:br/>
      </w:r>
      <w:r w:rsidR="000F6297" w:rsidRPr="00397DE3">
        <w:t>[</w:t>
      </w:r>
      <w:hyperlink r:id="rId49" w:history="1">
        <w:r w:rsidR="000F6297" w:rsidRPr="006C2307">
          <w:rPr>
            <w:rStyle w:val="Hyperlink"/>
          </w:rPr>
          <w:t>https://www.arpansa.gov.au/regulation-and-licensing/regulatory-publications/radiation-protection-series/fundamentals/rpsf-1</w:t>
        </w:r>
      </w:hyperlink>
      <w:r w:rsidR="000F6297" w:rsidRPr="00397DE3">
        <w:t>]</w:t>
      </w:r>
    </w:p>
    <w:p w14:paraId="4DE01D34" w14:textId="5B218B26" w:rsidR="00640CD1" w:rsidRDefault="00240F0C" w:rsidP="00640CD1">
      <w:pPr>
        <w:ind w:left="426" w:hanging="426"/>
      </w:pPr>
      <w:r>
        <w:t>ARPANSA 2014b.</w:t>
      </w:r>
      <w:r w:rsidR="00CC79AE">
        <w:t xml:space="preserve"> </w:t>
      </w:r>
      <w:r w:rsidR="00640CD1" w:rsidRPr="00397DE3">
        <w:t>Australian Radiation Protection and Nuclear Safety Agency</w:t>
      </w:r>
      <w:r w:rsidR="00640CD1">
        <w:t xml:space="preserve"> </w:t>
      </w:r>
      <w:r w:rsidR="00640CD1" w:rsidRPr="00397DE3">
        <w:t xml:space="preserve">2014. </w:t>
      </w:r>
      <w:r w:rsidR="00640CD1" w:rsidRPr="0029182C">
        <w:t xml:space="preserve">Code for </w:t>
      </w:r>
      <w:r w:rsidR="00640CD1">
        <w:rPr>
          <w:i/>
        </w:rPr>
        <w:t>Safe Transport of Radioactive Materials</w:t>
      </w:r>
      <w:r w:rsidR="00640CD1">
        <w:t>. Radiation Protection Series C-2.</w:t>
      </w:r>
      <w:r w:rsidR="00640CD1">
        <w:br/>
      </w:r>
      <w:r w:rsidR="00640CD1" w:rsidRPr="00397DE3">
        <w:t>[</w:t>
      </w:r>
      <w:hyperlink r:id="rId50" w:history="1">
        <w:r w:rsidR="00640CD1" w:rsidRPr="00640CD1">
          <w:rPr>
            <w:rStyle w:val="Hyperlink"/>
          </w:rPr>
          <w:t>https://www.arpansa.gov.au/regulation-and-licensing/regulatory-publications/radiation-protection-series/codes-and-standards/rpsc-2</w:t>
        </w:r>
      </w:hyperlink>
      <w:r w:rsidR="00640CD1" w:rsidRPr="00397DE3">
        <w:t>]</w:t>
      </w:r>
    </w:p>
    <w:p w14:paraId="0557B6FA" w14:textId="6D9FCFDA" w:rsidR="000F6297" w:rsidRDefault="00240F0C" w:rsidP="000F6297">
      <w:pPr>
        <w:ind w:left="426" w:hanging="426"/>
      </w:pPr>
      <w:r>
        <w:t>ARPANSA 2015</w:t>
      </w:r>
      <w:r w:rsidR="00BC40BB">
        <w:t xml:space="preserve">. </w:t>
      </w:r>
      <w:r w:rsidR="000F6297">
        <w:t xml:space="preserve">Australia Radiation Protection and Nuclear Safety Agency 2015. </w:t>
      </w:r>
      <w:r w:rsidR="000F6297" w:rsidRPr="0029182C">
        <w:t>Guide for</w:t>
      </w:r>
      <w:r w:rsidR="000F6297" w:rsidRPr="004C1483">
        <w:rPr>
          <w:i/>
        </w:rPr>
        <w:t xml:space="preserve"> Radiation Protection of the Environment.</w:t>
      </w:r>
      <w:r w:rsidR="000F6297">
        <w:t xml:space="preserve"> Radiation Protection Series G-1.</w:t>
      </w:r>
    </w:p>
    <w:p w14:paraId="11135988" w14:textId="545AAC8D" w:rsidR="000F6297" w:rsidRPr="002673AD" w:rsidRDefault="000F6297" w:rsidP="000F6297">
      <w:pPr>
        <w:spacing w:before="0"/>
        <w:ind w:left="425" w:hanging="425"/>
        <w:rPr>
          <w:rStyle w:val="Hyperlink"/>
        </w:rPr>
      </w:pPr>
      <w:r>
        <w:tab/>
        <w:t>[</w:t>
      </w:r>
      <w:r w:rsidR="00BC40BB" w:rsidRPr="00BC40BB">
        <w:rPr>
          <w:rStyle w:val="Hyperlink"/>
        </w:rPr>
        <w:t>https://www.arpansa.gov.au/regulation-and-licensing/regulatory-publications/radiation-protection-series/guides-and-recommendations/rpsg-1</w:t>
      </w:r>
      <w:r w:rsidRPr="00B26506">
        <w:rPr>
          <w:rStyle w:val="Hyperlink"/>
          <w:color w:val="auto"/>
        </w:rPr>
        <w:t>]</w:t>
      </w:r>
    </w:p>
    <w:p w14:paraId="2E5E7F8A" w14:textId="09C58665" w:rsidR="000F6297" w:rsidRPr="004C1483" w:rsidRDefault="00240F0C" w:rsidP="000F6297">
      <w:pPr>
        <w:ind w:left="426" w:hanging="426"/>
      </w:pPr>
      <w:r>
        <w:t>ARPANSA 2016</w:t>
      </w:r>
      <w:r w:rsidR="006E6A56">
        <w:t xml:space="preserve">. </w:t>
      </w:r>
      <w:r w:rsidR="000F6297" w:rsidRPr="00871F89">
        <w:t>Australian Radiation Protection and Nuclear Safety Agency</w:t>
      </w:r>
      <w:r w:rsidR="000F6297">
        <w:t xml:space="preserve"> </w:t>
      </w:r>
      <w:r w:rsidR="000F6297" w:rsidRPr="00871F89">
        <w:t>201</w:t>
      </w:r>
      <w:r w:rsidR="000F6297">
        <w:t>6</w:t>
      </w:r>
      <w:r w:rsidR="000F6297" w:rsidRPr="00871F89">
        <w:t xml:space="preserve">. </w:t>
      </w:r>
      <w:r w:rsidR="00016C17">
        <w:t xml:space="preserve">Code for </w:t>
      </w:r>
      <w:r w:rsidR="000F6297" w:rsidRPr="00F13C73">
        <w:rPr>
          <w:i/>
        </w:rPr>
        <w:t>Radiation Protection in Planned Exposure Situations</w:t>
      </w:r>
      <w:r w:rsidR="000F6297" w:rsidRPr="00871F89">
        <w:t xml:space="preserve">. Radiation Protection Series </w:t>
      </w:r>
      <w:r w:rsidR="000F6297">
        <w:t>C-</w:t>
      </w:r>
      <w:r w:rsidR="000F6297" w:rsidRPr="00871F89">
        <w:t>1</w:t>
      </w:r>
      <w:r w:rsidR="000F6297">
        <w:t>. [</w:t>
      </w:r>
      <w:hyperlink r:id="rId51" w:history="1">
        <w:r w:rsidR="000F6297" w:rsidRPr="006C2307">
          <w:rPr>
            <w:rStyle w:val="Hyperlink"/>
          </w:rPr>
          <w:t>https://www.arpansa.gov.au/regulation-and-licensing/regulatory-publications/radiation-protection-series/codes-and-standards/rpsc-1</w:t>
        </w:r>
      </w:hyperlink>
      <w:r w:rsidR="000F6297">
        <w:t xml:space="preserve">] </w:t>
      </w:r>
    </w:p>
    <w:p w14:paraId="11BBB7A2" w14:textId="350CE05B" w:rsidR="008269F5" w:rsidRDefault="00240F0C">
      <w:pPr>
        <w:ind w:left="426" w:hanging="426"/>
      </w:pPr>
      <w:r>
        <w:t xml:space="preserve">ARPANSA </w:t>
      </w:r>
      <w:r w:rsidR="00BC40BB">
        <w:t>2018</w:t>
      </w:r>
      <w:r w:rsidR="00BC40BB" w:rsidRPr="00BC40BB">
        <w:t xml:space="preserve">. </w:t>
      </w:r>
      <w:r w:rsidR="008269F5" w:rsidRPr="00871F89">
        <w:t>Australian Radiation Protection and Nuclear Safety Agency</w:t>
      </w:r>
      <w:r w:rsidR="008269F5">
        <w:t xml:space="preserve"> </w:t>
      </w:r>
      <w:r w:rsidR="008269F5" w:rsidRPr="00871F89">
        <w:t>201</w:t>
      </w:r>
      <w:r w:rsidR="008269F5">
        <w:t>8</w:t>
      </w:r>
      <w:r w:rsidR="008269F5" w:rsidRPr="00871F89">
        <w:t xml:space="preserve">. </w:t>
      </w:r>
      <w:r w:rsidR="008269F5" w:rsidRPr="0029182C">
        <w:t>Code for</w:t>
      </w:r>
      <w:r w:rsidR="008269F5">
        <w:rPr>
          <w:i/>
        </w:rPr>
        <w:t xml:space="preserve"> Disposal of Radioactive Waste by the User</w:t>
      </w:r>
      <w:r w:rsidR="008269F5" w:rsidRPr="00871F89">
        <w:t xml:space="preserve">. Radiation Protection Series </w:t>
      </w:r>
      <w:r w:rsidR="008269F5">
        <w:t xml:space="preserve">C-6. </w:t>
      </w:r>
      <w:r w:rsidR="008269F5" w:rsidRPr="005615C0">
        <w:t>[</w:t>
      </w:r>
      <w:hyperlink r:id="rId52" w:history="1">
        <w:r w:rsidR="005615C0" w:rsidRPr="005615C0">
          <w:rPr>
            <w:rStyle w:val="Hyperlink"/>
          </w:rPr>
          <w:t>https://www.arpansa.gov.au/regulation-and-licensing/regulatory-publications/radiation-protection-series/codes-and-standards/rpsc-6</w:t>
        </w:r>
      </w:hyperlink>
      <w:r w:rsidR="008269F5" w:rsidRPr="005615C0">
        <w:t>]</w:t>
      </w:r>
      <w:r w:rsidR="008269F5">
        <w:t xml:space="preserve"> </w:t>
      </w:r>
    </w:p>
    <w:p w14:paraId="3FE2E759" w14:textId="4C04AFF5" w:rsidR="009D6142" w:rsidRPr="003102CD" w:rsidRDefault="009D6142">
      <w:pPr>
        <w:ind w:left="426" w:hanging="426"/>
        <w:rPr>
          <w:i/>
        </w:rPr>
      </w:pPr>
    </w:p>
    <w:p w14:paraId="0768E02F" w14:textId="4874CAA0" w:rsidR="00C352D7" w:rsidRDefault="00240F0C" w:rsidP="00C352D7">
      <w:pPr>
        <w:ind w:left="426" w:hanging="426"/>
      </w:pPr>
      <w:r>
        <w:t>IAEA 1968</w:t>
      </w:r>
      <w:r w:rsidR="008D4035">
        <w:t xml:space="preserve">. </w:t>
      </w:r>
      <w:r w:rsidR="00C352D7" w:rsidRPr="00397DE3">
        <w:t>International Atomic Energy Agency</w:t>
      </w:r>
      <w:r w:rsidR="00C352D7">
        <w:t xml:space="preserve"> </w:t>
      </w:r>
      <w:r w:rsidR="008D4035">
        <w:t>1968</w:t>
      </w:r>
      <w:r w:rsidR="00C352D7" w:rsidRPr="00397DE3">
        <w:t xml:space="preserve">. </w:t>
      </w:r>
      <w:r w:rsidR="00C352D7">
        <w:rPr>
          <w:i/>
        </w:rPr>
        <w:t xml:space="preserve">The Agency’s Safeguards System. </w:t>
      </w:r>
      <w:r w:rsidR="00C352D7">
        <w:t>INFCIRC/66/Rev.2</w:t>
      </w:r>
      <w:r w:rsidR="00C352D7" w:rsidRPr="00BF3C95">
        <w:t>.</w:t>
      </w:r>
      <w:r w:rsidR="00C352D7" w:rsidRPr="00397DE3">
        <w:t xml:space="preserve"> </w:t>
      </w:r>
      <w:r w:rsidR="00C352D7" w:rsidRPr="00397DE3">
        <w:br/>
        <w:t>[</w:t>
      </w:r>
      <w:hyperlink r:id="rId53" w:history="1">
        <w:r w:rsidR="00C352D7" w:rsidRPr="00C352D7">
          <w:rPr>
            <w:rStyle w:val="Hyperlink"/>
          </w:rPr>
          <w:t>https://www.iaea.org/sites/default/files/publications/documents/infcircs/1965/infcirc66r2.pdf</w:t>
        </w:r>
      </w:hyperlink>
      <w:r w:rsidR="00C352D7">
        <w:t>]</w:t>
      </w:r>
    </w:p>
    <w:p w14:paraId="18D9B13D" w14:textId="2A3AE3F2" w:rsidR="005F640E" w:rsidRDefault="00240F0C" w:rsidP="005F640E">
      <w:pPr>
        <w:ind w:left="426" w:hanging="426"/>
      </w:pPr>
      <w:r>
        <w:t>IAEA 1972</w:t>
      </w:r>
      <w:r w:rsidR="008D4035">
        <w:t xml:space="preserve">. </w:t>
      </w:r>
      <w:r w:rsidR="005F640E" w:rsidRPr="00397DE3">
        <w:t>International Atomic Energy Agency</w:t>
      </w:r>
      <w:r w:rsidR="00D4096F">
        <w:t xml:space="preserve"> 1972</w:t>
      </w:r>
      <w:r w:rsidR="005F640E" w:rsidRPr="00397DE3">
        <w:t xml:space="preserve">. </w:t>
      </w:r>
      <w:r w:rsidR="005F640E" w:rsidRPr="005F640E">
        <w:rPr>
          <w:i/>
        </w:rPr>
        <w:t>The Structure and Content of Agreements Between the Agency and States Required in Connection with the Treaty on the Non-Proliferation of Nuclear Weapons</w:t>
      </w:r>
      <w:r w:rsidR="005F640E">
        <w:rPr>
          <w:i/>
        </w:rPr>
        <w:t xml:space="preserve">. </w:t>
      </w:r>
      <w:r w:rsidR="005F640E">
        <w:t>INFCIRC/153</w:t>
      </w:r>
      <w:r w:rsidR="005F640E" w:rsidRPr="00BF3C95">
        <w:t>.</w:t>
      </w:r>
      <w:r w:rsidR="005F640E" w:rsidRPr="00397DE3">
        <w:t xml:space="preserve"> </w:t>
      </w:r>
      <w:r w:rsidR="005F640E" w:rsidRPr="00397DE3">
        <w:br/>
        <w:t>[</w:t>
      </w:r>
      <w:hyperlink r:id="rId54" w:history="1">
        <w:r w:rsidR="005F640E" w:rsidRPr="005F640E">
          <w:rPr>
            <w:rStyle w:val="Hyperlink"/>
          </w:rPr>
          <w:t>https://www.iaea.org/sites/default/files/publications/documents/infcircs/1972/infcirc153.pdf</w:t>
        </w:r>
      </w:hyperlink>
      <w:r w:rsidR="005F640E">
        <w:t>]</w:t>
      </w:r>
    </w:p>
    <w:p w14:paraId="29D98169" w14:textId="3739A627" w:rsidR="005F640E" w:rsidRDefault="00240F0C" w:rsidP="005F640E">
      <w:pPr>
        <w:ind w:left="426" w:hanging="426"/>
      </w:pPr>
      <w:r>
        <w:t>IAEA 1996</w:t>
      </w:r>
      <w:r w:rsidR="00B67168">
        <w:t xml:space="preserve">. </w:t>
      </w:r>
      <w:r w:rsidR="005F640E" w:rsidRPr="00397DE3">
        <w:t>International Atomic Energy Agency</w:t>
      </w:r>
      <w:r w:rsidR="005F640E">
        <w:t xml:space="preserve"> 1996</w:t>
      </w:r>
      <w:r w:rsidR="005F640E" w:rsidRPr="00397DE3">
        <w:t xml:space="preserve">. </w:t>
      </w:r>
      <w:r w:rsidR="005F640E">
        <w:rPr>
          <w:i/>
        </w:rPr>
        <w:t xml:space="preserve">Issues in </w:t>
      </w:r>
      <w:r w:rsidR="00B67168">
        <w:rPr>
          <w:i/>
        </w:rPr>
        <w:t>r</w:t>
      </w:r>
      <w:r w:rsidR="005F640E">
        <w:rPr>
          <w:i/>
        </w:rPr>
        <w:t xml:space="preserve">adioactive </w:t>
      </w:r>
      <w:r w:rsidR="00B67168">
        <w:rPr>
          <w:i/>
        </w:rPr>
        <w:t>w</w:t>
      </w:r>
      <w:r w:rsidR="005F640E">
        <w:rPr>
          <w:i/>
        </w:rPr>
        <w:t xml:space="preserve">aste </w:t>
      </w:r>
      <w:r w:rsidR="00B67168">
        <w:rPr>
          <w:i/>
        </w:rPr>
        <w:t>d</w:t>
      </w:r>
      <w:r w:rsidR="005F640E">
        <w:rPr>
          <w:i/>
        </w:rPr>
        <w:t xml:space="preserve">isposal. </w:t>
      </w:r>
      <w:r w:rsidR="009D6142" w:rsidRPr="003102CD">
        <w:t>IAEA</w:t>
      </w:r>
      <w:r w:rsidR="00B67168">
        <w:t>-</w:t>
      </w:r>
      <w:r w:rsidR="009D6142">
        <w:t>TECDOC</w:t>
      </w:r>
      <w:r w:rsidR="00B67168">
        <w:t>-</w:t>
      </w:r>
      <w:r w:rsidR="00D27650">
        <w:t>-</w:t>
      </w:r>
      <w:r w:rsidR="009D6142">
        <w:t>909</w:t>
      </w:r>
      <w:r w:rsidR="005F640E" w:rsidRPr="00BF3C95">
        <w:t>.</w:t>
      </w:r>
      <w:r>
        <w:t xml:space="preserve"> </w:t>
      </w:r>
      <w:r w:rsidR="005F640E" w:rsidRPr="00397DE3">
        <w:t>[</w:t>
      </w:r>
      <w:hyperlink r:id="rId55" w:history="1">
        <w:r w:rsidR="009D6142" w:rsidRPr="009D6142">
          <w:rPr>
            <w:rStyle w:val="Hyperlink"/>
          </w:rPr>
          <w:t>http://www-pub.iaea.org/MTCD/publications/PDF/te_909_web.pdf</w:t>
        </w:r>
      </w:hyperlink>
      <w:r w:rsidR="005F640E">
        <w:t>]</w:t>
      </w:r>
    </w:p>
    <w:p w14:paraId="716AE461" w14:textId="2E3DC5EE" w:rsidR="003D7D41" w:rsidRDefault="00240F0C" w:rsidP="003D7D41">
      <w:pPr>
        <w:ind w:left="426" w:hanging="426"/>
      </w:pPr>
      <w:r>
        <w:t>IAEA 1997</w:t>
      </w:r>
      <w:r w:rsidR="008D4035">
        <w:t xml:space="preserve">. </w:t>
      </w:r>
      <w:r w:rsidR="003D7D41" w:rsidRPr="00397DE3">
        <w:t>International Atomic Energy Agency</w:t>
      </w:r>
      <w:r w:rsidR="003D7D41">
        <w:t xml:space="preserve"> 19</w:t>
      </w:r>
      <w:r w:rsidR="00C352D7">
        <w:t>97</w:t>
      </w:r>
      <w:r w:rsidR="003D7D41" w:rsidRPr="00397DE3">
        <w:t xml:space="preserve">. </w:t>
      </w:r>
      <w:r w:rsidR="00C352D7" w:rsidRPr="00C352D7">
        <w:rPr>
          <w:i/>
        </w:rPr>
        <w:t>Model Protocol Additional to the Agreement(s) Between State(s) and the International Atomic Energy Agency for the Application of Safeguards</w:t>
      </w:r>
      <w:r w:rsidR="003D7D41">
        <w:rPr>
          <w:i/>
        </w:rPr>
        <w:t xml:space="preserve">. </w:t>
      </w:r>
      <w:r w:rsidR="00C352D7">
        <w:t>INFCIRC/540</w:t>
      </w:r>
      <w:r w:rsidR="003D7D41" w:rsidRPr="00BF3C95">
        <w:t>.</w:t>
      </w:r>
      <w:r w:rsidR="003D7D41" w:rsidRPr="00397DE3">
        <w:t xml:space="preserve"> </w:t>
      </w:r>
      <w:r w:rsidR="003D7D41" w:rsidRPr="00397DE3">
        <w:br/>
        <w:t>[</w:t>
      </w:r>
      <w:hyperlink r:id="rId56" w:history="1">
        <w:r w:rsidR="00C352D7" w:rsidRPr="00C352D7">
          <w:rPr>
            <w:rStyle w:val="Hyperlink"/>
          </w:rPr>
          <w:t>https://www.iaea.org/sites/default/files/infcirc540.pdf</w:t>
        </w:r>
      </w:hyperlink>
      <w:r w:rsidR="00C352D7">
        <w:t>]</w:t>
      </w:r>
    </w:p>
    <w:p w14:paraId="167C2A99" w14:textId="1E4AE253" w:rsidR="003A0E9A" w:rsidRDefault="00240F0C" w:rsidP="003A0E9A">
      <w:pPr>
        <w:ind w:left="426" w:hanging="426"/>
      </w:pPr>
      <w:r>
        <w:t>IAEA 1999</w:t>
      </w:r>
      <w:r w:rsidR="00CE32BE">
        <w:t xml:space="preserve">. </w:t>
      </w:r>
      <w:r w:rsidR="003A0E9A" w:rsidRPr="00397DE3">
        <w:t>International Atomic Energy Agency</w:t>
      </w:r>
      <w:r w:rsidR="003A0E9A">
        <w:t xml:space="preserve"> 1999</w:t>
      </w:r>
      <w:r w:rsidR="003A0E9A" w:rsidRPr="00397DE3">
        <w:t xml:space="preserve">. </w:t>
      </w:r>
      <w:r w:rsidR="003A0E9A">
        <w:rPr>
          <w:i/>
        </w:rPr>
        <w:t xml:space="preserve">Nuclear Security Recommendations on </w:t>
      </w:r>
      <w:r w:rsidR="003A0E9A" w:rsidRPr="003A0E9A">
        <w:rPr>
          <w:i/>
        </w:rPr>
        <w:t>Physical Protection of Nuclear Material and Nuclear Facilities</w:t>
      </w:r>
      <w:r w:rsidR="003A0E9A">
        <w:rPr>
          <w:i/>
        </w:rPr>
        <w:t xml:space="preserve">. </w:t>
      </w:r>
      <w:r w:rsidR="003A0E9A" w:rsidRPr="0029182C">
        <w:t>IAEA Nuclear Security Series N</w:t>
      </w:r>
      <w:r w:rsidR="00CE32BE">
        <w:t>o.</w:t>
      </w:r>
      <w:r w:rsidR="003A0E9A" w:rsidRPr="0029182C">
        <w:t xml:space="preserve"> 13.</w:t>
      </w:r>
      <w:r w:rsidR="003A0E9A">
        <w:rPr>
          <w:i/>
        </w:rPr>
        <w:t xml:space="preserve"> </w:t>
      </w:r>
      <w:r w:rsidR="003A0E9A">
        <w:t>INFCIRC/225/R</w:t>
      </w:r>
      <w:r w:rsidR="00CE32BE">
        <w:t xml:space="preserve">evision </w:t>
      </w:r>
      <w:r w:rsidR="003A0E9A">
        <w:t>5</w:t>
      </w:r>
      <w:r w:rsidR="003A0E9A" w:rsidRPr="00BF3C95">
        <w:t>.</w:t>
      </w:r>
      <w:r w:rsidR="003A0E9A" w:rsidRPr="00397DE3">
        <w:t xml:space="preserve"> </w:t>
      </w:r>
      <w:r w:rsidR="003A0E9A" w:rsidRPr="00397DE3">
        <w:br/>
        <w:t>[</w:t>
      </w:r>
      <w:hyperlink r:id="rId57" w:history="1">
        <w:r w:rsidR="003A0E9A" w:rsidRPr="003A0E9A">
          <w:rPr>
            <w:rStyle w:val="Hyperlink"/>
          </w:rPr>
          <w:t>http://www-pub.iaea.org/MTCD/publications/PDF/Pub1481_web.pdf</w:t>
        </w:r>
      </w:hyperlink>
      <w:r w:rsidR="003A0E9A" w:rsidRPr="00397DE3">
        <w:t>]</w:t>
      </w:r>
    </w:p>
    <w:p w14:paraId="7DA23C27" w14:textId="44C804C5" w:rsidR="00C00012" w:rsidRDefault="00240F0C" w:rsidP="00C00012">
      <w:pPr>
        <w:ind w:left="426" w:hanging="426"/>
      </w:pPr>
      <w:r>
        <w:t>IAEA 2001</w:t>
      </w:r>
      <w:r w:rsidR="008563FC">
        <w:t xml:space="preserve">. </w:t>
      </w:r>
      <w:r w:rsidR="00C00012" w:rsidRPr="00397DE3">
        <w:t>International Atomic Energy Agency</w:t>
      </w:r>
      <w:r w:rsidR="00C00012">
        <w:t xml:space="preserve"> 2001</w:t>
      </w:r>
      <w:r w:rsidR="00C00012" w:rsidRPr="00397DE3">
        <w:t xml:space="preserve">. </w:t>
      </w:r>
      <w:r w:rsidR="00C00012">
        <w:rPr>
          <w:i/>
        </w:rPr>
        <w:t xml:space="preserve">Monitoring of geological </w:t>
      </w:r>
      <w:r w:rsidR="008563FC">
        <w:rPr>
          <w:i/>
        </w:rPr>
        <w:t>r</w:t>
      </w:r>
      <w:r w:rsidR="00C00012">
        <w:rPr>
          <w:i/>
        </w:rPr>
        <w:t>epositories for high</w:t>
      </w:r>
      <w:r w:rsidR="008563FC">
        <w:rPr>
          <w:i/>
        </w:rPr>
        <w:t xml:space="preserve"> </w:t>
      </w:r>
      <w:r w:rsidR="00C00012">
        <w:rPr>
          <w:i/>
        </w:rPr>
        <w:t xml:space="preserve">level radioactive waste. </w:t>
      </w:r>
      <w:r w:rsidR="00C00012">
        <w:t>IAEA-TECDOC-1208</w:t>
      </w:r>
      <w:r w:rsidR="00C00012" w:rsidRPr="00BF3C95">
        <w:t>.</w:t>
      </w:r>
      <w:r w:rsidR="00C00012" w:rsidRPr="00397DE3">
        <w:t xml:space="preserve"> </w:t>
      </w:r>
      <w:r w:rsidR="00C00012" w:rsidRPr="00397DE3">
        <w:br/>
        <w:t>[</w:t>
      </w:r>
      <w:hyperlink r:id="rId58" w:history="1">
        <w:r w:rsidR="00C00012" w:rsidRPr="00C00012">
          <w:rPr>
            <w:rStyle w:val="Hyperlink"/>
          </w:rPr>
          <w:t>http://www-pub.iaea.org/MTCD/publications/PDF/te_1208_web.pdf</w:t>
        </w:r>
      </w:hyperlink>
      <w:r w:rsidR="00C00012" w:rsidRPr="00397DE3">
        <w:t>]</w:t>
      </w:r>
    </w:p>
    <w:p w14:paraId="0C43BA0F" w14:textId="4FB65367" w:rsidR="009D6142" w:rsidRDefault="00240F0C" w:rsidP="009D6142">
      <w:pPr>
        <w:ind w:left="426" w:hanging="426"/>
      </w:pPr>
      <w:r>
        <w:t>IAEA 2004</w:t>
      </w:r>
      <w:r w:rsidR="00CE32BE">
        <w:t xml:space="preserve">. </w:t>
      </w:r>
      <w:r w:rsidR="009D6142" w:rsidRPr="00397DE3">
        <w:t>International Atomic Energy Agency</w:t>
      </w:r>
      <w:r w:rsidR="009D6142">
        <w:t xml:space="preserve"> 2004</w:t>
      </w:r>
      <w:r w:rsidR="009D6142" w:rsidRPr="00397DE3">
        <w:t xml:space="preserve">. </w:t>
      </w:r>
      <w:r w:rsidR="009D6142" w:rsidRPr="009D6142">
        <w:rPr>
          <w:i/>
        </w:rPr>
        <w:t>Code of Conduct on the Safety and Security of Radioactive Sources</w:t>
      </w:r>
      <w:r w:rsidR="009D6142" w:rsidRPr="00BF3C95">
        <w:t>.</w:t>
      </w:r>
      <w:r w:rsidR="009D6142" w:rsidRPr="00397DE3">
        <w:t xml:space="preserve"> </w:t>
      </w:r>
      <w:r w:rsidR="009D6142" w:rsidRPr="00397DE3">
        <w:br/>
        <w:t>[</w:t>
      </w:r>
      <w:hyperlink r:id="rId59" w:history="1">
        <w:r w:rsidR="003A0E9A" w:rsidRPr="003A0E9A">
          <w:rPr>
            <w:rStyle w:val="Hyperlink"/>
          </w:rPr>
          <w:t>http://www-pub.iaea.org/MTCD/publications/PDF/code-2004_web.pdf</w:t>
        </w:r>
      </w:hyperlink>
      <w:r w:rsidR="009D6142" w:rsidRPr="00397DE3">
        <w:t>]</w:t>
      </w:r>
    </w:p>
    <w:p w14:paraId="34F47532" w14:textId="1D9DA745" w:rsidR="00524EF4" w:rsidRDefault="00240F0C" w:rsidP="00524EF4">
      <w:pPr>
        <w:ind w:left="426" w:hanging="426"/>
      </w:pPr>
      <w:r>
        <w:t>IAEA 2005</w:t>
      </w:r>
      <w:r w:rsidR="005663DE">
        <w:t xml:space="preserve">. </w:t>
      </w:r>
      <w:r w:rsidR="00524EF4" w:rsidRPr="00397DE3">
        <w:t>International Atomic Energy Agency</w:t>
      </w:r>
      <w:r w:rsidR="00524EF4">
        <w:t xml:space="preserve"> 2005</w:t>
      </w:r>
      <w:r w:rsidR="00524EF4" w:rsidRPr="00397DE3">
        <w:t xml:space="preserve">. </w:t>
      </w:r>
      <w:r w:rsidR="00524EF4">
        <w:rPr>
          <w:i/>
        </w:rPr>
        <w:t xml:space="preserve">Environmental and Source Monitoring for Purposes of Radiation Protection. </w:t>
      </w:r>
      <w:r w:rsidR="00524EF4" w:rsidRPr="00BF3C95">
        <w:t xml:space="preserve">Safety </w:t>
      </w:r>
      <w:r w:rsidR="005663DE">
        <w:t>Guide</w:t>
      </w:r>
      <w:r w:rsidR="00524EF4" w:rsidRPr="00BF3C95">
        <w:t xml:space="preserve"> N</w:t>
      </w:r>
      <w:r w:rsidR="005663DE">
        <w:t>o.</w:t>
      </w:r>
      <w:r w:rsidR="00524EF4" w:rsidRPr="00BF3C95">
        <w:t xml:space="preserve"> </w:t>
      </w:r>
      <w:r w:rsidR="003D7D41">
        <w:t>RS-G-1.8</w:t>
      </w:r>
      <w:r w:rsidR="00524EF4" w:rsidRPr="00BF3C95">
        <w:t>.</w:t>
      </w:r>
      <w:r w:rsidR="00524EF4" w:rsidRPr="00397DE3">
        <w:t xml:space="preserve"> </w:t>
      </w:r>
      <w:r w:rsidR="00524EF4" w:rsidRPr="00397DE3">
        <w:br/>
        <w:t>[</w:t>
      </w:r>
      <w:hyperlink r:id="rId60" w:history="1">
        <w:r w:rsidR="003D7D41" w:rsidRPr="003D7D41">
          <w:rPr>
            <w:rStyle w:val="Hyperlink"/>
          </w:rPr>
          <w:t>http://www-pub.iaea.org/MTCD/publications/PDF/Pub1216_web.pdf</w:t>
        </w:r>
      </w:hyperlink>
      <w:r w:rsidR="00524EF4" w:rsidRPr="00397DE3">
        <w:t>]</w:t>
      </w:r>
    </w:p>
    <w:p w14:paraId="3D0B2386" w14:textId="59FA2542" w:rsidR="005F4B25" w:rsidRDefault="0074214A" w:rsidP="005F4B25">
      <w:pPr>
        <w:ind w:left="426" w:hanging="426"/>
      </w:pPr>
      <w:r w:rsidRPr="0074214A">
        <w:t xml:space="preserve">IAEA </w:t>
      </w:r>
      <w:r w:rsidR="00240F0C">
        <w:t>2006</w:t>
      </w:r>
      <w:r>
        <w:t xml:space="preserve">. </w:t>
      </w:r>
      <w:r w:rsidR="005F4B25" w:rsidRPr="00397DE3">
        <w:t>International Atomic Energy Agency</w:t>
      </w:r>
      <w:r w:rsidR="005F4B25">
        <w:t xml:space="preserve"> 2006</w:t>
      </w:r>
      <w:r w:rsidR="005F4B25" w:rsidRPr="00397DE3">
        <w:t xml:space="preserve">. </w:t>
      </w:r>
      <w:r w:rsidR="005F4B25">
        <w:rPr>
          <w:i/>
        </w:rPr>
        <w:t xml:space="preserve">Fundamental Safety Principles. </w:t>
      </w:r>
      <w:r w:rsidR="005F4B25" w:rsidRPr="003102CD">
        <w:t>Safety Fundamental</w:t>
      </w:r>
      <w:r>
        <w:t>s</w:t>
      </w:r>
      <w:r w:rsidR="005F4B25" w:rsidRPr="003102CD">
        <w:t xml:space="preserve"> N</w:t>
      </w:r>
      <w:r>
        <w:t>o.</w:t>
      </w:r>
      <w:r w:rsidR="005F4B25" w:rsidRPr="003102CD">
        <w:t xml:space="preserve"> SF-1.</w:t>
      </w:r>
      <w:r w:rsidR="00240F0C">
        <w:t xml:space="preserve"> </w:t>
      </w:r>
      <w:r w:rsidR="005F4B25" w:rsidRPr="00397DE3">
        <w:t>[</w:t>
      </w:r>
      <w:hyperlink r:id="rId61" w:history="1">
        <w:r w:rsidR="005F4B25" w:rsidRPr="00E75C16">
          <w:rPr>
            <w:rStyle w:val="Hyperlink"/>
          </w:rPr>
          <w:t>http://www-pub.iaea.org/MTCD/Publications/PDF/Pub1273_web.pdf</w:t>
        </w:r>
      </w:hyperlink>
      <w:r w:rsidR="005F4B25" w:rsidRPr="00397DE3">
        <w:t>]</w:t>
      </w:r>
    </w:p>
    <w:p w14:paraId="652F6C5C" w14:textId="73387078" w:rsidR="003A0E9A" w:rsidRDefault="00240F0C" w:rsidP="003A0E9A">
      <w:pPr>
        <w:ind w:left="426" w:hanging="426"/>
      </w:pPr>
      <w:r>
        <w:t>IAEA 2008</w:t>
      </w:r>
      <w:r w:rsidR="006C062E">
        <w:t xml:space="preserve">. </w:t>
      </w:r>
      <w:r w:rsidR="003A0E9A" w:rsidRPr="00397DE3">
        <w:t>International Atomic Energy Agency</w:t>
      </w:r>
      <w:r w:rsidR="003A0E9A">
        <w:t xml:space="preserve"> 2008</w:t>
      </w:r>
      <w:r w:rsidR="003A0E9A" w:rsidRPr="00397DE3">
        <w:t xml:space="preserve">. </w:t>
      </w:r>
      <w:r w:rsidR="003A0E9A">
        <w:rPr>
          <w:i/>
        </w:rPr>
        <w:t xml:space="preserve">The Management System for the Disposal of Radioactive Waste. </w:t>
      </w:r>
      <w:r w:rsidR="003A0E9A" w:rsidRPr="00BF3C95">
        <w:t>Safety</w:t>
      </w:r>
      <w:r w:rsidR="003A0E9A">
        <w:t xml:space="preserve"> </w:t>
      </w:r>
      <w:r w:rsidR="006C062E">
        <w:t>Guide No.</w:t>
      </w:r>
      <w:r w:rsidR="003A0E9A" w:rsidRPr="00BF3C95">
        <w:t xml:space="preserve"> </w:t>
      </w:r>
      <w:r w:rsidR="003A0E9A">
        <w:t>GS-G-3.4</w:t>
      </w:r>
      <w:r w:rsidR="003A0E9A" w:rsidRPr="00BF3C95">
        <w:t xml:space="preserve">. </w:t>
      </w:r>
      <w:r w:rsidR="003A0E9A" w:rsidRPr="00397DE3">
        <w:br/>
        <w:t>[</w:t>
      </w:r>
      <w:hyperlink r:id="rId62" w:history="1">
        <w:r w:rsidR="003A0E9A" w:rsidRPr="003A0E9A">
          <w:rPr>
            <w:rStyle w:val="Hyperlink"/>
          </w:rPr>
          <w:t>http://www-pub.iaea.org/MTCD/publications/PDF/Pub1330_web.pdf</w:t>
        </w:r>
      </w:hyperlink>
      <w:r w:rsidR="003A0E9A" w:rsidRPr="00397DE3">
        <w:t>]</w:t>
      </w:r>
    </w:p>
    <w:p w14:paraId="0319E38C" w14:textId="784A2C4C" w:rsidR="005615C0" w:rsidRDefault="005615C0" w:rsidP="005615C0">
      <w:pPr>
        <w:ind w:left="426" w:hanging="426"/>
      </w:pPr>
      <w:r>
        <w:t xml:space="preserve">IAEA 2009. International Atomic Energy Agency 2009. </w:t>
      </w:r>
      <w:r w:rsidRPr="005615C0">
        <w:rPr>
          <w:i/>
        </w:rPr>
        <w:t>Classification of Radioactive Waste</w:t>
      </w:r>
      <w:r>
        <w:t>. General Safety Guide No. GSG-1. [</w:t>
      </w:r>
      <w:hyperlink r:id="rId63" w:history="1">
        <w:r w:rsidRPr="005615C0">
          <w:rPr>
            <w:rStyle w:val="Hyperlink"/>
          </w:rPr>
          <w:t>https://www-pub.iaea.org/MTCD/Publications/PDF/Pub1419_web.pdf</w:t>
        </w:r>
      </w:hyperlink>
      <w:r>
        <w:t>]</w:t>
      </w:r>
    </w:p>
    <w:p w14:paraId="77FEE56A" w14:textId="1A0D1636" w:rsidR="00F6292F" w:rsidRDefault="00240F0C" w:rsidP="00240F0C">
      <w:pPr>
        <w:ind w:left="426" w:hanging="426"/>
      </w:pPr>
      <w:r>
        <w:t>IAEA 2011a</w:t>
      </w:r>
      <w:r w:rsidR="006E6A56">
        <w:t xml:space="preserve">. </w:t>
      </w:r>
      <w:r w:rsidR="005F4B25" w:rsidRPr="00397DE3">
        <w:t>International Atomic Energy Agency</w:t>
      </w:r>
      <w:r w:rsidR="005F4B25">
        <w:t xml:space="preserve"> </w:t>
      </w:r>
      <w:r w:rsidR="005F4B25" w:rsidRPr="00397DE3">
        <w:t>201</w:t>
      </w:r>
      <w:r w:rsidR="00E75C16">
        <w:t>1</w:t>
      </w:r>
      <w:r w:rsidR="005F4B25" w:rsidRPr="00397DE3">
        <w:t xml:space="preserve">. </w:t>
      </w:r>
      <w:r w:rsidR="00E75C16">
        <w:rPr>
          <w:i/>
        </w:rPr>
        <w:t xml:space="preserve">Disposal of Radioactive Waste. </w:t>
      </w:r>
      <w:r w:rsidR="00E75C16" w:rsidRPr="003102CD">
        <w:t>Specific Safety Requirements N</w:t>
      </w:r>
      <w:r w:rsidR="006E6A56">
        <w:t>o.</w:t>
      </w:r>
      <w:r w:rsidR="00E75C16" w:rsidRPr="003102CD">
        <w:t xml:space="preserve"> SSR-5. </w:t>
      </w:r>
      <w:r w:rsidR="005F4B25" w:rsidRPr="00397DE3">
        <w:br/>
        <w:t>[</w:t>
      </w:r>
      <w:hyperlink r:id="rId64" w:history="1">
        <w:r w:rsidR="00E75C16" w:rsidRPr="00E75C16">
          <w:rPr>
            <w:rStyle w:val="Hyperlink"/>
          </w:rPr>
          <w:t>http://www-pub.iaea.org/MTCD/publications/PDF/Pub1449_web.pdf</w:t>
        </w:r>
      </w:hyperlink>
      <w:r w:rsidR="005F4B25" w:rsidRPr="00397DE3">
        <w:t>]</w:t>
      </w:r>
    </w:p>
    <w:p w14:paraId="397FF0EF" w14:textId="2E984C89" w:rsidR="00D150AD" w:rsidRDefault="00240F0C" w:rsidP="00D150AD">
      <w:pPr>
        <w:ind w:left="426" w:hanging="426"/>
      </w:pPr>
      <w:r>
        <w:lastRenderedPageBreak/>
        <w:t>IAEA 2011b</w:t>
      </w:r>
      <w:r w:rsidR="00D63C4B">
        <w:t xml:space="preserve">. </w:t>
      </w:r>
      <w:r w:rsidR="00D150AD" w:rsidRPr="00397DE3">
        <w:t>International Atomic Energy Agency</w:t>
      </w:r>
      <w:r w:rsidR="00D150AD">
        <w:t xml:space="preserve"> </w:t>
      </w:r>
      <w:r w:rsidR="00D150AD" w:rsidRPr="00397DE3">
        <w:t>201</w:t>
      </w:r>
      <w:r w:rsidR="00D150AD">
        <w:t>1</w:t>
      </w:r>
      <w:r w:rsidR="00D150AD" w:rsidRPr="00397DE3">
        <w:t xml:space="preserve">. </w:t>
      </w:r>
      <w:r w:rsidR="00D150AD" w:rsidRPr="00A80F9D">
        <w:rPr>
          <w:rStyle w:val="LineNumber"/>
          <w:i/>
        </w:rPr>
        <w:t>Nuclear Security Recommendations on Physical Protection of Nuclear Material and Nuclear Facilities</w:t>
      </w:r>
      <w:r w:rsidR="00D63C4B">
        <w:rPr>
          <w:rStyle w:val="LineNumber"/>
          <w:i/>
        </w:rPr>
        <w:t xml:space="preserve"> (INFCIRC/225/Revision 5)</w:t>
      </w:r>
      <w:r w:rsidR="00D150AD" w:rsidRPr="00397DE3">
        <w:t xml:space="preserve">. </w:t>
      </w:r>
      <w:r w:rsidR="00D150AD" w:rsidRPr="00D150AD">
        <w:t xml:space="preserve">IAEA Nuclear Security Series </w:t>
      </w:r>
      <w:r w:rsidR="00D150AD">
        <w:t>N</w:t>
      </w:r>
      <w:r w:rsidR="00D63C4B">
        <w:t>o.</w:t>
      </w:r>
      <w:r w:rsidR="00D150AD" w:rsidRPr="00D150AD">
        <w:t xml:space="preserve"> 13</w:t>
      </w:r>
      <w:r>
        <w:t xml:space="preserve">. </w:t>
      </w:r>
      <w:r w:rsidR="00D150AD" w:rsidRPr="00397DE3">
        <w:t>[</w:t>
      </w:r>
      <w:hyperlink r:id="rId65" w:history="1">
        <w:r w:rsidR="00D150AD" w:rsidRPr="00D150AD">
          <w:rPr>
            <w:rStyle w:val="Hyperlink"/>
          </w:rPr>
          <w:t>http://www-pub.iaea.org/MTCD/publications/PDF/Pub1481_web.pdf</w:t>
        </w:r>
      </w:hyperlink>
      <w:r w:rsidR="00D150AD">
        <w:t>]</w:t>
      </w:r>
    </w:p>
    <w:p w14:paraId="37C0090D" w14:textId="364598BC" w:rsidR="00D150AD" w:rsidRDefault="00240F0C" w:rsidP="00D150AD">
      <w:pPr>
        <w:ind w:left="426" w:hanging="426"/>
      </w:pPr>
      <w:r>
        <w:t xml:space="preserve">IAEA </w:t>
      </w:r>
      <w:r w:rsidR="00A65D41" w:rsidRPr="00A65D41">
        <w:t>2011</w:t>
      </w:r>
      <w:r w:rsidR="00A65D41">
        <w:t>c</w:t>
      </w:r>
      <w:r w:rsidR="00A65D41" w:rsidRPr="00A65D41">
        <w:t xml:space="preserve">. </w:t>
      </w:r>
      <w:r w:rsidR="00D150AD" w:rsidRPr="00397DE3">
        <w:t>International Atomic Energy Agency</w:t>
      </w:r>
      <w:r w:rsidR="00D150AD">
        <w:t xml:space="preserve"> </w:t>
      </w:r>
      <w:r w:rsidR="00D150AD" w:rsidRPr="00397DE3">
        <w:t>201</w:t>
      </w:r>
      <w:r w:rsidR="00D150AD">
        <w:t>1</w:t>
      </w:r>
      <w:r w:rsidR="00D150AD" w:rsidRPr="00397DE3">
        <w:t xml:space="preserve">. </w:t>
      </w:r>
      <w:r w:rsidR="00D150AD" w:rsidRPr="00A80F9D">
        <w:rPr>
          <w:rStyle w:val="LineNumber"/>
          <w:i/>
        </w:rPr>
        <w:t xml:space="preserve">Nuclear Security Recommendations on </w:t>
      </w:r>
      <w:r w:rsidR="002B5B11">
        <w:rPr>
          <w:rStyle w:val="LineNumber"/>
          <w:i/>
        </w:rPr>
        <w:t xml:space="preserve">Radioactive Material and Associated </w:t>
      </w:r>
      <w:r w:rsidR="00D150AD" w:rsidRPr="00A80F9D">
        <w:rPr>
          <w:rStyle w:val="LineNumber"/>
          <w:i/>
        </w:rPr>
        <w:t>Facilities</w:t>
      </w:r>
      <w:r w:rsidR="00D150AD" w:rsidRPr="00397DE3">
        <w:t xml:space="preserve">. </w:t>
      </w:r>
      <w:r w:rsidR="00D150AD" w:rsidRPr="00D150AD">
        <w:t xml:space="preserve">IAEA Nuclear Security Series </w:t>
      </w:r>
      <w:r w:rsidR="00D150AD">
        <w:t>N</w:t>
      </w:r>
      <w:r w:rsidR="00A65D41">
        <w:t>o.</w:t>
      </w:r>
      <w:r w:rsidR="00D150AD" w:rsidRPr="00D150AD">
        <w:t xml:space="preserve"> 1</w:t>
      </w:r>
      <w:r w:rsidR="002B5B11">
        <w:t>4</w:t>
      </w:r>
      <w:r w:rsidR="00D150AD" w:rsidRPr="00397DE3">
        <w:t>.</w:t>
      </w:r>
      <w:r w:rsidR="00D150AD" w:rsidRPr="00397DE3">
        <w:br/>
        <w:t>[</w:t>
      </w:r>
      <w:hyperlink r:id="rId66" w:history="1">
        <w:r w:rsidR="00A65D41" w:rsidRPr="00F6292F">
          <w:rPr>
            <w:rStyle w:val="Hyperlink"/>
          </w:rPr>
          <w:t>https://www-pub.iaea.org/MTCD/Publications/PDF/Pub1487_web.pdf</w:t>
        </w:r>
      </w:hyperlink>
      <w:r w:rsidR="00D150AD">
        <w:t>]</w:t>
      </w:r>
    </w:p>
    <w:p w14:paraId="24EAF00F" w14:textId="2E71CB9F" w:rsidR="00A47475" w:rsidRDefault="00AA74DC" w:rsidP="00A47475">
      <w:pPr>
        <w:ind w:left="426" w:hanging="426"/>
      </w:pPr>
      <w:r>
        <w:t xml:space="preserve">IAEA 2012. </w:t>
      </w:r>
      <w:r w:rsidR="00A47475" w:rsidRPr="00397DE3">
        <w:t>International Atomic Energy Agency</w:t>
      </w:r>
      <w:r w:rsidR="00A47475">
        <w:t xml:space="preserve"> </w:t>
      </w:r>
      <w:r w:rsidR="00A47475" w:rsidRPr="00397DE3">
        <w:t>201</w:t>
      </w:r>
      <w:r w:rsidR="00A47475">
        <w:t>2</w:t>
      </w:r>
      <w:r w:rsidR="00A47475" w:rsidRPr="00397DE3">
        <w:t xml:space="preserve">. </w:t>
      </w:r>
      <w:r w:rsidR="00A47475">
        <w:rPr>
          <w:i/>
        </w:rPr>
        <w:t>The Safety Case and Safety Assessment for the Disposal of Radioactive Waste</w:t>
      </w:r>
      <w:r w:rsidR="00A47475" w:rsidRPr="00397DE3">
        <w:t xml:space="preserve">. </w:t>
      </w:r>
      <w:r w:rsidR="00A47475">
        <w:t>Specific Safety Guide No. SSG-23.</w:t>
      </w:r>
      <w:r w:rsidRPr="00AA74DC">
        <w:t xml:space="preserve"> </w:t>
      </w:r>
      <w:r w:rsidR="000604FA">
        <w:br/>
        <w:t>[</w:t>
      </w:r>
      <w:hyperlink r:id="rId67" w:history="1">
        <w:r w:rsidR="000604FA" w:rsidRPr="00F6292F">
          <w:rPr>
            <w:rStyle w:val="Hyperlink"/>
          </w:rPr>
          <w:t>http://www-pub.iaea.org/MTCD/publications/PDF/Pub1553_web.pdf</w:t>
        </w:r>
      </w:hyperlink>
      <w:r w:rsidR="000604FA">
        <w:t>]</w:t>
      </w:r>
    </w:p>
    <w:p w14:paraId="285DC32A" w14:textId="759EF664" w:rsidR="009B0C3B" w:rsidRDefault="00704346" w:rsidP="009B0C3B">
      <w:pPr>
        <w:ind w:left="426" w:hanging="426"/>
      </w:pPr>
      <w:r w:rsidRPr="00704346">
        <w:t>IAEA 201</w:t>
      </w:r>
      <w:r w:rsidR="00240F0C">
        <w:t>4</w:t>
      </w:r>
      <w:r>
        <w:t xml:space="preserve">. </w:t>
      </w:r>
      <w:r w:rsidR="009B0C3B" w:rsidRPr="00397DE3">
        <w:t>International Atomic Energy Agency 201</w:t>
      </w:r>
      <w:r w:rsidR="009B0C3B">
        <w:t>4</w:t>
      </w:r>
      <w:r w:rsidR="009B0C3B" w:rsidRPr="00397DE3">
        <w:t xml:space="preserve">. </w:t>
      </w:r>
      <w:r w:rsidR="009B0C3B" w:rsidRPr="00397DE3">
        <w:rPr>
          <w:i/>
        </w:rPr>
        <w:t>Radiation Protection and Safety of Radiation Sources: International Basic Safety Standards</w:t>
      </w:r>
      <w:r w:rsidR="009B0C3B" w:rsidRPr="00397DE3">
        <w:t>. General Safety Requirements Part 3, N</w:t>
      </w:r>
      <w:r>
        <w:t>o.</w:t>
      </w:r>
      <w:r w:rsidR="009B0C3B" w:rsidRPr="00397DE3">
        <w:t xml:space="preserve"> GSR Part 3.</w:t>
      </w:r>
      <w:r w:rsidR="009B0C3B" w:rsidRPr="00397DE3">
        <w:br/>
        <w:t>[</w:t>
      </w:r>
      <w:hyperlink r:id="rId68" w:history="1">
        <w:r w:rsidR="009B0C3B" w:rsidRPr="000C762F">
          <w:rPr>
            <w:rStyle w:val="Hyperlink"/>
          </w:rPr>
          <w:t>http://www-pub.iaea.org/MTCD/publications/PDF/Pub1578_web-57265295.pdf</w:t>
        </w:r>
      </w:hyperlink>
      <w:r w:rsidR="009B0C3B" w:rsidRPr="00397DE3">
        <w:t>]</w:t>
      </w:r>
    </w:p>
    <w:p w14:paraId="1D0FD9F6" w14:textId="78ACA4D5" w:rsidR="009B0C3B" w:rsidRDefault="00240F0C" w:rsidP="009B0C3B">
      <w:pPr>
        <w:ind w:left="426" w:hanging="426"/>
      </w:pPr>
      <w:r>
        <w:t>IAEA 2016a</w:t>
      </w:r>
      <w:r w:rsidR="00C904D6">
        <w:t xml:space="preserve">. </w:t>
      </w:r>
      <w:r w:rsidR="009B0C3B" w:rsidRPr="00397DE3">
        <w:t>International Atomic Energy Agency</w:t>
      </w:r>
      <w:r w:rsidR="009B0C3B">
        <w:t xml:space="preserve"> </w:t>
      </w:r>
      <w:r w:rsidR="009B0C3B" w:rsidRPr="00397DE3">
        <w:t>201</w:t>
      </w:r>
      <w:r w:rsidR="009B0C3B">
        <w:t>6</w:t>
      </w:r>
      <w:r w:rsidR="009B0C3B" w:rsidRPr="00397DE3">
        <w:t xml:space="preserve">. </w:t>
      </w:r>
      <w:r w:rsidR="009B0C3B" w:rsidRPr="009B0C3B">
        <w:rPr>
          <w:i/>
        </w:rPr>
        <w:t>Leadership and Management for Safety</w:t>
      </w:r>
      <w:r w:rsidR="009B0C3B" w:rsidRPr="00397DE3">
        <w:t>. Ge</w:t>
      </w:r>
      <w:r w:rsidR="009B0C3B">
        <w:t>neral Safety Requirements, N</w:t>
      </w:r>
      <w:r w:rsidR="00C37023">
        <w:t>o.</w:t>
      </w:r>
      <w:r w:rsidR="009B0C3B">
        <w:t xml:space="preserve"> GSR Part 2</w:t>
      </w:r>
      <w:r w:rsidR="009B0C3B" w:rsidRPr="00397DE3">
        <w:t>.</w:t>
      </w:r>
      <w:r w:rsidR="009B0C3B" w:rsidRPr="00397DE3">
        <w:br/>
        <w:t>[</w:t>
      </w:r>
      <w:hyperlink r:id="rId69" w:history="1">
        <w:r w:rsidR="009B0C3B" w:rsidRPr="00524EF4">
          <w:rPr>
            <w:rStyle w:val="Hyperlink"/>
          </w:rPr>
          <w:t>http://www-pub.iaea.org/MTCD/Publications/PDF/Pub1750web.pdf</w:t>
        </w:r>
      </w:hyperlink>
      <w:r w:rsidR="009B0C3B" w:rsidRPr="00397DE3">
        <w:t>]</w:t>
      </w:r>
    </w:p>
    <w:p w14:paraId="1097796F" w14:textId="5624C0CA" w:rsidR="00557F4A" w:rsidRDefault="00240F0C" w:rsidP="00557F4A">
      <w:pPr>
        <w:ind w:left="426" w:hanging="426"/>
      </w:pPr>
      <w:r>
        <w:t>IAEA 2016b</w:t>
      </w:r>
      <w:r w:rsidR="005B5050">
        <w:t xml:space="preserve">. </w:t>
      </w:r>
      <w:r w:rsidR="00557F4A" w:rsidRPr="00397DE3">
        <w:t>International Atomic Energy Agency</w:t>
      </w:r>
      <w:r w:rsidR="00557F4A">
        <w:t xml:space="preserve"> </w:t>
      </w:r>
      <w:r w:rsidR="00557F4A" w:rsidRPr="00397DE3">
        <w:t>201</w:t>
      </w:r>
      <w:r w:rsidR="00557F4A">
        <w:t>6</w:t>
      </w:r>
      <w:r w:rsidR="00557F4A" w:rsidRPr="00397DE3">
        <w:t xml:space="preserve">. </w:t>
      </w:r>
      <w:r w:rsidR="00557F4A">
        <w:rPr>
          <w:i/>
        </w:rPr>
        <w:t>Safety Assessment for Facilities and Activities</w:t>
      </w:r>
      <w:r w:rsidR="00557F4A" w:rsidRPr="00397DE3">
        <w:t>. Ge</w:t>
      </w:r>
      <w:r w:rsidR="00557F4A">
        <w:t xml:space="preserve">neral Safety Requirements </w:t>
      </w:r>
      <w:r w:rsidR="005B5050">
        <w:t>No.</w:t>
      </w:r>
      <w:r w:rsidR="00557F4A">
        <w:t xml:space="preserve"> GSR Part 4</w:t>
      </w:r>
      <w:r w:rsidR="005B5050">
        <w:t xml:space="preserve"> (Rev. 1)</w:t>
      </w:r>
      <w:r w:rsidR="00557F4A" w:rsidRPr="00397DE3">
        <w:t>.</w:t>
      </w:r>
      <w:r w:rsidR="00557F4A" w:rsidRPr="00397DE3">
        <w:br/>
        <w:t>[</w:t>
      </w:r>
      <w:hyperlink r:id="rId70" w:history="1">
        <w:r w:rsidR="00557F4A" w:rsidRPr="00557F4A">
          <w:rPr>
            <w:rStyle w:val="Hyperlink"/>
          </w:rPr>
          <w:t>http://www-pub.iaea.org/MTCD/publications/PDF/Pub1714web-7976998.pdf</w:t>
        </w:r>
      </w:hyperlink>
      <w:r w:rsidR="00557F4A" w:rsidRPr="00397DE3">
        <w:t>]</w:t>
      </w:r>
    </w:p>
    <w:p w14:paraId="67A3FB75" w14:textId="4F5392DB" w:rsidR="00800BAA" w:rsidRDefault="00240F0C" w:rsidP="00557F4A">
      <w:pPr>
        <w:ind w:left="426" w:hanging="426"/>
      </w:pPr>
      <w:r>
        <w:t>IAEA 2016c</w:t>
      </w:r>
      <w:r w:rsidR="00800BAA">
        <w:t xml:space="preserve">. </w:t>
      </w:r>
      <w:r w:rsidR="00800BAA" w:rsidRPr="00800BAA">
        <w:t>International Atomic Energy Agency 2016</w:t>
      </w:r>
      <w:r w:rsidR="00800BAA">
        <w:t xml:space="preserve">. </w:t>
      </w:r>
      <w:r w:rsidR="0077210E" w:rsidRPr="0077210E">
        <w:rPr>
          <w:i/>
        </w:rPr>
        <w:t>IAEA Safety Glossary – Terminology Used in Nuclear Safety and Radiation Protection, 2016 Revision</w:t>
      </w:r>
      <w:r w:rsidR="00800BAA">
        <w:t>.</w:t>
      </w:r>
      <w:r w:rsidR="00AA74DC" w:rsidRPr="00AA74DC">
        <w:t xml:space="preserve"> </w:t>
      </w:r>
      <w:r w:rsidR="00AA74DC">
        <w:br/>
      </w:r>
      <w:r w:rsidR="00800BAA">
        <w:t>[</w:t>
      </w:r>
      <w:hyperlink r:id="rId71" w:history="1">
        <w:r w:rsidR="00800BAA" w:rsidRPr="00F6292F">
          <w:rPr>
            <w:rStyle w:val="Hyperlink"/>
          </w:rPr>
          <w:t>https://</w:t>
        </w:r>
        <w:r w:rsidR="0077210E" w:rsidRPr="00F6292F">
          <w:rPr>
            <w:rStyle w:val="Hyperlink"/>
          </w:rPr>
          <w:t>www-ns</w:t>
        </w:r>
        <w:r w:rsidR="00800BAA" w:rsidRPr="00F6292F">
          <w:rPr>
            <w:rStyle w:val="Hyperlink"/>
          </w:rPr>
          <w:t>.iaea.org/downloads/standards/glossary/iaea-safety-glossary-draft-2016.pdf</w:t>
        </w:r>
      </w:hyperlink>
      <w:r w:rsidR="0077210E">
        <w:t>]</w:t>
      </w:r>
    </w:p>
    <w:p w14:paraId="039DC528" w14:textId="4FCE4A8F" w:rsidR="00A47475" w:rsidRPr="00A47475" w:rsidRDefault="00240F0C" w:rsidP="00557F4A">
      <w:pPr>
        <w:ind w:left="426" w:hanging="426"/>
      </w:pPr>
      <w:r>
        <w:t>IAEA 2017</w:t>
      </w:r>
      <w:r w:rsidR="000604FA">
        <w:t xml:space="preserve">. </w:t>
      </w:r>
      <w:r w:rsidR="00A47475">
        <w:t xml:space="preserve">International Atomic Energy Agency 2017. </w:t>
      </w:r>
      <w:r w:rsidR="00A47475">
        <w:rPr>
          <w:i/>
        </w:rPr>
        <w:t xml:space="preserve">Contents and Sample Arguments of a Safety Case for Near Surface Disposal of Radioactive Waste. </w:t>
      </w:r>
      <w:r w:rsidR="00A47475">
        <w:t>IAEA-TECDOC-1814.</w:t>
      </w:r>
      <w:r w:rsidR="00D6302E" w:rsidRPr="00D6302E">
        <w:t xml:space="preserve"> </w:t>
      </w:r>
      <w:r w:rsidR="00D6302E" w:rsidRPr="00397DE3">
        <w:br/>
        <w:t>[</w:t>
      </w:r>
      <w:hyperlink r:id="rId72" w:history="1">
        <w:r w:rsidR="00D6302E" w:rsidRPr="00F6292F">
          <w:rPr>
            <w:rStyle w:val="Hyperlink"/>
          </w:rPr>
          <w:t>https://www-pub.iaea.org/MTCD/Publications/PDF/TE-1814_web.pdf</w:t>
        </w:r>
      </w:hyperlink>
      <w:r w:rsidR="00D6302E">
        <w:t>]</w:t>
      </w:r>
    </w:p>
    <w:p w14:paraId="3888E853" w14:textId="16ADFCA0" w:rsidR="00657EC1" w:rsidRDefault="00F57C3F" w:rsidP="00657EC1">
      <w:pPr>
        <w:ind w:left="426" w:hanging="426"/>
      </w:pPr>
      <w:r>
        <w:t>ICRP 2006</w:t>
      </w:r>
      <w:r w:rsidRPr="00F57C3F">
        <w:t xml:space="preserve">. </w:t>
      </w:r>
      <w:r w:rsidR="00657EC1" w:rsidRPr="00397DE3">
        <w:t>International Commission on Radiological Protection</w:t>
      </w:r>
      <w:r w:rsidR="00657EC1">
        <w:t xml:space="preserve"> 2006</w:t>
      </w:r>
      <w:r w:rsidR="00657EC1" w:rsidRPr="00397DE3">
        <w:t xml:space="preserve">. </w:t>
      </w:r>
      <w:r w:rsidR="00657EC1" w:rsidRPr="00397DE3">
        <w:rPr>
          <w:i/>
        </w:rPr>
        <w:t xml:space="preserve">The </w:t>
      </w:r>
      <w:r w:rsidR="00657EC1">
        <w:rPr>
          <w:i/>
        </w:rPr>
        <w:t>Optimisation of</w:t>
      </w:r>
      <w:r w:rsidR="00657EC1" w:rsidRPr="00397DE3">
        <w:rPr>
          <w:i/>
        </w:rPr>
        <w:t xml:space="preserve"> Radiological Protection</w:t>
      </w:r>
      <w:r w:rsidR="00657EC1">
        <w:rPr>
          <w:i/>
        </w:rPr>
        <w:t xml:space="preserve"> – Broadening the Process</w:t>
      </w:r>
      <w:r w:rsidR="00657EC1" w:rsidRPr="00397DE3">
        <w:t>.</w:t>
      </w:r>
      <w:r w:rsidR="00657EC1">
        <w:t xml:space="preserve"> ICRP Publication 101b</w:t>
      </w:r>
      <w:r w:rsidR="00657EC1" w:rsidRPr="00397DE3">
        <w:t>.</w:t>
      </w:r>
      <w:r w:rsidR="00657EC1">
        <w:t xml:space="preserve"> </w:t>
      </w:r>
      <w:r>
        <w:t>[</w:t>
      </w:r>
      <w:hyperlink r:id="rId73" w:history="1">
        <w:r w:rsidRPr="00F6292F">
          <w:rPr>
            <w:rStyle w:val="Hyperlink"/>
          </w:rPr>
          <w:t>http://www.icrp.org/publication.asp?id=ICRP%20Publication%20101b</w:t>
        </w:r>
      </w:hyperlink>
      <w:r>
        <w:t>]</w:t>
      </w:r>
    </w:p>
    <w:p w14:paraId="7959822C" w14:textId="24801D54" w:rsidR="005F4B25" w:rsidRDefault="0074214A" w:rsidP="005F4B25">
      <w:pPr>
        <w:ind w:left="426" w:hanging="426"/>
      </w:pPr>
      <w:r w:rsidRPr="003102CD">
        <w:t xml:space="preserve">ICRP </w:t>
      </w:r>
      <w:r w:rsidR="00240F0C">
        <w:t>2007</w:t>
      </w:r>
      <w:r>
        <w:t xml:space="preserve">. </w:t>
      </w:r>
      <w:r w:rsidR="005F4B25" w:rsidRPr="00397DE3">
        <w:t>International Commission on Radiological Protection</w:t>
      </w:r>
      <w:r w:rsidR="005F4B25">
        <w:t xml:space="preserve"> </w:t>
      </w:r>
      <w:r w:rsidR="005F4B25" w:rsidRPr="00397DE3">
        <w:t xml:space="preserve">2007. </w:t>
      </w:r>
      <w:r w:rsidR="005F4B25" w:rsidRPr="00397DE3">
        <w:rPr>
          <w:i/>
        </w:rPr>
        <w:t>The 2007 Recommendations of the International Commission on Radiological Protection</w:t>
      </w:r>
      <w:r w:rsidR="005F4B25" w:rsidRPr="00397DE3">
        <w:t>.</w:t>
      </w:r>
      <w:r w:rsidR="005F4B25">
        <w:t xml:space="preserve"> </w:t>
      </w:r>
      <w:r w:rsidR="005F4B25" w:rsidRPr="00397DE3">
        <w:t>ICRP Publication 103.</w:t>
      </w:r>
      <w:r w:rsidR="005F4B25">
        <w:t xml:space="preserve"> </w:t>
      </w:r>
      <w:r w:rsidR="005F4B25">
        <w:br/>
      </w:r>
      <w:r w:rsidR="005F4B25" w:rsidRPr="00397DE3">
        <w:t>[</w:t>
      </w:r>
      <w:hyperlink r:id="rId74" w:history="1">
        <w:r w:rsidR="005F4B25">
          <w:rPr>
            <w:rStyle w:val="Hyperlink"/>
          </w:rPr>
          <w:t>http://www.icrp.org/publication.asp?id=ICRP%20Publication%20103</w:t>
        </w:r>
      </w:hyperlink>
      <w:r w:rsidR="005F4B25" w:rsidRPr="00397DE3">
        <w:t>]</w:t>
      </w:r>
    </w:p>
    <w:p w14:paraId="0989B04D" w14:textId="7830146A" w:rsidR="0045047B" w:rsidRPr="004473ED" w:rsidRDefault="00C30573" w:rsidP="004473ED">
      <w:pPr>
        <w:ind w:left="426" w:hanging="426"/>
      </w:pPr>
      <w:r>
        <w:t>NHMRC 1992</w:t>
      </w:r>
      <w:r w:rsidR="0045047B">
        <w:t xml:space="preserve">. National Health and Medical Research Council 1992. </w:t>
      </w:r>
      <w:r w:rsidR="004473ED" w:rsidRPr="004473ED">
        <w:t>Radiation Health Series (RHS) No. 35</w:t>
      </w:r>
      <w:r w:rsidR="004473ED">
        <w:t xml:space="preserve"> </w:t>
      </w:r>
      <w:r w:rsidR="004473ED" w:rsidRPr="004473ED">
        <w:rPr>
          <w:i/>
        </w:rPr>
        <w:t>Code of practice for the near-surface disposal of radioactive waste in Australia (1992)</w:t>
      </w:r>
      <w:r w:rsidR="004473ED">
        <w:t>. [</w:t>
      </w:r>
      <w:hyperlink r:id="rId75" w:history="1">
        <w:r w:rsidR="004473ED" w:rsidRPr="00F6292F">
          <w:rPr>
            <w:rStyle w:val="Hyperlink"/>
          </w:rPr>
          <w:t>https://www.arpansa.gov.au/sites/g/files/net3086/f/legacy/pubs/rhs/rhs35.pdf</w:t>
        </w:r>
      </w:hyperlink>
      <w:r w:rsidR="004473ED">
        <w:t>]</w:t>
      </w:r>
    </w:p>
    <w:p w14:paraId="374F8076" w14:textId="40E76BF1" w:rsidR="000F6297" w:rsidRPr="00917149" w:rsidRDefault="007167DB" w:rsidP="00E34C85">
      <w:pPr>
        <w:ind w:left="426" w:hanging="426"/>
        <w:sectPr w:rsidR="000F6297" w:rsidRPr="00917149" w:rsidSect="00912E5D">
          <w:pgSz w:w="11906" w:h="16838"/>
          <w:pgMar w:top="1134" w:right="1134" w:bottom="1134" w:left="1134" w:header="720" w:footer="720" w:gutter="0"/>
          <w:cols w:space="720"/>
        </w:sectPr>
      </w:pPr>
      <w:r>
        <w:t xml:space="preserve">OECD </w:t>
      </w:r>
      <w:r w:rsidR="00240F0C">
        <w:t>1999</w:t>
      </w:r>
      <w:r w:rsidR="00624A1B">
        <w:t>.</w:t>
      </w:r>
      <w:r>
        <w:t xml:space="preserve"> </w:t>
      </w:r>
      <w:r w:rsidR="002050D2" w:rsidRPr="002050D2">
        <w:t>O</w:t>
      </w:r>
      <w:r w:rsidR="002050D2">
        <w:t>rganisation for Economic Co-</w:t>
      </w:r>
      <w:r w:rsidR="0045047B">
        <w:t>o</w:t>
      </w:r>
      <w:r w:rsidR="002050D2">
        <w:t xml:space="preserve">peration and Development 1999. </w:t>
      </w:r>
      <w:r w:rsidR="002050D2" w:rsidRPr="003102CD">
        <w:rPr>
          <w:i/>
        </w:rPr>
        <w:t>Confidence in the Long-term Safety o</w:t>
      </w:r>
      <w:r w:rsidR="005B5DC0" w:rsidRPr="003102CD">
        <w:rPr>
          <w:i/>
        </w:rPr>
        <w:t>f Deep Geological Repositories – Its Development and Communication.</w:t>
      </w:r>
      <w:r w:rsidR="005B5DC0" w:rsidRPr="005B5DC0">
        <w:rPr>
          <w:i/>
        </w:rPr>
        <w:t xml:space="preserve"> </w:t>
      </w:r>
      <w:r w:rsidR="005B5DC0">
        <w:t>Nuclear Energy Agency (NEA)</w:t>
      </w:r>
      <w:r w:rsidR="005B5DC0" w:rsidRPr="00397DE3">
        <w:t xml:space="preserve"> </w:t>
      </w:r>
      <w:r w:rsidR="005B5DC0">
        <w:t>[</w:t>
      </w:r>
      <w:hyperlink r:id="rId76" w:history="1">
        <w:r w:rsidR="005B5DC0" w:rsidRPr="00351A74">
          <w:rPr>
            <w:rStyle w:val="Hyperlink"/>
          </w:rPr>
          <w:t>https://www.oecd-nea.org/rwm/reports/1999/confidence.pdf</w:t>
        </w:r>
      </w:hyperlink>
      <w:r w:rsidR="005B5DC0">
        <w:t xml:space="preserve">]  </w:t>
      </w:r>
    </w:p>
    <w:p w14:paraId="4E74FFA0" w14:textId="1ED77BD1" w:rsidR="00795AB0" w:rsidRPr="00933C78" w:rsidRDefault="00795AB0" w:rsidP="00795AB0">
      <w:pPr>
        <w:pStyle w:val="Schedule"/>
        <w:pBdr>
          <w:bottom w:val="single" w:sz="4" w:space="1" w:color="auto"/>
        </w:pBdr>
        <w:spacing w:before="0"/>
        <w:ind w:left="1559" w:hanging="1559"/>
      </w:pPr>
      <w:bookmarkStart w:id="158" w:name="_Toc524085231"/>
      <w:r>
        <w:lastRenderedPageBreak/>
        <w:t>Contributors to drafting and review</w:t>
      </w:r>
      <w:bookmarkEnd w:id="158"/>
    </w:p>
    <w:bookmarkEnd w:id="157"/>
    <w:p w14:paraId="4C62947D" w14:textId="77777777" w:rsidR="00B038AD" w:rsidRPr="00F65CC4" w:rsidRDefault="00B038AD" w:rsidP="00B038AD">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Dr Geoff Williams</w:t>
      </w:r>
      <w:r w:rsidRPr="00EB251B">
        <w:rPr>
          <w:rFonts w:asciiTheme="minorHAnsi" w:hAnsiTheme="minorHAnsi"/>
          <w:sz w:val="22"/>
          <w:szCs w:val="22"/>
        </w:rPr>
        <w:tab/>
      </w:r>
      <w:r w:rsidRPr="00F65CC4">
        <w:rPr>
          <w:rFonts w:asciiTheme="minorHAnsi" w:hAnsiTheme="minorHAnsi"/>
          <w:color w:val="444448" w:themeColor="accent4"/>
          <w:sz w:val="22"/>
          <w:szCs w:val="22"/>
        </w:rPr>
        <w:t xml:space="preserve">ARPANSA Radiation Health Services Branch, </w:t>
      </w:r>
      <w:r>
        <w:rPr>
          <w:rFonts w:asciiTheme="minorHAnsi" w:hAnsiTheme="minorHAnsi"/>
          <w:color w:val="444448" w:themeColor="accent4"/>
          <w:sz w:val="22"/>
          <w:szCs w:val="22"/>
        </w:rPr>
        <w:t>Assessment and Advice</w:t>
      </w:r>
    </w:p>
    <w:p w14:paraId="6172CCA5" w14:textId="77777777" w:rsidR="00B038AD" w:rsidRPr="00F65CC4" w:rsidRDefault="00B038AD" w:rsidP="00B038AD">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Ms Julia Carpenter</w:t>
      </w:r>
      <w:r>
        <w:rPr>
          <w:rFonts w:asciiTheme="minorHAnsi" w:hAnsiTheme="minorHAnsi"/>
          <w:sz w:val="22"/>
          <w:szCs w:val="22"/>
        </w:rPr>
        <w:tab/>
      </w:r>
      <w:r w:rsidRPr="00F65CC4">
        <w:rPr>
          <w:rFonts w:asciiTheme="minorHAnsi" w:hAnsiTheme="minorHAnsi"/>
          <w:color w:val="444448" w:themeColor="accent4"/>
          <w:sz w:val="22"/>
          <w:szCs w:val="22"/>
        </w:rPr>
        <w:t xml:space="preserve">ARPANSA Radiation Health Services Branch, </w:t>
      </w:r>
      <w:r>
        <w:rPr>
          <w:rFonts w:asciiTheme="minorHAnsi" w:hAnsiTheme="minorHAnsi"/>
          <w:color w:val="444448" w:themeColor="accent4"/>
          <w:sz w:val="22"/>
          <w:szCs w:val="22"/>
        </w:rPr>
        <w:t>Assessment and Advice</w:t>
      </w:r>
    </w:p>
    <w:p w14:paraId="7CC7664F" w14:textId="77777777" w:rsidR="00B038AD" w:rsidRPr="00F65CC4" w:rsidRDefault="00B038AD" w:rsidP="00B038AD">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Dr Rick Tinker</w:t>
      </w:r>
      <w:r>
        <w:rPr>
          <w:rFonts w:asciiTheme="minorHAnsi" w:hAnsiTheme="minorHAnsi"/>
          <w:sz w:val="22"/>
          <w:szCs w:val="22"/>
        </w:rPr>
        <w:tab/>
      </w:r>
      <w:r w:rsidRPr="00F65CC4">
        <w:rPr>
          <w:rFonts w:asciiTheme="minorHAnsi" w:hAnsiTheme="minorHAnsi"/>
          <w:color w:val="444448" w:themeColor="accent4"/>
          <w:sz w:val="22"/>
          <w:szCs w:val="22"/>
        </w:rPr>
        <w:t xml:space="preserve">ARPANSA Radiation Health Services Branch, </w:t>
      </w:r>
      <w:r>
        <w:rPr>
          <w:rFonts w:asciiTheme="minorHAnsi" w:hAnsiTheme="minorHAnsi"/>
          <w:color w:val="444448" w:themeColor="accent4"/>
          <w:sz w:val="22"/>
          <w:szCs w:val="22"/>
        </w:rPr>
        <w:t>Assessment and Advice</w:t>
      </w:r>
    </w:p>
    <w:p w14:paraId="75D4EBEF" w14:textId="014DE53F" w:rsidR="003467C2" w:rsidRPr="00F65CC4" w:rsidRDefault="003467C2" w:rsidP="00F65CC4">
      <w:pPr>
        <w:pStyle w:val="RPSNumberedBodyText"/>
        <w:numPr>
          <w:ilvl w:val="0"/>
          <w:numId w:val="0"/>
        </w:numPr>
        <w:tabs>
          <w:tab w:val="left" w:pos="2552"/>
        </w:tabs>
        <w:ind w:left="2552" w:hanging="2552"/>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Dr Fiona Charalambous</w:t>
      </w:r>
      <w:r>
        <w:rPr>
          <w:rFonts w:asciiTheme="minorHAnsi" w:hAnsiTheme="minorHAnsi"/>
          <w:sz w:val="22"/>
          <w:szCs w:val="22"/>
        </w:rPr>
        <w:tab/>
      </w:r>
      <w:r w:rsidRPr="00F65CC4">
        <w:rPr>
          <w:rFonts w:asciiTheme="minorHAnsi" w:hAnsiTheme="minorHAnsi"/>
          <w:color w:val="444448" w:themeColor="accent4"/>
          <w:sz w:val="22"/>
          <w:szCs w:val="22"/>
        </w:rPr>
        <w:t xml:space="preserve">ARPANSA Radiation Health Services Branch, </w:t>
      </w:r>
      <w:r w:rsidR="00B038AD">
        <w:rPr>
          <w:rFonts w:asciiTheme="minorHAnsi" w:hAnsiTheme="minorHAnsi"/>
          <w:color w:val="444448" w:themeColor="accent4"/>
          <w:sz w:val="22"/>
          <w:szCs w:val="22"/>
        </w:rPr>
        <w:t>Assessment and Advice</w:t>
      </w:r>
    </w:p>
    <w:p w14:paraId="41735CA5" w14:textId="77777777" w:rsidR="003467C2" w:rsidRPr="00980F2E" w:rsidRDefault="003467C2" w:rsidP="003467C2">
      <w:pPr>
        <w:pStyle w:val="RPSNumberedBodyText"/>
        <w:numPr>
          <w:ilvl w:val="0"/>
          <w:numId w:val="0"/>
        </w:numPr>
        <w:tabs>
          <w:tab w:val="left" w:pos="0"/>
          <w:tab w:val="left" w:pos="2552"/>
        </w:tabs>
        <w:rPr>
          <w:rFonts w:asciiTheme="minorHAnsi" w:hAnsiTheme="minorHAnsi"/>
          <w:color w:val="444448" w:themeColor="accent4"/>
          <w:sz w:val="22"/>
          <w:szCs w:val="22"/>
          <w:lang w:val="sv-SE"/>
        </w:rPr>
      </w:pPr>
      <w:r w:rsidRPr="00980F2E">
        <w:rPr>
          <w:rFonts w:asciiTheme="minorHAnsi" w:hAnsiTheme="minorHAnsi"/>
          <w:b/>
          <w:color w:val="4E1A74" w:themeColor="text2"/>
          <w:sz w:val="22"/>
          <w:szCs w:val="22"/>
          <w:lang w:val="sv-SE"/>
        </w:rPr>
        <w:t>Dr Carl-Magnus Larsson</w:t>
      </w:r>
      <w:r w:rsidRPr="00980F2E">
        <w:rPr>
          <w:rFonts w:asciiTheme="minorHAnsi" w:hAnsiTheme="minorHAnsi"/>
          <w:sz w:val="22"/>
          <w:szCs w:val="22"/>
          <w:lang w:val="sv-SE"/>
        </w:rPr>
        <w:tab/>
      </w:r>
      <w:r w:rsidRPr="00980F2E">
        <w:rPr>
          <w:rFonts w:asciiTheme="minorHAnsi" w:hAnsiTheme="minorHAnsi"/>
          <w:color w:val="444448" w:themeColor="accent4"/>
          <w:sz w:val="22"/>
          <w:szCs w:val="22"/>
          <w:lang w:val="sv-SE"/>
        </w:rPr>
        <w:t>ARPANSA CEO</w:t>
      </w:r>
    </w:p>
    <w:p w14:paraId="24CC4FF3" w14:textId="6D39E47A" w:rsidR="003D2646" w:rsidRPr="00E34C85" w:rsidRDefault="003467C2" w:rsidP="00E34C85">
      <w:pPr>
        <w:pStyle w:val="RPSNumberedBodyText"/>
        <w:numPr>
          <w:ilvl w:val="0"/>
          <w:numId w:val="0"/>
        </w:numPr>
        <w:tabs>
          <w:tab w:val="left" w:pos="0"/>
          <w:tab w:val="left" w:pos="2552"/>
        </w:tabs>
        <w:ind w:left="2550" w:hanging="2550"/>
        <w:jc w:val="left"/>
        <w:rPr>
          <w:rFonts w:asciiTheme="minorHAnsi" w:hAnsiTheme="minorHAnsi"/>
          <w:color w:val="444448" w:themeColor="accent4"/>
          <w:sz w:val="22"/>
          <w:szCs w:val="22"/>
        </w:rPr>
      </w:pPr>
      <w:r w:rsidRPr="00795AB0">
        <w:rPr>
          <w:rFonts w:asciiTheme="minorHAnsi" w:hAnsiTheme="minorHAnsi"/>
          <w:b/>
          <w:color w:val="4E1A74" w:themeColor="text2"/>
          <w:sz w:val="22"/>
          <w:szCs w:val="22"/>
        </w:rPr>
        <w:t>Mr Bradley Feldtman</w:t>
      </w:r>
      <w:r>
        <w:rPr>
          <w:rFonts w:asciiTheme="minorHAnsi" w:hAnsiTheme="minorHAnsi"/>
          <w:sz w:val="22"/>
          <w:szCs w:val="22"/>
        </w:rPr>
        <w:tab/>
      </w:r>
      <w:r w:rsidRPr="00F65CC4">
        <w:rPr>
          <w:rFonts w:asciiTheme="minorHAnsi" w:hAnsiTheme="minorHAnsi"/>
          <w:color w:val="444448" w:themeColor="accent4"/>
          <w:sz w:val="22"/>
          <w:szCs w:val="22"/>
        </w:rPr>
        <w:t xml:space="preserve">Radiation Health Committee Representative, Environment Health Branch, Department of Health, Northern Territory </w:t>
      </w:r>
    </w:p>
    <w:sectPr w:rsidR="003D2646" w:rsidRPr="00E34C85" w:rsidSect="00912E5D">
      <w:headerReference w:type="even" r:id="rId77"/>
      <w:headerReference w:type="default" r:id="rId78"/>
      <w:headerReference w:type="first" r:id="rId79"/>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3AC8D" w14:textId="77777777" w:rsidR="00C56A9D" w:rsidRDefault="00C56A9D" w:rsidP="00037687">
      <w:r>
        <w:separator/>
      </w:r>
    </w:p>
  </w:endnote>
  <w:endnote w:type="continuationSeparator" w:id="0">
    <w:p w14:paraId="0297B8F4" w14:textId="77777777" w:rsidR="00C56A9D" w:rsidRDefault="00C56A9D"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Ten">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3" w:usb1="08070000" w:usb2="00000010" w:usb3="00000000" w:csb0="00020001" w:csb1="00000000"/>
  </w:font>
  <w:font w:name="AdvPSTim">
    <w:altName w:val="Times New Roman"/>
    <w:panose1 w:val="00000000000000000000"/>
    <w:charset w:val="00"/>
    <w:family w:val="auto"/>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Te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0D3B8" w14:textId="0F571493" w:rsidR="00C56A9D" w:rsidRPr="002356D6" w:rsidRDefault="00C56A9D" w:rsidP="007D153D">
    <w:pPr>
      <w:tabs>
        <w:tab w:val="left" w:pos="4253"/>
        <w:tab w:val="right" w:pos="9639"/>
      </w:tabs>
      <w:spacing w:before="120"/>
      <w:rPr>
        <w:sz w:val="16"/>
      </w:rPr>
    </w:pPr>
    <w:r w:rsidRPr="002356D6">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279E5" w14:textId="77777777" w:rsidR="00C56A9D" w:rsidRDefault="00C56A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53306" w14:textId="77777777" w:rsidR="00C56A9D" w:rsidRDefault="00C56A9D" w:rsidP="00642C15">
    <w:pPr>
      <w:pStyle w:val="Header"/>
    </w:pPr>
    <w:r w:rsidRPr="00FF6AB9">
      <w:rPr>
        <w:noProof/>
        <w:sz w:val="18"/>
        <w:lang w:eastAsia="en-AU"/>
      </w:rPr>
      <w:drawing>
        <wp:anchor distT="0" distB="0" distL="114300" distR="114300" simplePos="0" relativeHeight="251656704" behindDoc="0" locked="0" layoutInCell="1" allowOverlap="1" wp14:anchorId="1C4266D6" wp14:editId="3A6FE98C">
          <wp:simplePos x="0" y="0"/>
          <wp:positionH relativeFrom="column">
            <wp:posOffset>0</wp:posOffset>
          </wp:positionH>
          <wp:positionV relativeFrom="paragraph">
            <wp:posOffset>207645</wp:posOffset>
          </wp:positionV>
          <wp:extent cx="6119495" cy="53975"/>
          <wp:effectExtent l="0" t="0" r="0" b="3175"/>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p>
  <w:p w14:paraId="0FE34107" w14:textId="77777777" w:rsidR="00C56A9D" w:rsidRPr="00906A5C" w:rsidRDefault="00C56A9D" w:rsidP="00642C15">
    <w:pPr>
      <w:pStyle w:val="Footer"/>
      <w:tabs>
        <w:tab w:val="clear" w:pos="4513"/>
        <w:tab w:val="clear" w:pos="9026"/>
        <w:tab w:val="left" w:pos="3686"/>
        <w:tab w:val="right" w:pos="9639"/>
      </w:tabs>
      <w:spacing w:before="120"/>
      <w:rPr>
        <w:sz w:val="16"/>
        <w:szCs w:val="16"/>
      </w:rPr>
    </w:pPr>
    <w:r w:rsidRPr="009F4DCB">
      <w:rPr>
        <w:sz w:val="16"/>
        <w:szCs w:val="16"/>
      </w:rPr>
      <w:t>619 Lower Plenty Road, Yallambie VIC 3085</w:t>
    </w:r>
    <w:r w:rsidRPr="00197595">
      <w:rPr>
        <w:color w:val="3275CB" w:themeColor="text1" w:themeTint="A6"/>
        <w:sz w:val="16"/>
      </w:rPr>
      <w:tab/>
    </w:r>
    <w:r w:rsidRPr="009F4DCB">
      <w:rPr>
        <w:sz w:val="16"/>
        <w:szCs w:val="16"/>
      </w:rPr>
      <w:t>38–40 Urunga Parade, Miranda NSW 2228</w:t>
    </w:r>
    <w:r w:rsidRPr="00197595">
      <w:rPr>
        <w:color w:val="3275CB" w:themeColor="text1" w:themeTint="A6"/>
        <w:sz w:val="16"/>
      </w:rPr>
      <w:tab/>
    </w:r>
    <w:r w:rsidRPr="009F4DCB">
      <w:rPr>
        <w:sz w:val="16"/>
        <w:szCs w:val="16"/>
      </w:rPr>
      <w:t>info@arpansa.gov.au</w:t>
    </w:r>
    <w:r w:rsidRPr="00197595">
      <w:rPr>
        <w:color w:val="3275CB" w:themeColor="text1" w:themeTint="A6"/>
        <w:sz w:val="16"/>
      </w:rPr>
      <w:br/>
    </w:r>
    <w:r w:rsidRPr="009F4DCB">
      <w:rPr>
        <w:sz w:val="16"/>
        <w:szCs w:val="16"/>
      </w:rPr>
      <w:t>+61 3 9433 2211</w:t>
    </w:r>
    <w:r w:rsidRPr="00197595">
      <w:rPr>
        <w:color w:val="3275CB" w:themeColor="text1" w:themeTint="A6"/>
        <w:sz w:val="16"/>
        <w:szCs w:val="18"/>
      </w:rPr>
      <w:tab/>
    </w:r>
    <w:r>
      <w:rPr>
        <w:sz w:val="16"/>
        <w:szCs w:val="16"/>
      </w:rPr>
      <w:t>PO Box 655, Miranda 1490</w:t>
    </w:r>
    <w:r w:rsidRPr="00197595">
      <w:rPr>
        <w:color w:val="3275CB" w:themeColor="text1" w:themeTint="A6"/>
        <w:sz w:val="16"/>
        <w:szCs w:val="18"/>
      </w:rPr>
      <w:tab/>
    </w:r>
    <w:r w:rsidRPr="009F4DCB">
      <w:rPr>
        <w:sz w:val="16"/>
        <w:szCs w:val="16"/>
      </w:rPr>
      <w:t>arpansa.gov.au</w:t>
    </w:r>
    <w:r w:rsidRPr="009F4DCB">
      <w:rPr>
        <w:sz w:val="16"/>
        <w:szCs w:val="16"/>
      </w:rPr>
      <w:br/>
    </w:r>
    <w:r w:rsidRPr="00197595">
      <w:rPr>
        <w:color w:val="3275CB" w:themeColor="text1" w:themeTint="A6"/>
        <w:sz w:val="16"/>
        <w:szCs w:val="18"/>
      </w:rPr>
      <w:tab/>
    </w:r>
    <w:r w:rsidRPr="009F4DCB">
      <w:rPr>
        <w:sz w:val="16"/>
        <w:szCs w:val="16"/>
      </w:rPr>
      <w:t>+61 2 9541 8333</w:t>
    </w:r>
    <w:r w:rsidRPr="00FF6AB9">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372E" w14:textId="52E7C9F6" w:rsidR="00C56A9D" w:rsidRPr="00642C15" w:rsidRDefault="00C56A9D" w:rsidP="00AB4E1C">
    <w:pPr>
      <w:pStyle w:val="Footer"/>
      <w:tabs>
        <w:tab w:val="clear" w:pos="4513"/>
        <w:tab w:val="clear" w:pos="9026"/>
        <w:tab w:val="center" w:pos="9356"/>
        <w:tab w:val="right" w:pos="9639"/>
      </w:tabs>
      <w:spacing w:before="120" w:line="264" w:lineRule="auto"/>
      <w:rPr>
        <w:sz w:val="18"/>
      </w:rPr>
    </w:pPr>
    <w:r w:rsidRPr="00963115">
      <w:rPr>
        <w:sz w:val="18"/>
      </w:rPr>
      <w:t>Radiation Protection Series C-3</w:t>
    </w:r>
    <w:r w:rsidRPr="00FF6AB9">
      <w:rPr>
        <w:sz w:val="18"/>
      </w:rPr>
      <w:tab/>
    </w:r>
    <w:r>
      <w:rPr>
        <w:sz w:val="18"/>
      </w:rPr>
      <w:tab/>
    </w:r>
    <w:r>
      <w:rPr>
        <w:sz w:val="18"/>
      </w:rPr>
      <w:fldChar w:fldCharType="begin"/>
    </w:r>
    <w:r>
      <w:rPr>
        <w:sz w:val="18"/>
      </w:rPr>
      <w:instrText xml:space="preserve"> PAGE   \* MERGEFORMAT </w:instrText>
    </w:r>
    <w:r>
      <w:rPr>
        <w:sz w:val="18"/>
      </w:rPr>
      <w:fldChar w:fldCharType="separate"/>
    </w:r>
    <w:r w:rsidR="006E3F76">
      <w:rPr>
        <w:noProof/>
        <w:sz w:val="18"/>
      </w:rPr>
      <w:t>i</w:t>
    </w:r>
    <w:r>
      <w:rPr>
        <w:sz w:val="18"/>
      </w:rPr>
      <w:fldChar w:fldCharType="end"/>
    </w:r>
    <w:r>
      <w:rPr>
        <w:sz w:val="18"/>
      </w:rPr>
      <w:br/>
    </w:r>
    <w:r w:rsidRPr="00FF6AB9">
      <w:rPr>
        <w:noProof/>
        <w:sz w:val="18"/>
        <w:lang w:eastAsia="en-AU"/>
      </w:rPr>
      <w:drawing>
        <wp:anchor distT="0" distB="0" distL="114300" distR="114300" simplePos="0" relativeHeight="251657728" behindDoc="0" locked="0" layoutInCell="1" allowOverlap="1" wp14:anchorId="70479728" wp14:editId="057EC342">
          <wp:simplePos x="0" y="0"/>
          <wp:positionH relativeFrom="column">
            <wp:posOffset>0</wp:posOffset>
          </wp:positionH>
          <wp:positionV relativeFrom="paragraph">
            <wp:posOffset>175895</wp:posOffset>
          </wp:positionV>
          <wp:extent cx="6120000" cy="54000"/>
          <wp:effectExtent l="0" t="0" r="0" b="3175"/>
          <wp:wrapTopAndBottom/>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642C15">
      <w:rPr>
        <w:sz w:val="18"/>
      </w:rPr>
      <w:t>Code for Disposal Facilities for Solid Radioactive Waste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550A3" w14:textId="77777777" w:rsidR="00C56A9D" w:rsidRDefault="00C56A9D" w:rsidP="00037687">
      <w:r>
        <w:separator/>
      </w:r>
    </w:p>
  </w:footnote>
  <w:footnote w:type="continuationSeparator" w:id="0">
    <w:p w14:paraId="07807A45" w14:textId="77777777" w:rsidR="00C56A9D" w:rsidRDefault="00C56A9D" w:rsidP="00037687">
      <w:r>
        <w:continuationSeparator/>
      </w:r>
    </w:p>
  </w:footnote>
  <w:footnote w:id="1">
    <w:p w14:paraId="2989615C" w14:textId="385969DE" w:rsidR="00C56A9D" w:rsidRDefault="00C56A9D">
      <w:pPr>
        <w:pStyle w:val="FootnoteText"/>
      </w:pPr>
      <w:r>
        <w:rPr>
          <w:rStyle w:val="FootnoteReference"/>
        </w:rPr>
        <w:footnoteRef/>
      </w:r>
      <w:r>
        <w:t xml:space="preserve"> </w:t>
      </w:r>
      <w:r>
        <w:rPr>
          <w:rFonts w:ascii="Calibri" w:hAnsi="Calibri" w:cs="Calibri"/>
          <w:color w:val="444448"/>
          <w:szCs w:val="18"/>
        </w:rPr>
        <w:t>The detriment adjusted nominal risk coefficient at low dose rates, applicable to the whole population and to stochastic effects (all cancers and heritable effects); of 5.7% per sievert, given in Table 1 of ICRP Publication 103, must be used.</w:t>
      </w:r>
    </w:p>
  </w:footnote>
  <w:footnote w:id="2">
    <w:p w14:paraId="464B6C52" w14:textId="707E2C6F" w:rsidR="00C56A9D" w:rsidRDefault="00C56A9D">
      <w:pPr>
        <w:pStyle w:val="FootnoteText"/>
      </w:pPr>
      <w:r>
        <w:rPr>
          <w:rStyle w:val="FootnoteReference"/>
        </w:rPr>
        <w:footnoteRef/>
      </w:r>
      <w:r>
        <w:t xml:space="preserve"> Health is defined by the World Health Organization as a state of complete physical, mental and social well-being and not merely the absence of disease or infirmity.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B649" w14:textId="78FD452C" w:rsidR="00C56A9D" w:rsidRDefault="00C56A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6284" w14:textId="309CF96B" w:rsidR="00C56A9D" w:rsidRDefault="00C56A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1E3B1" w14:textId="74535568" w:rsidR="00C56A9D" w:rsidRDefault="00C56A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7A8CC" w14:textId="22AF0D46" w:rsidR="00C56A9D" w:rsidRDefault="00C56A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EE79F" w14:textId="10C01B67" w:rsidR="00C56A9D" w:rsidRDefault="00C56A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793DA" w14:textId="758486C1" w:rsidR="00C56A9D" w:rsidRDefault="00C56A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A9495" w14:textId="11194030" w:rsidR="00C56A9D" w:rsidRDefault="00C56A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4328" w14:textId="3F99C27D" w:rsidR="00C56A9D" w:rsidRDefault="00C56A9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9E1D9" w14:textId="5B1438B6" w:rsidR="00C56A9D" w:rsidRDefault="00C56A9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9BB13" w14:textId="34E7E71B" w:rsidR="00C56A9D" w:rsidRDefault="00C56A9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E5605" w14:textId="5481BFE0" w:rsidR="00C56A9D" w:rsidRDefault="00C56A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DEEF9" w14:textId="285D9C13" w:rsidR="00C56A9D" w:rsidRDefault="00C56A9D" w:rsidP="003467C2">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E6BB" w14:textId="77A89D8C" w:rsidR="00C56A9D" w:rsidRDefault="00C56A9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5439" w14:textId="08C6FA6C" w:rsidR="00C56A9D" w:rsidRDefault="00C56A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0457" w14:textId="1E81EA11" w:rsidR="00C56A9D" w:rsidRDefault="00C56A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8A3BF" w14:textId="27538F43" w:rsidR="00C56A9D" w:rsidRDefault="00C56A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9481" w14:textId="7030720D" w:rsidR="00C56A9D" w:rsidRDefault="00C56A9D" w:rsidP="003467C2">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DBC8" w14:textId="150ECD14" w:rsidR="00C56A9D" w:rsidRDefault="00C56A9D">
    <w:pPr>
      <w:pStyle w:val="Header"/>
    </w:pPr>
    <w:r>
      <w:rPr>
        <w:noProof/>
        <w:lang w:eastAsia="en-AU"/>
      </w:rPr>
      <w:drawing>
        <wp:inline distT="0" distB="0" distL="0" distR="0" wp14:anchorId="2FF4BE7B" wp14:editId="71AD177A">
          <wp:extent cx="6120000" cy="731504"/>
          <wp:effectExtent l="0" t="0" r="0" b="0"/>
          <wp:docPr id="34" name="Picture 34"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000" cy="731504"/>
                  </a:xfrm>
                  <a:prstGeom prst="rect">
                    <a:avLst/>
                  </a:prstGeom>
                </pic:spPr>
              </pic:pic>
            </a:graphicData>
          </a:graphic>
        </wp:inline>
      </w:drawing>
    </w:r>
  </w:p>
  <w:p w14:paraId="20F377D3" w14:textId="77777777" w:rsidR="00C56A9D" w:rsidRDefault="00C56A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ECE92" w14:textId="1A149544" w:rsidR="00C56A9D" w:rsidRDefault="00C56A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240CD" w14:textId="403A3E64" w:rsidR="00C56A9D" w:rsidRDefault="00C56A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B3F7F" w14:textId="4BABD4EE" w:rsidR="00C56A9D" w:rsidRDefault="00C56A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AFACD96"/>
    <w:lvl w:ilvl="0">
      <w:start w:val="1"/>
      <w:numFmt w:val="decimal"/>
      <w:pStyle w:val="ListNumber"/>
      <w:lvlText w:val="%1."/>
      <w:lvlJc w:val="left"/>
      <w:pPr>
        <w:tabs>
          <w:tab w:val="num" w:pos="360"/>
        </w:tabs>
        <w:ind w:left="360" w:hanging="360"/>
      </w:pPr>
    </w:lvl>
  </w:abstractNum>
  <w:abstractNum w:abstractNumId="1" w15:restartNumberingAfterBreak="0">
    <w:nsid w:val="02400C29"/>
    <w:multiLevelType w:val="hybridMultilevel"/>
    <w:tmpl w:val="4AFA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7E4B57"/>
    <w:multiLevelType w:val="hybridMultilevel"/>
    <w:tmpl w:val="1B862F70"/>
    <w:lvl w:ilvl="0" w:tplc="0C090017">
      <w:start w:val="1"/>
      <w:numFmt w:val="lowerLetter"/>
      <w:lvlText w:val="%1)"/>
      <w:lvlJc w:val="lef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3" w15:restartNumberingAfterBreak="0">
    <w:nsid w:val="065468A5"/>
    <w:multiLevelType w:val="hybridMultilevel"/>
    <w:tmpl w:val="B8F641B4"/>
    <w:lvl w:ilvl="0" w:tplc="B456E9D8">
      <w:start w:val="3"/>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 w15:restartNumberingAfterBreak="0">
    <w:nsid w:val="096D4736"/>
    <w:multiLevelType w:val="hybridMultilevel"/>
    <w:tmpl w:val="66C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02ABA"/>
    <w:multiLevelType w:val="hybridMultilevel"/>
    <w:tmpl w:val="B4940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E4D7D"/>
    <w:multiLevelType w:val="multilevel"/>
    <w:tmpl w:val="8FAEA450"/>
    <w:lvl w:ilvl="0">
      <w:start w:val="1"/>
      <w:numFmt w:val="decimal"/>
      <w:pStyle w:val="CoPRPSSectionHeading"/>
      <w:lvlText w:val="%1."/>
      <w:lvlJc w:val="left"/>
      <w:pPr>
        <w:tabs>
          <w:tab w:val="num" w:pos="1872"/>
        </w:tabs>
        <w:ind w:left="1872" w:hanging="737"/>
      </w:pPr>
      <w:rPr>
        <w:rFonts w:ascii="Georgia" w:hAnsi="Georgia" w:hint="default"/>
        <w:b/>
        <w:i w:val="0"/>
        <w:sz w:val="36"/>
        <w:szCs w:val="36"/>
      </w:rPr>
    </w:lvl>
    <w:lvl w:ilvl="1">
      <w:start w:val="1"/>
      <w:numFmt w:val="decimal"/>
      <w:pStyle w:val="CoPRPSSectionHeading2"/>
      <w:lvlText w:val="%1.%2"/>
      <w:lvlJc w:val="left"/>
      <w:pPr>
        <w:tabs>
          <w:tab w:val="num" w:pos="1872"/>
        </w:tabs>
        <w:ind w:left="1872" w:hanging="737"/>
      </w:pPr>
      <w:rPr>
        <w:rFonts w:ascii="Georgia" w:hAnsi="Georgia" w:hint="default"/>
        <w:b/>
        <w:i w:val="0"/>
        <w:sz w:val="28"/>
      </w:rPr>
    </w:lvl>
    <w:lvl w:ilvl="2">
      <w:start w:val="1"/>
      <w:numFmt w:val="decimal"/>
      <w:pStyle w:val="CoPRPSBodyTextnumeric"/>
      <w:lvlText w:val="%1.%2.%3"/>
      <w:lvlJc w:val="left"/>
      <w:pPr>
        <w:tabs>
          <w:tab w:val="num" w:pos="1872"/>
        </w:tabs>
        <w:ind w:left="1872" w:hanging="737"/>
      </w:pPr>
      <w:rPr>
        <w:rFonts w:ascii="Georgia" w:hAnsi="Georgia" w:hint="default"/>
        <w:b/>
        <w:i w:val="0"/>
        <w:caps w:val="0"/>
        <w:vanish w:val="0"/>
        <w:sz w:val="24"/>
        <w:szCs w:val="24"/>
      </w:rPr>
    </w:lvl>
    <w:lvl w:ilvl="3">
      <w:start w:val="1"/>
      <w:numFmt w:val="lowerLetter"/>
      <w:pStyle w:val="CoPRPSBodyTextalpha"/>
      <w:lvlText w:val="(%4)"/>
      <w:lvlJc w:val="left"/>
      <w:pPr>
        <w:tabs>
          <w:tab w:val="num" w:pos="2382"/>
        </w:tabs>
        <w:ind w:left="2382" w:hanging="510"/>
      </w:pPr>
      <w:rPr>
        <w:rFonts w:ascii="Georgia" w:hAnsi="Georgia" w:hint="default"/>
        <w:b w:val="0"/>
        <w:i w:val="0"/>
        <w:sz w:val="24"/>
        <w:szCs w:val="24"/>
      </w:rPr>
    </w:lvl>
    <w:lvl w:ilvl="4">
      <w:start w:val="1"/>
      <w:numFmt w:val="decimal"/>
      <w:lvlText w:val="%1.%2.%3.%4.%5."/>
      <w:lvlJc w:val="left"/>
      <w:pPr>
        <w:tabs>
          <w:tab w:val="num" w:pos="3367"/>
        </w:tabs>
        <w:ind w:left="3367" w:hanging="792"/>
      </w:pPr>
      <w:rPr>
        <w:rFonts w:hint="default"/>
      </w:rPr>
    </w:lvl>
    <w:lvl w:ilvl="5">
      <w:start w:val="1"/>
      <w:numFmt w:val="decimal"/>
      <w:lvlText w:val="%1.%2.%3.%4.%5.%6."/>
      <w:lvlJc w:val="left"/>
      <w:pPr>
        <w:tabs>
          <w:tab w:val="num" w:pos="3871"/>
        </w:tabs>
        <w:ind w:left="3871" w:hanging="936"/>
      </w:pPr>
      <w:rPr>
        <w:rFonts w:hint="default"/>
      </w:rPr>
    </w:lvl>
    <w:lvl w:ilvl="6">
      <w:start w:val="1"/>
      <w:numFmt w:val="decimal"/>
      <w:lvlText w:val="%1.%2.%3.%4.%5.%6.%7."/>
      <w:lvlJc w:val="left"/>
      <w:pPr>
        <w:tabs>
          <w:tab w:val="num" w:pos="4375"/>
        </w:tabs>
        <w:ind w:left="4375" w:hanging="1080"/>
      </w:pPr>
      <w:rPr>
        <w:rFonts w:hint="default"/>
      </w:rPr>
    </w:lvl>
    <w:lvl w:ilvl="7">
      <w:start w:val="1"/>
      <w:numFmt w:val="decimal"/>
      <w:lvlText w:val="%1.%2.%3.%4.%5.%6.%7.%8."/>
      <w:lvlJc w:val="left"/>
      <w:pPr>
        <w:tabs>
          <w:tab w:val="num" w:pos="4879"/>
        </w:tabs>
        <w:ind w:left="4879" w:hanging="1224"/>
      </w:pPr>
      <w:rPr>
        <w:rFonts w:hint="default"/>
      </w:rPr>
    </w:lvl>
    <w:lvl w:ilvl="8">
      <w:start w:val="1"/>
      <w:numFmt w:val="decimal"/>
      <w:lvlText w:val="%1.%2.%3.%4.%5.%6.%7.%8.%9."/>
      <w:lvlJc w:val="left"/>
      <w:pPr>
        <w:tabs>
          <w:tab w:val="num" w:pos="5455"/>
        </w:tabs>
        <w:ind w:left="5455" w:hanging="1440"/>
      </w:pPr>
      <w:rPr>
        <w:rFonts w:hint="default"/>
      </w:rPr>
    </w:lvl>
  </w:abstractNum>
  <w:abstractNum w:abstractNumId="7" w15:restartNumberingAfterBreak="0">
    <w:nsid w:val="0C8D2110"/>
    <w:multiLevelType w:val="hybridMultilevel"/>
    <w:tmpl w:val="954ABDF4"/>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 w15:restartNumberingAfterBreak="0">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9" w15:restartNumberingAfterBreak="0">
    <w:nsid w:val="0E673402"/>
    <w:multiLevelType w:val="hybridMultilevel"/>
    <w:tmpl w:val="E520A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F96559"/>
    <w:multiLevelType w:val="multilevel"/>
    <w:tmpl w:val="7644AD64"/>
    <w:lvl w:ilvl="0">
      <w:start w:val="1"/>
      <w:numFmt w:val="decimal"/>
      <w:lvlText w:val="%1."/>
      <w:lvlJc w:val="left"/>
      <w:pPr>
        <w:tabs>
          <w:tab w:val="num" w:pos="680"/>
        </w:tabs>
        <w:ind w:left="680" w:hanging="680"/>
      </w:pPr>
      <w:rPr>
        <w:rFonts w:ascii="Georgia" w:hAnsi="Georgia" w:cs="Times New Roman" w:hint="default"/>
        <w:b/>
        <w:i w:val="0"/>
        <w:sz w:val="32"/>
        <w:szCs w:val="32"/>
      </w:rPr>
    </w:lvl>
    <w:lvl w:ilvl="1">
      <w:start w:val="1"/>
      <w:numFmt w:val="decimal"/>
      <w:lvlText w:val="%1.%2"/>
      <w:lvlJc w:val="left"/>
      <w:pPr>
        <w:tabs>
          <w:tab w:val="num" w:pos="680"/>
        </w:tabs>
        <w:ind w:left="680" w:hanging="680"/>
      </w:pPr>
      <w:rPr>
        <w:rFonts w:ascii="Georgia" w:hAnsi="Georgia" w:hint="default"/>
        <w:b/>
        <w:i w:val="0"/>
        <w:sz w:val="28"/>
        <w:szCs w:val="28"/>
      </w:rPr>
    </w:lvl>
    <w:lvl w:ilvl="2">
      <w:start w:val="1"/>
      <w:numFmt w:val="decimal"/>
      <w:pStyle w:val="RPSBodyTextNumbered"/>
      <w:lvlText w:val="%1.%2.%3"/>
      <w:lvlJc w:val="left"/>
      <w:pPr>
        <w:tabs>
          <w:tab w:val="num" w:pos="794"/>
        </w:tabs>
        <w:ind w:left="794" w:hanging="794"/>
      </w:pPr>
      <w:rPr>
        <w:rFonts w:ascii="Georgia" w:hAnsi="Georgia" w:hint="default"/>
        <w:b w:val="0"/>
        <w:i w:val="0"/>
        <w:sz w:val="24"/>
        <w:szCs w:val="24"/>
      </w:rPr>
    </w:lvl>
    <w:lvl w:ilvl="3">
      <w:start w:val="1"/>
      <w:numFmt w:val="lowerLetter"/>
      <w:lvlText w:val="(%4)"/>
      <w:lvlJc w:val="left"/>
      <w:pPr>
        <w:tabs>
          <w:tab w:val="num" w:pos="-31680"/>
        </w:tabs>
        <w:ind w:left="1588" w:hanging="794"/>
      </w:pPr>
      <w:rPr>
        <w:rFonts w:hint="default"/>
      </w:rPr>
    </w:lvl>
    <w:lvl w:ilvl="4">
      <w:start w:val="1"/>
      <w:numFmt w:val="lowerRoman"/>
      <w:lvlText w:val="(%5)"/>
      <w:lvlJc w:val="left"/>
      <w:pPr>
        <w:tabs>
          <w:tab w:val="num" w:pos="-31680"/>
        </w:tabs>
        <w:ind w:left="2155" w:hanging="681"/>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1" w15:restartNumberingAfterBreak="0">
    <w:nsid w:val="178C175E"/>
    <w:multiLevelType w:val="multilevel"/>
    <w:tmpl w:val="6D80524A"/>
    <w:lvl w:ilvl="0">
      <w:start w:val="1"/>
      <w:numFmt w:val="decimal"/>
      <w:pStyle w:val="SGRPSSectionHeading"/>
      <w:lvlText w:val="%1."/>
      <w:lvlJc w:val="left"/>
      <w:pPr>
        <w:tabs>
          <w:tab w:val="num" w:pos="851"/>
        </w:tabs>
        <w:ind w:left="851" w:hanging="851"/>
      </w:pPr>
      <w:rPr>
        <w:rFonts w:ascii="Georgia" w:hAnsi="Georgia" w:hint="default"/>
        <w:b/>
        <w:i w:val="0"/>
        <w:sz w:val="36"/>
        <w:szCs w:val="36"/>
      </w:rPr>
    </w:lvl>
    <w:lvl w:ilvl="1">
      <w:start w:val="1"/>
      <w:numFmt w:val="decimal"/>
      <w:pStyle w:val="SGHeading2"/>
      <w:lvlText w:val="%1.%2"/>
      <w:lvlJc w:val="left"/>
      <w:pPr>
        <w:tabs>
          <w:tab w:val="num" w:pos="851"/>
        </w:tabs>
        <w:ind w:left="851" w:hanging="851"/>
      </w:pPr>
      <w:rPr>
        <w:rFonts w:ascii="Georgia" w:hAnsi="Georgia" w:hint="default"/>
        <w:b/>
        <w:i w:val="0"/>
        <w:sz w:val="28"/>
        <w:szCs w:val="28"/>
      </w:rPr>
    </w:lvl>
    <w:lvl w:ilvl="2">
      <w:start w:val="1"/>
      <w:numFmt w:val="decimal"/>
      <w:lvlText w:val="%1.%2.%3"/>
      <w:lvlJc w:val="left"/>
      <w:pPr>
        <w:tabs>
          <w:tab w:val="num" w:pos="851"/>
        </w:tabs>
        <w:ind w:left="851" w:hanging="851"/>
      </w:pPr>
      <w:rPr>
        <w:rFonts w:ascii="Georgia" w:hAnsi="Georgia" w:hint="default"/>
        <w:b w:val="0"/>
        <w:i w:val="0"/>
        <w:color w:val="auto"/>
        <w:sz w:val="24"/>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pStyle w:val="RPSBodyText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3AE7289"/>
    <w:multiLevelType w:val="hybridMultilevel"/>
    <w:tmpl w:val="954ABDF4"/>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15:restartNumberingAfterBreak="0">
    <w:nsid w:val="267C2128"/>
    <w:multiLevelType w:val="hybridMultilevel"/>
    <w:tmpl w:val="1B0C19CA"/>
    <w:lvl w:ilvl="0" w:tplc="916ED5F8">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B76628"/>
    <w:multiLevelType w:val="multilevel"/>
    <w:tmpl w:val="EB98D36A"/>
    <w:lvl w:ilvl="0">
      <w:start w:val="1"/>
      <w:numFmt w:val="decimal"/>
      <w:pStyle w:val="AnnexHeading1"/>
      <w:lvlText w:val="A%1."/>
      <w:lvlJc w:val="left"/>
      <w:pPr>
        <w:ind w:left="1021" w:hanging="1021"/>
      </w:pPr>
      <w:rPr>
        <w:rFonts w:ascii="Calibri" w:hAnsi="Calibri" w:hint="default"/>
        <w:b/>
        <w:i w:val="0"/>
        <w:sz w:val="36"/>
      </w:rPr>
    </w:lvl>
    <w:lvl w:ilvl="1">
      <w:start w:val="1"/>
      <w:numFmt w:val="decimal"/>
      <w:pStyle w:val="AnnexHeading2"/>
      <w:lvlText w:val="A%1.%2"/>
      <w:lvlJc w:val="left"/>
      <w:pPr>
        <w:tabs>
          <w:tab w:val="num" w:pos="1021"/>
        </w:tabs>
        <w:ind w:left="1021" w:hanging="1021"/>
      </w:pPr>
      <w:rPr>
        <w:rFonts w:ascii="Calibri" w:hAnsi="Calibri" w:hint="default"/>
        <w:b/>
        <w:i w:val="0"/>
        <w:sz w:val="28"/>
      </w:rPr>
    </w:lvl>
    <w:lvl w:ilvl="2">
      <w:start w:val="1"/>
      <w:numFmt w:val="decimal"/>
      <w:pStyle w:val="AnnexHeading3"/>
      <w:lvlText w:val="A%1.%2.%3"/>
      <w:lvlJc w:val="left"/>
      <w:pPr>
        <w:tabs>
          <w:tab w:val="num" w:pos="680"/>
        </w:tabs>
        <w:ind w:left="680" w:hanging="680"/>
      </w:pPr>
      <w:rPr>
        <w:rFonts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3.%4"/>
      <w:lvlJc w:val="left"/>
      <w:pPr>
        <w:tabs>
          <w:tab w:val="num" w:pos="851"/>
        </w:tabs>
        <w:ind w:left="0" w:firstLine="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Heading3list"/>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782401"/>
    <w:multiLevelType w:val="hybridMultilevel"/>
    <w:tmpl w:val="C1D82F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506EC2"/>
    <w:multiLevelType w:val="multilevel"/>
    <w:tmpl w:val="02361378"/>
    <w:lvl w:ilvl="0">
      <w:start w:val="1"/>
      <w:numFmt w:val="decimal"/>
      <w:pStyle w:val="RPSSectionHeading"/>
      <w:lvlText w:val="%1."/>
      <w:lvlJc w:val="left"/>
      <w:pPr>
        <w:tabs>
          <w:tab w:val="num" w:pos="851"/>
        </w:tabs>
        <w:ind w:left="851" w:hanging="851"/>
      </w:pPr>
      <w:rPr>
        <w:rFonts w:ascii="Calibri" w:hAnsi="Calibri" w:hint="default"/>
        <w:b/>
        <w:i w:val="0"/>
        <w:color w:val="4E1A74" w:themeColor="text2"/>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E1A74" w:themeColor="text2"/>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444448" w:themeColor="accent4"/>
        <w:sz w:val="22"/>
        <w:szCs w:val="24"/>
      </w:rPr>
    </w:lvl>
    <w:lvl w:ilvl="3">
      <w:start w:val="1"/>
      <w:numFmt w:val="lowerLetter"/>
      <w:pStyle w:val="RPSBodyTextalpha"/>
      <w:lvlText w:val="(%4)"/>
      <w:lvlJc w:val="left"/>
      <w:pPr>
        <w:tabs>
          <w:tab w:val="num" w:pos="1800"/>
        </w:tabs>
        <w:ind w:left="1728" w:hanging="648"/>
      </w:pPr>
      <w:rPr>
        <w:rFonts w:ascii="Calibri" w:hAnsi="Calibri" w:hint="default"/>
        <w:b w:val="0"/>
        <w:i w:val="0"/>
        <w:sz w:val="22"/>
        <w:szCs w:val="24"/>
      </w:rPr>
    </w:lvl>
    <w:lvl w:ilvl="4">
      <w:start w:val="1"/>
      <w:numFmt w:val="lowerRoman"/>
      <w:pStyle w:val="RPSRomanBodyText"/>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6E47C7B"/>
    <w:multiLevelType w:val="multilevel"/>
    <w:tmpl w:val="C8F622C8"/>
    <w:lvl w:ilvl="0">
      <w:start w:val="1"/>
      <w:numFmt w:val="decimal"/>
      <w:pStyle w:val="SGSectionHeading"/>
      <w:lvlText w:val="%1."/>
      <w:lvlJc w:val="left"/>
      <w:pPr>
        <w:tabs>
          <w:tab w:val="num" w:pos="851"/>
        </w:tabs>
        <w:ind w:left="851" w:hanging="851"/>
      </w:pPr>
      <w:rPr>
        <w:rFonts w:ascii="Georgia" w:hAnsi="Georgia" w:hint="default"/>
        <w:b/>
        <w:i w:val="0"/>
        <w:sz w:val="36"/>
        <w:szCs w:val="36"/>
      </w:rPr>
    </w:lvl>
    <w:lvl w:ilvl="1">
      <w:start w:val="1"/>
      <w:numFmt w:val="decimal"/>
      <w:lvlText w:val="%1.%2"/>
      <w:lvlJc w:val="left"/>
      <w:pPr>
        <w:tabs>
          <w:tab w:val="num" w:pos="851"/>
        </w:tabs>
        <w:ind w:left="851" w:hanging="851"/>
      </w:pPr>
      <w:rPr>
        <w:rFonts w:ascii="Georgia" w:hAnsi="Georgia" w:hint="default"/>
        <w:b/>
        <w:i w:val="0"/>
        <w:sz w:val="28"/>
      </w:rPr>
    </w:lvl>
    <w:lvl w:ilvl="2">
      <w:start w:val="1"/>
      <w:numFmt w:val="lowerLetter"/>
      <w:pStyle w:val="RPSBodyTextAlpha0"/>
      <w:lvlText w:val="(%3)"/>
      <w:lvlJc w:val="left"/>
      <w:pPr>
        <w:tabs>
          <w:tab w:val="num" w:pos="680"/>
        </w:tabs>
        <w:ind w:left="680" w:hanging="680"/>
      </w:pPr>
      <w:rPr>
        <w:rFonts w:ascii="Georgia" w:hAnsi="Georgia"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31680"/>
        </w:tabs>
        <w:ind w:left="1361" w:hanging="681"/>
      </w:pPr>
      <w:rPr>
        <w:rFonts w:ascii="Georgia" w:hAnsi="Georgia" w:hint="default"/>
        <w:b w:val="0"/>
        <w:i w:val="0"/>
        <w:sz w:val="24"/>
      </w:rPr>
    </w:lvl>
    <w:lvl w:ilvl="4">
      <w:start w:val="1"/>
      <w:numFmt w:val="lowerRoman"/>
      <w:suff w:val="nothing"/>
      <w:lvlText w:val="(%5)"/>
      <w:lvlJc w:val="left"/>
      <w:pPr>
        <w:ind w:left="2155" w:hanging="794"/>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F07DA1"/>
    <w:multiLevelType w:val="hybridMultilevel"/>
    <w:tmpl w:val="954ABDF4"/>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0" w15:restartNumberingAfterBreak="0">
    <w:nsid w:val="4BE4387E"/>
    <w:multiLevelType w:val="hybridMultilevel"/>
    <w:tmpl w:val="B12A382A"/>
    <w:lvl w:ilvl="0" w:tplc="8A206A2C">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CF4FDC"/>
    <w:multiLevelType w:val="multilevel"/>
    <w:tmpl w:val="CAF81CD2"/>
    <w:lvl w:ilvl="0">
      <w:start w:val="1"/>
      <w:numFmt w:val="decimal"/>
      <w:pStyle w:val="RPSContentsEntries"/>
      <w:lvlText w:val="%1."/>
      <w:lvlJc w:val="left"/>
      <w:pPr>
        <w:tabs>
          <w:tab w:val="num" w:pos="851"/>
        </w:tabs>
        <w:ind w:left="851" w:hanging="851"/>
      </w:pPr>
      <w:rPr>
        <w:rFonts w:ascii="Georgia" w:hAnsi="Georgia" w:hint="default"/>
        <w:b/>
        <w:i w:val="0"/>
        <w:sz w:val="36"/>
        <w:szCs w:val="36"/>
      </w:rPr>
    </w:lvl>
    <w:lvl w:ilvl="1">
      <w:start w:val="1"/>
      <w:numFmt w:val="decimal"/>
      <w:lvlText w:val="%1.%2"/>
      <w:lvlJc w:val="left"/>
      <w:pPr>
        <w:tabs>
          <w:tab w:val="num" w:pos="851"/>
        </w:tabs>
        <w:ind w:left="851" w:hanging="851"/>
      </w:pPr>
      <w:rPr>
        <w:rFonts w:ascii="Georgia" w:hAnsi="Georgia" w:hint="default"/>
        <w:b/>
        <w:i w:val="0"/>
        <w:sz w:val="28"/>
        <w:szCs w:val="28"/>
      </w:rPr>
    </w:lvl>
    <w:lvl w:ilvl="2">
      <w:start w:val="1"/>
      <w:numFmt w:val="decimal"/>
      <w:pStyle w:val="RPSSectionHeadingChar"/>
      <w:lvlText w:val="%1.%2.%3"/>
      <w:lvlJc w:val="left"/>
      <w:pPr>
        <w:tabs>
          <w:tab w:val="num" w:pos="851"/>
        </w:tabs>
        <w:ind w:left="851" w:hanging="851"/>
      </w:pPr>
      <w:rPr>
        <w:rFonts w:ascii="Georgia" w:hAnsi="Georgia" w:hint="default"/>
        <w:b w:val="0"/>
        <w:i w:val="0"/>
        <w:color w:val="auto"/>
        <w:sz w:val="24"/>
        <w:szCs w:val="24"/>
      </w:rPr>
    </w:lvl>
    <w:lvl w:ilvl="3">
      <w:start w:val="1"/>
      <w:numFmt w:val="lowerLetter"/>
      <w:lvlText w:val="(%4)"/>
      <w:lvlJc w:val="left"/>
      <w:pPr>
        <w:tabs>
          <w:tab w:val="num" w:pos="1418"/>
        </w:tabs>
        <w:ind w:left="1418" w:hanging="567"/>
      </w:pPr>
      <w:rPr>
        <w:rFonts w:ascii="Georgia" w:hAnsi="Georgia" w:hint="default"/>
        <w:b w:val="0"/>
        <w:i w:val="0"/>
        <w:sz w:val="24"/>
        <w:szCs w:val="24"/>
      </w:rPr>
    </w:lvl>
    <w:lvl w:ilvl="4">
      <w:start w:val="1"/>
      <w:numFmt w:val="lowerRoman"/>
      <w:lvlText w:val="(%5)"/>
      <w:lvlJc w:val="left"/>
      <w:pPr>
        <w:tabs>
          <w:tab w:val="num" w:pos="2155"/>
        </w:tabs>
        <w:ind w:left="2155" w:hanging="737"/>
      </w:pPr>
      <w:rPr>
        <w:rFonts w:hint="default"/>
        <w:b w:val="0"/>
        <w:i w:val="0"/>
        <w:sz w:val="22"/>
        <w:szCs w:val="22"/>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23" w15:restartNumberingAfterBreak="0">
    <w:nsid w:val="57DE1795"/>
    <w:multiLevelType w:val="hybridMultilevel"/>
    <w:tmpl w:val="ECE47BD0"/>
    <w:lvl w:ilvl="0" w:tplc="0C090001">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E5325C"/>
    <w:multiLevelType w:val="hybridMultilevel"/>
    <w:tmpl w:val="26E46658"/>
    <w:lvl w:ilvl="0" w:tplc="CEB47F68">
      <w:start w:val="1"/>
      <w:numFmt w:val="lowerLetter"/>
      <w:lvlText w:val="%1."/>
      <w:lvlJc w:val="left"/>
      <w:pPr>
        <w:ind w:left="1429" w:hanging="360"/>
      </w:pPr>
      <w:rPr>
        <w:b w:val="0"/>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5" w15:restartNumberingAfterBreak="0">
    <w:nsid w:val="5847649C"/>
    <w:multiLevelType w:val="multilevel"/>
    <w:tmpl w:val="FAD673A8"/>
    <w:lvl w:ilvl="0">
      <w:start w:val="1"/>
      <w:numFmt w:val="decimal"/>
      <w:lvlText w:val="%1."/>
      <w:lvlJc w:val="left"/>
      <w:pPr>
        <w:tabs>
          <w:tab w:val="num" w:pos="822"/>
        </w:tabs>
        <w:ind w:left="822" w:hanging="822"/>
      </w:pPr>
      <w:rPr>
        <w:rFonts w:ascii="Georgia" w:hAnsi="Georgia" w:cs="Times New Roman" w:hint="default"/>
        <w:b/>
        <w:i w:val="0"/>
        <w:sz w:val="36"/>
        <w:szCs w:val="36"/>
      </w:rPr>
    </w:lvl>
    <w:lvl w:ilvl="1">
      <w:start w:val="1"/>
      <w:numFmt w:val="decimal"/>
      <w:lvlText w:val="%1.%2"/>
      <w:lvlJc w:val="left"/>
      <w:pPr>
        <w:tabs>
          <w:tab w:val="num" w:pos="822"/>
        </w:tabs>
        <w:ind w:left="822" w:hanging="822"/>
      </w:pPr>
      <w:rPr>
        <w:rFonts w:ascii="Georgia" w:hAnsi="Georgia" w:hint="default"/>
        <w:b/>
        <w:i w:val="0"/>
        <w:sz w:val="28"/>
        <w:szCs w:val="28"/>
      </w:rPr>
    </w:lvl>
    <w:lvl w:ilvl="2">
      <w:start w:val="1"/>
      <w:numFmt w:val="decimal"/>
      <w:lvlText w:val="%1.%2.%3"/>
      <w:lvlJc w:val="left"/>
      <w:pPr>
        <w:tabs>
          <w:tab w:val="num" w:pos="822"/>
        </w:tabs>
        <w:ind w:left="822" w:hanging="822"/>
      </w:pPr>
      <w:rPr>
        <w:rFonts w:ascii="Georgia" w:hAnsi="Georgia" w:hint="default"/>
        <w:b w:val="0"/>
        <w:i w:val="0"/>
        <w:sz w:val="24"/>
        <w:szCs w:val="24"/>
      </w:rPr>
    </w:lvl>
    <w:lvl w:ilvl="3">
      <w:start w:val="1"/>
      <w:numFmt w:val="lowerLetter"/>
      <w:lvlText w:val="(%4)"/>
      <w:lvlJc w:val="left"/>
      <w:pPr>
        <w:tabs>
          <w:tab w:val="num" w:pos="1389"/>
        </w:tabs>
        <w:ind w:left="1389" w:hanging="567"/>
      </w:pPr>
      <w:rPr>
        <w:rFonts w:hint="default"/>
        <w:b w:val="0"/>
        <w:i w:val="0"/>
        <w:color w:val="auto"/>
        <w:sz w:val="22"/>
        <w:szCs w:val="24"/>
      </w:rPr>
    </w:lvl>
    <w:lvl w:ilvl="4">
      <w:start w:val="1"/>
      <w:numFmt w:val="lowerRoman"/>
      <w:lvlText w:val="(%5)"/>
      <w:lvlJc w:val="left"/>
      <w:pPr>
        <w:tabs>
          <w:tab w:val="num" w:pos="4320"/>
        </w:tabs>
        <w:ind w:left="2268" w:hanging="283"/>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6" w15:restartNumberingAfterBreak="0">
    <w:nsid w:val="59CC322F"/>
    <w:multiLevelType w:val="hybridMultilevel"/>
    <w:tmpl w:val="9F62FC76"/>
    <w:lvl w:ilvl="0" w:tplc="C1963944">
      <w:start w:val="1"/>
      <w:numFmt w:val="lowerLetter"/>
      <w:lvlText w:val="%1)"/>
      <w:lvlJc w:val="lef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 w15:restartNumberingAfterBreak="0">
    <w:nsid w:val="5DE02EE0"/>
    <w:multiLevelType w:val="hybridMultilevel"/>
    <w:tmpl w:val="1B862F70"/>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0A851F4"/>
    <w:multiLevelType w:val="multilevel"/>
    <w:tmpl w:val="B6A2FE58"/>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pStyle w:val="RPSScheduleHeading2"/>
      <w:lvlText w:val="%1%2"/>
      <w:lvlJc w:val="left"/>
      <w:pPr>
        <w:tabs>
          <w:tab w:val="num" w:pos="792"/>
        </w:tabs>
        <w:ind w:left="792" w:hanging="792"/>
      </w:pPr>
      <w:rPr>
        <w:rFonts w:ascii="Calibri" w:hAnsi="Calibri" w:hint="default"/>
        <w:b/>
        <w:i w:val="0"/>
        <w:color w:val="4E1A74" w:themeColor="text2"/>
        <w:sz w:val="28"/>
        <w:szCs w:val="28"/>
      </w:rPr>
    </w:lvl>
    <w:lvl w:ilvl="2">
      <w:start w:val="1"/>
      <w:numFmt w:val="decimal"/>
      <w:pStyle w:val="RPSScheduleTextnumb"/>
      <w:lvlText w:val="%1%2.%3"/>
      <w:lvlJc w:val="left"/>
      <w:pPr>
        <w:tabs>
          <w:tab w:val="num" w:pos="794"/>
        </w:tabs>
        <w:ind w:left="794" w:hanging="794"/>
      </w:pPr>
      <w:rPr>
        <w:rFonts w:ascii="Calibri" w:hAnsi="Calibri"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9" w15:restartNumberingAfterBreak="0">
    <w:nsid w:val="64571D6E"/>
    <w:multiLevelType w:val="multilevel"/>
    <w:tmpl w:val="39E0D2C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65CA40AE"/>
    <w:multiLevelType w:val="hybridMultilevel"/>
    <w:tmpl w:val="1B862F70"/>
    <w:lvl w:ilvl="0" w:tplc="0C090017">
      <w:start w:val="1"/>
      <w:numFmt w:val="lowerLetter"/>
      <w:lvlText w:val="%1)"/>
      <w:lvlJc w:val="lef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31" w15:restartNumberingAfterBreak="0">
    <w:nsid w:val="67062AFE"/>
    <w:multiLevelType w:val="multilevel"/>
    <w:tmpl w:val="A41438BE"/>
    <w:lvl w:ilvl="0">
      <w:start w:val="1"/>
      <w:numFmt w:val="upperLetter"/>
      <w:pStyle w:val="SGScheduleAnnexHead"/>
      <w:lvlText w:val="Annex %1"/>
      <w:lvlJc w:val="left"/>
      <w:pPr>
        <w:tabs>
          <w:tab w:val="num" w:pos="0"/>
        </w:tabs>
        <w:ind w:left="0" w:firstLine="0"/>
      </w:pPr>
      <w:rPr>
        <w:rFonts w:ascii="Georgia" w:hAnsi="Georgia" w:hint="default"/>
        <w:b/>
        <w:i w:val="0"/>
        <w:sz w:val="32"/>
        <w:szCs w:val="36"/>
      </w:rPr>
    </w:lvl>
    <w:lvl w:ilvl="1">
      <w:start w:val="15"/>
      <w:numFmt w:val="decimal"/>
      <w:lvlText w:val="%1%2"/>
      <w:lvlJc w:val="left"/>
      <w:pPr>
        <w:tabs>
          <w:tab w:val="num" w:pos="792"/>
        </w:tabs>
        <w:ind w:left="792" w:hanging="792"/>
      </w:pPr>
      <w:rPr>
        <w:rFonts w:ascii="Georgia" w:hAnsi="Georgia" w:hint="default"/>
        <w:b/>
        <w:i w:val="0"/>
        <w:sz w:val="28"/>
        <w:szCs w:val="28"/>
      </w:rPr>
    </w:lvl>
    <w:lvl w:ilvl="2">
      <w:start w:val="1"/>
      <w:numFmt w:val="decimal"/>
      <w:lvlText w:val="%1%2.%3"/>
      <w:lvlJc w:val="left"/>
      <w:pPr>
        <w:tabs>
          <w:tab w:val="num" w:pos="794"/>
        </w:tabs>
        <w:ind w:left="794" w:hanging="794"/>
      </w:pPr>
      <w:rPr>
        <w:rFonts w:ascii="Calibri" w:hAnsi="Calibri" w:hint="default"/>
        <w:b w:val="0"/>
        <w:i w:val="0"/>
        <w:sz w:val="22"/>
        <w:szCs w:val="22"/>
      </w:rPr>
    </w:lvl>
    <w:lvl w:ilvl="3">
      <w:start w:val="1"/>
      <w:numFmt w:val="lowerLetter"/>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15:restartNumberingAfterBreak="0">
    <w:nsid w:val="691F275C"/>
    <w:multiLevelType w:val="hybridMultilevel"/>
    <w:tmpl w:val="A5788084"/>
    <w:lvl w:ilvl="0" w:tplc="69BE16BC">
      <w:start w:val="1"/>
      <w:numFmt w:val="lowerLetter"/>
      <w:lvlText w:val="%1)"/>
      <w:lvlJc w:val="left"/>
      <w:pPr>
        <w:ind w:left="1069" w:hanging="360"/>
      </w:pPr>
      <w:rPr>
        <w:rFonts w:eastAsia="Times New Roman" w:cs="Times New Roman"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15:restartNumberingAfterBreak="0">
    <w:nsid w:val="6C8E586A"/>
    <w:multiLevelType w:val="hybridMultilevel"/>
    <w:tmpl w:val="406CF1D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4" w15:restartNumberingAfterBreak="0">
    <w:nsid w:val="71080A21"/>
    <w:multiLevelType w:val="hybridMultilevel"/>
    <w:tmpl w:val="519086EA"/>
    <w:lvl w:ilvl="0" w:tplc="0C090001">
      <w:start w:val="1"/>
      <w:numFmt w:val="bullet"/>
      <w:pStyle w:val="RPSBodyTextdotpoin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222D5B"/>
    <w:multiLevelType w:val="hybridMultilevel"/>
    <w:tmpl w:val="92E24B8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78243CA0"/>
    <w:multiLevelType w:val="hybridMultilevel"/>
    <w:tmpl w:val="F5380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2620A4"/>
    <w:multiLevelType w:val="multilevel"/>
    <w:tmpl w:val="9A4277A8"/>
    <w:lvl w:ilvl="0">
      <w:start w:val="1"/>
      <w:numFmt w:val="decimal"/>
      <w:pStyle w:val="StyleRPSBodyTextJustified"/>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ascii="Georgia" w:hAnsi="Georgia" w:hint="default"/>
        <w:b w:val="0"/>
        <w:i w:val="0"/>
        <w:sz w:val="24"/>
        <w:szCs w:val="24"/>
      </w:rPr>
    </w:lvl>
    <w:lvl w:ilvl="2">
      <w:start w:val="1"/>
      <w:numFmt w:val="decimal"/>
      <w:lvlRestart w:val="0"/>
      <w:lvlText w:val="%1.%2.%3"/>
      <w:lvlJc w:val="left"/>
      <w:pPr>
        <w:tabs>
          <w:tab w:val="num" w:pos="720"/>
        </w:tabs>
        <w:ind w:left="720" w:hanging="720"/>
      </w:pPr>
      <w:rPr>
        <w:rFonts w:hint="default"/>
      </w:rPr>
    </w:lvl>
    <w:lvl w:ilvl="3">
      <w:start w:val="1"/>
      <w:numFmt w:val="lowerLetter"/>
      <w:lvlText w:val="(%4)"/>
      <w:lvlJc w:val="left"/>
      <w:pPr>
        <w:tabs>
          <w:tab w:val="num" w:pos="1418"/>
        </w:tabs>
        <w:ind w:left="1418" w:hanging="698"/>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8F93944"/>
    <w:multiLevelType w:val="multilevel"/>
    <w:tmpl w:val="CF2EBC64"/>
    <w:lvl w:ilvl="0">
      <w:start w:val="2"/>
      <w:numFmt w:val="upperLetter"/>
      <w:pStyle w:val="RPSSchedannextext0"/>
      <w:lvlText w:val="%1"/>
      <w:lvlJc w:val="left"/>
      <w:pPr>
        <w:tabs>
          <w:tab w:val="num" w:pos="360"/>
        </w:tabs>
        <w:ind w:left="360" w:hanging="360"/>
      </w:pPr>
      <w:rPr>
        <w:rFonts w:ascii="Georgia" w:hAnsi="Georgia" w:hint="default"/>
        <w:b/>
        <w:i w:val="0"/>
        <w:sz w:val="36"/>
      </w:rPr>
    </w:lvl>
    <w:lvl w:ilvl="1">
      <w:start w:val="1"/>
      <w:numFmt w:val="decimal"/>
      <w:lvlText w:val="%1%2"/>
      <w:lvlJc w:val="left"/>
      <w:pPr>
        <w:tabs>
          <w:tab w:val="num" w:pos="792"/>
        </w:tabs>
        <w:ind w:left="792" w:hanging="792"/>
      </w:pPr>
      <w:rPr>
        <w:rFonts w:ascii="Georgia" w:hAnsi="Georgia" w:hint="default"/>
        <w:b/>
        <w:i w:val="0"/>
        <w:sz w:val="28"/>
        <w:szCs w:val="28"/>
      </w:rPr>
    </w:lvl>
    <w:lvl w:ilvl="2">
      <w:start w:val="1"/>
      <w:numFmt w:val="decimal"/>
      <w:lvlText w:val="%1%2.%3"/>
      <w:lvlJc w:val="left"/>
      <w:pPr>
        <w:tabs>
          <w:tab w:val="num" w:pos="794"/>
        </w:tabs>
        <w:ind w:left="794" w:hanging="794"/>
      </w:pPr>
      <w:rPr>
        <w:rFonts w:ascii="Georgia" w:hAnsi="Georgia" w:hint="default"/>
        <w:b w:val="0"/>
        <w:i w:val="0"/>
        <w:sz w:val="24"/>
      </w:rPr>
    </w:lvl>
    <w:lvl w:ilvl="3">
      <w:start w:val="1"/>
      <w:numFmt w:val="lowerLetter"/>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928" w:hanging="567"/>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9" w15:restartNumberingAfterBreak="0">
    <w:nsid w:val="7A8216E8"/>
    <w:multiLevelType w:val="multilevel"/>
    <w:tmpl w:val="F984BE6A"/>
    <w:lvl w:ilvl="0">
      <w:start w:val="9"/>
      <w:numFmt w:val="upperLetter"/>
      <w:pStyle w:val="RPSAnnexHeading"/>
      <w:lvlText w:val="Annex %1"/>
      <w:lvlJc w:val="left"/>
      <w:pPr>
        <w:tabs>
          <w:tab w:val="num" w:pos="0"/>
        </w:tabs>
        <w:ind w:left="0" w:firstLine="0"/>
      </w:pPr>
      <w:rPr>
        <w:rFonts w:ascii="Georgia" w:hAnsi="Georgia" w:hint="default"/>
        <w:b/>
        <w:i w:val="0"/>
        <w:sz w:val="36"/>
        <w:szCs w:val="36"/>
      </w:rPr>
    </w:lvl>
    <w:lvl w:ilvl="1">
      <w:start w:val="1"/>
      <w:numFmt w:val="decimal"/>
      <w:lvlText w:val="%1.%2"/>
      <w:lvlJc w:val="left"/>
      <w:pPr>
        <w:tabs>
          <w:tab w:val="num" w:pos="794"/>
        </w:tabs>
        <w:ind w:left="794" w:hanging="794"/>
      </w:pPr>
      <w:rPr>
        <w:rFonts w:ascii="Georgia" w:hAnsi="Georgia" w:hint="default"/>
        <w:b/>
        <w:i w:val="0"/>
        <w:sz w:val="28"/>
        <w:szCs w:val="28"/>
      </w:rPr>
    </w:lvl>
    <w:lvl w:ilvl="2">
      <w:start w:val="1"/>
      <w:numFmt w:val="lowerLetter"/>
      <w:lvlText w:val="(%3)"/>
      <w:lvlJc w:val="left"/>
      <w:pPr>
        <w:tabs>
          <w:tab w:val="num" w:pos="794"/>
        </w:tabs>
        <w:ind w:left="794" w:hanging="794"/>
      </w:pPr>
      <w:rPr>
        <w:rFonts w:ascii="Georgia" w:hAnsi="Georgia" w:hint="default"/>
        <w:b w:val="0"/>
        <w:i w:val="0"/>
        <w:sz w:val="22"/>
        <w:szCs w:val="22"/>
      </w:rPr>
    </w:lvl>
    <w:lvl w:ilvl="3">
      <w:start w:val="1"/>
      <w:numFmt w:val="lowerRoman"/>
      <w:pStyle w:val="RPSAnnextextroman"/>
      <w:lvlText w:val="(%4)"/>
      <w:lvlJc w:val="left"/>
      <w:pPr>
        <w:tabs>
          <w:tab w:val="num" w:pos="1361"/>
        </w:tabs>
        <w:ind w:left="1361" w:hanging="510"/>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abstractNumId w:val="18"/>
  </w:num>
  <w:num w:numId="2">
    <w:abstractNumId w:val="22"/>
  </w:num>
  <w:num w:numId="3">
    <w:abstractNumId w:val="10"/>
  </w:num>
  <w:num w:numId="4">
    <w:abstractNumId w:val="21"/>
  </w:num>
  <w:num w:numId="5">
    <w:abstractNumId w:val="8"/>
  </w:num>
  <w:num w:numId="6">
    <w:abstractNumId w:val="39"/>
  </w:num>
  <w:num w:numId="7">
    <w:abstractNumId w:val="17"/>
  </w:num>
  <w:num w:numId="8">
    <w:abstractNumId w:val="38"/>
  </w:num>
  <w:num w:numId="9">
    <w:abstractNumId w:val="37"/>
  </w:num>
  <w:num w:numId="10">
    <w:abstractNumId w:val="34"/>
  </w:num>
  <w:num w:numId="11">
    <w:abstractNumId w:val="6"/>
  </w:num>
  <w:num w:numId="12">
    <w:abstractNumId w:val="31"/>
  </w:num>
  <w:num w:numId="13">
    <w:abstractNumId w:val="28"/>
  </w:num>
  <w:num w:numId="14">
    <w:abstractNumId w:val="14"/>
  </w:num>
  <w:num w:numId="15">
    <w:abstractNumId w:val="29"/>
  </w:num>
  <w:num w:numId="16">
    <w:abstractNumId w:val="16"/>
  </w:num>
  <w:num w:numId="17">
    <w:abstractNumId w:val="11"/>
  </w:num>
  <w:num w:numId="18">
    <w:abstractNumId w:val="0"/>
  </w:num>
  <w:num w:numId="19">
    <w:abstractNumId w:val="25"/>
  </w:num>
  <w:num w:numId="20">
    <w:abstractNumId w:val="9"/>
  </w:num>
  <w:num w:numId="21">
    <w:abstractNumId w:val="33"/>
  </w:num>
  <w:num w:numId="22">
    <w:abstractNumId w:val="30"/>
  </w:num>
  <w:num w:numId="23">
    <w:abstractNumId w:val="26"/>
  </w:num>
  <w:num w:numId="24">
    <w:abstractNumId w:val="35"/>
  </w:num>
  <w:num w:numId="25">
    <w:abstractNumId w:val="5"/>
  </w:num>
  <w:num w:numId="26">
    <w:abstractNumId w:val="4"/>
  </w:num>
  <w:num w:numId="27">
    <w:abstractNumId w:val="36"/>
  </w:num>
  <w:num w:numId="28">
    <w:abstractNumId w:val="16"/>
  </w:num>
  <w:num w:numId="29">
    <w:abstractNumId w:val="16"/>
  </w:num>
  <w:num w:numId="30">
    <w:abstractNumId w:val="16"/>
  </w:num>
  <w:num w:numId="31">
    <w:abstractNumId w:val="3"/>
  </w:num>
  <w:num w:numId="32">
    <w:abstractNumId w:val="16"/>
  </w:num>
  <w:num w:numId="33">
    <w:abstractNumId w:val="16"/>
  </w:num>
  <w:num w:numId="34">
    <w:abstractNumId w:val="16"/>
  </w:num>
  <w:num w:numId="35">
    <w:abstractNumId w:val="27"/>
  </w:num>
  <w:num w:numId="36">
    <w:abstractNumId w:val="8"/>
  </w:num>
  <w:num w:numId="37">
    <w:abstractNumId w:val="8"/>
  </w:num>
  <w:num w:numId="38">
    <w:abstractNumId w:val="8"/>
  </w:num>
  <w:num w:numId="39">
    <w:abstractNumId w:val="1"/>
  </w:num>
  <w:num w:numId="40">
    <w:abstractNumId w:val="20"/>
  </w:num>
  <w:num w:numId="41">
    <w:abstractNumId w:val="13"/>
  </w:num>
  <w:num w:numId="42">
    <w:abstractNumId w:val="16"/>
  </w:num>
  <w:num w:numId="43">
    <w:abstractNumId w:val="16"/>
  </w:num>
  <w:num w:numId="44">
    <w:abstractNumId w:val="16"/>
  </w:num>
  <w:num w:numId="45">
    <w:abstractNumId w:val="16"/>
  </w:num>
  <w:num w:numId="46">
    <w:abstractNumId w:val="8"/>
  </w:num>
  <w:num w:numId="47">
    <w:abstractNumId w:val="16"/>
  </w:num>
  <w:num w:numId="48">
    <w:abstractNumId w:val="16"/>
  </w:num>
  <w:num w:numId="49">
    <w:abstractNumId w:val="19"/>
  </w:num>
  <w:num w:numId="50">
    <w:abstractNumId w:val="32"/>
  </w:num>
  <w:num w:numId="51">
    <w:abstractNumId w:val="16"/>
  </w:num>
  <w:num w:numId="52">
    <w:abstractNumId w:val="2"/>
  </w:num>
  <w:num w:numId="53">
    <w:abstractNumId w:val="15"/>
  </w:num>
  <w:num w:numId="54">
    <w:abstractNumId w:val="8"/>
  </w:num>
  <w:num w:numId="55">
    <w:abstractNumId w:val="16"/>
  </w:num>
  <w:num w:numId="56">
    <w:abstractNumId w:val="12"/>
  </w:num>
  <w:num w:numId="57">
    <w:abstractNumId w:val="16"/>
  </w:num>
  <w:num w:numId="58">
    <w:abstractNumId w:val="7"/>
  </w:num>
  <w:num w:numId="59">
    <w:abstractNumId w:val="16"/>
  </w:num>
  <w:num w:numId="60">
    <w:abstractNumId w:val="24"/>
  </w:num>
  <w:num w:numId="6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60"/>
    <w:rsid w:val="00000133"/>
    <w:rsid w:val="00005866"/>
    <w:rsid w:val="00006E60"/>
    <w:rsid w:val="000102F6"/>
    <w:rsid w:val="00013D1D"/>
    <w:rsid w:val="00016C17"/>
    <w:rsid w:val="000203D4"/>
    <w:rsid w:val="00030018"/>
    <w:rsid w:val="000306A0"/>
    <w:rsid w:val="00036AA8"/>
    <w:rsid w:val="00037687"/>
    <w:rsid w:val="00046AA5"/>
    <w:rsid w:val="000562A3"/>
    <w:rsid w:val="000571CE"/>
    <w:rsid w:val="00057A92"/>
    <w:rsid w:val="000602E6"/>
    <w:rsid w:val="000604FA"/>
    <w:rsid w:val="00060F26"/>
    <w:rsid w:val="00061985"/>
    <w:rsid w:val="00066B27"/>
    <w:rsid w:val="000730AC"/>
    <w:rsid w:val="0007483C"/>
    <w:rsid w:val="00076709"/>
    <w:rsid w:val="0008016E"/>
    <w:rsid w:val="000819B1"/>
    <w:rsid w:val="00082E26"/>
    <w:rsid w:val="000917AA"/>
    <w:rsid w:val="00093E5D"/>
    <w:rsid w:val="00094B9C"/>
    <w:rsid w:val="000957A0"/>
    <w:rsid w:val="000A0265"/>
    <w:rsid w:val="000A104D"/>
    <w:rsid w:val="000A1174"/>
    <w:rsid w:val="000A1607"/>
    <w:rsid w:val="000A27AA"/>
    <w:rsid w:val="000A6834"/>
    <w:rsid w:val="000A7191"/>
    <w:rsid w:val="000B0421"/>
    <w:rsid w:val="000B1302"/>
    <w:rsid w:val="000C6DD9"/>
    <w:rsid w:val="000D27C8"/>
    <w:rsid w:val="000D431D"/>
    <w:rsid w:val="000D477A"/>
    <w:rsid w:val="000D4F33"/>
    <w:rsid w:val="000D54C8"/>
    <w:rsid w:val="000E08E4"/>
    <w:rsid w:val="000F2D0C"/>
    <w:rsid w:val="000F3AB1"/>
    <w:rsid w:val="000F54F2"/>
    <w:rsid w:val="000F6297"/>
    <w:rsid w:val="000F73FB"/>
    <w:rsid w:val="001017B1"/>
    <w:rsid w:val="00102FC9"/>
    <w:rsid w:val="0010348D"/>
    <w:rsid w:val="00116D80"/>
    <w:rsid w:val="00116EF9"/>
    <w:rsid w:val="00126F27"/>
    <w:rsid w:val="00130AD3"/>
    <w:rsid w:val="00130B89"/>
    <w:rsid w:val="001323F1"/>
    <w:rsid w:val="001357B0"/>
    <w:rsid w:val="001402A8"/>
    <w:rsid w:val="00140992"/>
    <w:rsid w:val="00154849"/>
    <w:rsid w:val="001618F3"/>
    <w:rsid w:val="00162C27"/>
    <w:rsid w:val="00164417"/>
    <w:rsid w:val="001662B6"/>
    <w:rsid w:val="001720CA"/>
    <w:rsid w:val="0017272E"/>
    <w:rsid w:val="00175726"/>
    <w:rsid w:val="00177A74"/>
    <w:rsid w:val="0018115D"/>
    <w:rsid w:val="001825AB"/>
    <w:rsid w:val="00192557"/>
    <w:rsid w:val="00192A8D"/>
    <w:rsid w:val="00194803"/>
    <w:rsid w:val="00195630"/>
    <w:rsid w:val="00196503"/>
    <w:rsid w:val="001968D0"/>
    <w:rsid w:val="001A1006"/>
    <w:rsid w:val="001A11CB"/>
    <w:rsid w:val="001A2DA8"/>
    <w:rsid w:val="001B4639"/>
    <w:rsid w:val="001B5CAB"/>
    <w:rsid w:val="001C1886"/>
    <w:rsid w:val="001C2686"/>
    <w:rsid w:val="001C50CE"/>
    <w:rsid w:val="001C6D76"/>
    <w:rsid w:val="001E5570"/>
    <w:rsid w:val="001F0D25"/>
    <w:rsid w:val="001F5B95"/>
    <w:rsid w:val="0020220A"/>
    <w:rsid w:val="002050D2"/>
    <w:rsid w:val="002056CE"/>
    <w:rsid w:val="0020799F"/>
    <w:rsid w:val="00211B48"/>
    <w:rsid w:val="00214D1D"/>
    <w:rsid w:val="00222876"/>
    <w:rsid w:val="00223FFD"/>
    <w:rsid w:val="00224EA8"/>
    <w:rsid w:val="002356D6"/>
    <w:rsid w:val="002375CC"/>
    <w:rsid w:val="00237B6A"/>
    <w:rsid w:val="00240B09"/>
    <w:rsid w:val="00240F0C"/>
    <w:rsid w:val="0025569B"/>
    <w:rsid w:val="00261261"/>
    <w:rsid w:val="00263660"/>
    <w:rsid w:val="002646B1"/>
    <w:rsid w:val="002700D7"/>
    <w:rsid w:val="00274CEC"/>
    <w:rsid w:val="00274D35"/>
    <w:rsid w:val="00275080"/>
    <w:rsid w:val="00284D5A"/>
    <w:rsid w:val="0029182C"/>
    <w:rsid w:val="002965CA"/>
    <w:rsid w:val="00297AE6"/>
    <w:rsid w:val="002A01D1"/>
    <w:rsid w:val="002A5502"/>
    <w:rsid w:val="002B1125"/>
    <w:rsid w:val="002B3CBD"/>
    <w:rsid w:val="002B5B11"/>
    <w:rsid w:val="002C0002"/>
    <w:rsid w:val="002C26FA"/>
    <w:rsid w:val="002D5715"/>
    <w:rsid w:val="002E5B83"/>
    <w:rsid w:val="002E670C"/>
    <w:rsid w:val="002F0D95"/>
    <w:rsid w:val="002F10A5"/>
    <w:rsid w:val="003014F6"/>
    <w:rsid w:val="0030279C"/>
    <w:rsid w:val="00302AFD"/>
    <w:rsid w:val="00304744"/>
    <w:rsid w:val="003102CD"/>
    <w:rsid w:val="003177D1"/>
    <w:rsid w:val="00325D28"/>
    <w:rsid w:val="003268FE"/>
    <w:rsid w:val="00327077"/>
    <w:rsid w:val="00333982"/>
    <w:rsid w:val="00337073"/>
    <w:rsid w:val="003418E0"/>
    <w:rsid w:val="00343DB3"/>
    <w:rsid w:val="00344FF6"/>
    <w:rsid w:val="003464AA"/>
    <w:rsid w:val="003467C2"/>
    <w:rsid w:val="00347FEE"/>
    <w:rsid w:val="00351B53"/>
    <w:rsid w:val="003608A9"/>
    <w:rsid w:val="0036449B"/>
    <w:rsid w:val="00370113"/>
    <w:rsid w:val="00370708"/>
    <w:rsid w:val="00370796"/>
    <w:rsid w:val="003727C4"/>
    <w:rsid w:val="00373385"/>
    <w:rsid w:val="003831CB"/>
    <w:rsid w:val="003842BE"/>
    <w:rsid w:val="003939E0"/>
    <w:rsid w:val="00396F55"/>
    <w:rsid w:val="003A0E9A"/>
    <w:rsid w:val="003A2C61"/>
    <w:rsid w:val="003B0414"/>
    <w:rsid w:val="003B2ECE"/>
    <w:rsid w:val="003B6C21"/>
    <w:rsid w:val="003C1980"/>
    <w:rsid w:val="003C2DB9"/>
    <w:rsid w:val="003D2646"/>
    <w:rsid w:val="003D265D"/>
    <w:rsid w:val="003D7D41"/>
    <w:rsid w:val="003F1F93"/>
    <w:rsid w:val="003F495A"/>
    <w:rsid w:val="0040349B"/>
    <w:rsid w:val="00412CF8"/>
    <w:rsid w:val="0041684D"/>
    <w:rsid w:val="00424561"/>
    <w:rsid w:val="00427AF2"/>
    <w:rsid w:val="00432DFD"/>
    <w:rsid w:val="00434381"/>
    <w:rsid w:val="00436548"/>
    <w:rsid w:val="00437743"/>
    <w:rsid w:val="00440590"/>
    <w:rsid w:val="00442060"/>
    <w:rsid w:val="00442F48"/>
    <w:rsid w:val="004435CB"/>
    <w:rsid w:val="004473ED"/>
    <w:rsid w:val="0045047B"/>
    <w:rsid w:val="00450809"/>
    <w:rsid w:val="00453A75"/>
    <w:rsid w:val="004577AE"/>
    <w:rsid w:val="004658EF"/>
    <w:rsid w:val="00471927"/>
    <w:rsid w:val="004735CC"/>
    <w:rsid w:val="00490667"/>
    <w:rsid w:val="00493F71"/>
    <w:rsid w:val="004A7490"/>
    <w:rsid w:val="004B1FCA"/>
    <w:rsid w:val="004C7DE1"/>
    <w:rsid w:val="004D1D7D"/>
    <w:rsid w:val="004E1786"/>
    <w:rsid w:val="004E4746"/>
    <w:rsid w:val="004E656C"/>
    <w:rsid w:val="004F05F2"/>
    <w:rsid w:val="004F1A0C"/>
    <w:rsid w:val="004F31F3"/>
    <w:rsid w:val="004F3DE3"/>
    <w:rsid w:val="004F74E7"/>
    <w:rsid w:val="0050177B"/>
    <w:rsid w:val="005028FE"/>
    <w:rsid w:val="005070D7"/>
    <w:rsid w:val="00515162"/>
    <w:rsid w:val="00521DA9"/>
    <w:rsid w:val="00521E2B"/>
    <w:rsid w:val="0052459F"/>
    <w:rsid w:val="00524EC0"/>
    <w:rsid w:val="00524EF4"/>
    <w:rsid w:val="0053394C"/>
    <w:rsid w:val="00540AC1"/>
    <w:rsid w:val="0054455D"/>
    <w:rsid w:val="00555D18"/>
    <w:rsid w:val="00557F4A"/>
    <w:rsid w:val="00561136"/>
    <w:rsid w:val="005615C0"/>
    <w:rsid w:val="00563EF9"/>
    <w:rsid w:val="005663DE"/>
    <w:rsid w:val="00570877"/>
    <w:rsid w:val="00570B3E"/>
    <w:rsid w:val="0057667F"/>
    <w:rsid w:val="0057693E"/>
    <w:rsid w:val="00576F8D"/>
    <w:rsid w:val="00586DAE"/>
    <w:rsid w:val="005A30D8"/>
    <w:rsid w:val="005A5BCE"/>
    <w:rsid w:val="005B28E2"/>
    <w:rsid w:val="005B47F0"/>
    <w:rsid w:val="005B5050"/>
    <w:rsid w:val="005B5DC0"/>
    <w:rsid w:val="005C0553"/>
    <w:rsid w:val="005C71C2"/>
    <w:rsid w:val="005C7CAB"/>
    <w:rsid w:val="005D0D35"/>
    <w:rsid w:val="005E3253"/>
    <w:rsid w:val="005F4B25"/>
    <w:rsid w:val="005F5A85"/>
    <w:rsid w:val="005F640E"/>
    <w:rsid w:val="0060005B"/>
    <w:rsid w:val="00601BF3"/>
    <w:rsid w:val="00604AA0"/>
    <w:rsid w:val="00606C83"/>
    <w:rsid w:val="006164E9"/>
    <w:rsid w:val="00616624"/>
    <w:rsid w:val="00621F3A"/>
    <w:rsid w:val="00624A1B"/>
    <w:rsid w:val="00625F5E"/>
    <w:rsid w:val="006322A5"/>
    <w:rsid w:val="00635818"/>
    <w:rsid w:val="00637A8D"/>
    <w:rsid w:val="00640CD1"/>
    <w:rsid w:val="00642C15"/>
    <w:rsid w:val="0064315C"/>
    <w:rsid w:val="006462B9"/>
    <w:rsid w:val="006472D1"/>
    <w:rsid w:val="006476CE"/>
    <w:rsid w:val="00650111"/>
    <w:rsid w:val="00653160"/>
    <w:rsid w:val="00653312"/>
    <w:rsid w:val="0065685F"/>
    <w:rsid w:val="00657EC1"/>
    <w:rsid w:val="006623A6"/>
    <w:rsid w:val="00675E49"/>
    <w:rsid w:val="006837F5"/>
    <w:rsid w:val="00686DD7"/>
    <w:rsid w:val="006871F2"/>
    <w:rsid w:val="006908D9"/>
    <w:rsid w:val="00691796"/>
    <w:rsid w:val="006A37E7"/>
    <w:rsid w:val="006B43C6"/>
    <w:rsid w:val="006B523C"/>
    <w:rsid w:val="006B7360"/>
    <w:rsid w:val="006C062E"/>
    <w:rsid w:val="006C24C3"/>
    <w:rsid w:val="006C2926"/>
    <w:rsid w:val="006D5B09"/>
    <w:rsid w:val="006D7272"/>
    <w:rsid w:val="006E0644"/>
    <w:rsid w:val="006E3F76"/>
    <w:rsid w:val="006E59E8"/>
    <w:rsid w:val="006E6A56"/>
    <w:rsid w:val="006E71FF"/>
    <w:rsid w:val="006F2273"/>
    <w:rsid w:val="006F2956"/>
    <w:rsid w:val="00704346"/>
    <w:rsid w:val="007055FB"/>
    <w:rsid w:val="00711A38"/>
    <w:rsid w:val="007167DB"/>
    <w:rsid w:val="0072598F"/>
    <w:rsid w:val="0073116F"/>
    <w:rsid w:val="0074214A"/>
    <w:rsid w:val="00750913"/>
    <w:rsid w:val="00751131"/>
    <w:rsid w:val="00754C6A"/>
    <w:rsid w:val="00755A7A"/>
    <w:rsid w:val="00755C94"/>
    <w:rsid w:val="00757917"/>
    <w:rsid w:val="00764F9D"/>
    <w:rsid w:val="0076701A"/>
    <w:rsid w:val="0077210E"/>
    <w:rsid w:val="007742B6"/>
    <w:rsid w:val="0078399D"/>
    <w:rsid w:val="00783C94"/>
    <w:rsid w:val="00787C08"/>
    <w:rsid w:val="00795AB0"/>
    <w:rsid w:val="007A0993"/>
    <w:rsid w:val="007A2C7A"/>
    <w:rsid w:val="007C00FA"/>
    <w:rsid w:val="007C04EC"/>
    <w:rsid w:val="007C5A99"/>
    <w:rsid w:val="007C7DE6"/>
    <w:rsid w:val="007D089C"/>
    <w:rsid w:val="007D153D"/>
    <w:rsid w:val="007D55A4"/>
    <w:rsid w:val="007D65A7"/>
    <w:rsid w:val="007E0BFF"/>
    <w:rsid w:val="007E47E5"/>
    <w:rsid w:val="007E4C82"/>
    <w:rsid w:val="007F134B"/>
    <w:rsid w:val="00800BAA"/>
    <w:rsid w:val="00801484"/>
    <w:rsid w:val="00801CFE"/>
    <w:rsid w:val="00814451"/>
    <w:rsid w:val="008247E1"/>
    <w:rsid w:val="008269F5"/>
    <w:rsid w:val="00830AE0"/>
    <w:rsid w:val="0083346D"/>
    <w:rsid w:val="00841065"/>
    <w:rsid w:val="00841F85"/>
    <w:rsid w:val="00844609"/>
    <w:rsid w:val="00847C33"/>
    <w:rsid w:val="008563FC"/>
    <w:rsid w:val="0086058E"/>
    <w:rsid w:val="00871DBC"/>
    <w:rsid w:val="0087569C"/>
    <w:rsid w:val="008849B3"/>
    <w:rsid w:val="008A2664"/>
    <w:rsid w:val="008A28B1"/>
    <w:rsid w:val="008A2ECA"/>
    <w:rsid w:val="008B1BC8"/>
    <w:rsid w:val="008B4438"/>
    <w:rsid w:val="008B798A"/>
    <w:rsid w:val="008C04D8"/>
    <w:rsid w:val="008C1231"/>
    <w:rsid w:val="008D4035"/>
    <w:rsid w:val="008D4DFC"/>
    <w:rsid w:val="008D6C80"/>
    <w:rsid w:val="008E3698"/>
    <w:rsid w:val="008F3FA7"/>
    <w:rsid w:val="008F54D7"/>
    <w:rsid w:val="008F7FD0"/>
    <w:rsid w:val="00907536"/>
    <w:rsid w:val="00912E5D"/>
    <w:rsid w:val="00913A13"/>
    <w:rsid w:val="009157E0"/>
    <w:rsid w:val="009166B4"/>
    <w:rsid w:val="0091755C"/>
    <w:rsid w:val="00924A6F"/>
    <w:rsid w:val="00934E6A"/>
    <w:rsid w:val="009357DD"/>
    <w:rsid w:val="009405E6"/>
    <w:rsid w:val="0094161D"/>
    <w:rsid w:val="0095405C"/>
    <w:rsid w:val="00955779"/>
    <w:rsid w:val="00963115"/>
    <w:rsid w:val="009665DD"/>
    <w:rsid w:val="00980B75"/>
    <w:rsid w:val="00980F2E"/>
    <w:rsid w:val="00983DD5"/>
    <w:rsid w:val="00984321"/>
    <w:rsid w:val="00985C8A"/>
    <w:rsid w:val="00996E18"/>
    <w:rsid w:val="009A7F99"/>
    <w:rsid w:val="009B0C3B"/>
    <w:rsid w:val="009B5C3F"/>
    <w:rsid w:val="009B60C3"/>
    <w:rsid w:val="009C253E"/>
    <w:rsid w:val="009C3989"/>
    <w:rsid w:val="009D0263"/>
    <w:rsid w:val="009D6142"/>
    <w:rsid w:val="009D7D96"/>
    <w:rsid w:val="009E0051"/>
    <w:rsid w:val="009E086D"/>
    <w:rsid w:val="009E5DE8"/>
    <w:rsid w:val="009F3F6D"/>
    <w:rsid w:val="00A04170"/>
    <w:rsid w:val="00A0628C"/>
    <w:rsid w:val="00A06A35"/>
    <w:rsid w:val="00A12F24"/>
    <w:rsid w:val="00A158F6"/>
    <w:rsid w:val="00A226C6"/>
    <w:rsid w:val="00A22D76"/>
    <w:rsid w:val="00A258A6"/>
    <w:rsid w:val="00A341C6"/>
    <w:rsid w:val="00A35289"/>
    <w:rsid w:val="00A35D80"/>
    <w:rsid w:val="00A40A67"/>
    <w:rsid w:val="00A442B8"/>
    <w:rsid w:val="00A47475"/>
    <w:rsid w:val="00A510FA"/>
    <w:rsid w:val="00A53C70"/>
    <w:rsid w:val="00A600BE"/>
    <w:rsid w:val="00A61352"/>
    <w:rsid w:val="00A65D41"/>
    <w:rsid w:val="00A672EA"/>
    <w:rsid w:val="00A70C6D"/>
    <w:rsid w:val="00A73DFA"/>
    <w:rsid w:val="00A73ECA"/>
    <w:rsid w:val="00A80E46"/>
    <w:rsid w:val="00A80F9D"/>
    <w:rsid w:val="00A82347"/>
    <w:rsid w:val="00A847BC"/>
    <w:rsid w:val="00A8520D"/>
    <w:rsid w:val="00A861E4"/>
    <w:rsid w:val="00A93409"/>
    <w:rsid w:val="00A93E29"/>
    <w:rsid w:val="00A945FC"/>
    <w:rsid w:val="00A96050"/>
    <w:rsid w:val="00AA65E7"/>
    <w:rsid w:val="00AA74DC"/>
    <w:rsid w:val="00AB25B4"/>
    <w:rsid w:val="00AB4E1C"/>
    <w:rsid w:val="00AB5654"/>
    <w:rsid w:val="00AB5B6E"/>
    <w:rsid w:val="00AB6DA9"/>
    <w:rsid w:val="00AC3BEA"/>
    <w:rsid w:val="00AD2D61"/>
    <w:rsid w:val="00AD6C06"/>
    <w:rsid w:val="00AE1E08"/>
    <w:rsid w:val="00B038AD"/>
    <w:rsid w:val="00B03A48"/>
    <w:rsid w:val="00B04AA0"/>
    <w:rsid w:val="00B24EB3"/>
    <w:rsid w:val="00B2547B"/>
    <w:rsid w:val="00B43094"/>
    <w:rsid w:val="00B518FD"/>
    <w:rsid w:val="00B52F5B"/>
    <w:rsid w:val="00B54750"/>
    <w:rsid w:val="00B54825"/>
    <w:rsid w:val="00B56EE8"/>
    <w:rsid w:val="00B67118"/>
    <w:rsid w:val="00B67168"/>
    <w:rsid w:val="00B7363C"/>
    <w:rsid w:val="00B85BCD"/>
    <w:rsid w:val="00B96540"/>
    <w:rsid w:val="00BA3640"/>
    <w:rsid w:val="00BA3FBC"/>
    <w:rsid w:val="00BA73C0"/>
    <w:rsid w:val="00BB6F4E"/>
    <w:rsid w:val="00BC1FF3"/>
    <w:rsid w:val="00BC40BB"/>
    <w:rsid w:val="00BC497E"/>
    <w:rsid w:val="00BC4D89"/>
    <w:rsid w:val="00BC62D8"/>
    <w:rsid w:val="00BD5EA6"/>
    <w:rsid w:val="00BD7F8B"/>
    <w:rsid w:val="00BE4BED"/>
    <w:rsid w:val="00BE6683"/>
    <w:rsid w:val="00C00012"/>
    <w:rsid w:val="00C022DF"/>
    <w:rsid w:val="00C023D0"/>
    <w:rsid w:val="00C05D04"/>
    <w:rsid w:val="00C05D88"/>
    <w:rsid w:val="00C06164"/>
    <w:rsid w:val="00C11962"/>
    <w:rsid w:val="00C168DB"/>
    <w:rsid w:val="00C2030C"/>
    <w:rsid w:val="00C214ED"/>
    <w:rsid w:val="00C231E3"/>
    <w:rsid w:val="00C2448B"/>
    <w:rsid w:val="00C30573"/>
    <w:rsid w:val="00C325F1"/>
    <w:rsid w:val="00C351E0"/>
    <w:rsid w:val="00C352D7"/>
    <w:rsid w:val="00C363B3"/>
    <w:rsid w:val="00C37023"/>
    <w:rsid w:val="00C55F76"/>
    <w:rsid w:val="00C56A9D"/>
    <w:rsid w:val="00C6071A"/>
    <w:rsid w:val="00C67A2B"/>
    <w:rsid w:val="00C740DD"/>
    <w:rsid w:val="00C757E3"/>
    <w:rsid w:val="00C76F5E"/>
    <w:rsid w:val="00C80082"/>
    <w:rsid w:val="00C8093D"/>
    <w:rsid w:val="00C80C34"/>
    <w:rsid w:val="00C822E8"/>
    <w:rsid w:val="00C904D6"/>
    <w:rsid w:val="00C90747"/>
    <w:rsid w:val="00C937B7"/>
    <w:rsid w:val="00CA6838"/>
    <w:rsid w:val="00CA774B"/>
    <w:rsid w:val="00CA7997"/>
    <w:rsid w:val="00CB07EB"/>
    <w:rsid w:val="00CB125A"/>
    <w:rsid w:val="00CB5472"/>
    <w:rsid w:val="00CC0299"/>
    <w:rsid w:val="00CC1541"/>
    <w:rsid w:val="00CC2FC0"/>
    <w:rsid w:val="00CC6903"/>
    <w:rsid w:val="00CC79AE"/>
    <w:rsid w:val="00CD46FF"/>
    <w:rsid w:val="00CD6B25"/>
    <w:rsid w:val="00CE286C"/>
    <w:rsid w:val="00CE32BE"/>
    <w:rsid w:val="00CE4DFE"/>
    <w:rsid w:val="00CE711E"/>
    <w:rsid w:val="00CF0CBD"/>
    <w:rsid w:val="00CF1AEB"/>
    <w:rsid w:val="00D04FA4"/>
    <w:rsid w:val="00D12C9F"/>
    <w:rsid w:val="00D13C18"/>
    <w:rsid w:val="00D150AD"/>
    <w:rsid w:val="00D20806"/>
    <w:rsid w:val="00D21F8F"/>
    <w:rsid w:val="00D22F8B"/>
    <w:rsid w:val="00D24A37"/>
    <w:rsid w:val="00D27650"/>
    <w:rsid w:val="00D3529D"/>
    <w:rsid w:val="00D4096F"/>
    <w:rsid w:val="00D4129C"/>
    <w:rsid w:val="00D433D1"/>
    <w:rsid w:val="00D52FDC"/>
    <w:rsid w:val="00D568C5"/>
    <w:rsid w:val="00D574EA"/>
    <w:rsid w:val="00D6302E"/>
    <w:rsid w:val="00D63C4B"/>
    <w:rsid w:val="00D70D97"/>
    <w:rsid w:val="00D744DD"/>
    <w:rsid w:val="00D770E7"/>
    <w:rsid w:val="00D800AA"/>
    <w:rsid w:val="00D81352"/>
    <w:rsid w:val="00D82CD0"/>
    <w:rsid w:val="00D85557"/>
    <w:rsid w:val="00D87798"/>
    <w:rsid w:val="00DA65BE"/>
    <w:rsid w:val="00DC3102"/>
    <w:rsid w:val="00DD3454"/>
    <w:rsid w:val="00DD46B3"/>
    <w:rsid w:val="00DE1605"/>
    <w:rsid w:val="00DF1C03"/>
    <w:rsid w:val="00E01A98"/>
    <w:rsid w:val="00E0545B"/>
    <w:rsid w:val="00E11C0E"/>
    <w:rsid w:val="00E15348"/>
    <w:rsid w:val="00E1764C"/>
    <w:rsid w:val="00E23874"/>
    <w:rsid w:val="00E24971"/>
    <w:rsid w:val="00E25BD4"/>
    <w:rsid w:val="00E30C43"/>
    <w:rsid w:val="00E32A56"/>
    <w:rsid w:val="00E33DB3"/>
    <w:rsid w:val="00E34C85"/>
    <w:rsid w:val="00E40671"/>
    <w:rsid w:val="00E444FC"/>
    <w:rsid w:val="00E51A68"/>
    <w:rsid w:val="00E54D3A"/>
    <w:rsid w:val="00E569A8"/>
    <w:rsid w:val="00E61C0D"/>
    <w:rsid w:val="00E648F8"/>
    <w:rsid w:val="00E71581"/>
    <w:rsid w:val="00E73B1E"/>
    <w:rsid w:val="00E75C16"/>
    <w:rsid w:val="00E76592"/>
    <w:rsid w:val="00E80C19"/>
    <w:rsid w:val="00E81E4C"/>
    <w:rsid w:val="00E85675"/>
    <w:rsid w:val="00E968B6"/>
    <w:rsid w:val="00EA0256"/>
    <w:rsid w:val="00EA3978"/>
    <w:rsid w:val="00EA4B32"/>
    <w:rsid w:val="00EA6BFF"/>
    <w:rsid w:val="00EA71D1"/>
    <w:rsid w:val="00EB245F"/>
    <w:rsid w:val="00EB4BEF"/>
    <w:rsid w:val="00EB6CDC"/>
    <w:rsid w:val="00EC0ED6"/>
    <w:rsid w:val="00EC1DCC"/>
    <w:rsid w:val="00EC25BD"/>
    <w:rsid w:val="00EC3E68"/>
    <w:rsid w:val="00EC7362"/>
    <w:rsid w:val="00ED1378"/>
    <w:rsid w:val="00ED1ADE"/>
    <w:rsid w:val="00ED3557"/>
    <w:rsid w:val="00ED6B25"/>
    <w:rsid w:val="00ED7F53"/>
    <w:rsid w:val="00EE095F"/>
    <w:rsid w:val="00EE15CD"/>
    <w:rsid w:val="00EF7892"/>
    <w:rsid w:val="00F01232"/>
    <w:rsid w:val="00F0125B"/>
    <w:rsid w:val="00F01972"/>
    <w:rsid w:val="00F01B12"/>
    <w:rsid w:val="00F04E3C"/>
    <w:rsid w:val="00F057B6"/>
    <w:rsid w:val="00F06067"/>
    <w:rsid w:val="00F07D6F"/>
    <w:rsid w:val="00F1126C"/>
    <w:rsid w:val="00F13180"/>
    <w:rsid w:val="00F14B7C"/>
    <w:rsid w:val="00F1509B"/>
    <w:rsid w:val="00F1608F"/>
    <w:rsid w:val="00F168FB"/>
    <w:rsid w:val="00F27B79"/>
    <w:rsid w:val="00F30B42"/>
    <w:rsid w:val="00F4196D"/>
    <w:rsid w:val="00F57C3F"/>
    <w:rsid w:val="00F625FA"/>
    <w:rsid w:val="00F6292F"/>
    <w:rsid w:val="00F65CC4"/>
    <w:rsid w:val="00F72A4C"/>
    <w:rsid w:val="00F73368"/>
    <w:rsid w:val="00F761C9"/>
    <w:rsid w:val="00F805A7"/>
    <w:rsid w:val="00F85A10"/>
    <w:rsid w:val="00F87EA5"/>
    <w:rsid w:val="00F93A3F"/>
    <w:rsid w:val="00FA3A87"/>
    <w:rsid w:val="00FA5570"/>
    <w:rsid w:val="00FB05A8"/>
    <w:rsid w:val="00FB193F"/>
    <w:rsid w:val="00FB1C27"/>
    <w:rsid w:val="00FB5BF5"/>
    <w:rsid w:val="00FB74B9"/>
    <w:rsid w:val="00FB77D2"/>
    <w:rsid w:val="00FC7F91"/>
    <w:rsid w:val="00FD2CB1"/>
    <w:rsid w:val="00FE0B99"/>
    <w:rsid w:val="00FF08EA"/>
    <w:rsid w:val="00FF21C1"/>
    <w:rsid w:val="00FF5715"/>
    <w:rsid w:val="00FF6AB9"/>
    <w:rsid w:val="00FF6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E434A19"/>
  <w15:docId w15:val="{418F9927-E617-460C-9790-FA93BE8B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0C"/>
    <w:rPr>
      <w:color w:val="444448" w:themeColor="accent4"/>
    </w:rPr>
  </w:style>
  <w:style w:type="paragraph" w:styleId="Heading1">
    <w:name w:val="heading 1"/>
    <w:basedOn w:val="RPSSectionHeading"/>
    <w:next w:val="Normal"/>
    <w:link w:val="Heading1Char"/>
    <w:qFormat/>
    <w:rsid w:val="006C2926"/>
    <w:pPr>
      <w:keepNext/>
      <w:keepLines/>
      <w:spacing w:before="480"/>
      <w:outlineLvl w:val="0"/>
    </w:pPr>
    <w:rPr>
      <w:rFonts w:ascii="Calibri" w:eastAsiaTheme="majorEastAsia" w:hAnsi="Calibri" w:cstheme="majorBidi"/>
      <w:bCs/>
      <w:color w:val="4E1A74"/>
      <w:szCs w:val="28"/>
    </w:rPr>
  </w:style>
  <w:style w:type="paragraph" w:styleId="Heading2">
    <w:name w:val="heading 2"/>
    <w:basedOn w:val="RPSSectionHeading2"/>
    <w:next w:val="Normal"/>
    <w:link w:val="Heading2Char"/>
    <w:unhideWhenUsed/>
    <w:qFormat/>
    <w:rsid w:val="006C2926"/>
    <w:pPr>
      <w:keepNext/>
      <w:keepLines/>
      <w:outlineLvl w:val="1"/>
    </w:pPr>
    <w:rPr>
      <w:rFonts w:ascii="Calibri" w:eastAsiaTheme="majorEastAsia" w:hAnsi="Calibri" w:cstheme="majorBidi"/>
      <w:bCs/>
      <w:color w:val="4E1A74"/>
      <w:sz w:val="26"/>
      <w:szCs w:val="26"/>
    </w:rPr>
  </w:style>
  <w:style w:type="paragraph" w:styleId="Heading3">
    <w:name w:val="heading 3"/>
    <w:basedOn w:val="Normal"/>
    <w:next w:val="Normal"/>
    <w:link w:val="Heading3Char"/>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nhideWhenUsed/>
    <w:qFormat/>
    <w:rsid w:val="003D265D"/>
    <w:pPr>
      <w:keepNext/>
      <w:keepLines/>
      <w:spacing w:before="200"/>
      <w:outlineLvl w:val="3"/>
    </w:pPr>
    <w:rPr>
      <w:rFonts w:ascii="Calibri" w:eastAsiaTheme="majorEastAsia" w:hAnsi="Calibri" w:cstheme="majorBidi"/>
      <w:b/>
      <w:bCs/>
      <w:i/>
      <w:iCs/>
    </w:rPr>
  </w:style>
  <w:style w:type="paragraph" w:styleId="Heading5">
    <w:name w:val="heading 5"/>
    <w:basedOn w:val="Normal"/>
    <w:next w:val="Normal"/>
    <w:link w:val="Heading5Char"/>
    <w:qFormat/>
    <w:rsid w:val="00653160"/>
    <w:pPr>
      <w:keepNext/>
      <w:widowControl w:val="0"/>
      <w:spacing w:line="276" w:lineRule="auto"/>
      <w:jc w:val="both"/>
      <w:outlineLvl w:val="4"/>
    </w:pPr>
    <w:rPr>
      <w:rFonts w:ascii="Georgia" w:eastAsia="Times New Roman" w:hAnsi="Georgia" w:cs="Times New Roman"/>
      <w:b/>
      <w:snapToGrid w:val="0"/>
      <w:color w:val="auto"/>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basedOn w:val="DefaultParagraphFont"/>
    <w:link w:val="Heading1"/>
    <w:rsid w:val="006C2926"/>
    <w:rPr>
      <w:rFonts w:ascii="Calibri" w:eastAsiaTheme="majorEastAsia" w:hAnsi="Calibri" w:cstheme="majorBidi"/>
      <w:b/>
      <w:bCs/>
      <w:color w:val="4E1A74"/>
      <w:sz w:val="32"/>
      <w:szCs w:val="28"/>
      <w:lang w:eastAsia="en-AU"/>
    </w:rPr>
  </w:style>
  <w:style w:type="character" w:customStyle="1" w:styleId="Heading2Char">
    <w:name w:val="Heading 2 Char"/>
    <w:basedOn w:val="DefaultParagraphFont"/>
    <w:link w:val="Heading2"/>
    <w:rsid w:val="006C2926"/>
    <w:rPr>
      <w:rFonts w:ascii="Calibri" w:eastAsiaTheme="majorEastAsia" w:hAnsi="Calibri" w:cstheme="majorBidi"/>
      <w:b/>
      <w:bCs/>
      <w:color w:val="4E1A74"/>
      <w:sz w:val="26"/>
      <w:szCs w:val="26"/>
      <w:lang w:eastAsia="en-AU"/>
    </w:rPr>
  </w:style>
  <w:style w:type="paragraph" w:styleId="Title">
    <w:name w:val="Title"/>
    <w:basedOn w:val="Normal"/>
    <w:next w:val="Normal"/>
    <w:link w:val="TitleChar"/>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rsid w:val="00082E26"/>
    <w:rPr>
      <w:rFonts w:eastAsiaTheme="majorEastAsia" w:cstheme="majorBidi"/>
      <w:b/>
      <w:bCs/>
      <w:i/>
      <w:color w:val="4E1A74"/>
      <w:sz w:val="24"/>
    </w:rPr>
  </w:style>
  <w:style w:type="paragraph" w:styleId="BalloonText">
    <w:name w:val="Balloon Text"/>
    <w:basedOn w:val="Normal"/>
    <w:link w:val="BalloonTextChar"/>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356D6"/>
    <w:rPr>
      <w:rFonts w:ascii="Tahoma" w:hAnsi="Tahoma" w:cs="Tahoma"/>
      <w:color w:val="444448"/>
      <w:sz w:val="16"/>
      <w:szCs w:val="16"/>
    </w:rPr>
  </w:style>
  <w:style w:type="paragraph" w:styleId="Caption">
    <w:name w:val="caption"/>
    <w:basedOn w:val="Normal"/>
    <w:next w:val="Normal"/>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outlineLvl w:val="9"/>
    </w:pPr>
    <w:rPr>
      <w:b w:val="0"/>
      <w:sz w:val="28"/>
      <w:lang w:val="en-US" w:eastAsia="ja-JP"/>
    </w:rPr>
  </w:style>
  <w:style w:type="paragraph" w:styleId="TOC1">
    <w:name w:val="toc 1"/>
    <w:basedOn w:val="Normal"/>
    <w:next w:val="Normal"/>
    <w:autoRedefine/>
    <w:uiPriority w:val="39"/>
    <w:unhideWhenUsed/>
    <w:rsid w:val="00066B27"/>
    <w:pPr>
      <w:tabs>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styleId="TOC4">
    <w:name w:val="toc 4"/>
    <w:basedOn w:val="Normal"/>
    <w:next w:val="Normal"/>
    <w:autoRedefine/>
    <w:uiPriority w:val="39"/>
    <w:unhideWhenUsed/>
    <w:rsid w:val="00653160"/>
    <w:pPr>
      <w:spacing w:after="100"/>
      <w:ind w:left="660"/>
    </w:pPr>
  </w:style>
  <w:style w:type="character" w:customStyle="1" w:styleId="Heading5Char">
    <w:name w:val="Heading 5 Char"/>
    <w:basedOn w:val="DefaultParagraphFont"/>
    <w:link w:val="Heading5"/>
    <w:rsid w:val="00653160"/>
    <w:rPr>
      <w:rFonts w:ascii="Georgia" w:eastAsia="Times New Roman" w:hAnsi="Georgia" w:cs="Times New Roman"/>
      <w:b/>
      <w:snapToGrid w:val="0"/>
      <w:color w:val="auto"/>
      <w:sz w:val="40"/>
      <w:szCs w:val="20"/>
    </w:rPr>
  </w:style>
  <w:style w:type="paragraph" w:customStyle="1" w:styleId="RPSPublications">
    <w:name w:val="RPS Publications"/>
    <w:basedOn w:val="Normal"/>
    <w:link w:val="RPSPublicationsChar"/>
    <w:rsid w:val="00653160"/>
    <w:pPr>
      <w:spacing w:line="276" w:lineRule="auto"/>
    </w:pPr>
    <w:rPr>
      <w:rFonts w:ascii="Georgia" w:eastAsia="Times New Roman" w:hAnsi="Georgia" w:cs="Times New Roman"/>
      <w:color w:val="auto"/>
      <w:sz w:val="24"/>
      <w:szCs w:val="20"/>
      <w:lang w:eastAsia="en-AU"/>
    </w:rPr>
  </w:style>
  <w:style w:type="paragraph" w:customStyle="1" w:styleId="RPSTitle">
    <w:name w:val="RPS Title"/>
    <w:basedOn w:val="RPSPublications"/>
    <w:next w:val="Title"/>
    <w:rsid w:val="00653160"/>
    <w:pPr>
      <w:jc w:val="right"/>
    </w:pPr>
    <w:rPr>
      <w:rFonts w:ascii="Arial Black" w:hAnsi="Arial Black"/>
      <w:sz w:val="48"/>
    </w:rPr>
  </w:style>
  <w:style w:type="paragraph" w:customStyle="1" w:styleId="RPSTitlePubNo">
    <w:name w:val="RPS Title Pub No"/>
    <w:basedOn w:val="RPSPublications"/>
    <w:rsid w:val="00653160"/>
    <w:pPr>
      <w:jc w:val="right"/>
    </w:pPr>
    <w:rPr>
      <w:rFonts w:ascii="Arial Black" w:hAnsi="Arial Black"/>
      <w:sz w:val="32"/>
    </w:rPr>
  </w:style>
  <w:style w:type="paragraph" w:customStyle="1" w:styleId="RPSTitlePageText">
    <w:name w:val="RPS Title Page Text"/>
    <w:basedOn w:val="RPSPublications"/>
    <w:rsid w:val="00653160"/>
    <w:pPr>
      <w:jc w:val="right"/>
    </w:pPr>
  </w:style>
  <w:style w:type="paragraph" w:customStyle="1" w:styleId="RPSImprintPageText">
    <w:name w:val="RPS Imprint Page Text"/>
    <w:basedOn w:val="RPSPublications"/>
    <w:rsid w:val="00653160"/>
  </w:style>
  <w:style w:type="paragraph" w:customStyle="1" w:styleId="RPSForewordHeading">
    <w:name w:val="RPS Foreword Heading"/>
    <w:basedOn w:val="RPSPublications"/>
    <w:rsid w:val="00653160"/>
    <w:rPr>
      <w:b/>
      <w:sz w:val="32"/>
    </w:rPr>
  </w:style>
  <w:style w:type="paragraph" w:customStyle="1" w:styleId="RPSForewordText">
    <w:name w:val="RPS Foreword Text"/>
    <w:basedOn w:val="RPSPublications"/>
    <w:rsid w:val="00653160"/>
  </w:style>
  <w:style w:type="paragraph" w:customStyle="1" w:styleId="RPSContentsHeading">
    <w:name w:val="RPS Contents Heading"/>
    <w:basedOn w:val="RPSForewordHeading"/>
    <w:rsid w:val="00653160"/>
  </w:style>
  <w:style w:type="paragraph" w:customStyle="1" w:styleId="RPSContentsEntries">
    <w:name w:val="RPS Contents Entries"/>
    <w:basedOn w:val="RPSPublications"/>
    <w:rsid w:val="00653160"/>
    <w:pPr>
      <w:numPr>
        <w:numId w:val="4"/>
      </w:numPr>
      <w:tabs>
        <w:tab w:val="clear" w:pos="851"/>
      </w:tabs>
      <w:ind w:left="360" w:hanging="360"/>
    </w:pPr>
  </w:style>
  <w:style w:type="paragraph" w:customStyle="1" w:styleId="RPSSectionHeading">
    <w:name w:val="RPS Section Heading"/>
    <w:basedOn w:val="RPSPublications"/>
    <w:next w:val="Heading1"/>
    <w:rsid w:val="00653160"/>
    <w:pPr>
      <w:numPr>
        <w:numId w:val="16"/>
      </w:numPr>
      <w:pBdr>
        <w:bottom w:val="single" w:sz="4" w:space="4" w:color="E3CCF4" w:themeColor="accent1"/>
      </w:pBdr>
    </w:pPr>
    <w:rPr>
      <w:rFonts w:asciiTheme="minorHAnsi" w:hAnsiTheme="minorHAnsi"/>
      <w:b/>
      <w:color w:val="E3CCF4" w:themeColor="accent1"/>
      <w:sz w:val="32"/>
      <w:szCs w:val="32"/>
    </w:rPr>
  </w:style>
  <w:style w:type="paragraph" w:customStyle="1" w:styleId="RPSSectionHeading2Char">
    <w:name w:val="RPS Section Heading 2 Char"/>
    <w:basedOn w:val="RPSPublications"/>
    <w:next w:val="Heading2"/>
    <w:rsid w:val="00653160"/>
    <w:pPr>
      <w:numPr>
        <w:ilvl w:val="1"/>
        <w:numId w:val="16"/>
      </w:numPr>
    </w:pPr>
    <w:rPr>
      <w:b/>
      <w:smallCaps/>
      <w:sz w:val="28"/>
    </w:rPr>
  </w:style>
  <w:style w:type="paragraph" w:customStyle="1" w:styleId="RPSBodyText">
    <w:name w:val="RPS Body Text"/>
    <w:basedOn w:val="RPSPublications"/>
    <w:next w:val="BodyText"/>
    <w:link w:val="RPSBodyTextChar1"/>
    <w:uiPriority w:val="99"/>
    <w:rsid w:val="00653160"/>
    <w:pPr>
      <w:jc w:val="both"/>
    </w:pPr>
  </w:style>
  <w:style w:type="paragraph" w:styleId="BodyText">
    <w:name w:val="Body Text"/>
    <w:basedOn w:val="Normal"/>
    <w:link w:val="BodyTextChar"/>
    <w:rsid w:val="00653160"/>
    <w:pPr>
      <w:spacing w:after="120" w:line="276" w:lineRule="auto"/>
    </w:pPr>
    <w:rPr>
      <w:rFonts w:ascii="Georgia" w:eastAsia="Times New Roman" w:hAnsi="Georgia" w:cs="Times New Roman"/>
      <w:color w:val="auto"/>
      <w:sz w:val="24"/>
      <w:szCs w:val="20"/>
      <w:lang w:eastAsia="en-AU"/>
    </w:rPr>
  </w:style>
  <w:style w:type="character" w:customStyle="1" w:styleId="BodyTextChar">
    <w:name w:val="Body Text Char"/>
    <w:basedOn w:val="DefaultParagraphFont"/>
    <w:link w:val="BodyText"/>
    <w:rsid w:val="00653160"/>
    <w:rPr>
      <w:rFonts w:ascii="Georgia" w:eastAsia="Times New Roman" w:hAnsi="Georgia" w:cs="Times New Roman"/>
      <w:color w:val="auto"/>
      <w:sz w:val="24"/>
      <w:szCs w:val="20"/>
      <w:lang w:eastAsia="en-AU"/>
    </w:rPr>
  </w:style>
  <w:style w:type="paragraph" w:customStyle="1" w:styleId="RPSSchedAnnexHeadingChar">
    <w:name w:val="RPS Sched/Annex Heading Char"/>
    <w:basedOn w:val="RPSForewordHeading"/>
    <w:rsid w:val="00653160"/>
  </w:style>
  <w:style w:type="paragraph" w:customStyle="1" w:styleId="RPSSchedAnnexText">
    <w:name w:val="RPS Sched/Annex Text"/>
    <w:basedOn w:val="RPSPublications"/>
    <w:rsid w:val="00653160"/>
    <w:pPr>
      <w:numPr>
        <w:ilvl w:val="2"/>
        <w:numId w:val="5"/>
      </w:numPr>
      <w:jc w:val="both"/>
    </w:pPr>
    <w:rPr>
      <w:sz w:val="22"/>
    </w:rPr>
  </w:style>
  <w:style w:type="paragraph" w:styleId="BodyTextIndent">
    <w:name w:val="Body Text Indent"/>
    <w:basedOn w:val="Normal"/>
    <w:link w:val="BodyTextIndentChar"/>
    <w:rsid w:val="00653160"/>
    <w:pPr>
      <w:widowControl w:val="0"/>
      <w:spacing w:line="276" w:lineRule="auto"/>
      <w:ind w:left="567" w:hanging="567"/>
      <w:jc w:val="both"/>
    </w:pPr>
    <w:rPr>
      <w:rFonts w:ascii="Georgia" w:eastAsia="Times New Roman" w:hAnsi="Georgia" w:cs="Times New Roman"/>
      <w:snapToGrid w:val="0"/>
      <w:color w:val="auto"/>
      <w:sz w:val="24"/>
      <w:szCs w:val="20"/>
    </w:rPr>
  </w:style>
  <w:style w:type="character" w:customStyle="1" w:styleId="BodyTextIndentChar">
    <w:name w:val="Body Text Indent Char"/>
    <w:basedOn w:val="DefaultParagraphFont"/>
    <w:link w:val="BodyTextIndent"/>
    <w:rsid w:val="00653160"/>
    <w:rPr>
      <w:rFonts w:ascii="Georgia" w:eastAsia="Times New Roman" w:hAnsi="Georgia" w:cs="Times New Roman"/>
      <w:snapToGrid w:val="0"/>
      <w:color w:val="auto"/>
      <w:sz w:val="24"/>
      <w:szCs w:val="20"/>
    </w:rPr>
  </w:style>
  <w:style w:type="paragraph" w:styleId="BodyTextIndent2">
    <w:name w:val="Body Text Indent 2"/>
    <w:basedOn w:val="Normal"/>
    <w:link w:val="BodyTextIndent2Char"/>
    <w:rsid w:val="00653160"/>
    <w:pPr>
      <w:widowControl w:val="0"/>
      <w:spacing w:line="276" w:lineRule="auto"/>
      <w:ind w:left="357" w:hanging="357"/>
      <w:jc w:val="both"/>
    </w:pPr>
    <w:rPr>
      <w:rFonts w:ascii="Georgia" w:eastAsia="Times New Roman" w:hAnsi="Georgia" w:cs="Times New Roman"/>
      <w:snapToGrid w:val="0"/>
      <w:color w:val="auto"/>
      <w:sz w:val="24"/>
      <w:szCs w:val="20"/>
    </w:rPr>
  </w:style>
  <w:style w:type="character" w:customStyle="1" w:styleId="BodyTextIndent2Char">
    <w:name w:val="Body Text Indent 2 Char"/>
    <w:basedOn w:val="DefaultParagraphFont"/>
    <w:link w:val="BodyTextIndent2"/>
    <w:rsid w:val="00653160"/>
    <w:rPr>
      <w:rFonts w:ascii="Georgia" w:eastAsia="Times New Roman" w:hAnsi="Georgia" w:cs="Times New Roman"/>
      <w:snapToGrid w:val="0"/>
      <w:color w:val="auto"/>
      <w:sz w:val="24"/>
      <w:szCs w:val="20"/>
    </w:rPr>
  </w:style>
  <w:style w:type="paragraph" w:customStyle="1" w:styleId="Style">
    <w:name w:val="Style"/>
    <w:basedOn w:val="Normal"/>
    <w:rsid w:val="00653160"/>
    <w:pPr>
      <w:widowControl w:val="0"/>
      <w:spacing w:line="276" w:lineRule="auto"/>
      <w:ind w:left="1839" w:right="171" w:hanging="576"/>
    </w:pPr>
    <w:rPr>
      <w:rFonts w:ascii="Georgia" w:eastAsia="Times New Roman" w:hAnsi="Georgia" w:cs="Times New Roman"/>
      <w:snapToGrid w:val="0"/>
      <w:color w:val="auto"/>
      <w:sz w:val="24"/>
      <w:szCs w:val="20"/>
      <w:lang w:val="en-US"/>
    </w:rPr>
  </w:style>
  <w:style w:type="character" w:styleId="PageNumber">
    <w:name w:val="page number"/>
    <w:basedOn w:val="DefaultParagraphFont"/>
    <w:rsid w:val="00653160"/>
  </w:style>
  <w:style w:type="paragraph" w:styleId="TOC5">
    <w:name w:val="toc 5"/>
    <w:basedOn w:val="Normal"/>
    <w:next w:val="Normal"/>
    <w:autoRedefine/>
    <w:semiHidden/>
    <w:rsid w:val="00653160"/>
    <w:pPr>
      <w:spacing w:line="276" w:lineRule="auto"/>
      <w:ind w:left="720"/>
    </w:pPr>
    <w:rPr>
      <w:rFonts w:ascii="Calibri" w:eastAsia="Times New Roman" w:hAnsi="Calibri" w:cs="Times New Roman"/>
      <w:color w:val="auto"/>
      <w:sz w:val="20"/>
      <w:szCs w:val="20"/>
      <w:lang w:eastAsia="en-AU"/>
    </w:rPr>
  </w:style>
  <w:style w:type="paragraph" w:styleId="TOC6">
    <w:name w:val="toc 6"/>
    <w:basedOn w:val="Normal"/>
    <w:next w:val="Normal"/>
    <w:autoRedefine/>
    <w:semiHidden/>
    <w:rsid w:val="00653160"/>
    <w:pPr>
      <w:spacing w:line="276" w:lineRule="auto"/>
      <w:ind w:left="960"/>
    </w:pPr>
    <w:rPr>
      <w:rFonts w:ascii="Calibri" w:eastAsia="Times New Roman" w:hAnsi="Calibri" w:cs="Times New Roman"/>
      <w:color w:val="auto"/>
      <w:sz w:val="20"/>
      <w:szCs w:val="20"/>
      <w:lang w:eastAsia="en-AU"/>
    </w:rPr>
  </w:style>
  <w:style w:type="paragraph" w:styleId="TOC7">
    <w:name w:val="toc 7"/>
    <w:basedOn w:val="Normal"/>
    <w:next w:val="Normal"/>
    <w:autoRedefine/>
    <w:semiHidden/>
    <w:rsid w:val="00653160"/>
    <w:pPr>
      <w:spacing w:line="276" w:lineRule="auto"/>
      <w:ind w:left="1200"/>
    </w:pPr>
    <w:rPr>
      <w:rFonts w:ascii="Calibri" w:eastAsia="Times New Roman" w:hAnsi="Calibri" w:cs="Times New Roman"/>
      <w:color w:val="auto"/>
      <w:sz w:val="20"/>
      <w:szCs w:val="20"/>
      <w:lang w:eastAsia="en-AU"/>
    </w:rPr>
  </w:style>
  <w:style w:type="paragraph" w:styleId="TOC8">
    <w:name w:val="toc 8"/>
    <w:basedOn w:val="Normal"/>
    <w:next w:val="Normal"/>
    <w:autoRedefine/>
    <w:semiHidden/>
    <w:rsid w:val="00653160"/>
    <w:pPr>
      <w:spacing w:line="276" w:lineRule="auto"/>
      <w:ind w:left="1440"/>
    </w:pPr>
    <w:rPr>
      <w:rFonts w:ascii="Calibri" w:eastAsia="Times New Roman" w:hAnsi="Calibri" w:cs="Times New Roman"/>
      <w:color w:val="auto"/>
      <w:sz w:val="20"/>
      <w:szCs w:val="20"/>
      <w:lang w:eastAsia="en-AU"/>
    </w:rPr>
  </w:style>
  <w:style w:type="paragraph" w:styleId="TOC9">
    <w:name w:val="toc 9"/>
    <w:basedOn w:val="Normal"/>
    <w:next w:val="Normal"/>
    <w:autoRedefine/>
    <w:semiHidden/>
    <w:rsid w:val="00653160"/>
    <w:pPr>
      <w:spacing w:line="276" w:lineRule="auto"/>
      <w:ind w:left="1680"/>
    </w:pPr>
    <w:rPr>
      <w:rFonts w:ascii="Calibri" w:eastAsia="Times New Roman" w:hAnsi="Calibri" w:cs="Times New Roman"/>
      <w:color w:val="auto"/>
      <w:sz w:val="20"/>
      <w:szCs w:val="20"/>
      <w:lang w:eastAsia="en-AU"/>
    </w:rPr>
  </w:style>
  <w:style w:type="character" w:styleId="CommentReference">
    <w:name w:val="annotation reference"/>
    <w:semiHidden/>
    <w:rsid w:val="00653160"/>
    <w:rPr>
      <w:sz w:val="16"/>
    </w:rPr>
  </w:style>
  <w:style w:type="paragraph" w:styleId="CommentText">
    <w:name w:val="annotation text"/>
    <w:basedOn w:val="Normal"/>
    <w:link w:val="CommentTextChar"/>
    <w:semiHidden/>
    <w:rsid w:val="00653160"/>
    <w:pPr>
      <w:spacing w:line="276" w:lineRule="auto"/>
    </w:pPr>
    <w:rPr>
      <w:rFonts w:ascii="Georgia" w:eastAsia="Times New Roman" w:hAnsi="Georgia" w:cs="Times New Roman"/>
      <w:color w:val="auto"/>
      <w:sz w:val="20"/>
      <w:szCs w:val="20"/>
      <w:lang w:eastAsia="en-AU"/>
    </w:rPr>
  </w:style>
  <w:style w:type="character" w:customStyle="1" w:styleId="CommentTextChar">
    <w:name w:val="Comment Text Char"/>
    <w:basedOn w:val="DefaultParagraphFont"/>
    <w:link w:val="CommentText"/>
    <w:semiHidden/>
    <w:rsid w:val="00653160"/>
    <w:rPr>
      <w:rFonts w:ascii="Georgia" w:eastAsia="Times New Roman" w:hAnsi="Georgia" w:cs="Times New Roman"/>
      <w:color w:val="auto"/>
      <w:sz w:val="20"/>
      <w:szCs w:val="20"/>
      <w:lang w:eastAsia="en-AU"/>
    </w:rPr>
  </w:style>
  <w:style w:type="paragraph" w:customStyle="1" w:styleId="RPSBodyTextNumbered">
    <w:name w:val="RPS Body Text Numbered"/>
    <w:basedOn w:val="Normal"/>
    <w:link w:val="RPSBodyTextNumberedChar"/>
    <w:rsid w:val="00653160"/>
    <w:pPr>
      <w:numPr>
        <w:ilvl w:val="2"/>
        <w:numId w:val="3"/>
      </w:numPr>
      <w:spacing w:line="276" w:lineRule="auto"/>
    </w:pPr>
    <w:rPr>
      <w:rFonts w:ascii="Georgia" w:eastAsia="Times New Roman" w:hAnsi="Georgia" w:cs="Times New Roman"/>
      <w:color w:val="auto"/>
      <w:sz w:val="24"/>
      <w:szCs w:val="20"/>
      <w:lang w:eastAsia="en-AU"/>
    </w:rPr>
  </w:style>
  <w:style w:type="paragraph" w:customStyle="1" w:styleId="RPSSchedAnnexHeading2">
    <w:name w:val="RPS Sched/Annex Heading2"/>
    <w:basedOn w:val="RPSSchedAnnexHeadingChar"/>
    <w:rsid w:val="00653160"/>
    <w:rPr>
      <w:b w:val="0"/>
      <w:sz w:val="24"/>
      <w:szCs w:val="24"/>
    </w:rPr>
  </w:style>
  <w:style w:type="paragraph" w:customStyle="1" w:styleId="RPSSchedAnnexHeading2Bold">
    <w:name w:val="RPS Sched/Annex Heading2 + Bold"/>
    <w:basedOn w:val="RPSSchedAnnexHeading2"/>
    <w:autoRedefine/>
    <w:rsid w:val="00653160"/>
    <w:rPr>
      <w:b/>
      <w:bCs/>
    </w:rPr>
  </w:style>
  <w:style w:type="character" w:styleId="Strong">
    <w:name w:val="Strong"/>
    <w:uiPriority w:val="99"/>
    <w:qFormat/>
    <w:rsid w:val="00653160"/>
    <w:rPr>
      <w:b/>
      <w:bCs/>
    </w:rPr>
  </w:style>
  <w:style w:type="character" w:styleId="LineNumber">
    <w:name w:val="line number"/>
    <w:basedOn w:val="DefaultParagraphFont"/>
    <w:uiPriority w:val="99"/>
    <w:rsid w:val="00653160"/>
  </w:style>
  <w:style w:type="paragraph" w:customStyle="1" w:styleId="rpsannextext">
    <w:name w:val="rps annex text"/>
    <w:basedOn w:val="RPSSectionHeading2Char"/>
    <w:rsid w:val="00653160"/>
    <w:pPr>
      <w:numPr>
        <w:ilvl w:val="3"/>
        <w:numId w:val="5"/>
      </w:numPr>
      <w:tabs>
        <w:tab w:val="clear" w:pos="1361"/>
      </w:tabs>
      <w:spacing w:before="120"/>
      <w:ind w:left="2520" w:hanging="360"/>
      <w:jc w:val="both"/>
    </w:pPr>
    <w:rPr>
      <w:b w:val="0"/>
      <w:smallCaps w:val="0"/>
      <w:sz w:val="22"/>
      <w:szCs w:val="22"/>
      <w:lang w:eastAsia="en-US"/>
    </w:rPr>
  </w:style>
  <w:style w:type="paragraph" w:customStyle="1" w:styleId="RPSSchedAnnexHeading2Char">
    <w:name w:val="RPS Sched/Annex Heading 2 Char"/>
    <w:basedOn w:val="RPSSchedAnnexHeadingChar"/>
    <w:rsid w:val="00653160"/>
    <w:pPr>
      <w:keepNext/>
      <w:numPr>
        <w:ilvl w:val="1"/>
        <w:numId w:val="5"/>
      </w:numPr>
      <w:tabs>
        <w:tab w:val="clear" w:pos="851"/>
      </w:tabs>
      <w:ind w:hanging="284"/>
      <w:jc w:val="both"/>
      <w:outlineLvl w:val="0"/>
    </w:pPr>
    <w:rPr>
      <w:bCs/>
      <w:smallCaps/>
      <w:kern w:val="28"/>
      <w:sz w:val="28"/>
      <w:lang w:eastAsia="en-US"/>
    </w:rPr>
  </w:style>
  <w:style w:type="character" w:customStyle="1" w:styleId="RPSSchedAnnexHeadingCharChar">
    <w:name w:val="RPS Sched/Annex Heading Char Char"/>
    <w:rsid w:val="00653160"/>
    <w:rPr>
      <w:rFonts w:ascii="Georgia" w:hAnsi="Georgia"/>
      <w:b/>
      <w:sz w:val="32"/>
      <w:lang w:val="en-AU" w:eastAsia="en-AU" w:bidi="ar-SA"/>
    </w:rPr>
  </w:style>
  <w:style w:type="character" w:customStyle="1" w:styleId="RPSSchedAnnexHeading2CharChar">
    <w:name w:val="RPS Sched/Annex Heading 2 Char Char"/>
    <w:rsid w:val="00653160"/>
    <w:rPr>
      <w:rFonts w:ascii="Georgia" w:hAnsi="Georgia"/>
      <w:b/>
      <w:bCs/>
      <w:smallCaps/>
      <w:kern w:val="28"/>
      <w:sz w:val="28"/>
      <w:lang w:val="en-AU" w:eastAsia="en-US" w:bidi="ar-SA"/>
    </w:rPr>
  </w:style>
  <w:style w:type="paragraph" w:customStyle="1" w:styleId="RPSAnnextextroman">
    <w:name w:val="RPS Annex text roman"/>
    <w:basedOn w:val="RPSBodyText"/>
    <w:rsid w:val="00653160"/>
    <w:pPr>
      <w:numPr>
        <w:ilvl w:val="3"/>
        <w:numId w:val="6"/>
      </w:numPr>
      <w:tabs>
        <w:tab w:val="clear" w:pos="1361"/>
      </w:tabs>
      <w:spacing w:before="120"/>
      <w:ind w:left="2880" w:hanging="360"/>
    </w:pPr>
    <w:rPr>
      <w:sz w:val="22"/>
      <w:lang w:eastAsia="en-US"/>
    </w:rPr>
  </w:style>
  <w:style w:type="paragraph" w:customStyle="1" w:styleId="RPSScheduleHeading">
    <w:name w:val="RPS Schedule Heading"/>
    <w:basedOn w:val="Normal"/>
    <w:rsid w:val="00653160"/>
    <w:pPr>
      <w:numPr>
        <w:numId w:val="5"/>
      </w:numPr>
      <w:spacing w:line="276" w:lineRule="auto"/>
      <w:jc w:val="both"/>
    </w:pPr>
    <w:rPr>
      <w:rFonts w:ascii="Georgia" w:eastAsia="Times New Roman" w:hAnsi="Georgia" w:cs="Times New Roman"/>
      <w:b/>
      <w:color w:val="auto"/>
      <w:sz w:val="36"/>
      <w:szCs w:val="28"/>
    </w:rPr>
  </w:style>
  <w:style w:type="paragraph" w:customStyle="1" w:styleId="RPSSectionHeadingChar">
    <w:name w:val="RPS Section Heading Char"/>
    <w:basedOn w:val="Normal"/>
    <w:rsid w:val="00653160"/>
    <w:pPr>
      <w:numPr>
        <w:ilvl w:val="2"/>
        <w:numId w:val="4"/>
      </w:numPr>
      <w:spacing w:line="276" w:lineRule="auto"/>
    </w:pPr>
    <w:rPr>
      <w:rFonts w:ascii="Georgia" w:eastAsia="Times New Roman" w:hAnsi="Georgia" w:cs="Times New Roman"/>
      <w:color w:val="auto"/>
      <w:sz w:val="24"/>
      <w:szCs w:val="20"/>
      <w:lang w:eastAsia="en-AU"/>
    </w:rPr>
  </w:style>
  <w:style w:type="paragraph" w:customStyle="1" w:styleId="RPSBodyTextalpha">
    <w:name w:val="RPS Body Text alpha"/>
    <w:basedOn w:val="Normal"/>
    <w:rsid w:val="00653160"/>
    <w:pPr>
      <w:numPr>
        <w:ilvl w:val="3"/>
        <w:numId w:val="16"/>
      </w:numPr>
      <w:spacing w:before="120" w:line="276" w:lineRule="auto"/>
      <w:jc w:val="both"/>
    </w:pPr>
    <w:rPr>
      <w:rFonts w:ascii="Georgia" w:eastAsia="Times New Roman" w:hAnsi="Georgia" w:cs="Times New Roman"/>
      <w:color w:val="auto"/>
      <w:sz w:val="24"/>
      <w:szCs w:val="20"/>
      <w:lang w:eastAsia="en-AU"/>
    </w:rPr>
  </w:style>
  <w:style w:type="paragraph" w:customStyle="1" w:styleId="RPSScheduleHeading2">
    <w:name w:val="RPS Schedule Heading 2"/>
    <w:basedOn w:val="Normal"/>
    <w:rsid w:val="00653160"/>
    <w:pPr>
      <w:keepNext/>
      <w:numPr>
        <w:ilvl w:val="1"/>
        <w:numId w:val="13"/>
      </w:numPr>
      <w:spacing w:line="276" w:lineRule="auto"/>
    </w:pPr>
    <w:rPr>
      <w:rFonts w:eastAsia="Times New Roman" w:cs="Times New Roman"/>
      <w:b/>
      <w:color w:val="E3CCF4" w:themeColor="accent1"/>
      <w:sz w:val="28"/>
      <w:szCs w:val="28"/>
      <w:lang w:eastAsia="en-AU"/>
    </w:rPr>
  </w:style>
  <w:style w:type="paragraph" w:customStyle="1" w:styleId="RPSNumberedBodyText">
    <w:name w:val="RPS Numbered Body Text"/>
    <w:basedOn w:val="RPSBodyText"/>
    <w:link w:val="RPSNumberedBodyTextChar"/>
    <w:rsid w:val="00653160"/>
    <w:pPr>
      <w:numPr>
        <w:ilvl w:val="2"/>
        <w:numId w:val="16"/>
      </w:numPr>
    </w:pPr>
  </w:style>
  <w:style w:type="paragraph" w:customStyle="1" w:styleId="RPSRomanBodyText">
    <w:name w:val="RPS Roman Body Text"/>
    <w:basedOn w:val="RPSBodyTextalpha"/>
    <w:autoRedefine/>
    <w:rsid w:val="00653160"/>
    <w:pPr>
      <w:numPr>
        <w:ilvl w:val="4"/>
      </w:numPr>
    </w:pPr>
  </w:style>
  <w:style w:type="paragraph" w:customStyle="1" w:styleId="RPSScheduleTextnumbChar">
    <w:name w:val="RPS Schedule Text numb Char"/>
    <w:basedOn w:val="Normal"/>
    <w:rsid w:val="00653160"/>
    <w:pPr>
      <w:spacing w:line="276" w:lineRule="auto"/>
    </w:pPr>
    <w:rPr>
      <w:rFonts w:ascii="Georgia" w:eastAsia="Times New Roman" w:hAnsi="Georgia" w:cs="Times New Roman"/>
      <w:color w:val="auto"/>
      <w:sz w:val="24"/>
      <w:szCs w:val="20"/>
      <w:lang w:eastAsia="en-AU"/>
    </w:rPr>
  </w:style>
  <w:style w:type="paragraph" w:customStyle="1" w:styleId="RPSScheduleTextnumb">
    <w:name w:val="RPS Schedule Text numb"/>
    <w:basedOn w:val="Normal"/>
    <w:rsid w:val="00653160"/>
    <w:pPr>
      <w:numPr>
        <w:ilvl w:val="2"/>
        <w:numId w:val="13"/>
      </w:numPr>
      <w:spacing w:line="276" w:lineRule="auto"/>
    </w:pPr>
    <w:rPr>
      <w:rFonts w:eastAsia="Times New Roman" w:cs="Times New Roman"/>
      <w:color w:val="auto"/>
      <w:szCs w:val="24"/>
      <w:lang w:eastAsia="en-AU"/>
    </w:rPr>
  </w:style>
  <w:style w:type="paragraph" w:customStyle="1" w:styleId="RPSScheduletextAlphaChar">
    <w:name w:val="RPS Schedule text Alpha Char"/>
    <w:basedOn w:val="Normal"/>
    <w:autoRedefine/>
    <w:rsid w:val="00653160"/>
    <w:pPr>
      <w:spacing w:before="120" w:line="276" w:lineRule="auto"/>
      <w:jc w:val="both"/>
    </w:pPr>
    <w:rPr>
      <w:rFonts w:ascii="Georgia" w:eastAsia="Times New Roman" w:hAnsi="Georgia" w:cs="Times New Roman"/>
      <w:color w:val="auto"/>
      <w:lang w:eastAsia="en-AU"/>
    </w:rPr>
  </w:style>
  <w:style w:type="paragraph" w:customStyle="1" w:styleId="SGBodyText">
    <w:name w:val="SG Body Text"/>
    <w:basedOn w:val="Normal"/>
    <w:rsid w:val="00653160"/>
    <w:pPr>
      <w:numPr>
        <w:ilvl w:val="4"/>
        <w:numId w:val="13"/>
      </w:numPr>
      <w:spacing w:line="276" w:lineRule="auto"/>
    </w:pPr>
    <w:rPr>
      <w:rFonts w:ascii="Georgia" w:eastAsia="Times New Roman" w:hAnsi="Georgia" w:cs="Times New Roman"/>
      <w:color w:val="auto"/>
      <w:sz w:val="24"/>
      <w:szCs w:val="20"/>
      <w:lang w:eastAsia="en-AU"/>
    </w:rPr>
  </w:style>
  <w:style w:type="paragraph" w:customStyle="1" w:styleId="RPSSchHeading2">
    <w:name w:val="RPS Sch Heading 2"/>
    <w:basedOn w:val="RPSScheduleTextnumbChar"/>
    <w:rsid w:val="00653160"/>
    <w:rPr>
      <w:b/>
      <w:smallCaps/>
      <w:sz w:val="28"/>
      <w:szCs w:val="28"/>
    </w:rPr>
  </w:style>
  <w:style w:type="paragraph" w:customStyle="1" w:styleId="RPSSchText">
    <w:name w:val="RPS Sch Text"/>
    <w:basedOn w:val="RPSSectionHeadingChar"/>
    <w:rsid w:val="00653160"/>
    <w:pPr>
      <w:jc w:val="both"/>
    </w:pPr>
    <w:rPr>
      <w:sz w:val="22"/>
      <w:szCs w:val="22"/>
    </w:rPr>
  </w:style>
  <w:style w:type="paragraph" w:customStyle="1" w:styleId="StyleRPSScheduletextAlphaJustifiedBefore6pt">
    <w:name w:val="Style RPS Schedule text Alpha + Justified Before:  6 pt"/>
    <w:basedOn w:val="RPSScheduletextAlphaChar"/>
    <w:autoRedefine/>
    <w:rsid w:val="00653160"/>
  </w:style>
  <w:style w:type="paragraph" w:customStyle="1" w:styleId="StyleStyleRPSScheduletextAlphaJustifiedBefore6pt11Char">
    <w:name w:val="Style Style RPS Schedule text Alpha + Justified Before:  6 pt + 11 ... Char"/>
    <w:basedOn w:val="StyleRPSScheduletextAlphaJustifiedBefore6pt"/>
    <w:rsid w:val="00653160"/>
  </w:style>
  <w:style w:type="character" w:customStyle="1" w:styleId="RPSScheduletextAlphaCharChar">
    <w:name w:val="RPS Schedule text Alpha Char Char"/>
    <w:rsid w:val="00653160"/>
    <w:rPr>
      <w:rFonts w:ascii="Georgia" w:hAnsi="Georgia"/>
      <w:sz w:val="22"/>
      <w:szCs w:val="22"/>
      <w:lang w:val="en-AU" w:eastAsia="en-AU" w:bidi="ar-SA"/>
    </w:rPr>
  </w:style>
  <w:style w:type="character" w:customStyle="1" w:styleId="StyleRPSScheduletextAlphaJustifiedBefore6ptChar">
    <w:name w:val="Style RPS Schedule text Alpha + Justified Before:  6 pt Char"/>
    <w:basedOn w:val="RPSScheduletextAlphaCharChar"/>
    <w:rsid w:val="00653160"/>
    <w:rPr>
      <w:rFonts w:ascii="Georgia" w:hAnsi="Georgia"/>
      <w:sz w:val="22"/>
      <w:szCs w:val="22"/>
      <w:lang w:val="en-AU" w:eastAsia="en-AU" w:bidi="ar-SA"/>
    </w:rPr>
  </w:style>
  <w:style w:type="character" w:customStyle="1" w:styleId="StyleStyleRPSScheduletextAlphaJustifiedBefore6pt11CharChar">
    <w:name w:val="Style Style RPS Schedule text Alpha + Justified Before:  6 pt + 11 ... Char Char"/>
    <w:basedOn w:val="StyleRPSScheduletextAlphaJustifiedBefore6ptChar"/>
    <w:rsid w:val="00653160"/>
    <w:rPr>
      <w:rFonts w:ascii="Georgia" w:hAnsi="Georgia"/>
      <w:sz w:val="22"/>
      <w:szCs w:val="22"/>
      <w:lang w:val="en-AU" w:eastAsia="en-AU" w:bidi="ar-SA"/>
    </w:rPr>
  </w:style>
  <w:style w:type="paragraph" w:customStyle="1" w:styleId="StyleStyleRPSScheduletextAlphaJustifiedBefore6pt111">
    <w:name w:val="Style Style RPS Schedule text Alpha + Justified Before:  6 pt + 11 ...1"/>
    <w:basedOn w:val="StyleRPSScheduletextAlphaJustifiedBefore6pt"/>
    <w:rsid w:val="00653160"/>
  </w:style>
  <w:style w:type="paragraph" w:customStyle="1" w:styleId="RPSAnnexHeading">
    <w:name w:val="RPS Annex Heading"/>
    <w:basedOn w:val="RPSSchedAnnexHeadingChar"/>
    <w:rsid w:val="00653160"/>
    <w:pPr>
      <w:keepNext/>
      <w:numPr>
        <w:numId w:val="6"/>
      </w:numPr>
      <w:tabs>
        <w:tab w:val="clear" w:pos="0"/>
      </w:tabs>
      <w:ind w:left="720" w:hanging="360"/>
      <w:outlineLvl w:val="0"/>
    </w:pPr>
    <w:rPr>
      <w:kern w:val="28"/>
      <w:lang w:eastAsia="en-US"/>
    </w:rPr>
  </w:style>
  <w:style w:type="paragraph" w:customStyle="1" w:styleId="RPSSchedAnnexTextCharCharChar">
    <w:name w:val="RPS Sched/Annex Text Char Char Char"/>
    <w:basedOn w:val="RPSPublications"/>
    <w:rsid w:val="00653160"/>
    <w:pPr>
      <w:jc w:val="both"/>
    </w:pPr>
    <w:rPr>
      <w:sz w:val="22"/>
      <w:lang w:eastAsia="en-US"/>
    </w:rPr>
  </w:style>
  <w:style w:type="paragraph" w:customStyle="1" w:styleId="SGSectionHeading">
    <w:name w:val="SG Section Heading"/>
    <w:basedOn w:val="RPSSectionHeading"/>
    <w:rsid w:val="00653160"/>
    <w:pPr>
      <w:numPr>
        <w:numId w:val="7"/>
      </w:numPr>
      <w:tabs>
        <w:tab w:val="clear" w:pos="851"/>
        <w:tab w:val="num" w:pos="692"/>
      </w:tabs>
      <w:ind w:left="692" w:hanging="332"/>
      <w:jc w:val="both"/>
    </w:pPr>
    <w:rPr>
      <w:lang w:eastAsia="en-US"/>
    </w:rPr>
  </w:style>
  <w:style w:type="paragraph" w:customStyle="1" w:styleId="SGHeading2">
    <w:name w:val="SG Heading 2"/>
    <w:basedOn w:val="RPSSectionHeading2Char"/>
    <w:next w:val="RPSSectionHeading2Char"/>
    <w:rsid w:val="00653160"/>
    <w:pPr>
      <w:numPr>
        <w:numId w:val="17"/>
      </w:numPr>
      <w:jc w:val="both"/>
    </w:pPr>
    <w:rPr>
      <w:lang w:eastAsia="en-US"/>
    </w:rPr>
  </w:style>
  <w:style w:type="paragraph" w:customStyle="1" w:styleId="RPSBodyTextAlpha0">
    <w:name w:val="RPS Body Text Alpha"/>
    <w:basedOn w:val="RPSBodyText"/>
    <w:rsid w:val="00653160"/>
    <w:pPr>
      <w:numPr>
        <w:ilvl w:val="2"/>
        <w:numId w:val="7"/>
      </w:numPr>
      <w:tabs>
        <w:tab w:val="clear" w:pos="680"/>
        <w:tab w:val="num" w:pos="2160"/>
      </w:tabs>
      <w:spacing w:before="120"/>
      <w:ind w:left="2160" w:hanging="296"/>
    </w:pPr>
    <w:rPr>
      <w:lang w:eastAsia="en-US"/>
    </w:rPr>
  </w:style>
  <w:style w:type="paragraph" w:customStyle="1" w:styleId="RPSBodyTextRoman">
    <w:name w:val="RPS Body Text Roman"/>
    <w:basedOn w:val="RPSBodyText"/>
    <w:rsid w:val="00653160"/>
    <w:pPr>
      <w:numPr>
        <w:ilvl w:val="4"/>
        <w:numId w:val="17"/>
      </w:numPr>
      <w:tabs>
        <w:tab w:val="clear" w:pos="2520"/>
        <w:tab w:val="num" w:pos="0"/>
      </w:tabs>
      <w:spacing w:before="120"/>
      <w:ind w:left="1871" w:hanging="510"/>
    </w:pPr>
    <w:rPr>
      <w:lang w:eastAsia="en-US"/>
    </w:rPr>
  </w:style>
  <w:style w:type="character" w:customStyle="1" w:styleId="RPSSchedAnnexTextCharCharCharChar">
    <w:name w:val="RPS Sched/Annex Text Char Char Char Char"/>
    <w:rsid w:val="00653160"/>
    <w:rPr>
      <w:rFonts w:ascii="Georgia" w:hAnsi="Georgia"/>
      <w:sz w:val="22"/>
      <w:lang w:val="en-AU" w:eastAsia="en-US" w:bidi="ar-SA"/>
    </w:rPr>
  </w:style>
  <w:style w:type="paragraph" w:customStyle="1" w:styleId="RPSAnnexHeading2">
    <w:name w:val="RPS Annex Heading2"/>
    <w:basedOn w:val="RPSSectionHeading2Char"/>
    <w:rsid w:val="00653160"/>
    <w:pPr>
      <w:tabs>
        <w:tab w:val="clear" w:pos="851"/>
      </w:tabs>
      <w:ind w:left="1440" w:hanging="360"/>
      <w:jc w:val="both"/>
    </w:pPr>
    <w:rPr>
      <w:lang w:eastAsia="en-US"/>
    </w:rPr>
  </w:style>
  <w:style w:type="paragraph" w:styleId="BodyText2">
    <w:name w:val="Body Text 2"/>
    <w:basedOn w:val="Normal"/>
    <w:link w:val="BodyText2Char"/>
    <w:rsid w:val="00653160"/>
    <w:pPr>
      <w:spacing w:after="120" w:line="480" w:lineRule="auto"/>
    </w:pPr>
    <w:rPr>
      <w:rFonts w:ascii="Georgia" w:eastAsia="Times New Roman" w:hAnsi="Georgia" w:cs="Times New Roman"/>
      <w:color w:val="auto"/>
      <w:sz w:val="24"/>
      <w:szCs w:val="20"/>
      <w:lang w:eastAsia="en-AU"/>
    </w:rPr>
  </w:style>
  <w:style w:type="character" w:customStyle="1" w:styleId="BodyText2Char">
    <w:name w:val="Body Text 2 Char"/>
    <w:basedOn w:val="DefaultParagraphFont"/>
    <w:link w:val="BodyText2"/>
    <w:rsid w:val="00653160"/>
    <w:rPr>
      <w:rFonts w:ascii="Georgia" w:eastAsia="Times New Roman" w:hAnsi="Georgia" w:cs="Times New Roman"/>
      <w:color w:val="auto"/>
      <w:sz w:val="24"/>
      <w:szCs w:val="20"/>
      <w:lang w:eastAsia="en-AU"/>
    </w:rPr>
  </w:style>
  <w:style w:type="paragraph" w:customStyle="1" w:styleId="StyleRPSScheduletextAlphaBefore6pt">
    <w:name w:val="Style RPS Schedule text Alpha + Before:  6 pt"/>
    <w:basedOn w:val="RPSScheduletextAlphaChar"/>
    <w:autoRedefine/>
    <w:rsid w:val="00653160"/>
  </w:style>
  <w:style w:type="character" w:customStyle="1" w:styleId="RPSSectionHeading2CharChar">
    <w:name w:val="RPS Section Heading 2 Char Char"/>
    <w:rsid w:val="00653160"/>
    <w:rPr>
      <w:rFonts w:ascii="Georgia" w:hAnsi="Georgia"/>
      <w:b/>
      <w:smallCaps/>
      <w:sz w:val="28"/>
      <w:lang w:val="en-AU" w:eastAsia="en-AU" w:bidi="ar-SA"/>
    </w:rPr>
  </w:style>
  <w:style w:type="paragraph" w:styleId="CommentSubject">
    <w:name w:val="annotation subject"/>
    <w:basedOn w:val="CommentText"/>
    <w:next w:val="CommentText"/>
    <w:link w:val="CommentSubjectChar"/>
    <w:semiHidden/>
    <w:rsid w:val="00653160"/>
    <w:rPr>
      <w:b/>
      <w:bCs/>
    </w:rPr>
  </w:style>
  <w:style w:type="character" w:customStyle="1" w:styleId="CommentSubjectChar">
    <w:name w:val="Comment Subject Char"/>
    <w:basedOn w:val="CommentTextChar"/>
    <w:link w:val="CommentSubject"/>
    <w:semiHidden/>
    <w:rsid w:val="00653160"/>
    <w:rPr>
      <w:rFonts w:ascii="Georgia" w:eastAsia="Times New Roman" w:hAnsi="Georgia" w:cs="Times New Roman"/>
      <w:b/>
      <w:bCs/>
      <w:color w:val="auto"/>
      <w:sz w:val="20"/>
      <w:szCs w:val="20"/>
      <w:lang w:eastAsia="en-AU"/>
    </w:rPr>
  </w:style>
  <w:style w:type="paragraph" w:customStyle="1" w:styleId="RPSAppendixText">
    <w:name w:val="RPS Appendix Text"/>
    <w:basedOn w:val="RPSPublications"/>
    <w:rsid w:val="00653160"/>
    <w:pPr>
      <w:jc w:val="both"/>
    </w:pPr>
    <w:rPr>
      <w:sz w:val="22"/>
      <w:lang w:eastAsia="en-US"/>
    </w:rPr>
  </w:style>
  <w:style w:type="paragraph" w:customStyle="1" w:styleId="StyleRPSAppendixText">
    <w:name w:val="Style RPS Appendix Text"/>
    <w:basedOn w:val="RPSAppendixText"/>
    <w:rsid w:val="00653160"/>
    <w:pPr>
      <w:spacing w:after="240"/>
    </w:pPr>
  </w:style>
  <w:style w:type="paragraph" w:customStyle="1" w:styleId="RPSSectionHeading2">
    <w:name w:val="RPS Section Heading 2"/>
    <w:basedOn w:val="RPSSectionHeading2Char"/>
    <w:rsid w:val="00653160"/>
    <w:pPr>
      <w:tabs>
        <w:tab w:val="left" w:pos="0"/>
      </w:tabs>
    </w:pPr>
    <w:rPr>
      <w:rFonts w:asciiTheme="minorHAnsi" w:hAnsiTheme="minorHAnsi"/>
      <w:smallCaps w:val="0"/>
      <w:color w:val="E3CCF4" w:themeColor="accent1"/>
    </w:rPr>
  </w:style>
  <w:style w:type="paragraph" w:customStyle="1" w:styleId="RPSSchedannextext0">
    <w:name w:val="RPS Sched/annex text"/>
    <w:basedOn w:val="RPSSchedAnnexText"/>
    <w:rsid w:val="00653160"/>
    <w:pPr>
      <w:numPr>
        <w:ilvl w:val="0"/>
        <w:numId w:val="8"/>
      </w:numPr>
      <w:tabs>
        <w:tab w:val="clear" w:pos="360"/>
        <w:tab w:val="num" w:pos="692"/>
      </w:tabs>
      <w:ind w:left="692" w:hanging="332"/>
    </w:pPr>
    <w:rPr>
      <w:lang w:eastAsia="en-US"/>
    </w:rPr>
  </w:style>
  <w:style w:type="paragraph" w:customStyle="1" w:styleId="StyleRPSBodyTextNumbered">
    <w:name w:val="Style RPS Body Text Numbered"/>
    <w:basedOn w:val="RPSBodyTextNumbered"/>
    <w:link w:val="StyleRPSBodyTextNumberedChar"/>
    <w:rsid w:val="00653160"/>
    <w:pPr>
      <w:numPr>
        <w:ilvl w:val="0"/>
        <w:numId w:val="0"/>
      </w:numPr>
      <w:spacing w:before="120"/>
      <w:jc w:val="both"/>
    </w:pPr>
    <w:rPr>
      <w:iCs/>
      <w:snapToGrid w:val="0"/>
    </w:rPr>
  </w:style>
  <w:style w:type="paragraph" w:customStyle="1" w:styleId="StyleRPSBodyTextJustified">
    <w:name w:val="Style RPS Body Text + Justified"/>
    <w:basedOn w:val="Normal"/>
    <w:semiHidden/>
    <w:rsid w:val="00653160"/>
    <w:pPr>
      <w:numPr>
        <w:numId w:val="9"/>
      </w:numPr>
      <w:spacing w:after="240" w:line="276" w:lineRule="auto"/>
      <w:jc w:val="both"/>
    </w:pPr>
    <w:rPr>
      <w:rFonts w:ascii="Georgia" w:eastAsia="Times New Roman" w:hAnsi="Georgia" w:cs="Times New Roman"/>
      <w:snapToGrid w:val="0"/>
      <w:color w:val="auto"/>
      <w:sz w:val="24"/>
      <w:szCs w:val="20"/>
    </w:rPr>
  </w:style>
  <w:style w:type="paragraph" w:customStyle="1" w:styleId="RPSBodyTextChar">
    <w:name w:val="RPS Body Text Char"/>
    <w:basedOn w:val="RPSPublications"/>
    <w:next w:val="BodyText"/>
    <w:rsid w:val="00653160"/>
    <w:pPr>
      <w:spacing w:after="240"/>
      <w:ind w:left="709"/>
      <w:jc w:val="both"/>
    </w:pPr>
    <w:rPr>
      <w:snapToGrid w:val="0"/>
      <w:lang w:eastAsia="en-US"/>
    </w:rPr>
  </w:style>
  <w:style w:type="paragraph" w:customStyle="1" w:styleId="StyleRPSBodyTextCharLeft0cm">
    <w:name w:val="Style RPS Body Text Char + Left:  0 cm"/>
    <w:basedOn w:val="RPSBodyTextChar"/>
    <w:rsid w:val="00653160"/>
    <w:pPr>
      <w:ind w:left="0"/>
    </w:pPr>
  </w:style>
  <w:style w:type="paragraph" w:styleId="DocumentMap">
    <w:name w:val="Document Map"/>
    <w:basedOn w:val="Normal"/>
    <w:link w:val="DocumentMapChar"/>
    <w:semiHidden/>
    <w:rsid w:val="00653160"/>
    <w:pPr>
      <w:shd w:val="clear" w:color="auto" w:fill="000080"/>
      <w:spacing w:line="276" w:lineRule="auto"/>
    </w:pPr>
    <w:rPr>
      <w:rFonts w:ascii="Tahoma" w:eastAsia="Times New Roman" w:hAnsi="Tahoma" w:cs="Tahoma"/>
      <w:color w:val="auto"/>
      <w:sz w:val="24"/>
      <w:szCs w:val="20"/>
      <w:lang w:eastAsia="en-AU"/>
    </w:rPr>
  </w:style>
  <w:style w:type="character" w:customStyle="1" w:styleId="DocumentMapChar">
    <w:name w:val="Document Map Char"/>
    <w:basedOn w:val="DefaultParagraphFont"/>
    <w:link w:val="DocumentMap"/>
    <w:semiHidden/>
    <w:rsid w:val="00653160"/>
    <w:rPr>
      <w:rFonts w:ascii="Tahoma" w:eastAsia="Times New Roman" w:hAnsi="Tahoma" w:cs="Tahoma"/>
      <w:color w:val="auto"/>
      <w:sz w:val="24"/>
      <w:szCs w:val="20"/>
      <w:shd w:val="clear" w:color="auto" w:fill="000080"/>
      <w:lang w:eastAsia="en-AU"/>
    </w:rPr>
  </w:style>
  <w:style w:type="paragraph" w:customStyle="1" w:styleId="RPSScheduletextAlpha">
    <w:name w:val="RPS Schedule text Alpha"/>
    <w:basedOn w:val="Normal"/>
    <w:rsid w:val="00653160"/>
    <w:pPr>
      <w:numPr>
        <w:ilvl w:val="3"/>
        <w:numId w:val="13"/>
      </w:numPr>
      <w:spacing w:before="120" w:line="276" w:lineRule="auto"/>
      <w:jc w:val="both"/>
    </w:pPr>
    <w:rPr>
      <w:rFonts w:ascii="Georgia" w:eastAsia="Times New Roman" w:hAnsi="Georgia" w:cs="Times New Roman"/>
      <w:color w:val="auto"/>
      <w:szCs w:val="20"/>
    </w:rPr>
  </w:style>
  <w:style w:type="paragraph" w:customStyle="1" w:styleId="RPSScheduleTextRoman">
    <w:name w:val="RPS Schedule Text Roman"/>
    <w:basedOn w:val="Normal"/>
    <w:rsid w:val="00653160"/>
    <w:pPr>
      <w:spacing w:before="120" w:line="276" w:lineRule="auto"/>
    </w:pPr>
    <w:rPr>
      <w:rFonts w:ascii="Georgia" w:eastAsia="Times New Roman" w:hAnsi="Georgia" w:cs="Times New Roman"/>
      <w:color w:val="auto"/>
    </w:rPr>
  </w:style>
  <w:style w:type="paragraph" w:customStyle="1" w:styleId="StyleRPSSchedAnnexHeading">
    <w:name w:val="Style RPS Sched/Annex Heading"/>
    <w:basedOn w:val="Normal"/>
    <w:rsid w:val="00653160"/>
    <w:pPr>
      <w:numPr>
        <w:numId w:val="13"/>
      </w:numPr>
      <w:pBdr>
        <w:bottom w:val="single" w:sz="4" w:space="4" w:color="E3CCF4" w:themeColor="accent1"/>
      </w:pBdr>
      <w:spacing w:line="276" w:lineRule="auto"/>
    </w:pPr>
    <w:rPr>
      <w:rFonts w:ascii="Calibri" w:eastAsia="Times New Roman" w:hAnsi="Calibri" w:cs="Times New Roman"/>
      <w:b/>
      <w:caps/>
      <w:color w:val="E3CCF4" w:themeColor="accent1"/>
      <w:sz w:val="28"/>
      <w:szCs w:val="20"/>
    </w:rPr>
  </w:style>
  <w:style w:type="paragraph" w:styleId="NormalWeb">
    <w:name w:val="Normal (Web)"/>
    <w:basedOn w:val="Normal"/>
    <w:uiPriority w:val="99"/>
    <w:semiHidden/>
    <w:unhideWhenUsed/>
    <w:rsid w:val="00653160"/>
    <w:pPr>
      <w:spacing w:before="100" w:beforeAutospacing="1" w:after="100" w:afterAutospacing="1" w:line="276" w:lineRule="auto"/>
    </w:pPr>
    <w:rPr>
      <w:rFonts w:ascii="Times New Roman" w:eastAsia="Times New Roman" w:hAnsi="Times New Roman" w:cs="Times New Roman"/>
      <w:color w:val="auto"/>
      <w:sz w:val="24"/>
      <w:szCs w:val="24"/>
      <w:lang w:eastAsia="en-AU"/>
    </w:rPr>
  </w:style>
  <w:style w:type="paragraph" w:customStyle="1" w:styleId="RPSSectionSub-heading">
    <w:name w:val="RPS Section Sub-heading"/>
    <w:basedOn w:val="Normal"/>
    <w:next w:val="Normal"/>
    <w:semiHidden/>
    <w:rsid w:val="00653160"/>
    <w:pPr>
      <w:spacing w:line="276" w:lineRule="auto"/>
      <w:jc w:val="both"/>
    </w:pPr>
    <w:rPr>
      <w:rFonts w:ascii="Georgia" w:eastAsia="Times New Roman" w:hAnsi="Georgia" w:cs="Times New Roman"/>
      <w:b/>
      <w:i/>
      <w:color w:val="auto"/>
      <w:sz w:val="24"/>
      <w:szCs w:val="20"/>
    </w:rPr>
  </w:style>
  <w:style w:type="paragraph" w:customStyle="1" w:styleId="RPSSchedAnnexTextCharChar">
    <w:name w:val="RPS Sched/Annex Text Char Char"/>
    <w:basedOn w:val="RPSPublications"/>
    <w:rsid w:val="00653160"/>
    <w:pPr>
      <w:jc w:val="both"/>
    </w:pPr>
    <w:rPr>
      <w:sz w:val="22"/>
      <w:lang w:eastAsia="en-US"/>
    </w:rPr>
  </w:style>
  <w:style w:type="paragraph" w:customStyle="1" w:styleId="RPSSchedAnnexHeading20">
    <w:name w:val="RPS Sched/Annex Heading 2"/>
    <w:basedOn w:val="Normal"/>
    <w:rsid w:val="00653160"/>
    <w:pPr>
      <w:keepNext/>
      <w:tabs>
        <w:tab w:val="num" w:pos="851"/>
      </w:tabs>
      <w:spacing w:line="276" w:lineRule="auto"/>
      <w:ind w:left="851" w:hanging="851"/>
      <w:jc w:val="both"/>
      <w:outlineLvl w:val="0"/>
    </w:pPr>
    <w:rPr>
      <w:rFonts w:ascii="Georgia" w:eastAsia="Times New Roman" w:hAnsi="Georgia" w:cs="Times New Roman"/>
      <w:b/>
      <w:bCs/>
      <w:smallCaps/>
      <w:color w:val="auto"/>
      <w:kern w:val="28"/>
      <w:sz w:val="28"/>
      <w:szCs w:val="20"/>
    </w:rPr>
  </w:style>
  <w:style w:type="paragraph" w:customStyle="1" w:styleId="SGRPSSectionHeading2">
    <w:name w:val="SG RPS Section Heading 2"/>
    <w:basedOn w:val="Normal"/>
    <w:next w:val="Heading2"/>
    <w:rsid w:val="00653160"/>
    <w:pPr>
      <w:tabs>
        <w:tab w:val="num" w:pos="680"/>
      </w:tabs>
      <w:spacing w:line="276" w:lineRule="auto"/>
      <w:ind w:left="680" w:hanging="680"/>
      <w:jc w:val="both"/>
    </w:pPr>
    <w:rPr>
      <w:rFonts w:ascii="Georgia" w:eastAsia="Times New Roman" w:hAnsi="Georgia" w:cs="Times New Roman"/>
      <w:b/>
      <w:smallCaps/>
      <w:color w:val="auto"/>
      <w:sz w:val="28"/>
      <w:szCs w:val="28"/>
    </w:rPr>
  </w:style>
  <w:style w:type="paragraph" w:customStyle="1" w:styleId="RPSBodyTextdotpoint">
    <w:name w:val="RPS Body Text dot point"/>
    <w:basedOn w:val="Normal"/>
    <w:link w:val="RPSBodyTextdotpointChar"/>
    <w:rsid w:val="00653160"/>
    <w:pPr>
      <w:numPr>
        <w:numId w:val="10"/>
      </w:numPr>
      <w:spacing w:before="120" w:line="276" w:lineRule="auto"/>
      <w:jc w:val="both"/>
    </w:pPr>
    <w:rPr>
      <w:rFonts w:ascii="Georgia" w:eastAsia="Times New Roman" w:hAnsi="Georgia" w:cs="Times New Roman"/>
      <w:color w:val="auto"/>
      <w:sz w:val="24"/>
      <w:szCs w:val="20"/>
    </w:rPr>
  </w:style>
  <w:style w:type="character" w:customStyle="1" w:styleId="RPSBodyTextdotpointChar">
    <w:name w:val="RPS Body Text dot point Char"/>
    <w:link w:val="RPSBodyTextdotpoint"/>
    <w:rsid w:val="00653160"/>
    <w:rPr>
      <w:rFonts w:ascii="Georgia" w:eastAsia="Times New Roman" w:hAnsi="Georgia" w:cs="Times New Roman"/>
      <w:color w:val="auto"/>
      <w:sz w:val="24"/>
      <w:szCs w:val="20"/>
    </w:rPr>
  </w:style>
  <w:style w:type="character" w:styleId="Emphasis">
    <w:name w:val="Emphasis"/>
    <w:uiPriority w:val="20"/>
    <w:qFormat/>
    <w:rsid w:val="00653160"/>
    <w:rPr>
      <w:i/>
      <w:iCs/>
    </w:rPr>
  </w:style>
  <w:style w:type="paragraph" w:customStyle="1" w:styleId="SGRPSSectionHeading">
    <w:name w:val="SG RPS Section Heading"/>
    <w:basedOn w:val="Normal"/>
    <w:rsid w:val="00653160"/>
    <w:pPr>
      <w:numPr>
        <w:numId w:val="17"/>
      </w:numPr>
      <w:spacing w:line="276" w:lineRule="auto"/>
      <w:jc w:val="both"/>
    </w:pPr>
    <w:rPr>
      <w:rFonts w:ascii="Georgia" w:eastAsia="Times New Roman" w:hAnsi="Georgia" w:cs="Times New Roman"/>
      <w:b/>
      <w:color w:val="auto"/>
      <w:sz w:val="36"/>
      <w:szCs w:val="36"/>
    </w:rPr>
  </w:style>
  <w:style w:type="paragraph" w:customStyle="1" w:styleId="SGRPSBodyTextalpha">
    <w:name w:val="SG RPS Body Text alpha"/>
    <w:basedOn w:val="Normal"/>
    <w:rsid w:val="00653160"/>
    <w:pPr>
      <w:tabs>
        <w:tab w:val="num" w:pos="737"/>
      </w:tabs>
      <w:spacing w:before="120" w:line="276" w:lineRule="auto"/>
      <w:ind w:left="737" w:hanging="737"/>
      <w:jc w:val="both"/>
    </w:pPr>
    <w:rPr>
      <w:rFonts w:ascii="Georgia" w:eastAsia="Times New Roman" w:hAnsi="Georgia" w:cs="Times New Roman"/>
      <w:snapToGrid w:val="0"/>
      <w:color w:val="auto"/>
      <w:sz w:val="24"/>
      <w:szCs w:val="24"/>
    </w:rPr>
  </w:style>
  <w:style w:type="paragraph" w:customStyle="1" w:styleId="CoPRPSSectionHeading">
    <w:name w:val="CoP RPS Section Heading"/>
    <w:basedOn w:val="RPSSectionHeading"/>
    <w:rsid w:val="00653160"/>
    <w:pPr>
      <w:numPr>
        <w:numId w:val="11"/>
      </w:numPr>
      <w:tabs>
        <w:tab w:val="clear" w:pos="1872"/>
      </w:tabs>
      <w:ind w:left="397" w:hanging="397"/>
    </w:pPr>
    <w:rPr>
      <w:szCs w:val="36"/>
      <w:lang w:eastAsia="en-US"/>
    </w:rPr>
  </w:style>
  <w:style w:type="paragraph" w:customStyle="1" w:styleId="CoPRPSBodyTextnumeric">
    <w:name w:val="CoP RPS Body Text numeric"/>
    <w:basedOn w:val="RPSBodyText"/>
    <w:rsid w:val="00653160"/>
    <w:pPr>
      <w:numPr>
        <w:ilvl w:val="2"/>
        <w:numId w:val="11"/>
      </w:numPr>
      <w:tabs>
        <w:tab w:val="clear" w:pos="1872"/>
      </w:tabs>
      <w:ind w:left="2313" w:hanging="360"/>
    </w:pPr>
    <w:rPr>
      <w:snapToGrid w:val="0"/>
      <w:szCs w:val="24"/>
      <w:lang w:eastAsia="en-US"/>
    </w:rPr>
  </w:style>
  <w:style w:type="paragraph" w:customStyle="1" w:styleId="CoPRPSSectionHeading2">
    <w:name w:val="CoP RPS Section Heading 2"/>
    <w:basedOn w:val="Normal"/>
    <w:autoRedefine/>
    <w:rsid w:val="00653160"/>
    <w:pPr>
      <w:numPr>
        <w:ilvl w:val="1"/>
        <w:numId w:val="11"/>
      </w:numPr>
      <w:spacing w:line="276" w:lineRule="auto"/>
      <w:jc w:val="both"/>
    </w:pPr>
    <w:rPr>
      <w:rFonts w:ascii="Georgia" w:eastAsia="Times New Roman" w:hAnsi="Georgia" w:cs="Times New Roman"/>
      <w:b/>
      <w:smallCaps/>
      <w:color w:val="auto"/>
      <w:sz w:val="28"/>
      <w:szCs w:val="28"/>
    </w:rPr>
  </w:style>
  <w:style w:type="paragraph" w:customStyle="1" w:styleId="CoPRPSBodyTextalpha">
    <w:name w:val="CoP RPS Body Text alpha"/>
    <w:basedOn w:val="CoPRPSBodyTextnumeric"/>
    <w:rsid w:val="00653160"/>
    <w:pPr>
      <w:numPr>
        <w:ilvl w:val="3"/>
      </w:numPr>
      <w:tabs>
        <w:tab w:val="clear" w:pos="2382"/>
      </w:tabs>
      <w:spacing w:before="120"/>
      <w:ind w:left="3033" w:hanging="360"/>
    </w:pPr>
  </w:style>
  <w:style w:type="paragraph" w:customStyle="1" w:styleId="StyleCoPRPSBodyTextnumericAfter6pt">
    <w:name w:val="Style CoP RPS Body Text numeric + After:  6 pt"/>
    <w:basedOn w:val="CoPRPSBodyTextnumeric"/>
    <w:rsid w:val="00653160"/>
    <w:rPr>
      <w:szCs w:val="20"/>
    </w:rPr>
  </w:style>
  <w:style w:type="paragraph" w:customStyle="1" w:styleId="RPSAnnextextalpha">
    <w:name w:val="RPS Annex text alpha"/>
    <w:basedOn w:val="RPSBodyText"/>
    <w:rsid w:val="00653160"/>
    <w:pPr>
      <w:tabs>
        <w:tab w:val="num" w:pos="794"/>
      </w:tabs>
      <w:spacing w:before="120"/>
      <w:ind w:left="794" w:hanging="794"/>
    </w:pPr>
    <w:rPr>
      <w:sz w:val="22"/>
      <w:lang w:eastAsia="en-US"/>
    </w:rPr>
  </w:style>
  <w:style w:type="paragraph" w:customStyle="1" w:styleId="RPSannextextroman0">
    <w:name w:val="RPS annex text roman"/>
    <w:basedOn w:val="RPSAnnextextalpha"/>
    <w:rsid w:val="00653160"/>
    <w:pPr>
      <w:tabs>
        <w:tab w:val="clear" w:pos="794"/>
        <w:tab w:val="num" w:pos="1361"/>
      </w:tabs>
      <w:ind w:left="1361" w:hanging="510"/>
    </w:pPr>
  </w:style>
  <w:style w:type="paragraph" w:customStyle="1" w:styleId="Heading3list">
    <w:name w:val="Heading3list"/>
    <w:basedOn w:val="Normal"/>
    <w:uiPriority w:val="99"/>
    <w:qFormat/>
    <w:rsid w:val="00653160"/>
    <w:pPr>
      <w:numPr>
        <w:ilvl w:val="6"/>
        <w:numId w:val="14"/>
      </w:numPr>
      <w:spacing w:after="200" w:line="276" w:lineRule="auto"/>
    </w:pPr>
    <w:rPr>
      <w:rFonts w:ascii="Cambria" w:eastAsia="Calibri" w:hAnsi="Cambria" w:cs="Times New Roman"/>
      <w:b/>
      <w:color w:val="548DD4"/>
      <w:sz w:val="24"/>
      <w:szCs w:val="24"/>
    </w:rPr>
  </w:style>
  <w:style w:type="paragraph" w:customStyle="1" w:styleId="AnnexHeading1">
    <w:name w:val="AnnexHeading1"/>
    <w:basedOn w:val="Normal"/>
    <w:qFormat/>
    <w:rsid w:val="00653160"/>
    <w:pPr>
      <w:numPr>
        <w:numId w:val="14"/>
      </w:numPr>
      <w:tabs>
        <w:tab w:val="left" w:pos="709"/>
      </w:tabs>
      <w:spacing w:after="240" w:line="276" w:lineRule="auto"/>
      <w:jc w:val="both"/>
    </w:pPr>
    <w:rPr>
      <w:rFonts w:ascii="Calibri" w:eastAsia="Calibri" w:hAnsi="Calibri" w:cs="Times New Roman"/>
      <w:b/>
      <w:color w:val="1F497D"/>
      <w:sz w:val="36"/>
      <w:szCs w:val="28"/>
    </w:rPr>
  </w:style>
  <w:style w:type="paragraph" w:customStyle="1" w:styleId="AnnexHeading2">
    <w:name w:val="AnnexHeading2"/>
    <w:basedOn w:val="Normal"/>
    <w:qFormat/>
    <w:rsid w:val="00653160"/>
    <w:pPr>
      <w:keepNext/>
      <w:numPr>
        <w:ilvl w:val="1"/>
        <w:numId w:val="14"/>
      </w:numPr>
      <w:spacing w:before="120" w:after="240" w:line="276" w:lineRule="auto"/>
      <w:jc w:val="both"/>
    </w:pPr>
    <w:rPr>
      <w:rFonts w:ascii="Calibri" w:eastAsia="Calibri" w:hAnsi="Calibri" w:cs="Times New Roman"/>
      <w:b/>
      <w:color w:val="1F497D"/>
      <w:sz w:val="28"/>
      <w:szCs w:val="24"/>
    </w:rPr>
  </w:style>
  <w:style w:type="paragraph" w:customStyle="1" w:styleId="AnnexHeading3">
    <w:name w:val="AnnexHeading3"/>
    <w:basedOn w:val="Normal"/>
    <w:qFormat/>
    <w:rsid w:val="00653160"/>
    <w:pPr>
      <w:keepNext/>
      <w:numPr>
        <w:ilvl w:val="2"/>
        <w:numId w:val="14"/>
      </w:numPr>
      <w:spacing w:before="120" w:after="120" w:line="360" w:lineRule="auto"/>
      <w:jc w:val="both"/>
    </w:pPr>
    <w:rPr>
      <w:rFonts w:ascii="Calibri" w:eastAsia="Calibri" w:hAnsi="Calibri" w:cs="Times New Roman"/>
      <w:b/>
      <w:color w:val="1F497D"/>
      <w:sz w:val="24"/>
    </w:rPr>
  </w:style>
  <w:style w:type="paragraph" w:customStyle="1" w:styleId="SP3274463">
    <w:name w:val="SP.3.274463"/>
    <w:basedOn w:val="Normal"/>
    <w:next w:val="Normal"/>
    <w:uiPriority w:val="99"/>
    <w:rsid w:val="00653160"/>
    <w:pPr>
      <w:autoSpaceDE w:val="0"/>
      <w:autoSpaceDN w:val="0"/>
      <w:adjustRightInd w:val="0"/>
      <w:spacing w:line="276" w:lineRule="auto"/>
    </w:pPr>
    <w:rPr>
      <w:rFonts w:ascii="Times Ten" w:eastAsia="Calibri" w:hAnsi="Times Ten" w:cs="Times New Roman"/>
      <w:color w:val="auto"/>
      <w:sz w:val="24"/>
      <w:szCs w:val="24"/>
      <w:lang w:eastAsia="en-AU"/>
    </w:rPr>
  </w:style>
  <w:style w:type="paragraph" w:customStyle="1" w:styleId="StyleRPSContentsHeading18pt">
    <w:name w:val="Style RPS Contents Heading + 18 pt"/>
    <w:basedOn w:val="RPSContentsHeading"/>
    <w:rsid w:val="00653160"/>
    <w:rPr>
      <w:bCs/>
      <w:sz w:val="36"/>
    </w:rPr>
  </w:style>
  <w:style w:type="paragraph" w:customStyle="1" w:styleId="SGScheduleAnnexHead">
    <w:name w:val="SG Schedule/Annex Head"/>
    <w:basedOn w:val="RPSSchedAnnexHeadingChar"/>
    <w:qFormat/>
    <w:rsid w:val="00653160"/>
    <w:pPr>
      <w:numPr>
        <w:numId w:val="12"/>
      </w:numPr>
      <w:tabs>
        <w:tab w:val="clear" w:pos="0"/>
        <w:tab w:val="num" w:pos="397"/>
      </w:tabs>
      <w:ind w:left="397" w:hanging="397"/>
    </w:pPr>
    <w:rPr>
      <w:szCs w:val="36"/>
    </w:rPr>
  </w:style>
  <w:style w:type="paragraph" w:customStyle="1" w:styleId="StyleSGScheduleAnnexHead16pt">
    <w:name w:val="Style SG Schedule/Annex Head + 16 pt"/>
    <w:basedOn w:val="SGScheduleAnnexHead"/>
    <w:rsid w:val="00653160"/>
    <w:rPr>
      <w:bCs/>
      <w:sz w:val="28"/>
    </w:rPr>
  </w:style>
  <w:style w:type="paragraph" w:customStyle="1" w:styleId="References">
    <w:name w:val="References"/>
    <w:basedOn w:val="RPSSchedAnnexHeadingChar"/>
    <w:qFormat/>
    <w:rsid w:val="00653160"/>
  </w:style>
  <w:style w:type="paragraph" w:customStyle="1" w:styleId="Default">
    <w:name w:val="Default"/>
    <w:rsid w:val="00653160"/>
    <w:pPr>
      <w:autoSpaceDE w:val="0"/>
      <w:autoSpaceDN w:val="0"/>
      <w:adjustRightInd w:val="0"/>
      <w:spacing w:line="276" w:lineRule="auto"/>
    </w:pPr>
    <w:rPr>
      <w:rFonts w:ascii="Calibri" w:eastAsia="Times New Roman" w:hAnsi="Calibri" w:cs="Calibri"/>
      <w:color w:val="000000"/>
      <w:sz w:val="24"/>
      <w:szCs w:val="24"/>
      <w:lang w:eastAsia="en-AU"/>
    </w:rPr>
  </w:style>
  <w:style w:type="paragraph" w:styleId="NoSpacing">
    <w:name w:val="No Spacing"/>
    <w:link w:val="NoSpacingChar"/>
    <w:uiPriority w:val="1"/>
    <w:qFormat/>
    <w:rsid w:val="00653160"/>
    <w:pPr>
      <w:spacing w:line="276" w:lineRule="auto"/>
    </w:pPr>
    <w:rPr>
      <w:rFonts w:eastAsiaTheme="minorEastAsia"/>
      <w:color w:val="auto"/>
      <w:lang w:val="en-US"/>
    </w:rPr>
  </w:style>
  <w:style w:type="character" w:customStyle="1" w:styleId="NoSpacingChar">
    <w:name w:val="No Spacing Char"/>
    <w:basedOn w:val="DefaultParagraphFont"/>
    <w:link w:val="NoSpacing"/>
    <w:uiPriority w:val="1"/>
    <w:rsid w:val="00653160"/>
    <w:rPr>
      <w:rFonts w:eastAsiaTheme="minorEastAsia"/>
      <w:color w:val="auto"/>
      <w:lang w:val="en-US"/>
    </w:rPr>
  </w:style>
  <w:style w:type="paragraph" w:styleId="ListNumber">
    <w:name w:val="List Number"/>
    <w:basedOn w:val="Normal"/>
    <w:uiPriority w:val="99"/>
    <w:semiHidden/>
    <w:unhideWhenUsed/>
    <w:rsid w:val="00653160"/>
    <w:pPr>
      <w:numPr>
        <w:numId w:val="18"/>
      </w:numPr>
      <w:spacing w:line="276" w:lineRule="auto"/>
      <w:contextualSpacing/>
    </w:pPr>
    <w:rPr>
      <w:rFonts w:ascii="Times New Roman" w:eastAsia="Times New Roman" w:hAnsi="Times New Roman" w:cs="Times New Roman"/>
      <w:color w:val="auto"/>
      <w:sz w:val="20"/>
      <w:szCs w:val="20"/>
      <w:lang w:eastAsia="en-AU"/>
    </w:rPr>
  </w:style>
  <w:style w:type="paragraph" w:customStyle="1" w:styleId="Text">
    <w:name w:val="Text"/>
    <w:basedOn w:val="Normal"/>
    <w:uiPriority w:val="99"/>
    <w:rsid w:val="00653160"/>
    <w:pPr>
      <w:suppressAutoHyphens/>
      <w:autoSpaceDE w:val="0"/>
      <w:autoSpaceDN w:val="0"/>
      <w:adjustRightInd w:val="0"/>
      <w:spacing w:after="113" w:line="340" w:lineRule="atLeast"/>
      <w:textAlignment w:val="center"/>
    </w:pPr>
    <w:rPr>
      <w:rFonts w:ascii="Calibri" w:eastAsia="Times New Roman" w:hAnsi="Calibri" w:cs="Calibri"/>
      <w:color w:val="000000"/>
      <w:sz w:val="24"/>
      <w:szCs w:val="24"/>
      <w:lang w:val="en-US" w:eastAsia="en-AU"/>
    </w:rPr>
  </w:style>
  <w:style w:type="paragraph" w:customStyle="1" w:styleId="TechRep">
    <w:name w:val="Tech Rep"/>
    <w:basedOn w:val="Normal"/>
    <w:link w:val="TechRepChar"/>
    <w:qFormat/>
    <w:rsid w:val="00653160"/>
    <w:pPr>
      <w:spacing w:after="240" w:line="276" w:lineRule="auto"/>
      <w:jc w:val="both"/>
    </w:pPr>
    <w:rPr>
      <w:rFonts w:ascii="Calibri" w:eastAsia="Calibri" w:hAnsi="Calibri" w:cs="Times New Roman"/>
      <w:color w:val="auto"/>
      <w:szCs w:val="24"/>
    </w:rPr>
  </w:style>
  <w:style w:type="character" w:customStyle="1" w:styleId="TechRepChar">
    <w:name w:val="Tech Rep Char"/>
    <w:link w:val="TechRep"/>
    <w:rsid w:val="00653160"/>
    <w:rPr>
      <w:rFonts w:ascii="Calibri" w:eastAsia="Calibri" w:hAnsi="Calibri" w:cs="Times New Roman"/>
      <w:color w:val="auto"/>
      <w:szCs w:val="24"/>
    </w:rPr>
  </w:style>
  <w:style w:type="paragraph" w:customStyle="1" w:styleId="Foreword">
    <w:name w:val="Foreword"/>
    <w:basedOn w:val="RPSImprintPageText"/>
    <w:qFormat/>
    <w:rsid w:val="00D433D1"/>
    <w:rPr>
      <w:rFonts w:ascii="Calibri" w:hAnsi="Calibri"/>
      <w:b/>
      <w:color w:val="4E1A74" w:themeColor="text2"/>
      <w:sz w:val="32"/>
    </w:rPr>
  </w:style>
  <w:style w:type="paragraph" w:customStyle="1" w:styleId="RPSRequirement">
    <w:name w:val="RPS Requirement"/>
    <w:basedOn w:val="Heading1"/>
    <w:qFormat/>
    <w:rsid w:val="00795AB0"/>
    <w:pPr>
      <w:keepLines w:val="0"/>
      <w:tabs>
        <w:tab w:val="left" w:pos="0"/>
      </w:tabs>
      <w:spacing w:before="240"/>
      <w:jc w:val="both"/>
    </w:pPr>
    <w:rPr>
      <w:rFonts w:asciiTheme="minorHAnsi" w:eastAsia="Times New Roman" w:hAnsiTheme="minorHAnsi" w:cs="Times New Roman"/>
      <w:bCs w:val="0"/>
      <w:color w:val="4E1A74" w:themeColor="text2"/>
      <w:kern w:val="28"/>
      <w:sz w:val="24"/>
      <w:szCs w:val="24"/>
    </w:rPr>
  </w:style>
  <w:style w:type="character" w:customStyle="1" w:styleId="StyleRPSSchedAnnexHeading18ptChar">
    <w:name w:val="Style RPS Sched/Annex Heading + 18 pt Char"/>
    <w:rsid w:val="00653160"/>
    <w:rPr>
      <w:rFonts w:ascii="Georgia" w:hAnsi="Georgia" w:hint="default"/>
      <w:b/>
      <w:bCs/>
      <w:kern w:val="28"/>
      <w:sz w:val="32"/>
      <w:lang w:val="en-AU" w:eastAsia="en-US" w:bidi="ar-SA"/>
    </w:rPr>
  </w:style>
  <w:style w:type="paragraph" w:styleId="Revision">
    <w:name w:val="Revision"/>
    <w:hidden/>
    <w:uiPriority w:val="99"/>
    <w:semiHidden/>
    <w:rsid w:val="00653160"/>
    <w:pPr>
      <w:spacing w:line="276" w:lineRule="auto"/>
    </w:pPr>
    <w:rPr>
      <w:rFonts w:ascii="Georgia" w:eastAsia="Times New Roman" w:hAnsi="Georgia" w:cs="Times New Roman"/>
      <w:color w:val="auto"/>
      <w:sz w:val="24"/>
      <w:szCs w:val="20"/>
      <w:lang w:eastAsia="en-AU"/>
    </w:rPr>
  </w:style>
  <w:style w:type="character" w:styleId="IntenseReference">
    <w:name w:val="Intense Reference"/>
    <w:basedOn w:val="DefaultParagraphFont"/>
    <w:uiPriority w:val="32"/>
    <w:qFormat/>
    <w:rsid w:val="00653160"/>
    <w:rPr>
      <w:b/>
      <w:bCs/>
      <w:smallCaps/>
      <w:color w:val="E3CCF4" w:themeColor="accent1"/>
      <w:spacing w:val="5"/>
    </w:rPr>
  </w:style>
  <w:style w:type="character" w:styleId="SubtleReference">
    <w:name w:val="Subtle Reference"/>
    <w:basedOn w:val="DefaultParagraphFont"/>
    <w:uiPriority w:val="31"/>
    <w:qFormat/>
    <w:rsid w:val="00653160"/>
    <w:rPr>
      <w:smallCaps/>
      <w:color w:val="3276CC" w:themeColor="text1" w:themeTint="A5"/>
    </w:rPr>
  </w:style>
  <w:style w:type="paragraph" w:customStyle="1" w:styleId="para-normal">
    <w:name w:val="para - normal"/>
    <w:basedOn w:val="StyleRPSBodyTextNumbered"/>
    <w:link w:val="para-normalChar"/>
    <w:qFormat/>
    <w:rsid w:val="00653160"/>
    <w:pPr>
      <w:tabs>
        <w:tab w:val="left" w:pos="0"/>
      </w:tabs>
      <w:spacing w:before="240"/>
      <w:jc w:val="left"/>
    </w:pPr>
  </w:style>
  <w:style w:type="character" w:customStyle="1" w:styleId="RPSBodyTextNumberedChar">
    <w:name w:val="RPS Body Text Numbered Char"/>
    <w:basedOn w:val="DefaultParagraphFont"/>
    <w:link w:val="RPSBodyTextNumbered"/>
    <w:rsid w:val="00653160"/>
    <w:rPr>
      <w:rFonts w:ascii="Georgia" w:eastAsia="Times New Roman" w:hAnsi="Georgia" w:cs="Times New Roman"/>
      <w:color w:val="auto"/>
      <w:sz w:val="24"/>
      <w:szCs w:val="20"/>
      <w:lang w:eastAsia="en-AU"/>
    </w:rPr>
  </w:style>
  <w:style w:type="character" w:customStyle="1" w:styleId="StyleRPSBodyTextNumberedChar">
    <w:name w:val="Style RPS Body Text Numbered Char"/>
    <w:basedOn w:val="RPSBodyTextNumberedChar"/>
    <w:link w:val="StyleRPSBodyTextNumbered"/>
    <w:rsid w:val="00653160"/>
    <w:rPr>
      <w:rFonts w:ascii="Georgia" w:eastAsia="Times New Roman" w:hAnsi="Georgia" w:cs="Times New Roman"/>
      <w:iCs/>
      <w:snapToGrid w:val="0"/>
      <w:color w:val="auto"/>
      <w:sz w:val="24"/>
      <w:szCs w:val="20"/>
      <w:lang w:eastAsia="en-AU"/>
    </w:rPr>
  </w:style>
  <w:style w:type="character" w:customStyle="1" w:styleId="para-normalChar">
    <w:name w:val="para - normal Char"/>
    <w:basedOn w:val="StyleRPSBodyTextNumberedChar"/>
    <w:link w:val="para-normal"/>
    <w:rsid w:val="00653160"/>
    <w:rPr>
      <w:rFonts w:ascii="Georgia" w:eastAsia="Times New Roman" w:hAnsi="Georgia" w:cs="Times New Roman"/>
      <w:iCs/>
      <w:snapToGrid w:val="0"/>
      <w:color w:val="auto"/>
      <w:sz w:val="24"/>
      <w:szCs w:val="20"/>
      <w:lang w:eastAsia="en-AU"/>
    </w:rPr>
  </w:style>
  <w:style w:type="paragraph" w:customStyle="1" w:styleId="recs">
    <w:name w:val="recs"/>
    <w:basedOn w:val="RPSNumberedBodyText"/>
    <w:link w:val="recsChar"/>
    <w:qFormat/>
    <w:rsid w:val="00653160"/>
    <w:rPr>
      <w:b/>
    </w:rPr>
  </w:style>
  <w:style w:type="character" w:customStyle="1" w:styleId="RPSPublicationsChar">
    <w:name w:val="RPS Publications Char"/>
    <w:basedOn w:val="DefaultParagraphFont"/>
    <w:link w:val="RPSPublications"/>
    <w:rsid w:val="00653160"/>
    <w:rPr>
      <w:rFonts w:ascii="Georgia" w:eastAsia="Times New Roman" w:hAnsi="Georgia" w:cs="Times New Roman"/>
      <w:color w:val="auto"/>
      <w:sz w:val="24"/>
      <w:szCs w:val="20"/>
      <w:lang w:eastAsia="en-AU"/>
    </w:rPr>
  </w:style>
  <w:style w:type="character" w:customStyle="1" w:styleId="RPSBodyTextChar1">
    <w:name w:val="RPS Body Text Char1"/>
    <w:basedOn w:val="RPSPublicationsChar"/>
    <w:link w:val="RPSBodyText"/>
    <w:uiPriority w:val="99"/>
    <w:rsid w:val="00653160"/>
    <w:rPr>
      <w:rFonts w:ascii="Georgia" w:eastAsia="Times New Roman" w:hAnsi="Georgia" w:cs="Times New Roman"/>
      <w:color w:val="auto"/>
      <w:sz w:val="24"/>
      <w:szCs w:val="20"/>
      <w:lang w:eastAsia="en-AU"/>
    </w:rPr>
  </w:style>
  <w:style w:type="character" w:customStyle="1" w:styleId="RPSNumberedBodyTextChar">
    <w:name w:val="RPS Numbered Body Text Char"/>
    <w:basedOn w:val="RPSBodyTextChar1"/>
    <w:link w:val="RPSNumberedBodyText"/>
    <w:rsid w:val="00653160"/>
    <w:rPr>
      <w:rFonts w:ascii="Georgia" w:eastAsia="Times New Roman" w:hAnsi="Georgia" w:cs="Times New Roman"/>
      <w:color w:val="auto"/>
      <w:sz w:val="24"/>
      <w:szCs w:val="20"/>
      <w:lang w:eastAsia="en-AU"/>
    </w:rPr>
  </w:style>
  <w:style w:type="character" w:customStyle="1" w:styleId="recsChar">
    <w:name w:val="recs Char"/>
    <w:basedOn w:val="RPSNumberedBodyTextChar"/>
    <w:link w:val="recs"/>
    <w:rsid w:val="00653160"/>
    <w:rPr>
      <w:rFonts w:ascii="Georgia" w:eastAsia="Times New Roman" w:hAnsi="Georgia" w:cs="Times New Roman"/>
      <w:b/>
      <w:color w:val="auto"/>
      <w:sz w:val="24"/>
      <w:szCs w:val="20"/>
      <w:lang w:eastAsia="en-AU"/>
    </w:rPr>
  </w:style>
  <w:style w:type="paragraph" w:customStyle="1" w:styleId="GlossaryTerm">
    <w:name w:val="Glossary Term"/>
    <w:basedOn w:val="Normal"/>
    <w:qFormat/>
    <w:rsid w:val="00795AB0"/>
    <w:pPr>
      <w:keepNext/>
      <w:tabs>
        <w:tab w:val="left" w:pos="0"/>
        <w:tab w:val="right" w:pos="9242"/>
      </w:tabs>
      <w:ind w:left="284" w:hanging="284"/>
    </w:pPr>
    <w:rPr>
      <w:rFonts w:ascii="Calibri" w:eastAsia="Calibri" w:hAnsi="Calibri" w:cs="Courier New"/>
      <w:b/>
      <w:color w:val="4E1A74" w:themeColor="text2"/>
    </w:rPr>
  </w:style>
  <w:style w:type="paragraph" w:customStyle="1" w:styleId="Schedule">
    <w:name w:val="Schedule"/>
    <w:qFormat/>
    <w:rsid w:val="00325D28"/>
    <w:pPr>
      <w:keepNext/>
      <w:pBdr>
        <w:bottom w:val="outset" w:sz="6" w:space="1" w:color="006600"/>
      </w:pBdr>
      <w:autoSpaceDE w:val="0"/>
      <w:autoSpaceDN w:val="0"/>
      <w:adjustRightInd w:val="0"/>
      <w:spacing w:after="360" w:line="240" w:lineRule="auto"/>
      <w:ind w:left="1985" w:hanging="1985"/>
      <w:outlineLvl w:val="0"/>
    </w:pPr>
    <w:rPr>
      <w:rFonts w:ascii="Calibri" w:eastAsia="Times New Roman" w:hAnsi="Calibri" w:cs="Georgia"/>
      <w:b/>
      <w:bCs/>
      <w:color w:val="4E1A74" w:themeColor="text2"/>
      <w:spacing w:val="-4"/>
      <w:sz w:val="32"/>
      <w:szCs w:val="36"/>
    </w:rPr>
  </w:style>
  <w:style w:type="paragraph" w:styleId="PlainText">
    <w:name w:val="Plain Text"/>
    <w:basedOn w:val="Normal"/>
    <w:link w:val="PlainTextChar"/>
    <w:uiPriority w:val="99"/>
    <w:rsid w:val="005F5A85"/>
    <w:pPr>
      <w:tabs>
        <w:tab w:val="left" w:pos="0"/>
        <w:tab w:val="right" w:pos="9242"/>
      </w:tabs>
      <w:spacing w:after="240"/>
    </w:pPr>
    <w:rPr>
      <w:rFonts w:ascii="Calibri" w:eastAsia="Times New Roman" w:hAnsi="Calibri" w:cs="Georgia"/>
      <w:color w:val="404040"/>
      <w:szCs w:val="24"/>
    </w:rPr>
  </w:style>
  <w:style w:type="character" w:customStyle="1" w:styleId="PlainTextChar">
    <w:name w:val="Plain Text Char"/>
    <w:basedOn w:val="DefaultParagraphFont"/>
    <w:link w:val="PlainText"/>
    <w:uiPriority w:val="99"/>
    <w:rsid w:val="005F5A85"/>
    <w:rPr>
      <w:rFonts w:ascii="Calibri" w:eastAsia="Times New Roman" w:hAnsi="Calibri" w:cs="Georgia"/>
      <w:color w:val="404040"/>
      <w:szCs w:val="24"/>
    </w:rPr>
  </w:style>
  <w:style w:type="character" w:customStyle="1" w:styleId="bookmtitle">
    <w:name w:val="bookmtitle"/>
    <w:basedOn w:val="DefaultParagraphFont"/>
    <w:rsid w:val="006623A6"/>
  </w:style>
  <w:style w:type="character" w:customStyle="1" w:styleId="bookmtitle2">
    <w:name w:val="bookmtitle2"/>
    <w:basedOn w:val="DefaultParagraphFont"/>
    <w:rsid w:val="006623A6"/>
  </w:style>
  <w:style w:type="paragraph" w:customStyle="1" w:styleId="Glossarydescription">
    <w:name w:val="Glossary description"/>
    <w:basedOn w:val="Normal"/>
    <w:qFormat/>
    <w:rsid w:val="008C1231"/>
    <w:pPr>
      <w:spacing w:before="120" w:line="276" w:lineRule="auto"/>
    </w:pPr>
    <w:rPr>
      <w:rFonts w:ascii="Calibri" w:eastAsia="Calibri" w:hAnsi="Calibri" w:cs="Courier New"/>
      <w:color w:val="22508C" w:themeColor="text1" w:themeTint="D9"/>
    </w:rPr>
  </w:style>
  <w:style w:type="paragraph" w:styleId="EndnoteText">
    <w:name w:val="endnote text"/>
    <w:basedOn w:val="Normal"/>
    <w:link w:val="EndnoteTextChar"/>
    <w:uiPriority w:val="99"/>
    <w:semiHidden/>
    <w:unhideWhenUsed/>
    <w:rsid w:val="00EC25BD"/>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EC25BD"/>
    <w:rPr>
      <w:color w:val="444448" w:themeColor="accent4"/>
      <w:sz w:val="20"/>
      <w:szCs w:val="20"/>
    </w:rPr>
  </w:style>
  <w:style w:type="character" w:styleId="EndnoteReference">
    <w:name w:val="endnote reference"/>
    <w:basedOn w:val="DefaultParagraphFont"/>
    <w:uiPriority w:val="99"/>
    <w:semiHidden/>
    <w:unhideWhenUsed/>
    <w:rsid w:val="00EC25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138440">
      <w:bodyDiv w:val="1"/>
      <w:marLeft w:val="0"/>
      <w:marRight w:val="0"/>
      <w:marTop w:val="0"/>
      <w:marBottom w:val="0"/>
      <w:divBdr>
        <w:top w:val="none" w:sz="0" w:space="0" w:color="auto"/>
        <w:left w:val="none" w:sz="0" w:space="0" w:color="auto"/>
        <w:bottom w:val="none" w:sz="0" w:space="0" w:color="auto"/>
        <w:right w:val="none" w:sz="0" w:space="0" w:color="auto"/>
      </w:divBdr>
    </w:div>
    <w:div w:id="819076305">
      <w:bodyDiv w:val="1"/>
      <w:marLeft w:val="0"/>
      <w:marRight w:val="0"/>
      <w:marTop w:val="0"/>
      <w:marBottom w:val="0"/>
      <w:divBdr>
        <w:top w:val="none" w:sz="0" w:space="0" w:color="auto"/>
        <w:left w:val="none" w:sz="0" w:space="0" w:color="auto"/>
        <w:bottom w:val="none" w:sz="0" w:space="0" w:color="auto"/>
        <w:right w:val="none" w:sz="0" w:space="0" w:color="auto"/>
      </w:divBdr>
    </w:div>
    <w:div w:id="888537358">
      <w:bodyDiv w:val="1"/>
      <w:marLeft w:val="0"/>
      <w:marRight w:val="0"/>
      <w:marTop w:val="0"/>
      <w:marBottom w:val="0"/>
      <w:divBdr>
        <w:top w:val="none" w:sz="0" w:space="0" w:color="auto"/>
        <w:left w:val="none" w:sz="0" w:space="0" w:color="auto"/>
        <w:bottom w:val="none" w:sz="0" w:space="0" w:color="auto"/>
        <w:right w:val="none" w:sz="0" w:space="0" w:color="auto"/>
      </w:divBdr>
    </w:div>
    <w:div w:id="1081607736">
      <w:bodyDiv w:val="1"/>
      <w:marLeft w:val="0"/>
      <w:marRight w:val="0"/>
      <w:marTop w:val="0"/>
      <w:marBottom w:val="0"/>
      <w:divBdr>
        <w:top w:val="none" w:sz="0" w:space="0" w:color="auto"/>
        <w:left w:val="none" w:sz="0" w:space="0" w:color="auto"/>
        <w:bottom w:val="none" w:sz="0" w:space="0" w:color="auto"/>
        <w:right w:val="none" w:sz="0" w:space="0" w:color="auto"/>
      </w:divBdr>
    </w:div>
    <w:div w:id="1183545378">
      <w:bodyDiv w:val="1"/>
      <w:marLeft w:val="0"/>
      <w:marRight w:val="0"/>
      <w:marTop w:val="0"/>
      <w:marBottom w:val="0"/>
      <w:divBdr>
        <w:top w:val="none" w:sz="0" w:space="0" w:color="auto"/>
        <w:left w:val="none" w:sz="0" w:space="0" w:color="auto"/>
        <w:bottom w:val="none" w:sz="0" w:space="0" w:color="auto"/>
        <w:right w:val="none" w:sz="0" w:space="0" w:color="auto"/>
      </w:divBdr>
    </w:div>
    <w:div w:id="156121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dpmc.gov.au/government/commonwealth-coat-arms" TargetMode="External"/><Relationship Id="rId39" Type="http://schemas.openxmlformats.org/officeDocument/2006/relationships/header" Target="header14.xml"/><Relationship Id="rId21" Type="http://schemas.openxmlformats.org/officeDocument/2006/relationships/hyperlink" Target="http://www.dpmc.gov.au/government/commonwealth-coat-arms" TargetMode="External"/><Relationship Id="rId34" Type="http://schemas.openxmlformats.org/officeDocument/2006/relationships/hyperlink" Target="http://www.oecd-nea.org/rwm/rr/reims2010/" TargetMode="External"/><Relationship Id="rId42" Type="http://schemas.openxmlformats.org/officeDocument/2006/relationships/header" Target="header16.xml"/><Relationship Id="rId47" Type="http://schemas.openxmlformats.org/officeDocument/2006/relationships/hyperlink" Target="https://www.arpansa.gov.au/regulation-and-licensing/regulatory-publications/radiation-protection-series/guides-and-recommendations/rps16" TargetMode="External"/><Relationship Id="rId50" Type="http://schemas.openxmlformats.org/officeDocument/2006/relationships/hyperlink" Target="https://www.arpansa.gov.au/regulation-and-licensing/regulatory-publications/radiation-protection-series/codes-and-standards/rpsc-2" TargetMode="External"/><Relationship Id="rId55" Type="http://schemas.openxmlformats.org/officeDocument/2006/relationships/hyperlink" Target="http://www-pub.iaea.org/MTCD/publications/PDF/te_909_web.pdf" TargetMode="External"/><Relationship Id="rId63" Type="http://schemas.openxmlformats.org/officeDocument/2006/relationships/hyperlink" Target="https://www-pub.iaea.org/MTCD/Publications/PDF/Pub1419_web.pdf" TargetMode="External"/><Relationship Id="rId68" Type="http://schemas.openxmlformats.org/officeDocument/2006/relationships/hyperlink" Target="http://www-pub.iaea.org/MTCD/publications/PDF/Pub1578_web-57265295.pdf" TargetMode="External"/><Relationship Id="rId76" Type="http://schemas.openxmlformats.org/officeDocument/2006/relationships/hyperlink" Target="https://www.oecd-nea.org/rwm/reports/1999/confidence.pdf" TargetMode="External"/><Relationship Id="rId7" Type="http://schemas.openxmlformats.org/officeDocument/2006/relationships/endnotes" Target="endnotes.xml"/><Relationship Id="rId71" Type="http://schemas.openxmlformats.org/officeDocument/2006/relationships/hyperlink" Target="https://www-ns.iaea.org/downloads/standards/glossary/iaea-safety-glossary-draft-2016.pdf"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image" Target="media/image40.jpeg"/><Relationship Id="rId32" Type="http://schemas.openxmlformats.org/officeDocument/2006/relationships/footer" Target="footer4.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yperlink" Target="https://www.arpansa.gov.au/regulation-and-licensing/regulatory-publications/radiation-protection-series/codes-and-standards/rps9" TargetMode="External"/><Relationship Id="rId53" Type="http://schemas.openxmlformats.org/officeDocument/2006/relationships/hyperlink" Target="https://www.iaea.org/sites/default/files/publications/documents/infcircs/1965/infcirc66r2.pdf" TargetMode="External"/><Relationship Id="rId58" Type="http://schemas.openxmlformats.org/officeDocument/2006/relationships/hyperlink" Target="http://www-pub.iaea.org/MTCD/publications/PDF/te_1208_web.pdf" TargetMode="External"/><Relationship Id="rId66" Type="http://schemas.openxmlformats.org/officeDocument/2006/relationships/hyperlink" Target="https://www-pub.iaea.org/MTCD/Publications/PDF/Pub1487_web.pdf" TargetMode="External"/><Relationship Id="rId74" Type="http://schemas.openxmlformats.org/officeDocument/2006/relationships/hyperlink" Target="http://www.icrp.org/publication.asp?id=ICRP%20Publication%20103" TargetMode="External"/><Relationship Id="rId79"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hyperlink" Target="http://www-pub.iaea.org/MTCD/Publications/PDF/Pub1273_web.pdf" TargetMode="External"/><Relationship Id="rId10" Type="http://schemas.openxmlformats.org/officeDocument/2006/relationships/hyperlink" Target="https://www.arpansa.gov.au/regulation-and-licensing/regulatory-publications/radiation-protection-series" TargetMode="External"/><Relationship Id="rId19" Type="http://schemas.openxmlformats.org/officeDocument/2006/relationships/image" Target="media/image4.jpeg"/><Relationship Id="rId31" Type="http://schemas.openxmlformats.org/officeDocument/2006/relationships/header" Target="header8.xml"/><Relationship Id="rId44" Type="http://schemas.openxmlformats.org/officeDocument/2006/relationships/header" Target="header18.xml"/><Relationship Id="rId52" Type="http://schemas.openxmlformats.org/officeDocument/2006/relationships/hyperlink" Target="https://www.arpansa.gov.au/regulation-and-licensing/regulatory-publications/radiation-protection-series/codes-and-standards/rpsc-6" TargetMode="External"/><Relationship Id="rId60" Type="http://schemas.openxmlformats.org/officeDocument/2006/relationships/hyperlink" Target="http://www-pub.iaea.org/MTCD/publications/PDF/Pub1216_web.pdf" TargetMode="External"/><Relationship Id="rId65" Type="http://schemas.openxmlformats.org/officeDocument/2006/relationships/hyperlink" Target="http://www-pub.iaea.org/MTCD/publications/PDF/Pub1481_web.pdf" TargetMode="External"/><Relationship Id="rId73" Type="http://schemas.openxmlformats.org/officeDocument/2006/relationships/hyperlink" Target="http://www.icrp.org/publication.asp?id=ICRP%20Publication%20101b" TargetMode="External"/><Relationship Id="rId78" Type="http://schemas.openxmlformats.org/officeDocument/2006/relationships/header" Target="header2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mailto:info@arpansa.gov.au" TargetMode="External"/><Relationship Id="rId27" Type="http://schemas.openxmlformats.org/officeDocument/2006/relationships/hyperlink" Target="mailto:info@arpansa.gov.au" TargetMode="Externa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hyperlink" Target="https://www.arpansa.gov.au/regulation-and-licensing/regulatory-publications/radiation-protection-series/guides-and-recommendations/rps20" TargetMode="External"/><Relationship Id="rId56" Type="http://schemas.openxmlformats.org/officeDocument/2006/relationships/hyperlink" Target="https://www.iaea.org/sites/default/files/infcirc540.pdf" TargetMode="External"/><Relationship Id="rId64" Type="http://schemas.openxmlformats.org/officeDocument/2006/relationships/hyperlink" Target="http://www-pub.iaea.org/MTCD/publications/PDF/Pub1449_web.pdf" TargetMode="External"/><Relationship Id="rId69" Type="http://schemas.openxmlformats.org/officeDocument/2006/relationships/hyperlink" Target="http://www-pub.iaea.org/MTCD/Publications/PDF/Pub1750web.pdf" TargetMode="External"/><Relationship Id="rId77"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hyperlink" Target="https://www.arpansa.gov.au/regulation-and-licensing/regulatory-publications/radiation-protection-series/codes-and-standards/rpsc-1" TargetMode="External"/><Relationship Id="rId72" Type="http://schemas.openxmlformats.org/officeDocument/2006/relationships/hyperlink" Target="https://www-pub.iaea.org/MTCD/Publications/PDF/TE-1814_web.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creativecommons.org/licenses/by/3.0/au" TargetMode="Externa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yperlink" Target="https://www.arpansa.gov.au/regulation-and-licensing/regulatory-publications/radiation-protection-series/codes-and-standards/rps11" TargetMode="External"/><Relationship Id="rId59" Type="http://schemas.openxmlformats.org/officeDocument/2006/relationships/hyperlink" Target="http://www-pub.iaea.org/MTCD/publications/PDF/code-2004_web.pdf" TargetMode="External"/><Relationship Id="rId67" Type="http://schemas.openxmlformats.org/officeDocument/2006/relationships/hyperlink" Target="http://www-pub.iaea.org/MTCD/publications/PDF/Pub1553_web.pdf" TargetMode="External"/><Relationship Id="rId20" Type="http://schemas.openxmlformats.org/officeDocument/2006/relationships/hyperlink" Target="http://creativecommons.org/licenses/by/3.0/au" TargetMode="External"/><Relationship Id="rId41" Type="http://schemas.openxmlformats.org/officeDocument/2006/relationships/hyperlink" Target="http://www.arpansa.gov.au/Regulation/Regulators" TargetMode="External"/><Relationship Id="rId54" Type="http://schemas.openxmlformats.org/officeDocument/2006/relationships/hyperlink" Target="https://www.iaea.org/sites/default/files/publications/documents/infcircs/1972/infcirc153.pdf" TargetMode="External"/><Relationship Id="rId62" Type="http://schemas.openxmlformats.org/officeDocument/2006/relationships/hyperlink" Target="http://www-pub.iaea.org/MTCD/publications/PDF/Pub1330_web.pdf" TargetMode="External"/><Relationship Id="rId70" Type="http://schemas.openxmlformats.org/officeDocument/2006/relationships/hyperlink" Target="http://www-pub.iaea.org/MTCD/publications/PDF/Pub1714web-7976998.pdf" TargetMode="External"/><Relationship Id="rId75" Type="http://schemas.openxmlformats.org/officeDocument/2006/relationships/hyperlink" Target="https://www.arpansa.gov.au/sites/g/files/net3086/f/legacy/pubs/rhs/rhs3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arpansa.gov.au" TargetMode="External"/><Relationship Id="rId28" Type="http://schemas.openxmlformats.org/officeDocument/2006/relationships/hyperlink" Target="http://www.arpansa.gov.au" TargetMode="External"/><Relationship Id="rId36" Type="http://schemas.openxmlformats.org/officeDocument/2006/relationships/header" Target="header11.xml"/><Relationship Id="rId49" Type="http://schemas.openxmlformats.org/officeDocument/2006/relationships/hyperlink" Target="https://www.arpansa.gov.au/regulation-and-licensing/regulatory-publications/radiation-protection-series/fundamentals/rpsf-1" TargetMode="External"/><Relationship Id="rId57" Type="http://schemas.openxmlformats.org/officeDocument/2006/relationships/hyperlink" Target="http://www-pub.iaea.org/MTCD/publications/PDF/Pub1481_web.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rpansa.local\VicData\Public\Templates\Generic%20Word%20doc.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ABAE158-64E5-4C7F-8741-1D8BE1BD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Word doc.dotx</Template>
  <TotalTime>24</TotalTime>
  <Pages>63</Pages>
  <Words>24520</Words>
  <Characters>140995</Characters>
  <Application>Microsoft Office Word</Application>
  <DocSecurity>0</DocSecurity>
  <Lines>2169</Lines>
  <Paragraphs>904</Paragraphs>
  <ScaleCrop>false</ScaleCrop>
  <HeadingPairs>
    <vt:vector size="2" baseType="variant">
      <vt:variant>
        <vt:lpstr>Title</vt:lpstr>
      </vt:variant>
      <vt:variant>
        <vt:i4>1</vt:i4>
      </vt:variant>
    </vt:vector>
  </HeadingPairs>
  <TitlesOfParts>
    <vt:vector size="1" baseType="lpstr">
      <vt:lpstr>Draft - Code for Disposal of Solid Radioactive Waste</vt:lpstr>
    </vt:vector>
  </TitlesOfParts>
  <Company>ARPANSA</Company>
  <LinksUpToDate>false</LinksUpToDate>
  <CharactersWithSpaces>164611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Code for Disposal of Solid Radioactive Waste</dc:title>
  <dc:creator>Thomas Sammut</dc:creator>
  <cp:lastModifiedBy>Thomas Sammut</cp:lastModifiedBy>
  <cp:revision>7</cp:revision>
  <cp:lastPrinted>2018-10-18T01:11:00Z</cp:lastPrinted>
  <dcterms:created xsi:type="dcterms:W3CDTF">2018-10-18T00:50:00Z</dcterms:created>
  <dcterms:modified xsi:type="dcterms:W3CDTF">2018-10-18T01:12:00Z</dcterms:modified>
</cp:coreProperties>
</file>