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63" w:rsidRPr="005E6663" w:rsidRDefault="00395BCC" w:rsidP="00460079">
      <w:pPr>
        <w:pStyle w:val="Title"/>
        <w:spacing w:before="0"/>
        <w:contextualSpacing w:val="0"/>
        <w:rPr>
          <w:sz w:val="36"/>
        </w:rPr>
      </w:pPr>
      <w:bookmarkStart w:id="0" w:name="_GoBack"/>
      <w:bookmarkEnd w:id="0"/>
      <w:r w:rsidRPr="005E6663">
        <w:rPr>
          <w:sz w:val="36"/>
        </w:rPr>
        <w:t>Resolution of comments from stakeholder submissions</w:t>
      </w:r>
      <w:r>
        <w:rPr>
          <w:sz w:val="36"/>
        </w:rPr>
        <w:t xml:space="preserve"> </w:t>
      </w:r>
      <w:r w:rsidR="005E6663">
        <w:rPr>
          <w:sz w:val="36"/>
        </w:rPr>
        <w:t>on</w:t>
      </w:r>
    </w:p>
    <w:p w:rsidR="002356D6" w:rsidRDefault="00460079" w:rsidP="00460079">
      <w:pPr>
        <w:pStyle w:val="Title"/>
        <w:spacing w:before="120"/>
        <w:contextualSpacing w:val="0"/>
        <w:rPr>
          <w:i/>
          <w:sz w:val="36"/>
        </w:rPr>
      </w:pPr>
      <w:r w:rsidRPr="00460079">
        <w:rPr>
          <w:sz w:val="36"/>
        </w:rPr>
        <w:t>Document Title:</w:t>
      </w:r>
      <w:r>
        <w:rPr>
          <w:i/>
          <w:sz w:val="36"/>
        </w:rPr>
        <w:t xml:space="preserve">  Guide for Radiation Protection in Existing Exposure Situations (RPS G-2)</w:t>
      </w:r>
    </w:p>
    <w:p w:rsidR="00460079" w:rsidRDefault="00460079" w:rsidP="00460079">
      <w:pPr>
        <w:pStyle w:val="Title"/>
        <w:spacing w:before="120"/>
        <w:contextualSpacing w:val="0"/>
        <w:rPr>
          <w:sz w:val="24"/>
        </w:rPr>
      </w:pPr>
      <w:r w:rsidRPr="00460079">
        <w:rPr>
          <w:sz w:val="24"/>
        </w:rPr>
        <w:t>Consultation period: 15 December 2016 – 10 March 2017</w:t>
      </w:r>
    </w:p>
    <w:p w:rsidR="00460079" w:rsidRDefault="00460079" w:rsidP="00D27467">
      <w:pPr>
        <w:spacing w:after="120"/>
        <w:ind w:left="34"/>
        <w:rPr>
          <w:rFonts w:ascii="Calibri" w:eastAsia="Calibri" w:hAnsi="Calibri"/>
        </w:rPr>
      </w:pPr>
      <w:r w:rsidRPr="00460079">
        <w:rPr>
          <w:rFonts w:ascii="Calibri" w:eastAsia="Calibri" w:hAnsi="Calibri"/>
          <w:b/>
        </w:rPr>
        <w:t>Please note</w:t>
      </w:r>
      <w:r>
        <w:rPr>
          <w:rFonts w:ascii="Calibri" w:eastAsia="Calibri" w:hAnsi="Calibri"/>
        </w:rPr>
        <w:t xml:space="preserve">: Text of the Guide has been edited in the final review, including the revision of Annex A. </w:t>
      </w:r>
    </w:p>
    <w:tbl>
      <w:tblPr>
        <w:tblStyle w:val="GenericARPANSA"/>
        <w:tblW w:w="14595" w:type="dxa"/>
        <w:tblInd w:w="0" w:type="dxa"/>
        <w:tblLayout w:type="fixed"/>
        <w:tblLook w:val="0600" w:firstRow="0" w:lastRow="0" w:firstColumn="0" w:lastColumn="0" w:noHBand="1" w:noVBand="1"/>
      </w:tblPr>
      <w:tblGrid>
        <w:gridCol w:w="562"/>
        <w:gridCol w:w="1417"/>
        <w:gridCol w:w="1134"/>
        <w:gridCol w:w="2977"/>
        <w:gridCol w:w="2269"/>
        <w:gridCol w:w="992"/>
        <w:gridCol w:w="1276"/>
        <w:gridCol w:w="1275"/>
        <w:gridCol w:w="2693"/>
      </w:tblGrid>
      <w:tr w:rsidR="00D27467" w:rsidRPr="00D27467" w:rsidTr="00E96E7F">
        <w:trPr>
          <w:trHeight w:val="20"/>
          <w:tblHeader/>
        </w:trPr>
        <w:tc>
          <w:tcPr>
            <w:tcW w:w="8359" w:type="dxa"/>
            <w:gridSpan w:val="5"/>
            <w:tcBorders>
              <w:bottom w:val="single" w:sz="12" w:space="0" w:color="FFFFFF" w:themeColor="background1"/>
              <w:right w:val="triple" w:sz="4" w:space="0" w:color="4E1A74"/>
            </w:tcBorders>
            <w:shd w:val="clear" w:color="auto" w:fill="4E1A74"/>
            <w:tcMar>
              <w:left w:w="0" w:type="dxa"/>
              <w:right w:w="0" w:type="dxa"/>
            </w:tcMar>
          </w:tcPr>
          <w:p w:rsidR="00D27467" w:rsidRPr="00D27467" w:rsidRDefault="00D27467" w:rsidP="008970CA">
            <w:pPr>
              <w:spacing w:before="120" w:after="120"/>
              <w:ind w:left="34"/>
              <w:rPr>
                <w:rFonts w:eastAsia="Calibri"/>
                <w:b/>
                <w:color w:val="FFFFFF" w:themeColor="background1"/>
                <w:sz w:val="18"/>
                <w:szCs w:val="18"/>
              </w:rPr>
            </w:pPr>
            <w:bookmarkStart w:id="1" w:name="OLE_LINK2"/>
            <w:bookmarkStart w:id="2" w:name="_Hlk101598741"/>
            <w:bookmarkStart w:id="3" w:name="OLE_LINK1"/>
            <w:r w:rsidRPr="00D27467">
              <w:rPr>
                <w:rFonts w:eastAsia="Calibri"/>
                <w:b/>
                <w:color w:val="FFFFFF" w:themeColor="background1"/>
                <w:sz w:val="18"/>
                <w:szCs w:val="18"/>
              </w:rPr>
              <w:t>Comments by Reviewers</w:t>
            </w:r>
          </w:p>
        </w:tc>
        <w:tc>
          <w:tcPr>
            <w:tcW w:w="6236" w:type="dxa"/>
            <w:gridSpan w:val="4"/>
            <w:tcBorders>
              <w:left w:val="triple" w:sz="4" w:space="0" w:color="4E1A74"/>
              <w:bottom w:val="single" w:sz="12" w:space="0" w:color="FFFFFF" w:themeColor="background1"/>
            </w:tcBorders>
            <w:shd w:val="clear" w:color="auto" w:fill="4E1A74"/>
          </w:tcPr>
          <w:p w:rsidR="00D27467" w:rsidRPr="00D27467" w:rsidRDefault="00D27467" w:rsidP="008970CA">
            <w:pPr>
              <w:spacing w:before="0" w:after="0"/>
              <w:ind w:left="34"/>
              <w:rPr>
                <w:rFonts w:eastAsia="Calibri"/>
                <w:b/>
                <w:color w:val="FFFFFF" w:themeColor="background1"/>
                <w:sz w:val="18"/>
                <w:szCs w:val="18"/>
              </w:rPr>
            </w:pPr>
            <w:r w:rsidRPr="00D27467">
              <w:rPr>
                <w:rFonts w:eastAsia="Calibri"/>
                <w:b/>
                <w:color w:val="FFFFFF" w:themeColor="background1"/>
                <w:sz w:val="18"/>
                <w:szCs w:val="18"/>
              </w:rPr>
              <w:t>Resolution</w:t>
            </w:r>
          </w:p>
        </w:tc>
      </w:tr>
      <w:bookmarkEnd w:id="1"/>
      <w:bookmarkEnd w:id="2"/>
      <w:bookmarkEnd w:id="3"/>
      <w:tr w:rsidR="00D27467" w:rsidRPr="00D27467" w:rsidTr="00E96E7F">
        <w:trPr>
          <w:trHeight w:val="20"/>
          <w:tblHeader/>
        </w:trPr>
        <w:tc>
          <w:tcPr>
            <w:tcW w:w="562" w:type="dxa"/>
            <w:tcBorders>
              <w:top w:val="single" w:sz="12" w:space="0" w:color="FFFFFF" w:themeColor="background1"/>
              <w:bottom w:val="double" w:sz="4" w:space="0" w:color="4E1A74"/>
            </w:tcBorders>
            <w:shd w:val="clear" w:color="auto" w:fill="F6EFFB"/>
            <w:tcMar>
              <w:left w:w="0" w:type="dxa"/>
              <w:right w:w="0" w:type="dxa"/>
            </w:tcMar>
          </w:tcPr>
          <w:p w:rsidR="00460079" w:rsidRPr="00D27467" w:rsidRDefault="00460079" w:rsidP="008970CA">
            <w:pPr>
              <w:spacing w:before="0" w:after="0"/>
              <w:ind w:left="34"/>
              <w:rPr>
                <w:rFonts w:eastAsia="Calibri"/>
                <w:b/>
                <w:sz w:val="18"/>
                <w:szCs w:val="18"/>
              </w:rPr>
            </w:pPr>
            <w:r w:rsidRPr="00D27467">
              <w:rPr>
                <w:rFonts w:eastAsia="Calibri"/>
                <w:b/>
                <w:sz w:val="18"/>
                <w:szCs w:val="18"/>
              </w:rPr>
              <w:t>#</w:t>
            </w:r>
          </w:p>
        </w:tc>
        <w:tc>
          <w:tcPr>
            <w:tcW w:w="1417" w:type="dxa"/>
            <w:tcBorders>
              <w:top w:val="single" w:sz="12" w:space="0" w:color="FFFFFF" w:themeColor="background1"/>
              <w:bottom w:val="double" w:sz="4" w:space="0" w:color="4E1A74"/>
            </w:tcBorders>
            <w:shd w:val="clear" w:color="auto" w:fill="F6EFFB"/>
          </w:tcPr>
          <w:p w:rsidR="00460079" w:rsidRPr="00D27467" w:rsidRDefault="00790BF5" w:rsidP="008970CA">
            <w:pPr>
              <w:spacing w:before="0" w:after="0"/>
              <w:ind w:left="34"/>
              <w:rPr>
                <w:rFonts w:eastAsia="Calibri"/>
                <w:b/>
                <w:sz w:val="18"/>
                <w:szCs w:val="18"/>
              </w:rPr>
            </w:pPr>
            <w:r>
              <w:rPr>
                <w:rFonts w:eastAsia="Calibri"/>
                <w:b/>
                <w:sz w:val="18"/>
                <w:szCs w:val="18"/>
              </w:rPr>
              <w:t>Submitter</w:t>
            </w:r>
          </w:p>
        </w:tc>
        <w:tc>
          <w:tcPr>
            <w:tcW w:w="1134" w:type="dxa"/>
            <w:tcBorders>
              <w:top w:val="single" w:sz="12" w:space="0" w:color="FFFFFF" w:themeColor="background1"/>
              <w:bottom w:val="double" w:sz="4" w:space="0" w:color="4E1A74"/>
            </w:tcBorders>
            <w:shd w:val="clear" w:color="auto" w:fill="F6EFFB"/>
          </w:tcPr>
          <w:p w:rsidR="00460079" w:rsidRPr="00D27467" w:rsidRDefault="00460079" w:rsidP="008970CA">
            <w:pPr>
              <w:spacing w:before="0" w:after="0"/>
              <w:ind w:left="34"/>
              <w:rPr>
                <w:rFonts w:eastAsia="Calibri"/>
                <w:b/>
                <w:sz w:val="18"/>
                <w:szCs w:val="18"/>
              </w:rPr>
            </w:pPr>
            <w:r w:rsidRPr="00D27467">
              <w:rPr>
                <w:rFonts w:eastAsia="Calibri"/>
                <w:b/>
                <w:sz w:val="18"/>
                <w:szCs w:val="18"/>
              </w:rPr>
              <w:t>Para/Line No.</w:t>
            </w:r>
          </w:p>
        </w:tc>
        <w:tc>
          <w:tcPr>
            <w:tcW w:w="2977" w:type="dxa"/>
            <w:tcBorders>
              <w:top w:val="single" w:sz="12" w:space="0" w:color="FFFFFF" w:themeColor="background1"/>
              <w:bottom w:val="double" w:sz="4" w:space="0" w:color="4E1A74"/>
            </w:tcBorders>
            <w:shd w:val="clear" w:color="auto" w:fill="F6EFFB"/>
          </w:tcPr>
          <w:p w:rsidR="00460079" w:rsidRPr="00D27467" w:rsidRDefault="00790BF5" w:rsidP="008970CA">
            <w:pPr>
              <w:spacing w:before="0" w:after="0"/>
              <w:ind w:left="34"/>
              <w:rPr>
                <w:rFonts w:eastAsia="Calibri"/>
                <w:b/>
                <w:sz w:val="18"/>
                <w:szCs w:val="18"/>
              </w:rPr>
            </w:pPr>
            <w:r>
              <w:rPr>
                <w:rFonts w:eastAsia="Calibri"/>
                <w:b/>
                <w:sz w:val="18"/>
                <w:szCs w:val="18"/>
              </w:rPr>
              <w:t>Comment</w:t>
            </w:r>
          </w:p>
        </w:tc>
        <w:tc>
          <w:tcPr>
            <w:tcW w:w="2269" w:type="dxa"/>
            <w:tcBorders>
              <w:top w:val="single" w:sz="12" w:space="0" w:color="FFFFFF" w:themeColor="background1"/>
              <w:bottom w:val="double" w:sz="4" w:space="0" w:color="4E1A74"/>
              <w:right w:val="triple" w:sz="4" w:space="0" w:color="4E1A74"/>
            </w:tcBorders>
            <w:shd w:val="clear" w:color="auto" w:fill="F6EFFB"/>
          </w:tcPr>
          <w:p w:rsidR="00460079" w:rsidRPr="00D27467" w:rsidRDefault="00460079" w:rsidP="008970CA">
            <w:pPr>
              <w:spacing w:before="0" w:after="0"/>
              <w:ind w:left="34"/>
              <w:rPr>
                <w:rFonts w:eastAsia="Calibri"/>
                <w:b/>
                <w:sz w:val="18"/>
                <w:szCs w:val="18"/>
              </w:rPr>
            </w:pPr>
            <w:r w:rsidRPr="00D27467">
              <w:rPr>
                <w:rFonts w:eastAsia="Calibri"/>
                <w:b/>
                <w:sz w:val="18"/>
                <w:szCs w:val="18"/>
              </w:rPr>
              <w:t>Reason</w:t>
            </w:r>
          </w:p>
        </w:tc>
        <w:tc>
          <w:tcPr>
            <w:tcW w:w="992" w:type="dxa"/>
            <w:tcBorders>
              <w:top w:val="single" w:sz="12" w:space="0" w:color="FFFFFF" w:themeColor="background1"/>
              <w:left w:val="triple" w:sz="4" w:space="0" w:color="4E1A74"/>
              <w:bottom w:val="double" w:sz="4" w:space="0" w:color="4E1A74"/>
            </w:tcBorders>
            <w:shd w:val="clear" w:color="auto" w:fill="F6EFFB"/>
          </w:tcPr>
          <w:p w:rsidR="00460079" w:rsidRPr="00D27467" w:rsidRDefault="00460079" w:rsidP="008970CA">
            <w:pPr>
              <w:spacing w:before="0" w:after="0"/>
              <w:ind w:left="34"/>
              <w:rPr>
                <w:rFonts w:eastAsia="Calibri"/>
                <w:b/>
                <w:sz w:val="18"/>
                <w:szCs w:val="18"/>
              </w:rPr>
            </w:pPr>
            <w:r w:rsidRPr="00D27467">
              <w:rPr>
                <w:rFonts w:eastAsia="Calibri"/>
                <w:b/>
                <w:sz w:val="18"/>
                <w:szCs w:val="18"/>
              </w:rPr>
              <w:t>Accepted</w:t>
            </w:r>
          </w:p>
        </w:tc>
        <w:tc>
          <w:tcPr>
            <w:tcW w:w="1276" w:type="dxa"/>
            <w:tcBorders>
              <w:top w:val="single" w:sz="12" w:space="0" w:color="FFFFFF" w:themeColor="background1"/>
              <w:bottom w:val="double" w:sz="4" w:space="0" w:color="4E1A74"/>
            </w:tcBorders>
            <w:shd w:val="clear" w:color="auto" w:fill="F6EFFB"/>
          </w:tcPr>
          <w:p w:rsidR="00460079" w:rsidRPr="00D27467" w:rsidRDefault="00460079" w:rsidP="008970CA">
            <w:pPr>
              <w:spacing w:before="0" w:after="0"/>
              <w:ind w:left="34"/>
              <w:rPr>
                <w:rFonts w:eastAsia="Calibri"/>
                <w:b/>
                <w:sz w:val="18"/>
                <w:szCs w:val="18"/>
              </w:rPr>
            </w:pPr>
            <w:r w:rsidRPr="00D27467">
              <w:rPr>
                <w:rFonts w:eastAsia="Calibri"/>
                <w:b/>
                <w:sz w:val="18"/>
                <w:szCs w:val="18"/>
              </w:rPr>
              <w:t>Accepted, but modified as follows</w:t>
            </w:r>
          </w:p>
        </w:tc>
        <w:tc>
          <w:tcPr>
            <w:tcW w:w="1275" w:type="dxa"/>
            <w:tcBorders>
              <w:top w:val="single" w:sz="12" w:space="0" w:color="FFFFFF" w:themeColor="background1"/>
              <w:bottom w:val="double" w:sz="4" w:space="0" w:color="4E1A74"/>
            </w:tcBorders>
            <w:shd w:val="clear" w:color="auto" w:fill="F6EFFB"/>
          </w:tcPr>
          <w:p w:rsidR="00460079" w:rsidRPr="00D27467" w:rsidRDefault="00460079" w:rsidP="008970CA">
            <w:pPr>
              <w:spacing w:before="0" w:after="0"/>
              <w:ind w:left="34"/>
              <w:rPr>
                <w:rFonts w:eastAsia="Calibri"/>
                <w:b/>
                <w:sz w:val="18"/>
                <w:szCs w:val="18"/>
              </w:rPr>
            </w:pPr>
            <w:r w:rsidRPr="00D27467">
              <w:rPr>
                <w:rFonts w:eastAsia="Calibri"/>
                <w:b/>
                <w:sz w:val="18"/>
                <w:szCs w:val="18"/>
              </w:rPr>
              <w:t xml:space="preserve">Not </w:t>
            </w:r>
            <w:r w:rsidR="00790BF5">
              <w:rPr>
                <w:rFonts w:eastAsia="Calibri"/>
                <w:b/>
                <w:sz w:val="18"/>
                <w:szCs w:val="18"/>
              </w:rPr>
              <w:t>a</w:t>
            </w:r>
            <w:r w:rsidRPr="00D27467">
              <w:rPr>
                <w:rFonts w:eastAsia="Calibri"/>
                <w:b/>
                <w:sz w:val="18"/>
                <w:szCs w:val="18"/>
              </w:rPr>
              <w:t>ccepted</w:t>
            </w:r>
          </w:p>
        </w:tc>
        <w:tc>
          <w:tcPr>
            <w:tcW w:w="2693" w:type="dxa"/>
            <w:tcBorders>
              <w:top w:val="single" w:sz="12" w:space="0" w:color="FFFFFF" w:themeColor="background1"/>
              <w:bottom w:val="double" w:sz="4" w:space="0" w:color="4E1A74"/>
            </w:tcBorders>
            <w:shd w:val="clear" w:color="auto" w:fill="F6EFFB"/>
          </w:tcPr>
          <w:p w:rsidR="00460079" w:rsidRPr="00D27467" w:rsidRDefault="00460079" w:rsidP="008970CA">
            <w:pPr>
              <w:spacing w:before="0" w:after="0"/>
              <w:ind w:left="34"/>
              <w:rPr>
                <w:rFonts w:eastAsia="Calibri"/>
                <w:b/>
                <w:sz w:val="18"/>
                <w:szCs w:val="18"/>
              </w:rPr>
            </w:pPr>
            <w:r w:rsidRPr="00D27467">
              <w:rPr>
                <w:rFonts w:eastAsia="Calibri"/>
                <w:b/>
                <w:sz w:val="18"/>
                <w:szCs w:val="18"/>
              </w:rPr>
              <w:t>Reason for modification/</w:t>
            </w:r>
            <w:r w:rsidR="00790BF5">
              <w:rPr>
                <w:rFonts w:eastAsia="Calibri"/>
                <w:b/>
                <w:sz w:val="18"/>
                <w:szCs w:val="18"/>
              </w:rPr>
              <w:t xml:space="preserve"> </w:t>
            </w:r>
            <w:r w:rsidRPr="00D27467">
              <w:rPr>
                <w:rFonts w:eastAsia="Calibri"/>
                <w:b/>
                <w:sz w:val="18"/>
                <w:szCs w:val="18"/>
              </w:rPr>
              <w:t>not accepted</w:t>
            </w:r>
          </w:p>
        </w:tc>
      </w:tr>
      <w:tr w:rsidR="00460079" w:rsidRPr="00D27467" w:rsidTr="00E96E7F">
        <w:trPr>
          <w:trHeight w:val="20"/>
        </w:trPr>
        <w:tc>
          <w:tcPr>
            <w:tcW w:w="562" w:type="dxa"/>
            <w:tcBorders>
              <w:top w:val="double" w:sz="4" w:space="0" w:color="4E1A74"/>
            </w:tcBorders>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w:t>
            </w:r>
          </w:p>
        </w:tc>
        <w:tc>
          <w:tcPr>
            <w:tcW w:w="1417" w:type="dxa"/>
            <w:tcBorders>
              <w:top w:val="doub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Jeff Carter</w:t>
            </w:r>
          </w:p>
        </w:tc>
        <w:tc>
          <w:tcPr>
            <w:tcW w:w="1134" w:type="dxa"/>
            <w:tcBorders>
              <w:top w:val="double" w:sz="4" w:space="0" w:color="4E1A74"/>
            </w:tcBorders>
            <w:vAlign w:val="top"/>
          </w:tcPr>
          <w:p w:rsidR="00460079" w:rsidRPr="00D27467" w:rsidRDefault="00460079" w:rsidP="008970CA">
            <w:pPr>
              <w:spacing w:before="0" w:after="0"/>
              <w:ind w:left="34"/>
              <w:jc w:val="left"/>
              <w:rPr>
                <w:rFonts w:eastAsia="Calibri"/>
                <w:sz w:val="18"/>
                <w:szCs w:val="18"/>
              </w:rPr>
            </w:pPr>
          </w:p>
        </w:tc>
        <w:tc>
          <w:tcPr>
            <w:tcW w:w="2977" w:type="dxa"/>
            <w:tcBorders>
              <w:top w:val="doub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 put to you (ARPANSA), that through this invitation to the public, you are attempting a smoke-screen regarding the 'worst danger' which is not addressed in the above publication.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worst danger I believe, alongside the view of many others who have researched the subject of EMF exposure…</w:t>
            </w:r>
          </w:p>
        </w:tc>
        <w:tc>
          <w:tcPr>
            <w:tcW w:w="2269" w:type="dxa"/>
            <w:tcBorders>
              <w:top w:val="double" w:sz="4" w:space="0" w:color="4E1A74"/>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top w:val="double" w:sz="4" w:space="0" w:color="4E1A74"/>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tcBorders>
              <w:top w:val="doub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5" w:type="dxa"/>
            <w:tcBorders>
              <w:top w:val="doub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tcBorders>
              <w:top w:val="double" w:sz="4" w:space="0" w:color="4E1A74"/>
            </w:tcBorders>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Comment not adopted. </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 relevant to scope of the proposed Guide which is ionising radiation.</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Rick O’Brien </w:t>
            </w: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Scope – Lines 25-27</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pacing w:val="-2"/>
                <w:sz w:val="18"/>
                <w:szCs w:val="18"/>
              </w:rPr>
            </w:pPr>
            <w:r w:rsidRPr="00D27467">
              <w:rPr>
                <w:rFonts w:eastAsia="Calibri"/>
                <w:spacing w:val="-2"/>
                <w:sz w:val="18"/>
                <w:szCs w:val="18"/>
              </w:rPr>
              <w:t>These lines refer to situations on which a decision (i.e. that they do not meet current radiation protection standards) has already been made. Such situations, according to lines 20-22, may not be existing exposure situations. There is a potential inconsistency here.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The meaning is consistent with GSR Part 3 and ICRP 103.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pacing w:val="-2"/>
                <w:sz w:val="18"/>
                <w:szCs w:val="18"/>
              </w:rPr>
            </w:pPr>
            <w:r w:rsidRPr="00D27467">
              <w:rPr>
                <w:rFonts w:eastAsia="Calibri"/>
                <w:b/>
                <w:spacing w:val="-2"/>
                <w:sz w:val="18"/>
                <w:szCs w:val="18"/>
              </w:rPr>
              <w:t>Scope – Lines 30-32</w:t>
            </w:r>
          </w:p>
          <w:p w:rsidR="00460079" w:rsidRPr="00D27467" w:rsidRDefault="00460079" w:rsidP="008970CA">
            <w:pPr>
              <w:spacing w:before="0" w:after="0"/>
              <w:ind w:left="34"/>
              <w:jc w:val="left"/>
              <w:rPr>
                <w:rFonts w:eastAsia="Calibri"/>
                <w:b/>
                <w:spacing w:val="-2"/>
                <w:sz w:val="18"/>
                <w:szCs w:val="18"/>
              </w:rPr>
            </w:pPr>
          </w:p>
        </w:tc>
        <w:tc>
          <w:tcPr>
            <w:tcW w:w="2977" w:type="dxa"/>
            <w:vAlign w:val="top"/>
          </w:tcPr>
          <w:p w:rsidR="00460079" w:rsidRPr="00D27467" w:rsidRDefault="00460079" w:rsidP="008970CA">
            <w:pPr>
              <w:spacing w:before="0" w:after="0"/>
              <w:ind w:left="34"/>
              <w:jc w:val="left"/>
              <w:rPr>
                <w:rFonts w:eastAsia="Calibri"/>
                <w:spacing w:val="-2"/>
                <w:sz w:val="18"/>
                <w:szCs w:val="18"/>
              </w:rPr>
            </w:pPr>
            <w:r w:rsidRPr="00D27467">
              <w:rPr>
                <w:rFonts w:eastAsia="Calibri"/>
                <w:spacing w:val="-2"/>
                <w:sz w:val="18"/>
                <w:szCs w:val="18"/>
              </w:rPr>
              <w:t>The cross-reference “(a) above” is incorrect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Corrected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pacing w:val="-2"/>
                <w:sz w:val="18"/>
                <w:szCs w:val="18"/>
              </w:rPr>
            </w:pPr>
            <w:r w:rsidRPr="00D27467">
              <w:rPr>
                <w:rFonts w:eastAsia="Calibri"/>
                <w:b/>
                <w:spacing w:val="-2"/>
                <w:sz w:val="18"/>
                <w:szCs w:val="18"/>
              </w:rPr>
              <w:t>Scope – Lines 41-43</w:t>
            </w:r>
          </w:p>
        </w:tc>
        <w:tc>
          <w:tcPr>
            <w:tcW w:w="2977" w:type="dxa"/>
            <w:vAlign w:val="top"/>
          </w:tcPr>
          <w:p w:rsidR="00460079" w:rsidRPr="00D27467" w:rsidRDefault="00460079" w:rsidP="008970CA">
            <w:pPr>
              <w:spacing w:before="0" w:after="0"/>
              <w:ind w:left="34"/>
              <w:jc w:val="left"/>
              <w:rPr>
                <w:rFonts w:eastAsia="Calibri"/>
                <w:spacing w:val="-2"/>
                <w:sz w:val="18"/>
                <w:szCs w:val="18"/>
              </w:rPr>
            </w:pPr>
            <w:r w:rsidRPr="00D27467">
              <w:rPr>
                <w:rFonts w:eastAsia="Calibri"/>
                <w:spacing w:val="-2"/>
                <w:sz w:val="18"/>
                <w:szCs w:val="18"/>
              </w:rPr>
              <w:t>The cross-reference “(c)(ii) above” is incorrect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Corrected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pacing w:val="-2"/>
                <w:sz w:val="18"/>
                <w:szCs w:val="18"/>
              </w:rPr>
            </w:pPr>
            <w:r w:rsidRPr="00D27467">
              <w:rPr>
                <w:rFonts w:eastAsia="Calibri"/>
                <w:b/>
                <w:spacing w:val="-2"/>
                <w:sz w:val="18"/>
                <w:szCs w:val="18"/>
              </w:rPr>
              <w:t>Section 2.2 – Line 125</w:t>
            </w:r>
          </w:p>
          <w:p w:rsidR="00460079" w:rsidRPr="00D27467" w:rsidRDefault="00460079" w:rsidP="008970CA">
            <w:pPr>
              <w:spacing w:before="0" w:after="0"/>
              <w:ind w:left="34"/>
              <w:jc w:val="left"/>
              <w:rPr>
                <w:rFonts w:eastAsia="Calibri"/>
                <w:b/>
                <w:spacing w:val="-2"/>
                <w:sz w:val="18"/>
                <w:szCs w:val="18"/>
              </w:rPr>
            </w:pPr>
          </w:p>
        </w:tc>
        <w:tc>
          <w:tcPr>
            <w:tcW w:w="2977" w:type="dxa"/>
            <w:vAlign w:val="top"/>
          </w:tcPr>
          <w:p w:rsidR="00460079" w:rsidRPr="00D27467" w:rsidRDefault="00460079" w:rsidP="008970CA">
            <w:pPr>
              <w:spacing w:before="0" w:after="0"/>
              <w:ind w:left="34"/>
              <w:jc w:val="left"/>
              <w:rPr>
                <w:rFonts w:eastAsia="Calibri"/>
                <w:spacing w:val="-2"/>
                <w:sz w:val="18"/>
                <w:szCs w:val="18"/>
              </w:rPr>
            </w:pPr>
            <w:r w:rsidRPr="00D27467">
              <w:rPr>
                <w:rFonts w:eastAsia="Calibri"/>
                <w:spacing w:val="-2"/>
                <w:sz w:val="18"/>
                <w:szCs w:val="18"/>
              </w:rPr>
              <w:t>There is no definition of NORM in the document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Definition of NORM has been added.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2.2 – Line 150</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Exposures should be characterised in terms of the nature of the exposure, the risks and benefits, to humans and the environment, associated with the exposure, and the practicability of reducing or preventing exposures.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It is the net benefit that is important, not just the benefit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Addition of ‘net’ to benefits.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Figure 2.2</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clearly shows the difficulty associated with the expanded definition of existing exposure for naturally occurring radionuclides. An exposure situation can exist, but not be an existing exposure situation. This is self-contradictory.</w:t>
            </w:r>
          </w:p>
          <w:p w:rsidR="008970CA" w:rsidRPr="008970CA" w:rsidRDefault="00460079" w:rsidP="008970CA">
            <w:pPr>
              <w:spacing w:before="0" w:after="0"/>
              <w:ind w:left="34"/>
              <w:jc w:val="left"/>
              <w:rPr>
                <w:rFonts w:eastAsia="Calibri"/>
                <w:sz w:val="18"/>
                <w:szCs w:val="18"/>
              </w:rPr>
            </w:pPr>
            <w:r w:rsidRPr="00D27467">
              <w:rPr>
                <w:rFonts w:eastAsia="Calibri"/>
                <w:sz w:val="18"/>
                <w:szCs w:val="18"/>
              </w:rPr>
              <w:t>(all actual exposures exist, in the normally accepted meaning of the word exist)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Figure 2.2 has been modified.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159-161</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While it is acknowledged that following international best practice is a desirable aim, it is questionable whether the approach to existing exposure situations outlined in GSR Part 3 should be considered as international best practice. A major weakness with this approach is the separation between planned and existing exposure situations on the basis of activity concentration only, with no consideration given to the other variables in the exposure situation, such as time of exposure, </w:t>
            </w:r>
            <w:r w:rsidRPr="00D27467">
              <w:rPr>
                <w:rFonts w:eastAsia="Calibri"/>
                <w:sz w:val="18"/>
                <w:szCs w:val="18"/>
              </w:rPr>
              <w:lastRenderedPageBreak/>
              <w:t>etc. This can lead to false negative conclusions in the sense that an exposure situation can be determined to be an existing exposure situation when a dose or impact assessment shows that the situation should be treated as a planned exposure situation.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raises the question as to whether the aim is to optimise risk (in terms of harm) or minimise financial cost.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179-182</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See previous comment.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187-189</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Also need to consider environmental exposures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Consideration of environmental exposure has been added.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200-208</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Same as previous comment – reference levels also need to be specified for non-human biota.</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Addition of biota to the following lines: </w:t>
            </w: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Line 203 …all individuals and </w:t>
            </w:r>
            <w:r w:rsidRPr="00D27467">
              <w:rPr>
                <w:rFonts w:eastAsia="Calibri"/>
                <w:color w:val="FF0000"/>
                <w:sz w:val="18"/>
                <w:szCs w:val="18"/>
              </w:rPr>
              <w:t>biota</w:t>
            </w:r>
            <w:r w:rsidRPr="00D27467">
              <w:rPr>
                <w:rFonts w:eastAsia="Calibri"/>
                <w:sz w:val="18"/>
                <w:szCs w:val="18"/>
              </w:rPr>
              <w:t xml:space="preserve"> subject to…</w:t>
            </w:r>
          </w:p>
          <w:p w:rsidR="00460079" w:rsidRPr="00D27467" w:rsidRDefault="00460079" w:rsidP="00B403B5">
            <w:pPr>
              <w:spacing w:before="0" w:after="0"/>
              <w:jc w:val="left"/>
              <w:rPr>
                <w:rFonts w:eastAsia="Calibri"/>
                <w:sz w:val="18"/>
                <w:szCs w:val="18"/>
              </w:rPr>
            </w:pPr>
            <w:r w:rsidRPr="00D27467">
              <w:rPr>
                <w:rFonts w:eastAsia="Calibri"/>
                <w:sz w:val="18"/>
                <w:szCs w:val="18"/>
              </w:rPr>
              <w:t>Line 207 …</w:t>
            </w:r>
            <w:r w:rsidRPr="00D27467">
              <w:rPr>
                <w:sz w:val="18"/>
                <w:szCs w:val="18"/>
              </w:rPr>
              <w:t xml:space="preserve"> </w:t>
            </w:r>
            <w:r w:rsidRPr="00D27467">
              <w:rPr>
                <w:rFonts w:eastAsia="Calibri"/>
                <w:sz w:val="18"/>
                <w:szCs w:val="18"/>
              </w:rPr>
              <w:t xml:space="preserve">situations in the past… </w:t>
            </w:r>
            <w:r w:rsidRPr="00D27467">
              <w:rPr>
                <w:rFonts w:eastAsia="Calibri"/>
                <w:color w:val="FF0000"/>
                <w:sz w:val="18"/>
                <w:szCs w:val="18"/>
              </w:rPr>
              <w:t>For biota, general guidance outlined in RPS G-1 can be applied, as appropriate.</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206</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Representative person is not defined in the document.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Definition added to glossary.</w:t>
            </w: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Definition of reference biota has also been added to glossary.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13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8970CA" w:rsidRDefault="00460079" w:rsidP="008970CA">
            <w:pPr>
              <w:spacing w:before="0"/>
              <w:ind w:left="34"/>
              <w:jc w:val="left"/>
              <w:rPr>
                <w:b/>
                <w:sz w:val="18"/>
                <w:szCs w:val="18"/>
              </w:rPr>
            </w:pPr>
            <w:r w:rsidRPr="008970CA">
              <w:rPr>
                <w:b/>
                <w:sz w:val="18"/>
                <w:szCs w:val="18"/>
              </w:rPr>
              <w:t>Lines 222-223</w:t>
            </w:r>
          </w:p>
          <w:p w:rsidR="00460079" w:rsidRPr="008970CA" w:rsidRDefault="00460079" w:rsidP="008970CA">
            <w:pPr>
              <w:spacing w:before="0"/>
              <w:ind w:left="34"/>
              <w:jc w:val="left"/>
              <w:rPr>
                <w:b/>
                <w:sz w:val="18"/>
                <w:szCs w:val="18"/>
              </w:rPr>
            </w:pPr>
          </w:p>
        </w:tc>
        <w:tc>
          <w:tcPr>
            <w:tcW w:w="2977" w:type="dxa"/>
            <w:vAlign w:val="top"/>
          </w:tcPr>
          <w:p w:rsidR="00460079" w:rsidRPr="008970CA" w:rsidRDefault="00460079" w:rsidP="008970CA">
            <w:pPr>
              <w:spacing w:before="0"/>
              <w:ind w:left="34"/>
              <w:jc w:val="left"/>
              <w:rPr>
                <w:sz w:val="18"/>
                <w:szCs w:val="18"/>
              </w:rPr>
            </w:pPr>
            <w:r w:rsidRPr="008970CA">
              <w:rPr>
                <w:sz w:val="18"/>
                <w:szCs w:val="18"/>
              </w:rPr>
              <w:t>It may not be possible to establish post-remedial restrictions (if any) until the remediation has been carried out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Addition of ‘and ongoing review of’ to Line 223 …The establishment </w:t>
            </w:r>
            <w:r w:rsidRPr="00D27467">
              <w:rPr>
                <w:rFonts w:eastAsia="Calibri"/>
                <w:color w:val="FF0000"/>
                <w:sz w:val="18"/>
                <w:szCs w:val="18"/>
              </w:rPr>
              <w:t>and ongoing review of</w:t>
            </w:r>
            <w:r w:rsidRPr="00D27467">
              <w:rPr>
                <w:rFonts w:eastAsia="Calibri"/>
                <w:sz w:val="18"/>
                <w:szCs w:val="18"/>
              </w:rPr>
              <w:t xml:space="preserve">…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8970CA" w:rsidRDefault="00460079" w:rsidP="008970CA">
            <w:pPr>
              <w:spacing w:before="0"/>
              <w:ind w:left="34"/>
              <w:jc w:val="left"/>
              <w:rPr>
                <w:b/>
                <w:sz w:val="18"/>
                <w:szCs w:val="18"/>
              </w:rPr>
            </w:pPr>
            <w:r w:rsidRPr="008970CA">
              <w:rPr>
                <w:b/>
                <w:sz w:val="18"/>
                <w:szCs w:val="18"/>
              </w:rPr>
              <w:t>Lines 236-238</w:t>
            </w:r>
          </w:p>
          <w:p w:rsidR="00460079" w:rsidRPr="008970CA" w:rsidRDefault="00460079" w:rsidP="008970CA">
            <w:pPr>
              <w:spacing w:before="0"/>
              <w:ind w:left="34"/>
              <w:jc w:val="left"/>
              <w:rPr>
                <w:b/>
                <w:sz w:val="18"/>
                <w:szCs w:val="18"/>
              </w:rPr>
            </w:pPr>
          </w:p>
        </w:tc>
        <w:tc>
          <w:tcPr>
            <w:tcW w:w="2977" w:type="dxa"/>
            <w:vAlign w:val="top"/>
          </w:tcPr>
          <w:p w:rsidR="00460079" w:rsidRPr="008970CA" w:rsidRDefault="00460079" w:rsidP="008970CA">
            <w:pPr>
              <w:spacing w:before="0"/>
              <w:ind w:left="34"/>
              <w:jc w:val="left"/>
              <w:rPr>
                <w:sz w:val="18"/>
                <w:szCs w:val="18"/>
              </w:rPr>
            </w:pPr>
            <w:r w:rsidRPr="008970CA">
              <w:rPr>
                <w:sz w:val="18"/>
                <w:szCs w:val="18"/>
              </w:rPr>
              <w:t>(b)</w:t>
            </w:r>
            <w:r w:rsidRPr="008970CA">
              <w:rPr>
                <w:sz w:val="18"/>
                <w:szCs w:val="18"/>
              </w:rPr>
              <w:tab/>
              <w:t>the remedial action plan is aimed at the timely and progressive reduction of the radiation risks and, if possible, the removal of restrictions on the use of or access to the area</w:t>
            </w:r>
          </w:p>
        </w:tc>
        <w:tc>
          <w:tcPr>
            <w:tcW w:w="2269" w:type="dxa"/>
            <w:tcBorders>
              <w:right w:val="triple" w:sz="4" w:space="0" w:color="4E1A74"/>
            </w:tcBorders>
            <w:vAlign w:val="top"/>
          </w:tcPr>
          <w:p w:rsidR="00460079" w:rsidRPr="008970CA" w:rsidRDefault="00460079" w:rsidP="008970CA">
            <w:pPr>
              <w:spacing w:before="0"/>
              <w:ind w:left="34"/>
              <w:jc w:val="left"/>
              <w:rPr>
                <w:sz w:val="18"/>
                <w:szCs w:val="18"/>
              </w:rPr>
            </w:pPr>
            <w:r w:rsidRPr="008970CA">
              <w:rPr>
                <w:sz w:val="18"/>
                <w:szCs w:val="18"/>
              </w:rPr>
              <w:t xml:space="preserve">For clarity. </w:t>
            </w:r>
          </w:p>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254</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exposure situation being remediated may not be an existing exposure situation. This is a good example of how the term existing exposure (as defined in GSR Part3) is confusing. For an exposure situation to require remediation it must exist, but it may not be an existing exposure situation, which is inconsistent.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3.2.9, Part (c) (</w:t>
            </w:r>
            <w:proofErr w:type="spellStart"/>
            <w:r w:rsidRPr="00D27467">
              <w:rPr>
                <w:rFonts w:eastAsia="Calibri"/>
                <w:b/>
                <w:sz w:val="18"/>
                <w:szCs w:val="18"/>
              </w:rPr>
              <w:t>i</w:t>
            </w:r>
            <w:proofErr w:type="spellEnd"/>
            <w:r w:rsidRPr="00D27467">
              <w:rPr>
                <w:rFonts w:eastAsia="Calibri"/>
                <w:b/>
                <w:sz w:val="18"/>
                <w:szCs w:val="18"/>
              </w:rPr>
              <w:t>)</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If the remedial end point conditions have been met, any remaining radioactive material should be unlikely to pose any significant hazard. If the site being remediated is such that inadvertent exposure is highly unlikely, the end point conditions can reflect this.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For clarity addition of text has been added to Line 293.</w:t>
            </w: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…Access by unauthorised persons </w:t>
            </w:r>
            <w:r w:rsidRPr="00D27467">
              <w:rPr>
                <w:rFonts w:eastAsia="Calibri"/>
                <w:color w:val="FF0000"/>
                <w:sz w:val="18"/>
                <w:szCs w:val="18"/>
              </w:rPr>
              <w:t>or for unauthorised activities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3.2.12</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conditions prevailing after the completion of remedial actions should be considered to constitute the background radiation for the purpose of assessing the radiological </w:t>
            </w:r>
            <w:r w:rsidRPr="00D27467">
              <w:rPr>
                <w:rFonts w:eastAsia="Calibri"/>
                <w:sz w:val="18"/>
                <w:szCs w:val="18"/>
              </w:rPr>
              <w:lastRenderedPageBreak/>
              <w:t>impact resulting from any future use of the site.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This is valid whether or not restrictions or controls on the future use of the site are imposed after remediation</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Modification of text for Section 3.2.12, ‘The conditions prevailing after the completion of remedial actions, if no restriction or </w:t>
            </w:r>
            <w:r w:rsidRPr="00D27467">
              <w:rPr>
                <w:rFonts w:eastAsia="Calibri"/>
                <w:sz w:val="18"/>
                <w:szCs w:val="18"/>
              </w:rPr>
              <w:lastRenderedPageBreak/>
              <w:t xml:space="preserve">controls have been imposed, should be considered to constitute the background radiation for </w:t>
            </w:r>
            <w:r w:rsidRPr="00D27467">
              <w:rPr>
                <w:rFonts w:eastAsia="Calibri"/>
                <w:color w:val="FF0000"/>
                <w:sz w:val="18"/>
                <w:szCs w:val="18"/>
              </w:rPr>
              <w:t>the purpose of assessing the radiological impact resulting from any future use of the site.</w:t>
            </w:r>
            <w:r w:rsidRPr="00D27467">
              <w:rPr>
                <w:rFonts w:eastAsia="Calibri"/>
                <w:sz w:val="18"/>
                <w:szCs w:val="18"/>
              </w:rPr>
              <w:t>’</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18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3.2.14 (b), (c) and (d)</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As this document is a safety guide, some advice on possible methods for implementing the “requirements” set out in these three sections should be provided.</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jc w:val="left"/>
              <w:rPr>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(b), (c) and (d) are not requirements but guidance only. This guidance should be considered when activity concentrations of radon are of concern for the public.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Sections 3.2.16 and 3.2.17</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Text needs to be added to show the relevance of these two sections. As written these two sections are not connected to the rest of the document.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jc w:val="left"/>
              <w:rPr>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3.3.6</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sentence in this section is grammatically incomplete.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4. Lines 433-440</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If an exposure situation involving naturally occurring radionuclides is defined as an existing exposure situation when the activity concentration of each member of the uranium and thorium decay chains is less than 1 </w:t>
            </w:r>
            <w:proofErr w:type="spellStart"/>
            <w:r w:rsidRPr="00D27467">
              <w:rPr>
                <w:rFonts w:eastAsia="Calibri"/>
                <w:sz w:val="18"/>
                <w:szCs w:val="18"/>
              </w:rPr>
              <w:t>Bq</w:t>
            </w:r>
            <w:proofErr w:type="spellEnd"/>
            <w:r w:rsidRPr="00D27467">
              <w:rPr>
                <w:rFonts w:eastAsia="Calibri"/>
                <w:sz w:val="18"/>
                <w:szCs w:val="18"/>
              </w:rPr>
              <w:t xml:space="preserve">/g and the activity concentration of potassium-40 is less than 10 </w:t>
            </w:r>
            <w:proofErr w:type="spellStart"/>
            <w:r w:rsidRPr="00D27467">
              <w:rPr>
                <w:rFonts w:eastAsia="Calibri"/>
                <w:sz w:val="18"/>
                <w:szCs w:val="18"/>
              </w:rPr>
              <w:t>Bq</w:t>
            </w:r>
            <w:proofErr w:type="spellEnd"/>
            <w:r w:rsidRPr="00D27467">
              <w:rPr>
                <w:rFonts w:eastAsia="Calibri"/>
                <w:sz w:val="18"/>
                <w:szCs w:val="18"/>
              </w:rPr>
              <w:t xml:space="preserve">/g, all that is required is to measure the relevant activity concentrations. However, since the resulting dose can depend on factors other than the activity concentrations of those </w:t>
            </w:r>
            <w:r w:rsidRPr="00D27467">
              <w:rPr>
                <w:rFonts w:eastAsia="Calibri"/>
                <w:sz w:val="18"/>
                <w:szCs w:val="18"/>
              </w:rPr>
              <w:lastRenderedPageBreak/>
              <w:t>radionuclides present, measurement of activity concentrations does not address the problems mentioned in earlier comments.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Comment not accepted. </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471-472</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remediation process should take into account the relevant aspects of planned exposure situations as described in the Planned Exposure Code, RPS C-1.</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sentence as written in the draft is incomplete.</w:t>
            </w:r>
          </w:p>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4.4</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requirements specified in lines 508-509 and 510-512 are contradictory.</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jc w:val="left"/>
              <w:rPr>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Section 4.4</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requirements in lines 526-528 and 529-531 are also contradictory</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jc w:val="left"/>
              <w:rPr>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506-528</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See earlier comments about consistency. (Comment 8 and Comment 16)</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ANNEX A: Lines 578-579:last line of table</w:t>
            </w: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Radionuclides of natural origin in bulk material</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775</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Exemption should also take into account the likelihood that the conditions that justify the exemption will remain valid under all reasonably foreseeable circumstances.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Consistent with definition of ARPANSA RPS C-1.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791</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graded approach should be based simply on the level of risk, regardless of whether there is a loss of control.</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Consistent with ARPANSA F-1.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29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822-823</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This definition is of natural background confusing, because it makes no distinction between exposures that arise as a result of natural processes (and which may </w:t>
            </w:r>
            <w:r w:rsidRPr="00D27467">
              <w:rPr>
                <w:rFonts w:eastAsia="Calibri"/>
                <w:sz w:val="18"/>
                <w:szCs w:val="18"/>
              </w:rPr>
              <w:lastRenderedPageBreak/>
              <w:t>not be amenable to control), and those which arise as a result of human actions (and which are always amenable to control).</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839</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Replace “social factors” by “societal factors”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For consistency with lines 243-245 and lines 499-500.</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852-855</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use of the phrase “the network of exposure pathways from existing sources” exemplifies the confusion associated with the use of the term “existing exposure” – the meaning of the word existing when applied to a source is quite different from the meaning when applied to an exposure.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Consistent with definition of ARPANSA RPS C-1.</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853</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t>
            </w:r>
            <w:proofErr w:type="gramStart"/>
            <w:r w:rsidRPr="00D27467">
              <w:rPr>
                <w:rFonts w:eastAsia="Calibri"/>
                <w:sz w:val="18"/>
                <w:szCs w:val="18"/>
              </w:rPr>
              <w:t>exposure</w:t>
            </w:r>
            <w:proofErr w:type="gramEnd"/>
            <w:r w:rsidRPr="00D27467">
              <w:rPr>
                <w:rFonts w:eastAsia="Calibri"/>
                <w:sz w:val="18"/>
                <w:szCs w:val="18"/>
              </w:rPr>
              <w:t xml:space="preserve"> pathway” is not defined in this document.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971-975</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Defining a product or residue from the processing of minerals as a natural source is confusing, because these materials arise as a result of human action, not natural processes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Consistent with definition of ARPANSA RPS C-1.</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 xml:space="preserve">General comment </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With the approach described in this guide it is possible for members of the public to receive higher doses from non-uranium-mining actions that from uranium mining. This makes no sense.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General comment</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Much of this document reads more like a code of practice than a safety guide.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36</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Che Doering – Department of the Environment and Energy – Supervising Scientist </w:t>
            </w: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Lines 24–44</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Change the bullet points to (a), (b) and (c), and the bullet dashes to (</w:t>
            </w:r>
            <w:proofErr w:type="spellStart"/>
            <w:r w:rsidRPr="00D27467">
              <w:rPr>
                <w:rFonts w:eastAsia="Calibri"/>
                <w:sz w:val="18"/>
                <w:szCs w:val="18"/>
              </w:rPr>
              <w:t>i</w:t>
            </w:r>
            <w:proofErr w:type="spellEnd"/>
            <w:r w:rsidRPr="00D27467">
              <w:rPr>
                <w:rFonts w:eastAsia="Calibri"/>
                <w:sz w:val="18"/>
                <w:szCs w:val="18"/>
              </w:rPr>
              <w:t>), (ii), (iii), etc.</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31 refers to “…material stated in (a) above…”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41 refers to “material, other than those stated in (c</w:t>
            </w:r>
            <w:proofErr w:type="gramStart"/>
            <w:r w:rsidRPr="00D27467">
              <w:rPr>
                <w:rFonts w:eastAsia="Calibri"/>
                <w:sz w:val="18"/>
                <w:szCs w:val="18"/>
              </w:rPr>
              <w:t>)(</w:t>
            </w:r>
            <w:proofErr w:type="gramEnd"/>
            <w:r w:rsidRPr="00D27467">
              <w:rPr>
                <w:rFonts w:eastAsia="Calibri"/>
                <w:sz w:val="18"/>
                <w:szCs w:val="18"/>
              </w:rPr>
              <w:t>ii) above…”</w:t>
            </w:r>
          </w:p>
          <w:p w:rsidR="00460079" w:rsidRPr="00D27467" w:rsidRDefault="00460079" w:rsidP="008970CA">
            <w:pPr>
              <w:spacing w:before="0" w:after="0"/>
              <w:jc w:val="left"/>
              <w:rPr>
                <w:rFonts w:eastAsia="Calibri"/>
                <w:sz w:val="18"/>
                <w:szCs w:val="18"/>
              </w:rPr>
            </w:pPr>
            <w:r w:rsidRPr="00D27467">
              <w:rPr>
                <w:rFonts w:eastAsia="Calibri"/>
                <w:sz w:val="18"/>
                <w:szCs w:val="18"/>
              </w:rPr>
              <w:lastRenderedPageBreak/>
              <w:t>Line 213 refers to “Section 1.4(a)”</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lastRenderedPageBreak/>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61</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Appendix 3 provides a list of international guidance documents on existing exposure situations.</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What is currently written at line 61 is a little misleading. I was expecting Appendix 3 to provide some sort of summary of international guidance on existing exposure situations, but it is only a document list.</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3B798D" w:rsidP="008970CA">
            <w:pPr>
              <w:spacing w:before="0" w:after="0"/>
              <w:ind w:left="34"/>
              <w:jc w:val="left"/>
              <w:rPr>
                <w:rFonts w:eastAsia="Calibri"/>
                <w:sz w:val="18"/>
                <w:szCs w:val="18"/>
              </w:rPr>
            </w:pPr>
            <w:r>
              <w:rPr>
                <w:rFonts w:eastAsia="Calibri"/>
                <w:sz w:val="18"/>
                <w:szCs w:val="18"/>
              </w:rPr>
              <w:t>Comment not adopted</w:t>
            </w:r>
          </w:p>
        </w:tc>
        <w:tc>
          <w:tcPr>
            <w:tcW w:w="2693" w:type="dxa"/>
            <w:vAlign w:val="top"/>
          </w:tcPr>
          <w:p w:rsidR="00460079" w:rsidRPr="00D27467" w:rsidRDefault="003B798D" w:rsidP="00B403B5">
            <w:pPr>
              <w:spacing w:before="0" w:after="0"/>
              <w:jc w:val="left"/>
              <w:rPr>
                <w:rFonts w:eastAsia="Calibri"/>
                <w:sz w:val="18"/>
                <w:szCs w:val="18"/>
              </w:rPr>
            </w:pPr>
            <w:r>
              <w:rPr>
                <w:rFonts w:eastAsia="Calibri"/>
                <w:sz w:val="18"/>
                <w:szCs w:val="18"/>
              </w:rPr>
              <w:t>Appendix 3 has been deleted</w:t>
            </w:r>
            <w:r w:rsidR="00460079" w:rsidRPr="00D27467">
              <w:rPr>
                <w:rFonts w:eastAsia="Calibri"/>
                <w:sz w:val="18"/>
                <w:szCs w:val="18"/>
              </w:rPr>
              <w:t>.</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78-79</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Reference for GSR Part 3 should be included in this sentence, i.e. (IAEA 2014).</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Makes sense to do so.</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84–85</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optimisation (that actual exposure, likelihood of exposures and number of exposed persons should be as low as reasonably achievable, </w:t>
            </w:r>
            <w:r w:rsidRPr="00D27467">
              <w:rPr>
                <w:rFonts w:eastAsia="Calibri"/>
                <w:b/>
                <w:sz w:val="18"/>
                <w:szCs w:val="18"/>
              </w:rPr>
              <w:t>taking into account economic and societal factors</w:t>
            </w:r>
            <w:r w:rsidRPr="00D27467">
              <w:rPr>
                <w:rFonts w:eastAsia="Calibri"/>
                <w:sz w:val="18"/>
                <w:szCs w:val="18"/>
              </w:rPr>
              <w:t>)</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part about economic and societal factors should be included for consistency with ICRP recommendations, the IAEA GSR Part 3, the ARPANSA Fundamentals (F-1) and the definition of optimisation provided in the glossary.</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86</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proofErr w:type="gramStart"/>
            <w:r w:rsidRPr="00D27467">
              <w:rPr>
                <w:rFonts w:eastAsia="Calibri"/>
                <w:sz w:val="18"/>
                <w:szCs w:val="18"/>
              </w:rPr>
              <w:t>dose</w:t>
            </w:r>
            <w:proofErr w:type="gramEnd"/>
            <w:r w:rsidRPr="00D27467">
              <w:rPr>
                <w:rFonts w:eastAsia="Calibri"/>
                <w:sz w:val="18"/>
                <w:szCs w:val="18"/>
              </w:rPr>
              <w:t xml:space="preserve"> limits (levels of </w:t>
            </w:r>
            <w:r w:rsidRPr="00D27467">
              <w:rPr>
                <w:rFonts w:eastAsia="Calibri"/>
                <w:b/>
                <w:sz w:val="18"/>
                <w:szCs w:val="18"/>
              </w:rPr>
              <w:t>radiation dose</w:t>
            </w:r>
            <w:r w:rsidRPr="00D27467">
              <w:rPr>
                <w:rFonts w:eastAsia="Calibri"/>
                <w:sz w:val="18"/>
                <w:szCs w:val="18"/>
              </w:rPr>
              <w:t xml:space="preserve"> that must not, in normal circumstances, be exceeded).</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Exposure and dose is not the same thing.</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97–107</w:t>
            </w: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Environmental reference levels?</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Dose criteria for radiation protection of the environment seem to be missing.</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Addition of text to clarify …’the chosen value for a reference level will depend upon the prevailing circumstances of the exposure </w:t>
            </w:r>
            <w:r w:rsidRPr="00D27467">
              <w:rPr>
                <w:rFonts w:eastAsia="Calibri"/>
                <w:sz w:val="18"/>
                <w:szCs w:val="18"/>
              </w:rPr>
              <w:lastRenderedPageBreak/>
              <w:t xml:space="preserve">under consideration </w:t>
            </w:r>
            <w:r w:rsidRPr="00D27467">
              <w:rPr>
                <w:rFonts w:eastAsia="Calibri"/>
                <w:color w:val="FF0000"/>
                <w:sz w:val="18"/>
                <w:szCs w:val="18"/>
              </w:rPr>
              <w:t>for the public and biota</w:t>
            </w:r>
            <w:r w:rsidRPr="00D27467">
              <w:rPr>
                <w:rFonts w:eastAsia="Calibri"/>
                <w:sz w:val="18"/>
                <w:szCs w:val="18"/>
              </w:rPr>
              <w:t>…’</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41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168–169</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specify the </w:t>
            </w:r>
            <w:r w:rsidRPr="00D27467">
              <w:rPr>
                <w:rFonts w:eastAsia="Calibri"/>
                <w:b/>
                <w:sz w:val="18"/>
                <w:szCs w:val="18"/>
              </w:rPr>
              <w:t>types of</w:t>
            </w:r>
            <w:r w:rsidRPr="00D27467">
              <w:rPr>
                <w:rFonts w:eastAsia="Calibri"/>
                <w:sz w:val="18"/>
                <w:szCs w:val="18"/>
              </w:rPr>
              <w:t xml:space="preserve"> situations that are included in the scope of existing exposure situations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Makes more sense.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248–249</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 xml:space="preserve">Proposed new text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…and any subsequent public </w:t>
            </w:r>
            <w:r w:rsidRPr="00D27467">
              <w:rPr>
                <w:rFonts w:eastAsia="Calibri"/>
                <w:b/>
                <w:sz w:val="18"/>
                <w:szCs w:val="18"/>
              </w:rPr>
              <w:t>or environmental</w:t>
            </w:r>
            <w:r w:rsidRPr="00D27467">
              <w:rPr>
                <w:rFonts w:eastAsia="Calibri"/>
                <w:sz w:val="18"/>
                <w:szCs w:val="18"/>
              </w:rPr>
              <w:t xml:space="preserve"> exposure associated with its disposal are all taken into account.</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Environmental exposures should also be considered.</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297–298</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 the two instances of the word “should” from this sentence.</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Makes grammatical sense to do so.</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321</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no section 2.2.2.</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Typo, modified to 4.2.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339</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…actions to prevent the </w:t>
            </w:r>
            <w:r w:rsidRPr="00D27467">
              <w:rPr>
                <w:rFonts w:eastAsia="Calibri"/>
                <w:b/>
                <w:sz w:val="18"/>
                <w:szCs w:val="18"/>
              </w:rPr>
              <w:t>build-up</w:t>
            </w:r>
            <w:r w:rsidRPr="00D27467">
              <w:rPr>
                <w:rFonts w:eastAsia="Calibri"/>
                <w:sz w:val="18"/>
                <w:szCs w:val="18"/>
              </w:rPr>
              <w:t xml:space="preserve"> of 222Rn…</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It is not necessarily the ingress of radon in buildings that causes the problem, but its build-up due to poor ventilation or air exchange.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373</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 the reference to footnote number 8 from the end of this sentence.</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Because it’s not relevant to this sentence.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388</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Exposure of aircrew to cosmic radiation</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 the part about space crew from the heading as all text under this heading relates to aircrew only and Australia does not have a space program.</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48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389–390</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 determination should be made of whether an assessment of the exposure to aircrew due to cosmic radiation is warranted (see Section 2.2.3).</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sentence as it currently appears in the guide does not make sense.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49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390</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no section 2.2.3.</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Typo, modified text to read ‘4.3’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403</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Apply the requirements of clause </w:t>
            </w:r>
            <w:r w:rsidRPr="00D27467">
              <w:rPr>
                <w:rFonts w:eastAsia="Calibri"/>
                <w:b/>
                <w:sz w:val="18"/>
                <w:szCs w:val="18"/>
              </w:rPr>
              <w:t>3.2.12</w:t>
            </w:r>
            <w:r w:rsidRPr="00D27467">
              <w:rPr>
                <w:rFonts w:eastAsia="Calibri"/>
                <w:sz w:val="18"/>
                <w:szCs w:val="18"/>
              </w:rPr>
              <w:t xml:space="preserve"> in the Planned exposure Code…</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The sentence currently refers to clause 3.2.14 in the Planned Exposure Code, but there is no clause 3.2.14 that code.</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b/>
                <w:sz w:val="18"/>
                <w:szCs w:val="18"/>
              </w:rPr>
            </w:pPr>
            <w:r w:rsidRPr="00D27467">
              <w:rPr>
                <w:rFonts w:eastAsia="Calibri"/>
                <w:b/>
                <w:sz w:val="18"/>
                <w:szCs w:val="18"/>
              </w:rPr>
              <w:t>Line 877–878</w:t>
            </w:r>
          </w:p>
          <w:p w:rsidR="00460079" w:rsidRPr="00D27467" w:rsidRDefault="00460079" w:rsidP="008970CA">
            <w:pPr>
              <w:spacing w:before="0" w:after="0"/>
              <w:ind w:left="34"/>
              <w:jc w:val="left"/>
              <w:rPr>
                <w:rFonts w:eastAsia="Calibri"/>
                <w:b/>
                <w:sz w:val="18"/>
                <w:szCs w:val="18"/>
              </w:rPr>
            </w:pPr>
          </w:p>
        </w:tc>
        <w:tc>
          <w:tcPr>
            <w:tcW w:w="2977" w:type="dxa"/>
            <w:vAlign w:val="top"/>
          </w:tcPr>
          <w:p w:rsidR="00460079" w:rsidRPr="00D27467" w:rsidRDefault="00460079" w:rsidP="008970CA">
            <w:pPr>
              <w:spacing w:before="0" w:after="0"/>
              <w:ind w:left="34"/>
              <w:jc w:val="left"/>
              <w:rPr>
                <w:rFonts w:eastAsia="Calibri"/>
                <w:i/>
                <w:sz w:val="18"/>
                <w:szCs w:val="18"/>
              </w:rPr>
            </w:pPr>
            <w:r w:rsidRPr="00D27467">
              <w:rPr>
                <w:rFonts w:eastAsia="Calibri"/>
                <w:i/>
                <w:sz w:val="18"/>
                <w:szCs w:val="18"/>
              </w:rPr>
              <w:t>Proposed new text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protection of people </w:t>
            </w:r>
            <w:r w:rsidRPr="00D27467">
              <w:rPr>
                <w:rFonts w:eastAsia="Calibri"/>
                <w:b/>
                <w:sz w:val="18"/>
                <w:szCs w:val="18"/>
              </w:rPr>
              <w:t>and the environment</w:t>
            </w:r>
            <w:r w:rsidRPr="00D27467">
              <w:rPr>
                <w:rFonts w:eastAsia="Calibri"/>
                <w:sz w:val="18"/>
                <w:szCs w:val="18"/>
              </w:rPr>
              <w:t xml:space="preserve"> from harmful effects of exposure to ionising radiation, and the means for achieving this.</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Protection of the environment should be included within the definition of radiation protection.</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52</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Dr S. Newbery, Radiation Protection Unit, DHHS</w:t>
            </w: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Draft guide proposes a reference level for occupationally exposed flight crew of 10 mSv.  This is the top end of reference levels proposed by ICRP 132 (2016) of between 5 – 10 mSv.</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Measurement and measurement uncertainty of aircrew dose support the use of a reference level of 6 </w:t>
            </w:r>
            <w:proofErr w:type="spellStart"/>
            <w:r w:rsidRPr="00D27467">
              <w:rPr>
                <w:rFonts w:eastAsia="Calibri"/>
                <w:sz w:val="18"/>
                <w:szCs w:val="18"/>
              </w:rPr>
              <w:t>millisievert</w:t>
            </w:r>
            <w:proofErr w:type="spellEnd"/>
            <w:r w:rsidRPr="00D27467">
              <w:rPr>
                <w:rFonts w:eastAsia="Calibri"/>
                <w:sz w:val="18"/>
                <w:szCs w:val="18"/>
              </w:rPr>
              <w:t xml:space="preserve"> per annum.  This figure satisfies the ICRP definition regarding choice of a reference level, and is also prudent given the uncertainty of exposure from the mixed radiation field. </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requirement for dose records or the means of assessing aircrew exposure must be explicitly mentioned in the Draft guide together with the requirement to make those records available on request to crew. If crew approach or exceed the reference level they should be notified and given a copy of their dose record. In such cases airline operators must be required to put in place a plan to mitigate the dose to below the reference level.</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shd w:val="clear" w:color="auto" w:fill="FFFFFF"/>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shd w:val="clear" w:color="auto" w:fill="FFFFFF"/>
              </w:rPr>
            </w:pPr>
          </w:p>
        </w:tc>
        <w:tc>
          <w:tcPr>
            <w:tcW w:w="1276" w:type="dxa"/>
            <w:vAlign w:val="top"/>
          </w:tcPr>
          <w:p w:rsidR="00460079" w:rsidRPr="00D27467" w:rsidRDefault="00460079" w:rsidP="008970CA">
            <w:pPr>
              <w:spacing w:before="0" w:after="0"/>
              <w:ind w:left="34"/>
              <w:jc w:val="left"/>
              <w:rPr>
                <w:rFonts w:eastAsia="Calibri"/>
                <w:sz w:val="18"/>
                <w:szCs w:val="18"/>
                <w:shd w:val="clear" w:color="auto" w:fill="FFFFFF"/>
              </w:rPr>
            </w:pPr>
            <w:r w:rsidRPr="00D27467">
              <w:rPr>
                <w:rFonts w:eastAsia="Calibri"/>
                <w:sz w:val="18"/>
                <w:szCs w:val="18"/>
                <w:shd w:val="clear" w:color="auto" w:fill="FFFFFF"/>
              </w:rPr>
              <w:t>Accepted</w:t>
            </w:r>
          </w:p>
        </w:tc>
        <w:tc>
          <w:tcPr>
            <w:tcW w:w="1275" w:type="dxa"/>
            <w:vAlign w:val="top"/>
          </w:tcPr>
          <w:p w:rsidR="00460079" w:rsidRPr="00D27467" w:rsidRDefault="00460079" w:rsidP="008970CA">
            <w:pPr>
              <w:spacing w:before="0" w:after="0"/>
              <w:ind w:left="34"/>
              <w:jc w:val="left"/>
              <w:rPr>
                <w:rFonts w:eastAsia="Calibri"/>
                <w:sz w:val="18"/>
                <w:szCs w:val="18"/>
                <w:shd w:val="clear" w:color="auto" w:fill="FFFFFF"/>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shd w:val="clear" w:color="auto" w:fill="FFFFFF"/>
              </w:rPr>
            </w:pPr>
          </w:p>
          <w:p w:rsidR="00460079" w:rsidRPr="00D27467" w:rsidRDefault="00460079" w:rsidP="00B403B5">
            <w:pPr>
              <w:spacing w:before="0" w:after="0"/>
              <w:jc w:val="left"/>
              <w:rPr>
                <w:rFonts w:eastAsia="Calibri"/>
                <w:sz w:val="18"/>
                <w:szCs w:val="18"/>
                <w:shd w:val="clear" w:color="auto" w:fill="FFFFFF"/>
              </w:rPr>
            </w:pPr>
            <w:r w:rsidRPr="00D27467">
              <w:rPr>
                <w:rFonts w:eastAsia="Calibri"/>
                <w:sz w:val="18"/>
                <w:szCs w:val="18"/>
                <w:shd w:val="clear" w:color="auto" w:fill="FFFFFF"/>
              </w:rPr>
              <w:t xml:space="preserve">The reference level of aircrew has been revised down to 6 mSv per year.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Guidance</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It would seem necessary for airline operators to keep dose records or other pertinent assessments to enable the use of the reference level published in the guidance document.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placed in Section 4.3.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Other Comments</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“3.3.6 The determination of whether an assessment of the exposure to aircrew due to cosmic radiation is warranted.  It is expected that all domestic and long-haul crews would be subject to the requirements for assessment and appropriate record-keeping. However, for pilots of aircraft with a ceiling altitude below 20,000 </w:t>
            </w:r>
            <w:proofErr w:type="spellStart"/>
            <w:r w:rsidRPr="00D27467">
              <w:rPr>
                <w:rFonts w:eastAsia="Calibri"/>
                <w:sz w:val="18"/>
                <w:szCs w:val="18"/>
              </w:rPr>
              <w:t>ft</w:t>
            </w:r>
            <w:proofErr w:type="spellEnd"/>
            <w:r w:rsidRPr="00D27467">
              <w:rPr>
                <w:rFonts w:eastAsia="Calibri"/>
                <w:sz w:val="18"/>
                <w:szCs w:val="18"/>
              </w:rPr>
              <w:t>, further assessment is not warranted.”</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determination of whether an assessment of the exposure to aircrew due to cosmic radiation is warranted (see Section 2.2.3 typo? should be 3.2.3). </w:t>
            </w:r>
          </w:p>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and placed in Section 4.3.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55</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Captain (Ret) Ian Getley J.P. PhD, MSc, BSc(</w:t>
            </w:r>
            <w:proofErr w:type="spellStart"/>
            <w:r w:rsidRPr="00D27467">
              <w:rPr>
                <w:rFonts w:eastAsia="Calibri"/>
                <w:sz w:val="18"/>
                <w:szCs w:val="18"/>
              </w:rPr>
              <w:t>phys</w:t>
            </w:r>
            <w:proofErr w:type="spellEnd"/>
            <w:r w:rsidRPr="00D27467">
              <w:rPr>
                <w:rFonts w:eastAsia="Calibri"/>
                <w:sz w:val="18"/>
                <w:szCs w:val="18"/>
              </w:rPr>
              <w:t>)</w:t>
            </w: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changed of reference level</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6mSv not 10mSv for Australian Aircrew due to nature of their flying</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As a leading aviation radiation expert recognised by my scientific peers internationally and having represented the international pilot body (IFALPA) as regional vice president in Asia/Pacific </w:t>
            </w:r>
            <w:r w:rsidRPr="00D27467">
              <w:rPr>
                <w:rFonts w:eastAsia="Calibri"/>
                <w:sz w:val="18"/>
                <w:szCs w:val="18"/>
              </w:rPr>
              <w:lastRenderedPageBreak/>
              <w:t>and been in charge of their radiation committee from 2005- 2010, I can see no benefit to the aircrew body in Australia by an increase of these guidance levels.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In fact, conversely, I consider it a reduction in potential health benefits to the pilot and cabin crew group, especially in light of the fact of no regulatory compliance regulations and the increased flying in future years for Australian aircrew as outline in my introduction.</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shd w:val="clear" w:color="auto" w:fill="FFFFFF"/>
              </w:rPr>
            </w:pPr>
          </w:p>
          <w:p w:rsidR="00460079" w:rsidRPr="00D27467" w:rsidRDefault="00460079" w:rsidP="00B403B5">
            <w:pPr>
              <w:spacing w:before="0" w:after="0"/>
              <w:jc w:val="left"/>
              <w:rPr>
                <w:rFonts w:eastAsia="Calibri"/>
                <w:sz w:val="18"/>
                <w:szCs w:val="18"/>
              </w:rPr>
            </w:pPr>
            <w:r w:rsidRPr="00D27467">
              <w:rPr>
                <w:rFonts w:eastAsia="Calibri"/>
                <w:sz w:val="18"/>
                <w:szCs w:val="18"/>
                <w:shd w:val="clear" w:color="auto" w:fill="FFFFFF"/>
              </w:rPr>
              <w:t>The reference level of aircrew has been revised down to 6 mSv per year.</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56</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Captain Dick MacKerras, Technical, Safety and Regulatory Affairs Advisor on behalf of the Australian Airline Pilots’ Association</w:t>
            </w: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As much as we respect the research and policy recommendations of the International Commission on Radiological Protection (ICRP), we also recognise that attempting to separate and exclusively characterise exposures between “planned” and “existing” events cannot satisfy all situations and, therefore, careful consideration by ARPANSA must replace rote acceptance of ICRP recommendations. More broadly, </w:t>
            </w:r>
            <w:proofErr w:type="spellStart"/>
            <w:r w:rsidRPr="00D27467">
              <w:rPr>
                <w:rFonts w:eastAsia="Calibri"/>
                <w:sz w:val="18"/>
                <w:szCs w:val="18"/>
              </w:rPr>
              <w:t>AusALPA</w:t>
            </w:r>
            <w:proofErr w:type="spellEnd"/>
            <w:r w:rsidRPr="00D27467">
              <w:rPr>
                <w:rFonts w:eastAsia="Calibri"/>
                <w:sz w:val="18"/>
                <w:szCs w:val="18"/>
              </w:rPr>
              <w:t xml:space="preserve"> is concerned that ARPANSA may be surrendering its leadership role in radiation protection of air crew by recommending increased exposure monitoring levels to the point where exposure becomes trivialised.</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Please note that ARPANSA’s role is to promote national uniformity of radiation protection policy and practices across jurisdictions of the Commonwealth, the States and Territories, and provide advice on radiation protection and related issues. However, ARPANSA can only regulate Commonwealth entities.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spacing w:before="0" w:after="0"/>
              <w:ind w:left="34"/>
              <w:jc w:val="left"/>
              <w:rPr>
                <w:rFonts w:eastAsia="Calibri"/>
                <w:sz w:val="18"/>
                <w:szCs w:val="18"/>
              </w:rPr>
            </w:pPr>
            <w:proofErr w:type="spellStart"/>
            <w:r w:rsidRPr="00D27467">
              <w:rPr>
                <w:rFonts w:eastAsia="Calibri"/>
                <w:sz w:val="18"/>
                <w:szCs w:val="18"/>
              </w:rPr>
              <w:lastRenderedPageBreak/>
              <w:t>AusALPA</w:t>
            </w:r>
            <w:proofErr w:type="spellEnd"/>
            <w:r w:rsidRPr="00D27467">
              <w:rPr>
                <w:rFonts w:eastAsia="Calibri"/>
                <w:sz w:val="18"/>
                <w:szCs w:val="18"/>
              </w:rPr>
              <w:t xml:space="preserve"> believes that 6 mSv year</w:t>
            </w:r>
            <w:r w:rsidRPr="00D27467">
              <w:rPr>
                <w:rFonts w:eastAsia="Calibri"/>
                <w:sz w:val="18"/>
                <w:szCs w:val="18"/>
                <w:vertAlign w:val="superscript"/>
              </w:rPr>
              <w:t>-1</w:t>
            </w:r>
            <w:r w:rsidRPr="00D27467">
              <w:rPr>
                <w:rFonts w:eastAsia="Calibri"/>
                <w:sz w:val="18"/>
                <w:szCs w:val="18"/>
              </w:rPr>
              <w:t xml:space="preserve"> retains both national and international relevance and satisfies the ICRP principle “that the value can contribute meaningfully to the optimisation process”.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roofErr w:type="spellStart"/>
            <w:r w:rsidRPr="00D27467">
              <w:rPr>
                <w:rFonts w:eastAsia="Calibri"/>
                <w:sz w:val="18"/>
                <w:szCs w:val="18"/>
              </w:rPr>
              <w:lastRenderedPageBreak/>
              <w:t>AusALPA</w:t>
            </w:r>
            <w:proofErr w:type="spellEnd"/>
            <w:r w:rsidRPr="00D27467">
              <w:rPr>
                <w:rFonts w:eastAsia="Calibri"/>
                <w:sz w:val="18"/>
                <w:szCs w:val="18"/>
              </w:rPr>
              <w:t xml:space="preserve"> is advised that, of the limited aircrew </w:t>
            </w:r>
            <w:r w:rsidRPr="00D27467">
              <w:rPr>
                <w:rFonts w:eastAsia="Calibri"/>
                <w:sz w:val="18"/>
                <w:szCs w:val="18"/>
              </w:rPr>
              <w:lastRenderedPageBreak/>
              <w:t>population monitored in Australia, we have cohorts of pilots with exposures around 5.5-5.7 mSv year</w:t>
            </w:r>
            <w:r w:rsidRPr="00D27467">
              <w:rPr>
                <w:rFonts w:eastAsia="Calibri"/>
                <w:sz w:val="18"/>
                <w:szCs w:val="18"/>
                <w:vertAlign w:val="superscript"/>
              </w:rPr>
              <w:t>-1</w:t>
            </w:r>
            <w:r w:rsidRPr="00D27467">
              <w:rPr>
                <w:rFonts w:eastAsia="Calibri"/>
                <w:sz w:val="18"/>
                <w:szCs w:val="18"/>
              </w:rPr>
              <w:t xml:space="preserve"> and cabin crew with exposures around 6.0-6.5 mSv year</w:t>
            </w:r>
            <w:r w:rsidRPr="00D27467">
              <w:rPr>
                <w:rFonts w:eastAsia="Calibri"/>
                <w:sz w:val="18"/>
                <w:szCs w:val="18"/>
                <w:vertAlign w:val="superscript"/>
              </w:rPr>
              <w:t>-1</w:t>
            </w:r>
            <w:r w:rsidRPr="00D27467">
              <w:rPr>
                <w:rFonts w:eastAsia="Calibri"/>
                <w:sz w:val="18"/>
                <w:szCs w:val="18"/>
              </w:rPr>
              <w:t>. Importantly, more recent changes in aircraft types and routes have seen an increase in exposures from around an average of 3.5 mSv year</w:t>
            </w:r>
            <w:r w:rsidRPr="00D27467">
              <w:rPr>
                <w:rFonts w:eastAsia="Calibri"/>
                <w:sz w:val="18"/>
                <w:szCs w:val="18"/>
                <w:vertAlign w:val="superscript"/>
              </w:rPr>
              <w:t>-1</w:t>
            </w:r>
            <w:r w:rsidRPr="00D27467">
              <w:rPr>
                <w:rFonts w:eastAsia="Calibri"/>
                <w:sz w:val="18"/>
                <w:szCs w:val="18"/>
              </w:rPr>
              <w:t xml:space="preserve"> for Qantas pilots in the early 2000s to much higher levels today.</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lastRenderedPageBreak/>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shd w:val="clear" w:color="auto" w:fill="FFFFFF"/>
              </w:rPr>
            </w:pPr>
          </w:p>
          <w:p w:rsidR="00460079" w:rsidRPr="00D27467" w:rsidRDefault="00460079" w:rsidP="00B403B5">
            <w:pPr>
              <w:spacing w:before="0" w:after="0"/>
              <w:jc w:val="left"/>
              <w:rPr>
                <w:rFonts w:eastAsia="Calibri"/>
                <w:sz w:val="18"/>
                <w:szCs w:val="18"/>
              </w:rPr>
            </w:pPr>
            <w:r w:rsidRPr="00D27467">
              <w:rPr>
                <w:rFonts w:eastAsia="Calibri"/>
                <w:sz w:val="18"/>
                <w:szCs w:val="18"/>
                <w:shd w:val="clear" w:color="auto" w:fill="FFFFFF"/>
              </w:rPr>
              <w:lastRenderedPageBreak/>
              <w:t>The reference level of aircrew has been revised down to 6 mSv per year.</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58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EURATOM Basic Safety Standards makes it clear that the exposure of air crew to cosmic radiation should be managed as a planned exposure situation, contrary to the approach taken by the ICRP.</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roofErr w:type="spellStart"/>
            <w:r w:rsidRPr="00D27467">
              <w:rPr>
                <w:rFonts w:eastAsia="Calibri"/>
                <w:sz w:val="18"/>
                <w:szCs w:val="18"/>
              </w:rPr>
              <w:t>AusALPA</w:t>
            </w:r>
            <w:proofErr w:type="spellEnd"/>
            <w:r w:rsidRPr="00D27467">
              <w:rPr>
                <w:rFonts w:eastAsia="Calibri"/>
                <w:sz w:val="18"/>
                <w:szCs w:val="18"/>
              </w:rPr>
              <w:t xml:space="preserve"> asserts that Australia is not compelled to adopt ICRP 132 (or ICRP 103) verbatim and strongly recommends that, to the extent permitted by the Constitution, ARPANSA should adopt the extant aircrew protection provisions of the EURATOM Basic Safety Standards.</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Australia as a membered state of the IAEA is obliged to implement where possible the requirements of GSR Part 3, therefore having aircrew managed as an existing exposure situation is consistent with GSR Part 3, ICRP 103 and ICRP 132. </w:t>
            </w: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Australia is not compelled to </w:t>
            </w:r>
            <w:proofErr w:type="gramStart"/>
            <w:r w:rsidRPr="00D27467">
              <w:rPr>
                <w:rFonts w:eastAsia="Calibri"/>
                <w:sz w:val="18"/>
                <w:szCs w:val="18"/>
              </w:rPr>
              <w:t>adopted</w:t>
            </w:r>
            <w:proofErr w:type="gramEnd"/>
            <w:r w:rsidRPr="00D27467">
              <w:rPr>
                <w:rFonts w:eastAsia="Calibri"/>
                <w:sz w:val="18"/>
                <w:szCs w:val="18"/>
              </w:rPr>
              <w:t xml:space="preserve"> the EURATOM Basic Safety Standards as we are not members of the European Union.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59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best illustration of why a reference limit needs to be imposed is simply the current state of radiation exposure monitoring by Australian airlines.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ICRP 132 places the responsibility on “operating management”.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Both </w:t>
            </w:r>
            <w:proofErr w:type="spellStart"/>
            <w:r w:rsidRPr="00D27467">
              <w:rPr>
                <w:rFonts w:eastAsia="Calibri"/>
                <w:sz w:val="18"/>
                <w:szCs w:val="18"/>
              </w:rPr>
              <w:t>AusALPA</w:t>
            </w:r>
            <w:proofErr w:type="spellEnd"/>
            <w:r w:rsidRPr="00D27467">
              <w:rPr>
                <w:rFonts w:eastAsia="Calibri"/>
                <w:sz w:val="18"/>
                <w:szCs w:val="18"/>
              </w:rPr>
              <w:t xml:space="preserve"> and IFALPA consider this approach to be unlikely, but more probably incapable, of success. The most obvious conflict arises as a </w:t>
            </w:r>
            <w:r w:rsidRPr="00D27467">
              <w:rPr>
                <w:rFonts w:eastAsia="Calibri"/>
                <w:sz w:val="18"/>
                <w:szCs w:val="18"/>
              </w:rPr>
              <w:lastRenderedPageBreak/>
              <w:t>consequence of management’s commercial and promotional interests – they have little or nothing to gain from actively managing their workforce’s radiation exposure to the detriment of the roster and there is little incentive for them to select a reference level that might cause that outcome.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Guide is aligned with GSR Part 3.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60</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Capt. A. C. </w:t>
            </w:r>
            <w:proofErr w:type="spellStart"/>
            <w:r w:rsidRPr="00D27467">
              <w:rPr>
                <w:rFonts w:eastAsia="Calibri"/>
                <w:sz w:val="18"/>
                <w:szCs w:val="18"/>
              </w:rPr>
              <w:t>Ruas</w:t>
            </w:r>
            <w:proofErr w:type="spellEnd"/>
            <w:r w:rsidRPr="00D27467">
              <w:rPr>
                <w:rFonts w:eastAsia="Calibri"/>
                <w:sz w:val="18"/>
                <w:szCs w:val="18"/>
              </w:rPr>
              <w:t xml:space="preserve">, Capt. </w:t>
            </w:r>
            <w:proofErr w:type="spellStart"/>
            <w:r w:rsidRPr="00D27467">
              <w:rPr>
                <w:rFonts w:eastAsia="Calibri"/>
                <w:sz w:val="18"/>
                <w:szCs w:val="18"/>
              </w:rPr>
              <w:t>Tulio</w:t>
            </w:r>
            <w:proofErr w:type="spellEnd"/>
            <w:r w:rsidRPr="00D27467">
              <w:rPr>
                <w:rFonts w:eastAsia="Calibri"/>
                <w:sz w:val="18"/>
                <w:szCs w:val="18"/>
              </w:rPr>
              <w:t xml:space="preserve"> Rodrigues and SFO </w:t>
            </w:r>
            <w:proofErr w:type="spellStart"/>
            <w:r w:rsidRPr="00D27467">
              <w:rPr>
                <w:rFonts w:eastAsia="Calibri"/>
                <w:sz w:val="18"/>
                <w:szCs w:val="18"/>
              </w:rPr>
              <w:t>Theresia</w:t>
            </w:r>
            <w:proofErr w:type="spellEnd"/>
            <w:r w:rsidRPr="00D27467">
              <w:rPr>
                <w:rFonts w:eastAsia="Calibri"/>
                <w:sz w:val="18"/>
                <w:szCs w:val="18"/>
              </w:rPr>
              <w:t xml:space="preserve"> </w:t>
            </w:r>
            <w:proofErr w:type="spellStart"/>
            <w:r w:rsidRPr="00D27467">
              <w:rPr>
                <w:rFonts w:eastAsia="Calibri"/>
                <w:sz w:val="18"/>
                <w:szCs w:val="18"/>
              </w:rPr>
              <w:t>Eberbach</w:t>
            </w:r>
            <w:proofErr w:type="spellEnd"/>
            <w:r w:rsidRPr="00D27467">
              <w:rPr>
                <w:rFonts w:eastAsia="Calibri"/>
                <w:sz w:val="18"/>
                <w:szCs w:val="18"/>
              </w:rPr>
              <w:t xml:space="preserve"> on half of International Federation of Airline Pilot Associations (IFALPA)</w:t>
            </w: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Air crew exposure should be classified as a planned exposure, not as an existing exposure.</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IFALPA understands the importance that ICRP 132 and EURATOM BSS converge in the classification of the aircrew as planned exposure situations. Considering that this Public consultation Draft applies to existing exposure situations and given the fact that the document assumes the ICRP 132 definition that classifies the aircrew as existing exposure situations, we reinforce the recommendations presented below regardless of the ICRP 132 and EURATOM BSS divergence in the matter.</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IFALPA recognizes 20 mSv/y as the average annual dose limit of ionizing radiation for pilots, so in this regard </w:t>
            </w:r>
            <w:r w:rsidRPr="00D27467">
              <w:rPr>
                <w:rFonts w:eastAsia="Calibri"/>
                <w:sz w:val="18"/>
                <w:szCs w:val="18"/>
              </w:rPr>
              <w:lastRenderedPageBreak/>
              <w:t>the reference level of 10 mSv/y is in line with IFALPA position, however we recommend to adopt a limit value of 6mSv/y.</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 xml:space="preserve">Those who are liable to receive an effective dose greater than 6 mSv per year should be classified as </w:t>
            </w:r>
            <w:r w:rsidRPr="00D27467">
              <w:rPr>
                <w:rFonts w:eastAsia="Calibri"/>
                <w:sz w:val="18"/>
                <w:szCs w:val="18"/>
              </w:rPr>
              <w:lastRenderedPageBreak/>
              <w:t>Category A workers. The ICRP recommends that exposure be maintained as low as reasonably achievable with a dose reference level selected to take into account the level of exposure of the most exposed individuals who warrant specific attention in the particular circumstance, typically in the 5–10 mSv/year range.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shd w:val="clear" w:color="auto" w:fill="FFFFFF"/>
              </w:rPr>
            </w:pPr>
          </w:p>
          <w:p w:rsidR="00460079" w:rsidRPr="00D27467" w:rsidRDefault="00460079" w:rsidP="00B403B5">
            <w:pPr>
              <w:spacing w:before="0" w:after="0"/>
              <w:jc w:val="left"/>
              <w:rPr>
                <w:rFonts w:eastAsia="Calibri"/>
                <w:sz w:val="18"/>
                <w:szCs w:val="18"/>
              </w:rPr>
            </w:pPr>
            <w:r w:rsidRPr="00D27467">
              <w:rPr>
                <w:rFonts w:eastAsia="Calibri"/>
                <w:sz w:val="18"/>
                <w:szCs w:val="18"/>
                <w:shd w:val="clear" w:color="auto" w:fill="FFFFFF"/>
              </w:rPr>
              <w:lastRenderedPageBreak/>
              <w:t>The reference level of aircrew has been revised down to 6 mSv per year.</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62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According with Council Directive 2013.59/EURATOM (article 35), the employers should assess and record the absorbed dose of ionizing radiation of aircrew if they are above 1 mSv/y.</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In this regard, clause 3.3.8 of ARPANSA Guide introduces a serious concern and contradicts this protective policy against ionizing radiation. The absorbed doses in aircrew can be measured using calibrated devices or estimated with reasonable accuracy using the available codes. IFALPA recommends that aircraft with a maximum operational altitude of more than 8,000m (approx. 26,000ft) operating in polar/sub-polar regions should be equipped with active dose measuring devices. During flight, the cockpit crew should have the display of the dose rate and accumulated flight exposure plainly visible.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 and ICRP 132.</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63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tabs>
                <w:tab w:val="left" w:pos="945"/>
              </w:tabs>
              <w:spacing w:before="0" w:after="0"/>
              <w:ind w:left="34"/>
              <w:jc w:val="left"/>
              <w:rPr>
                <w:rFonts w:eastAsia="Calibri"/>
                <w:sz w:val="18"/>
                <w:szCs w:val="18"/>
              </w:rPr>
            </w:pPr>
          </w:p>
        </w:tc>
        <w:tc>
          <w:tcPr>
            <w:tcW w:w="2977" w:type="dxa"/>
            <w:vAlign w:val="top"/>
          </w:tcPr>
          <w:p w:rsidR="00460079" w:rsidRPr="00D27467" w:rsidRDefault="00460079" w:rsidP="008970CA">
            <w:pPr>
              <w:tabs>
                <w:tab w:val="left" w:pos="945"/>
              </w:tabs>
              <w:spacing w:before="0" w:after="0"/>
              <w:ind w:left="34"/>
              <w:jc w:val="left"/>
              <w:rPr>
                <w:rFonts w:eastAsia="Calibri"/>
                <w:sz w:val="18"/>
                <w:szCs w:val="18"/>
              </w:rPr>
            </w:pPr>
            <w:r w:rsidRPr="00D27467">
              <w:rPr>
                <w:rFonts w:eastAsia="Calibri"/>
                <w:sz w:val="18"/>
                <w:szCs w:val="18"/>
              </w:rPr>
              <w:t>Proposed change</w:t>
            </w:r>
          </w:p>
          <w:p w:rsidR="00460079" w:rsidRPr="00D27467" w:rsidRDefault="00460079" w:rsidP="008970CA">
            <w:pPr>
              <w:tabs>
                <w:tab w:val="left" w:pos="945"/>
              </w:tabs>
              <w:spacing w:before="0" w:after="0"/>
              <w:ind w:left="34"/>
              <w:jc w:val="left"/>
              <w:rPr>
                <w:rFonts w:eastAsia="Calibri"/>
                <w:sz w:val="18"/>
                <w:szCs w:val="18"/>
              </w:rPr>
            </w:pPr>
            <w:r w:rsidRPr="00D27467">
              <w:rPr>
                <w:rFonts w:eastAsia="Calibri"/>
                <w:sz w:val="18"/>
                <w:szCs w:val="18"/>
              </w:rPr>
              <w:t>Reference levels shall be selected by authorities, not by operating managers (clause 4.3).</w:t>
            </w:r>
          </w:p>
          <w:p w:rsidR="00460079" w:rsidRPr="00D27467" w:rsidRDefault="00460079" w:rsidP="008970CA">
            <w:pPr>
              <w:tabs>
                <w:tab w:val="left" w:pos="945"/>
              </w:tabs>
              <w:spacing w:before="0" w:after="0"/>
              <w:ind w:left="34"/>
              <w:jc w:val="left"/>
              <w:rPr>
                <w:rFonts w:eastAsia="Calibri"/>
                <w:sz w:val="18"/>
                <w:szCs w:val="18"/>
              </w:rPr>
            </w:pPr>
          </w:p>
          <w:p w:rsidR="00460079" w:rsidRPr="00D27467" w:rsidRDefault="00460079" w:rsidP="008970CA">
            <w:pPr>
              <w:tabs>
                <w:tab w:val="left" w:pos="945"/>
              </w:tabs>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ICRP 132 recommends operating managers monitor and communicate doses, and strive to reduce the doses their employees receive, but an operating manager is by no means an adequate person to select reference values since his/her primary interest is in economic aspects.</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 and ICRP 132.</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Despite to the fact that the reference level adopted in ARPANSA Guide (10 mSv/y) is in line with ICRP 2007 one can also invoke the ALARA principle and claim a lower value (6 mSv/y), which is also adopted by some EU countries. This value is consistent with the global estimate (1.2 to 7.0 mSv/y) and in line with the upper limits found in many European countries (Figure 1) It is important that protective measures tend to decrease or at least to keep at the same level the exposure of aircrew to ionizing radiation as time evolves. These protective measures could be related with flight schedule policies (balancing more polar and sub-polar flights among the crew members) and also constraints in the total flight hours per year. These strategies will be </w:t>
            </w:r>
            <w:proofErr w:type="gramStart"/>
            <w:r w:rsidRPr="00D27467">
              <w:rPr>
                <w:rFonts w:eastAsia="Calibri"/>
                <w:sz w:val="18"/>
                <w:szCs w:val="18"/>
              </w:rPr>
              <w:t>very</w:t>
            </w:r>
            <w:proofErr w:type="gramEnd"/>
            <w:r w:rsidRPr="00D27467">
              <w:rPr>
                <w:rFonts w:eastAsia="Calibri"/>
                <w:sz w:val="18"/>
                <w:szCs w:val="18"/>
              </w:rPr>
              <w:t xml:space="preserve"> correlated with the choice of the reference level for the annual dose.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shd w:val="clear" w:color="auto" w:fill="FFFFFF"/>
              </w:rPr>
            </w:pPr>
          </w:p>
          <w:p w:rsidR="00460079" w:rsidRPr="00D27467" w:rsidRDefault="00460079" w:rsidP="00B403B5">
            <w:pPr>
              <w:spacing w:before="0" w:after="0"/>
              <w:jc w:val="left"/>
              <w:rPr>
                <w:rFonts w:eastAsia="Calibri"/>
                <w:sz w:val="18"/>
                <w:szCs w:val="18"/>
              </w:rPr>
            </w:pPr>
            <w:r w:rsidRPr="00D27467">
              <w:rPr>
                <w:rFonts w:eastAsia="Calibri"/>
                <w:sz w:val="18"/>
                <w:szCs w:val="18"/>
                <w:shd w:val="clear" w:color="auto" w:fill="FFFFFF"/>
              </w:rPr>
              <w:t>The reference level of aircrew has been revised down to 6 mSv per year.</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Monitoring space weather, especially for companies that operate in polar routes is strongly recommended due to the possibility of a suddenly increase of the dose rate during a solar storm. Delta Airlines procedures may be a reference for this matter. The FAA/NOAA Solar Radiation Alert System can be very useful for this purpose.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Noted.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Typo comments/questions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II.1 Front Page: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DECMEMBER --&gt; DECEMBER</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II.2 p. 4, line 111:</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caption of figure 2.1 is written twice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II.3 p.11, line 283:</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(e) …and should submit… --&gt; … and submit…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II.4 p.14, line 390:</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We did not find Section 2.2.3 in the document (?)</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Clarity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Typos have been corrected.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67</w:t>
            </w:r>
          </w:p>
        </w:tc>
        <w:tc>
          <w:tcPr>
            <w:tcW w:w="141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Minerals Council of Australia (MCA)</w:t>
            </w: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General Comment</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draft guide is difficult to read for non-technical people. The MCA suggests consideration of non-technical readers in future publications.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draft guide may need to be used by organisations that do not have radiation related expertise. It is important that concepts are understandable and guidelines are accessible. A simpler and a more readable format would be of benefit. The MCA acknowledges the heavy reliance this document has on IAEA GSR Part 3 but believes that this may </w:t>
            </w:r>
            <w:r w:rsidRPr="00D27467">
              <w:rPr>
                <w:rFonts w:eastAsia="Calibri"/>
                <w:sz w:val="18"/>
                <w:szCs w:val="18"/>
              </w:rPr>
              <w:lastRenderedPageBreak/>
              <w:t>prevent its effective use in practice.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Scope has been re-written to clarify reader of document.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General comment</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draft guide would benefit with the inclusion of a section which:</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Outlines the regulatory context and the ‘fit’ of the guide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Defines the intended audience or user of the guide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Clearly defines how the guide is to be applied.</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shd w:val="clear" w:color="auto" w:fill="FFFFFF"/>
              </w:rPr>
            </w:pPr>
            <w:r w:rsidRPr="00D27467">
              <w:rPr>
                <w:rFonts w:eastAsia="Calibri"/>
                <w:sz w:val="18"/>
                <w:szCs w:val="18"/>
              </w:rPr>
              <w:t>For clarity.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shd w:val="clear" w:color="auto" w:fill="FFFFFF"/>
              </w:rPr>
            </w:pPr>
          </w:p>
        </w:tc>
        <w:tc>
          <w:tcPr>
            <w:tcW w:w="1276" w:type="dxa"/>
            <w:vAlign w:val="top"/>
          </w:tcPr>
          <w:p w:rsidR="00460079" w:rsidRPr="00D27467" w:rsidRDefault="00460079" w:rsidP="008970CA">
            <w:pPr>
              <w:spacing w:before="0" w:after="0"/>
              <w:ind w:left="34"/>
              <w:jc w:val="left"/>
              <w:rPr>
                <w:rFonts w:eastAsia="Calibri"/>
                <w:sz w:val="18"/>
                <w:szCs w:val="18"/>
                <w:shd w:val="clear" w:color="auto" w:fill="FFFFFF"/>
              </w:rPr>
            </w:pPr>
            <w:r w:rsidRPr="00D27467">
              <w:rPr>
                <w:rFonts w:eastAsia="Calibri"/>
                <w:sz w:val="18"/>
                <w:szCs w:val="18"/>
                <w:shd w:val="clear" w:color="auto" w:fill="FFFFFF"/>
              </w:rPr>
              <w:t>Accepted</w:t>
            </w:r>
          </w:p>
        </w:tc>
        <w:tc>
          <w:tcPr>
            <w:tcW w:w="1275" w:type="dxa"/>
            <w:vAlign w:val="top"/>
          </w:tcPr>
          <w:p w:rsidR="00460079" w:rsidRPr="00D27467" w:rsidRDefault="00460079" w:rsidP="008970CA">
            <w:pPr>
              <w:spacing w:before="0" w:after="0"/>
              <w:ind w:left="34"/>
              <w:jc w:val="left"/>
              <w:rPr>
                <w:rFonts w:eastAsia="Calibri"/>
                <w:sz w:val="18"/>
                <w:szCs w:val="18"/>
                <w:shd w:val="clear" w:color="auto" w:fill="FFFFFF"/>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shd w:val="clear" w:color="auto" w:fill="FFFFFF"/>
              </w:rPr>
            </w:pPr>
            <w:r w:rsidRPr="00D27467">
              <w:rPr>
                <w:rFonts w:eastAsia="Calibri"/>
                <w:sz w:val="18"/>
                <w:szCs w:val="18"/>
              </w:rPr>
              <w:t>Scope has been re-written to clarify the reader of the document and how this Guide is applied.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69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General Comment</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draft guide indicates that regulation of radiation is potentially now required below 1Bq/g covering in fact all materials. This means that the scope is essentially infinite which reduces the practicality of the draft guide. This reinforces the perception that radiation is dangerous at low levels. The MCA suggests changes be incorporated to reduce the scope to situations where radiological impacts are significant.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MCA recommends controls should be commensurate with the assessed risk.</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Scope has been re-written to clarify the reader of the document. </w:t>
            </w: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Existing exposure situations by de-facto is everything, regardless of regulation.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7-8</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The MCA supports the statement that the central consideration is the ‘system of dose limitation’.</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MCA has stated previously that the principle reasons for the low occupational and public doses are due to the optimization process and supports the draft reflecting this.</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Noted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20-21</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Existing exposure situations are exposure situations that already exist when a decision on control has to be taken’. MCA suggests adding </w:t>
            </w:r>
            <w:r w:rsidRPr="00D27467">
              <w:rPr>
                <w:rFonts w:eastAsia="Calibri"/>
                <w:sz w:val="18"/>
                <w:szCs w:val="18"/>
              </w:rPr>
              <w:lastRenderedPageBreak/>
              <w:t>‘see section 2.2 of this guide’ after this.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 </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For clarity.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Accepted </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Re-written as follows “Existing exposure situations are exposure situations that already exist when </w:t>
            </w:r>
            <w:r w:rsidRPr="00D27467">
              <w:rPr>
                <w:rFonts w:eastAsia="Calibri"/>
                <w:sz w:val="18"/>
                <w:szCs w:val="18"/>
              </w:rPr>
              <w:lastRenderedPageBreak/>
              <w:t xml:space="preserve">a decision </w:t>
            </w:r>
            <w:r w:rsidRPr="00D27467">
              <w:rPr>
                <w:rFonts w:eastAsia="Calibri"/>
                <w:color w:val="FF0000"/>
                <w:sz w:val="18"/>
                <w:szCs w:val="18"/>
              </w:rPr>
              <w:t>on the need</w:t>
            </w:r>
            <w:r w:rsidRPr="00D27467">
              <w:rPr>
                <w:rFonts w:eastAsia="Calibri"/>
                <w:sz w:val="18"/>
                <w:szCs w:val="18"/>
              </w:rPr>
              <w:t xml:space="preserve"> for control has to be taken, including prolonged exposure situations after emergencies.”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72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25-27</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This section introduces retrospectivity. The MCA urges caution.</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Retrospective adjustments introduce uncertainty and risk for operators.</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Noted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31</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Amend: There is no ‘(a) above’</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shd w:val="clear" w:color="auto" w:fill="FFFFFF"/>
              </w:rPr>
            </w:pPr>
            <w:r w:rsidRPr="00D27467">
              <w:rPr>
                <w:rFonts w:eastAsia="Calibri"/>
                <w:sz w:val="18"/>
                <w:szCs w:val="18"/>
              </w:rPr>
              <w:t>Typo</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shd w:val="clear" w:color="auto" w:fill="FFFFFF"/>
              </w:rPr>
            </w:pPr>
            <w:r w:rsidRPr="00D27467">
              <w:rPr>
                <w:rFonts w:eastAsia="Calibri"/>
                <w:sz w:val="18"/>
                <w:szCs w:val="18"/>
                <w:shd w:val="clear" w:color="auto" w:fill="FFFFFF"/>
              </w:rPr>
              <w:t>Accepted</w:t>
            </w:r>
          </w:p>
        </w:tc>
        <w:tc>
          <w:tcPr>
            <w:tcW w:w="1276" w:type="dxa"/>
            <w:vAlign w:val="top"/>
          </w:tcPr>
          <w:p w:rsidR="00460079" w:rsidRPr="00D27467" w:rsidRDefault="00460079" w:rsidP="008970CA">
            <w:pPr>
              <w:spacing w:before="0" w:after="0"/>
              <w:ind w:left="34"/>
              <w:jc w:val="left"/>
              <w:rPr>
                <w:rFonts w:eastAsia="Calibri"/>
                <w:sz w:val="18"/>
                <w:szCs w:val="18"/>
                <w:shd w:val="clear" w:color="auto" w:fill="FFFFFF"/>
              </w:rPr>
            </w:pPr>
          </w:p>
        </w:tc>
        <w:tc>
          <w:tcPr>
            <w:tcW w:w="1275" w:type="dxa"/>
            <w:vAlign w:val="top"/>
          </w:tcPr>
          <w:p w:rsidR="00460079" w:rsidRPr="00D27467" w:rsidRDefault="00460079" w:rsidP="008970CA">
            <w:pPr>
              <w:spacing w:before="0" w:after="0"/>
              <w:ind w:left="34"/>
              <w:jc w:val="left"/>
              <w:rPr>
                <w:rFonts w:eastAsia="Calibri"/>
                <w:sz w:val="18"/>
                <w:szCs w:val="18"/>
                <w:shd w:val="clear" w:color="auto" w:fill="FFFFFF"/>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shd w:val="clear" w:color="auto" w:fill="FFFFFF"/>
              </w:rPr>
            </w:pPr>
            <w:r w:rsidRPr="00D27467">
              <w:rPr>
                <w:rFonts w:eastAsia="Calibri"/>
                <w:sz w:val="18"/>
                <w:szCs w:val="18"/>
                <w:shd w:val="clear" w:color="auto" w:fill="FFFFFF"/>
              </w:rPr>
              <w:t>Corrected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Lines 30, 31, 32</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MCA suggests Lines 30-32 be retained but later in the draft guide, it is stated that the draft guide applies regardless of the activity concentration. Therefore the definition of ‘radioactive material’ in the section is unclear. MCA recommends a thorough check on the consistency of the document with respect to ‘radioactive material’.</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Inconsistency – this refers to ‘radioactive material’, which is defined in the glossary as meaning ‘material designated by the relevant regulatory body as being subject to regulatory control because of its radioactivity’. The definition of ‘radioactive material’ is legally derived from ARPANSA regulations, which notes that material less than 1Bq/g (U238 and Th232 decay chain radionuclides) is not subject to regulation.</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Lines 34-37</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changed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Add ‘above levels outlined in Annex a’ to ‘Radon and radon progeny in workplaces other than those workplaces for which exposure due to other radionuclides in the uranium decay chain or the thorium </w:t>
            </w:r>
            <w:r w:rsidRPr="00D27467">
              <w:rPr>
                <w:rFonts w:eastAsia="Calibri"/>
                <w:sz w:val="18"/>
                <w:szCs w:val="18"/>
              </w:rPr>
              <w:lastRenderedPageBreak/>
              <w:t>decay chain is controlled as a planned exposure situation’.</w:t>
            </w: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Radon exists naturally, so the implication is that all workplaces are subject to existing exposure situations and the guidelines apply.</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The MCA recommends amendment to avoid confusion.</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An Annex is not considered ‘part’ of a document and therefore cannot be referred to in the Scope but can be referred to in the text of the document from Section 2 onwards.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Lines 38-40</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 ‘regardless of activity concentration’ in ‘Radionuclides of natural origin, regardless of activity concentration, in commodities, including food, feed, drinking water, agricultural fertiliser and soil amendments, construction materials, and residual radioactive material in the environment’</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It is inconsistent with the definition of ‘radioactive material’ in the ARPANSA regulations.</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Lines 41-43</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Replace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‘Materials, other than those stated in (c)(ii) above, in which the activity concentration of no radionuclide in either the uranium decay chain or the thorium decay chain exceeds 1 </w:t>
            </w:r>
            <w:proofErr w:type="spellStart"/>
            <w:r w:rsidRPr="00D27467">
              <w:rPr>
                <w:rFonts w:eastAsia="Calibri"/>
                <w:sz w:val="18"/>
                <w:szCs w:val="18"/>
              </w:rPr>
              <w:t>Bq</w:t>
            </w:r>
            <w:proofErr w:type="spellEnd"/>
            <w:r w:rsidRPr="00D27467">
              <w:rPr>
                <w:rFonts w:eastAsia="Calibri"/>
                <w:sz w:val="18"/>
                <w:szCs w:val="18"/>
              </w:rPr>
              <w:t xml:space="preserve"> g</w:t>
            </w:r>
            <w:r w:rsidRPr="00D27467">
              <w:rPr>
                <w:rFonts w:eastAsia="Calibri"/>
                <w:sz w:val="18"/>
                <w:szCs w:val="18"/>
                <w:vertAlign w:val="superscript"/>
              </w:rPr>
              <w:t>-1</w:t>
            </w:r>
            <w:r w:rsidRPr="00D27467">
              <w:rPr>
                <w:rFonts w:eastAsia="Calibri"/>
                <w:sz w:val="18"/>
                <w:szCs w:val="18"/>
              </w:rPr>
              <w:t xml:space="preserve"> and the activity concentration of </w:t>
            </w:r>
            <w:r w:rsidRPr="00D27467">
              <w:rPr>
                <w:rFonts w:eastAsia="Calibri"/>
                <w:sz w:val="18"/>
                <w:szCs w:val="18"/>
                <w:vertAlign w:val="superscript"/>
              </w:rPr>
              <w:t>40</w:t>
            </w:r>
            <w:r w:rsidRPr="00D27467">
              <w:rPr>
                <w:rFonts w:eastAsia="Calibri"/>
                <w:sz w:val="18"/>
                <w:szCs w:val="18"/>
              </w:rPr>
              <w:t xml:space="preserve">K does not exceed 10 </w:t>
            </w:r>
            <w:proofErr w:type="spellStart"/>
            <w:r w:rsidRPr="00D27467">
              <w:rPr>
                <w:rFonts w:eastAsia="Calibri"/>
                <w:sz w:val="18"/>
                <w:szCs w:val="18"/>
              </w:rPr>
              <w:t>Bq</w:t>
            </w:r>
            <w:proofErr w:type="spellEnd"/>
            <w:r w:rsidRPr="00D27467">
              <w:rPr>
                <w:rFonts w:eastAsia="Calibri"/>
                <w:sz w:val="18"/>
                <w:szCs w:val="18"/>
              </w:rPr>
              <w:t xml:space="preserve"> g</w:t>
            </w:r>
            <w:r w:rsidRPr="00D27467">
              <w:rPr>
                <w:rFonts w:eastAsia="Calibri"/>
                <w:sz w:val="18"/>
                <w:szCs w:val="18"/>
                <w:vertAlign w:val="superscript"/>
              </w:rPr>
              <w:t>-1</w:t>
            </w:r>
            <w:r w:rsidRPr="00D27467">
              <w:rPr>
                <w:rFonts w:eastAsia="Calibri"/>
                <w:sz w:val="18"/>
                <w:szCs w:val="18"/>
              </w:rPr>
              <w:t>’</w:t>
            </w:r>
          </w:p>
          <w:p w:rsidR="00460079" w:rsidRPr="00D27467" w:rsidRDefault="00460079" w:rsidP="008970CA">
            <w:pPr>
              <w:spacing w:before="0" w:after="0"/>
              <w:jc w:val="left"/>
              <w:rPr>
                <w:rFonts w:eastAsia="Calibri"/>
                <w:sz w:val="18"/>
                <w:szCs w:val="18"/>
              </w:rPr>
            </w:pPr>
            <w:r w:rsidRPr="00D27467">
              <w:rPr>
                <w:rFonts w:eastAsia="Calibri"/>
                <w:sz w:val="18"/>
                <w:szCs w:val="18"/>
              </w:rPr>
              <w:t>with</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‘Materials, other than those stated in (c)(ii) above, in which the activity concentration of radionuclides in either the uranium decay chain or the thorium decay chain exceeds 1 </w:t>
            </w:r>
            <w:proofErr w:type="spellStart"/>
            <w:r w:rsidRPr="00D27467">
              <w:rPr>
                <w:rFonts w:eastAsia="Calibri"/>
                <w:sz w:val="18"/>
                <w:szCs w:val="18"/>
              </w:rPr>
              <w:t>Bq</w:t>
            </w:r>
            <w:proofErr w:type="spellEnd"/>
            <w:r w:rsidRPr="00D27467">
              <w:rPr>
                <w:rFonts w:eastAsia="Calibri"/>
                <w:sz w:val="18"/>
                <w:szCs w:val="18"/>
              </w:rPr>
              <w:t xml:space="preserve"> g</w:t>
            </w:r>
            <w:r w:rsidRPr="00D27467">
              <w:rPr>
                <w:rFonts w:eastAsia="Calibri"/>
                <w:sz w:val="18"/>
                <w:szCs w:val="18"/>
                <w:vertAlign w:val="superscript"/>
              </w:rPr>
              <w:t>-1</w:t>
            </w:r>
            <w:r w:rsidRPr="00D27467">
              <w:rPr>
                <w:rFonts w:eastAsia="Calibri"/>
                <w:sz w:val="18"/>
                <w:szCs w:val="18"/>
              </w:rPr>
              <w:t xml:space="preserve"> or the activity concentration of 40K exceeds 10 </w:t>
            </w:r>
            <w:proofErr w:type="spellStart"/>
            <w:r w:rsidRPr="00D27467">
              <w:rPr>
                <w:rFonts w:eastAsia="Calibri"/>
                <w:sz w:val="18"/>
                <w:szCs w:val="18"/>
              </w:rPr>
              <w:t>Bq</w:t>
            </w:r>
            <w:proofErr w:type="spellEnd"/>
            <w:r w:rsidRPr="00D27467">
              <w:rPr>
                <w:rFonts w:eastAsia="Calibri"/>
                <w:sz w:val="18"/>
                <w:szCs w:val="18"/>
              </w:rPr>
              <w:t xml:space="preserve"> g</w:t>
            </w:r>
            <w:r w:rsidRPr="00D27467">
              <w:rPr>
                <w:rFonts w:eastAsia="Calibri"/>
                <w:sz w:val="18"/>
                <w:szCs w:val="18"/>
                <w:vertAlign w:val="superscript"/>
              </w:rPr>
              <w:t>-1</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effectively says that ‘existing situations are those that are not covered by planned exposure situations.’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It is incorrect to require assessment of materials that are not legally defined as radioactive as per the ARPANSA regulations. This definition needs to be changed.</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For example, an iron ore producer with 10ppmU in the ore would be considered to be an ‘existing exposure situation’ under the existing definition, as would a coal producer, or any producer of any material (including quarries). The draft guide </w:t>
            </w:r>
            <w:r w:rsidRPr="00D27467">
              <w:rPr>
                <w:rFonts w:eastAsia="Calibri"/>
                <w:sz w:val="18"/>
                <w:szCs w:val="18"/>
              </w:rPr>
              <w:lastRenderedPageBreak/>
              <w:t xml:space="preserve">should not automatically cast a ‘catch all net’ and suggest that radiation is a potential problem for these sectors. At the moment, the criterion is based on the ARPANSA definition of a radioactive material which is 1Bq/g for U and </w:t>
            </w:r>
            <w:proofErr w:type="spellStart"/>
            <w:r w:rsidRPr="00D27467">
              <w:rPr>
                <w:rFonts w:eastAsia="Calibri"/>
                <w:sz w:val="18"/>
                <w:szCs w:val="18"/>
              </w:rPr>
              <w:t>Th</w:t>
            </w:r>
            <w:proofErr w:type="spellEnd"/>
            <w:r w:rsidRPr="00D27467">
              <w:rPr>
                <w:rFonts w:eastAsia="Calibri"/>
                <w:sz w:val="18"/>
                <w:szCs w:val="18"/>
              </w:rPr>
              <w:t xml:space="preserve"> radionuclides. There will be significant cost implications if this certainty does not remain.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Alternatively, if the original definition is to remain, then suggest adding the following text immediately after 41 – 42;</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‘Materials that may be considered in conjunction with NORM activities, as defined in ARPANSA Publication - Safety Guide for the Management of Naturally Occurring Radioactive Material (NORM) (2008) are not subject to the requirements of this ‘Existing Exposure Guide’. Where materials are not subject to the NORM guidelines, they will therefore be exempt from the ‘Existing Exposure Guide’.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Comment not accepted. </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Lines 85</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Edit ALARA definition to include ‘social and economic factors taken into account’.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 xml:space="preserve">Reason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For clarity.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79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90</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Replace ‘all exposure incurred by workers in the course of their work’ with ‘all exposure incurred by workers as a result of a practice’.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Occupational exposure does not include background radiation – therefore the statement is incorrect.</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Workers in the aviation industry are exposed to cosmic radiation, which is considered background radiation. Therefore statement is correct.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94</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Comment: The term environment is too broad and over defined (clause 744 to 753). The requirement should be very specific and is radiation risk to ‘flora and fauna’. </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For clarity.</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as follows, ‘environmental (associated with protection of the environment </w:t>
            </w:r>
            <w:r w:rsidRPr="00D27467">
              <w:rPr>
                <w:rFonts w:eastAsia="Calibri"/>
                <w:color w:val="FF0000"/>
                <w:sz w:val="18"/>
                <w:szCs w:val="18"/>
              </w:rPr>
              <w:t>(biota)</w:t>
            </w:r>
            <w:r w:rsidRPr="00D27467">
              <w:rPr>
                <w:rFonts w:eastAsia="Calibri"/>
                <w:sz w:val="18"/>
                <w:szCs w:val="18"/>
              </w:rPr>
              <w:t>).’</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23 and Above 128</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23: Amend to ‘Existing exposure situations in this Guide apply to situations where there is significant exposure (in comparison with applicable reference levels) due to:’</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Add new paragraph above Line 128 as follows: ‘Although there are a wide range of potential existing exposure situations, only those which have the potential to exceed the reference levels in Appendix XX should be considered existing exposure situations. This is demonstrated in the Figure 2.2. Decision box ‘Is Control Justified?’ This decision point determines that there is no existing exposure situation where there is not a significant potential for radiological exposure. This is required to prevent </w:t>
            </w:r>
            <w:r w:rsidRPr="00D27467">
              <w:rPr>
                <w:rFonts w:eastAsia="Calibri"/>
                <w:sz w:val="18"/>
                <w:szCs w:val="18"/>
              </w:rPr>
              <w:lastRenderedPageBreak/>
              <w:t>all activities from being included and so this guide only applies to those situations with radiological impacts.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 xml:space="preserve">Currently the scope of what is an existing exposure situation includes virtually every single action, practice or situation which involves handling any material (with the exception of those already identified as a practice). This is the result of there being no de </w:t>
            </w:r>
            <w:proofErr w:type="spellStart"/>
            <w:r w:rsidRPr="00D27467">
              <w:rPr>
                <w:rFonts w:eastAsia="Calibri"/>
                <w:sz w:val="18"/>
                <w:szCs w:val="18"/>
              </w:rPr>
              <w:t>minimus</w:t>
            </w:r>
            <w:proofErr w:type="spellEnd"/>
            <w:r w:rsidRPr="00D27467">
              <w:rPr>
                <w:rFonts w:eastAsia="Calibri"/>
                <w:sz w:val="18"/>
                <w:szCs w:val="18"/>
              </w:rPr>
              <w:t xml:space="preserve"> level in the scope and effectively everything under 1 </w:t>
            </w:r>
            <w:proofErr w:type="spellStart"/>
            <w:r w:rsidRPr="00D27467">
              <w:rPr>
                <w:rFonts w:eastAsia="Calibri"/>
                <w:sz w:val="18"/>
                <w:szCs w:val="18"/>
              </w:rPr>
              <w:t>Bq</w:t>
            </w:r>
            <w:proofErr w:type="spellEnd"/>
            <w:r w:rsidRPr="00D27467">
              <w:rPr>
                <w:rFonts w:eastAsia="Calibri"/>
                <w:sz w:val="18"/>
                <w:szCs w:val="18"/>
              </w:rPr>
              <w:t>/g is in scope. Using Figure 2.2 as a guide provides a more effective means of determining the ‘real’ existing exposure situations.</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Line 23 is consistent with GSR Part 3. </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Additional text has been added to Line 173 to clarify Figure 2.2.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97-414</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Care must be taken to not formalise reference levels – particularly when the words are ambiguous (for example; ‘judged to be inappropriate’).</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problem is that the reference level could become another statutory limit.</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Noted.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83</w:t>
            </w:r>
          </w:p>
        </w:tc>
        <w:tc>
          <w:tcPr>
            <w:tcW w:w="1417" w:type="dxa"/>
            <w:vAlign w:val="top"/>
          </w:tcPr>
          <w:p w:rsidR="00460079" w:rsidRPr="00D27467" w:rsidRDefault="00460079" w:rsidP="008970CA">
            <w:pPr>
              <w:spacing w:before="0" w:after="0"/>
              <w:ind w:left="34"/>
              <w:jc w:val="left"/>
              <w:rPr>
                <w:rFonts w:eastAsia="Calibri"/>
                <w:sz w:val="18"/>
                <w:szCs w:val="18"/>
                <w:highlight w:val="yellow"/>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137</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 reference to uranium mining.</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Mentioning uranium mining is out of context. The requirements for uranium mines are much more than just dose limits and constraints as the text implies. Also, uranium mining is not subject to the guide.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It in an appropriate example has been included.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Figure 2.2</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Good figure but it is not referred to in the draft guide. The ‘Is control justified?’ box is critical to ensure that trivial exposures are not subject to further work. Yet there is no guidance on this.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MCA suggests adding a decision box between ‘Potential Existing Exposure Situation’ and ‘Risk Characterisation’, asking ‘Threshold </w:t>
            </w:r>
            <w:proofErr w:type="gramStart"/>
            <w:r w:rsidRPr="00D27467">
              <w:rPr>
                <w:rFonts w:eastAsia="Calibri"/>
                <w:sz w:val="18"/>
                <w:szCs w:val="18"/>
              </w:rPr>
              <w:t>Exceeded ?</w:t>
            </w:r>
            <w:proofErr w:type="gramEnd"/>
            <w:r w:rsidRPr="00D27467">
              <w:rPr>
                <w:rFonts w:eastAsia="Calibri"/>
                <w:sz w:val="18"/>
                <w:szCs w:val="18"/>
              </w:rPr>
              <w:t>’. This new box would refers to a new Annex called Threshold Considerations, which has the following criteria;</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Rn222 concentration in homes – 200Bq/m3</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Rn222 concentration in workplaces – 1,000Bqm3</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 Radionuclides in materials – 1Bq/g (U and </w:t>
            </w:r>
            <w:proofErr w:type="spellStart"/>
            <w:r w:rsidRPr="00D27467">
              <w:rPr>
                <w:rFonts w:eastAsia="Calibri"/>
                <w:sz w:val="18"/>
                <w:szCs w:val="18"/>
              </w:rPr>
              <w:t>Th</w:t>
            </w:r>
            <w:proofErr w:type="spellEnd"/>
            <w:r w:rsidRPr="00D27467">
              <w:rPr>
                <w:rFonts w:eastAsia="Calibri"/>
                <w:sz w:val="18"/>
                <w:szCs w:val="18"/>
              </w:rPr>
              <w:t>), 10Bq/g (K40)</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 Legacy and post-accident sites – See ARPANSA Regulations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Aircrew – 5uSv/h</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The figure describes a process that has no threshold. It could be unjustifiably and erroneously applied to any situation adding an unnecessary level of concern and cost.</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Additional text has been added to Line 173 to clarify Figure 2.2.</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Figure 2.2 has been altered to reflect comments from all stakeholders.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192</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Replace phrase ‘apply to any public exposure arising’ with ‘arise’.</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Reason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phrase ‘any public exposure’ needs to be modified to ensure that trivial exposures do not receive unnecessary attention and cause unnecessary fear.</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Consistent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206</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We are concerned about the practicality of this. How do we explain reference levels in the range of 1–20 mSv to the general public who currently think the limit is 1 mSv and anything over is dangerous?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Reason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Query.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Noted. 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Figure 4.1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Comment: We support the approach of using a range of reference levels in the range of 1-20 mSv to the general public but believe there may need to be some additional text to explain why there is a difference between the levels for practices and existing situations and why 20 mSv is still ‘safe’. </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Reason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Query.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Figure 4.1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Public perception/fear of radiation should be dealt with through engagement and communication. It is not a factor that should be considered in setting a risk-based reference level. </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Reason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factor is not risk based.</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‘Fear’ of radiation has been removed.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89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522</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Replace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concept of exemption from the requirements of this Guide does not apply for such material. For radionuclides of natural origin, bulk </w:t>
            </w:r>
            <w:r w:rsidRPr="00D27467">
              <w:rPr>
                <w:rFonts w:eastAsia="Calibri"/>
                <w:sz w:val="18"/>
                <w:szCs w:val="18"/>
              </w:rPr>
              <w:lastRenderedPageBreak/>
              <w:t>amounts of material should be considered on a case-by-case basis by using a dose criterion of the order of 1 mSv y-1, commensurate with typical doses due to natural background levels of radiation’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With</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concept of exemption from the requirements of this Guide does not apply for such material. For materials containing radionuclides of natural origin, as outlined in the first paragraph of this this section, the situation should be considered on a case-by-case basis by using a dose criterion of the order of 1 mSv y-1, commensurate with typical doses due to natural background levels of radiation’</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For clarity.</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ind w:left="34"/>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to reflect clarity.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After 531</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Suggest new section entitled ‘4.5 Radionuclides in NORM Materials’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Proposed text for this section.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IAEA has published guidance for the management and control of radionuclides associated with NORM related industries. ARPANSA in publication RPS15 has also provided guidance for these materials within the Australian context. These materials are not subject to the Existing Exposure guideline and reference is made to the existing publications. In general, management and control is only necessary for materials where the U and </w:t>
            </w:r>
            <w:proofErr w:type="spellStart"/>
            <w:r w:rsidRPr="00D27467">
              <w:rPr>
                <w:rFonts w:eastAsia="Calibri"/>
                <w:sz w:val="18"/>
                <w:szCs w:val="18"/>
              </w:rPr>
              <w:t>Th</w:t>
            </w:r>
            <w:proofErr w:type="spellEnd"/>
            <w:r w:rsidRPr="00D27467">
              <w:rPr>
                <w:rFonts w:eastAsia="Calibri"/>
                <w:sz w:val="18"/>
                <w:szCs w:val="18"/>
              </w:rPr>
              <w:t xml:space="preserve"> radionuclides exceed 1Bq/g. In any cases, a qualitative risk </w:t>
            </w:r>
            <w:r w:rsidRPr="00D27467">
              <w:rPr>
                <w:rFonts w:eastAsia="Calibri"/>
                <w:sz w:val="18"/>
                <w:szCs w:val="18"/>
              </w:rPr>
              <w:lastRenderedPageBreak/>
              <w:t>assessment will show that this figure can also be exceeded for safe</w:t>
            </w:r>
            <w:r w:rsidRPr="00D27467">
              <w:rPr>
                <w:sz w:val="18"/>
                <w:szCs w:val="18"/>
              </w:rPr>
              <w:t xml:space="preserve"> </w:t>
            </w:r>
            <w:r w:rsidRPr="00D27467">
              <w:rPr>
                <w:rFonts w:eastAsia="Calibri"/>
                <w:sz w:val="18"/>
                <w:szCs w:val="18"/>
              </w:rPr>
              <w:t>operations. Materials containing radionuclide concentrations below these levels are considered exempt from the Existing Exposure guidelines.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578</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Reference levels table.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 line ‘Radionuclides of commodities in bulk material 1 mSv y</w:t>
            </w:r>
            <w:r w:rsidRPr="00D27467">
              <w:rPr>
                <w:rFonts w:eastAsia="Calibri"/>
                <w:sz w:val="18"/>
                <w:szCs w:val="18"/>
                <w:vertAlign w:val="superscript"/>
              </w:rPr>
              <w:t>-1</w:t>
            </w:r>
            <w:r w:rsidRPr="00D27467">
              <w:rPr>
                <w:rFonts w:eastAsia="Calibri"/>
                <w:sz w:val="18"/>
                <w:szCs w:val="18"/>
              </w:rPr>
              <w:t>’</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Reason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is covered in the previous line.</w:t>
            </w:r>
          </w:p>
        </w:tc>
        <w:tc>
          <w:tcPr>
            <w:tcW w:w="992" w:type="dxa"/>
            <w:tcBorders>
              <w:left w:val="triple" w:sz="4" w:space="0" w:color="4E1A74"/>
            </w:tcBorders>
            <w:vAlign w:val="top"/>
          </w:tcPr>
          <w:p w:rsidR="00460079" w:rsidRPr="00D27467" w:rsidRDefault="00460079" w:rsidP="008970CA">
            <w:pPr>
              <w:spacing w:before="0" w:after="0"/>
              <w:ind w:left="34"/>
              <w:jc w:val="left"/>
              <w:rPr>
                <w:rFonts w:eastAsia="Calibri"/>
                <w:sz w:val="18"/>
                <w:szCs w:val="18"/>
              </w:rPr>
            </w:pPr>
          </w:p>
        </w:tc>
        <w:tc>
          <w:tcPr>
            <w:tcW w:w="1276" w:type="dxa"/>
            <w:vAlign w:val="top"/>
          </w:tcPr>
          <w:p w:rsidR="00460079" w:rsidRPr="00D27467" w:rsidRDefault="00460079" w:rsidP="008970CA">
            <w:pPr>
              <w:spacing w:before="0" w:after="0"/>
              <w:ind w:left="34"/>
              <w:jc w:val="left"/>
              <w:rPr>
                <w:rFonts w:eastAsia="Calibri"/>
                <w:sz w:val="18"/>
                <w:szCs w:val="18"/>
              </w:rPr>
            </w:pPr>
          </w:p>
        </w:tc>
        <w:tc>
          <w:tcPr>
            <w:tcW w:w="1275"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Lines 594-597</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Proposed change –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Delete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requirements for existing exposure situations apply to material containing radionuclides of natural origin at an activity concentration of less than 1 </w:t>
            </w:r>
            <w:proofErr w:type="spellStart"/>
            <w:r w:rsidRPr="00D27467">
              <w:rPr>
                <w:rFonts w:eastAsia="Calibri"/>
                <w:sz w:val="18"/>
                <w:szCs w:val="18"/>
              </w:rPr>
              <w:t>Bq</w:t>
            </w:r>
            <w:proofErr w:type="spellEnd"/>
            <w:r w:rsidRPr="00D27467">
              <w:rPr>
                <w:rFonts w:eastAsia="Calibri"/>
                <w:sz w:val="18"/>
                <w:szCs w:val="18"/>
              </w:rPr>
              <w:t xml:space="preserve"> g</w:t>
            </w:r>
            <w:r w:rsidRPr="00D27467">
              <w:rPr>
                <w:rFonts w:eastAsia="Calibri"/>
                <w:sz w:val="18"/>
                <w:szCs w:val="18"/>
                <w:vertAlign w:val="superscript"/>
              </w:rPr>
              <w:t>-1</w:t>
            </w:r>
            <w:r w:rsidRPr="00D27467">
              <w:rPr>
                <w:rFonts w:eastAsia="Calibri"/>
                <w:sz w:val="18"/>
                <w:szCs w:val="18"/>
              </w:rPr>
              <w:t xml:space="preserve"> for any radionuclide in the uranium decay chain or the thorium decay chain and of less than 10 </w:t>
            </w:r>
            <w:proofErr w:type="spellStart"/>
            <w:r w:rsidRPr="00D27467">
              <w:rPr>
                <w:rFonts w:eastAsia="Calibri"/>
                <w:sz w:val="18"/>
                <w:szCs w:val="18"/>
              </w:rPr>
              <w:t>Bq</w:t>
            </w:r>
            <w:proofErr w:type="spellEnd"/>
            <w:r w:rsidRPr="00D27467">
              <w:rPr>
                <w:rFonts w:eastAsia="Calibri"/>
                <w:sz w:val="18"/>
                <w:szCs w:val="18"/>
              </w:rPr>
              <w:t xml:space="preserve"> g</w:t>
            </w:r>
            <w:r w:rsidRPr="00D27467">
              <w:rPr>
                <w:rFonts w:eastAsia="Calibri"/>
                <w:sz w:val="18"/>
                <w:szCs w:val="18"/>
                <w:vertAlign w:val="superscript"/>
              </w:rPr>
              <w:t>-1</w:t>
            </w:r>
            <w:r w:rsidRPr="00D27467">
              <w:rPr>
                <w:rFonts w:eastAsia="Calibri"/>
                <w:sz w:val="18"/>
                <w:szCs w:val="18"/>
              </w:rPr>
              <w:t xml:space="preserve"> for </w:t>
            </w:r>
            <w:r w:rsidRPr="00D27467">
              <w:rPr>
                <w:rFonts w:eastAsia="Calibri"/>
                <w:sz w:val="18"/>
                <w:szCs w:val="18"/>
                <w:vertAlign w:val="superscript"/>
              </w:rPr>
              <w:t>40</w:t>
            </w:r>
            <w:r w:rsidRPr="00D27467">
              <w:rPr>
                <w:rFonts w:eastAsia="Calibri"/>
                <w:sz w:val="18"/>
                <w:szCs w:val="18"/>
              </w:rPr>
              <w:t>K. For radionuclides of natural origin, bulk amounts of material are to be considered on a case-by-case basis by using a dose criterion of 1 mSv y</w:t>
            </w:r>
            <w:r w:rsidRPr="00D27467">
              <w:rPr>
                <w:rFonts w:eastAsia="Calibri"/>
                <w:sz w:val="18"/>
                <w:szCs w:val="18"/>
                <w:vertAlign w:val="superscript"/>
              </w:rPr>
              <w:t>-1</w:t>
            </w:r>
            <w:r w:rsidRPr="00D27467">
              <w:rPr>
                <w:rFonts w:eastAsia="Calibri"/>
                <w:sz w:val="18"/>
                <w:szCs w:val="18"/>
              </w:rPr>
              <w: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As explained above.</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93</w:t>
            </w:r>
          </w:p>
        </w:tc>
        <w:tc>
          <w:tcPr>
            <w:tcW w:w="1417" w:type="dxa"/>
            <w:vAlign w:val="top"/>
          </w:tcPr>
          <w:p w:rsidR="00460079" w:rsidRPr="00D27467" w:rsidRDefault="005B31A8" w:rsidP="008970CA">
            <w:pPr>
              <w:spacing w:before="0" w:after="0"/>
              <w:ind w:left="34"/>
              <w:jc w:val="left"/>
              <w:rPr>
                <w:rFonts w:eastAsia="Calibri"/>
                <w:sz w:val="18"/>
                <w:szCs w:val="18"/>
              </w:rPr>
            </w:pPr>
            <w:r>
              <w:rPr>
                <w:rFonts w:eastAsia="Calibri"/>
                <w:sz w:val="18"/>
                <w:szCs w:val="18"/>
              </w:rPr>
              <w:t xml:space="preserve">Radiation Health Unit, </w:t>
            </w:r>
            <w:r w:rsidR="00460079" w:rsidRPr="00D27467">
              <w:rPr>
                <w:rFonts w:eastAsia="Calibri"/>
                <w:sz w:val="18"/>
                <w:szCs w:val="18"/>
              </w:rPr>
              <w:t>Queensland Department of Health</w:t>
            </w: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14</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Who is this guide intended for?  The intended audience should be included in the purpose.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Scope has been re-written.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31 and 41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no (a) or (c</w:t>
            </w:r>
            <w:proofErr w:type="gramStart"/>
            <w:r w:rsidRPr="00D27467">
              <w:rPr>
                <w:rFonts w:eastAsia="Calibri"/>
                <w:sz w:val="18"/>
                <w:szCs w:val="18"/>
              </w:rPr>
              <w:t>)(</w:t>
            </w:r>
            <w:proofErr w:type="gramEnd"/>
            <w:r w:rsidRPr="00D27467">
              <w:rPr>
                <w:rFonts w:eastAsia="Calibri"/>
                <w:sz w:val="18"/>
                <w:szCs w:val="18"/>
              </w:rPr>
              <w:t>ii).  I suggest the dot points be numbered so that these two lines make sense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Typo has been corrected.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41 to 43</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 xml:space="preserve">I struggled to understand what this meant.  It refers to materials other </w:t>
            </w:r>
            <w:r w:rsidRPr="00D27467">
              <w:rPr>
                <w:rFonts w:eastAsia="Calibri"/>
                <w:sz w:val="18"/>
                <w:szCs w:val="18"/>
              </w:rPr>
              <w:lastRenderedPageBreak/>
              <w:t>than the materials in the dot point above (radionuclides of natural origin .....).  It seems to be an inversion of an exclusion in order to make it an inclusion.</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It makes a bit more sense if you first read a couple of paragraphs in the IAEA GSR Part 3.</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scope in this guide (from line 23 to 44) is almost the same as paragraph 5.1 of GSR Part 3.  However, GSR Part 3 has the benefit of having paragraph 3.4 to provide more information – it says exposure due to natural sources is, in general, considered an existing exposure situation, however, the relevant requirements for planned exposure situations apply to exposure due to material in any practice (specified in para. 3.1) where the activity concentration in the material of any radionuclide in the uranium decay chain or the thorium decay chain is greater than 1Bq/g or the activity concentration of K-40 is greater than 10Bq/g.</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 note that in the planned exposure code RPS C-1 (section 3.2) these types of material are subject to the requirements for occupational exposure in planned exposure situations.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And more sense if you read section 4.4 of this guide.</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Somewhere in section 1.4 (Scope) it might help to have some clarification of what lines 41-43 mean, or it should be reworded to make it clear that some natural material in practices is, because of its higher activity, subject to the requirements of a planned exposure situation and is outside the scope of this guide.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Scope has been re-written.</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96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163-164</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Annex A contains reference levels but it does not assign responsibilities.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guide does not explicitly assign responsibilities in various situations however on reading various parts of this guide it becomes apparent for some of those situations.</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For remediation of areas with residual radioactive material:</w:t>
            </w:r>
          </w:p>
          <w:p w:rsidR="00460079" w:rsidRPr="008970CA" w:rsidRDefault="00460079" w:rsidP="008970CA">
            <w:pPr>
              <w:pStyle w:val="ListParagraph"/>
              <w:numPr>
                <w:ilvl w:val="0"/>
                <w:numId w:val="8"/>
              </w:numPr>
              <w:spacing w:before="0"/>
              <w:ind w:left="321" w:hanging="287"/>
              <w:jc w:val="left"/>
              <w:rPr>
                <w:rFonts w:eastAsia="Calibri"/>
                <w:sz w:val="18"/>
                <w:szCs w:val="18"/>
              </w:rPr>
            </w:pPr>
            <w:r w:rsidRPr="008970CA">
              <w:rPr>
                <w:rFonts w:eastAsia="Calibri"/>
                <w:sz w:val="18"/>
                <w:szCs w:val="18"/>
              </w:rPr>
              <w:t>the regulatory authority is responsible for having a framework for protection and safety and identifying who is responsible for remedial action</w:t>
            </w:r>
          </w:p>
          <w:p w:rsidR="00460079" w:rsidRPr="008970CA" w:rsidRDefault="00460079" w:rsidP="008970CA">
            <w:pPr>
              <w:pStyle w:val="ListParagraph"/>
              <w:numPr>
                <w:ilvl w:val="0"/>
                <w:numId w:val="8"/>
              </w:numPr>
              <w:spacing w:before="0"/>
              <w:ind w:left="321" w:hanging="287"/>
              <w:jc w:val="left"/>
              <w:rPr>
                <w:rFonts w:eastAsia="Calibri"/>
                <w:sz w:val="18"/>
                <w:szCs w:val="18"/>
              </w:rPr>
            </w:pPr>
            <w:proofErr w:type="gramStart"/>
            <w:r w:rsidRPr="008970CA">
              <w:rPr>
                <w:rFonts w:eastAsia="Calibri"/>
                <w:sz w:val="18"/>
                <w:szCs w:val="18"/>
              </w:rPr>
              <w:t>the</w:t>
            </w:r>
            <w:proofErr w:type="gramEnd"/>
            <w:r w:rsidRPr="008970CA">
              <w:rPr>
                <w:rFonts w:eastAsia="Calibri"/>
                <w:sz w:val="18"/>
                <w:szCs w:val="18"/>
              </w:rPr>
              <w:t xml:space="preserve"> employer is responsible for exposure due to the carrying out of planned remediation activities.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For radon in workplaces, and exposure of aircrew, it is clear the employer is responsible.</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For public exposure to indoor radon, and to radionuclides of natural origin in commodities and bulk materials, it is presumed the regulatory authority </w:t>
            </w:r>
            <w:r w:rsidRPr="00D27467">
              <w:rPr>
                <w:rFonts w:eastAsia="Calibri"/>
                <w:sz w:val="18"/>
                <w:szCs w:val="18"/>
              </w:rPr>
              <w:lastRenderedPageBreak/>
              <w:t>is responsible for some (or all) things.</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Noted. This is a Guide and following the endorsed RHC Nov 2016 minutes, ARPANSA cannot assign responsibilities onto jurisdictions.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268</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no Annex C in this guide.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291-303</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text that starts with the words: “In accordance with clauses 3.1.9–3.1.11 (Management for protection and safety) in the Planned Exposure Code, RPS C–1, the relevant authority should take responsibility for:” should be a separate clause numbered 3.2.7 (it is derived from of IAEA GSR Part 3 </w:t>
            </w:r>
            <w:proofErr w:type="gramStart"/>
            <w:r w:rsidRPr="00D27467">
              <w:rPr>
                <w:rFonts w:eastAsia="Calibri"/>
                <w:sz w:val="18"/>
                <w:szCs w:val="18"/>
              </w:rPr>
              <w:t>para  5.13</w:t>
            </w:r>
            <w:proofErr w:type="gramEnd"/>
            <w:r w:rsidRPr="00D27467">
              <w:rPr>
                <w:rFonts w:eastAsia="Calibri"/>
                <w:sz w:val="18"/>
                <w:szCs w:val="18"/>
              </w:rPr>
              <w: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sub clauses need to be reassigned as (a) to (e) and the subsequent clauses 3.2.7 to 3.2.16 need to be renumbered as 3.2.8 to 3.2.17.</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Consistent with GSR Part 3.</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In the corrected Clause 3.2.7, the reference to being in accordance with clauses 3.1.9 – 3.1.11 of RPS C-1 cannot be correct.  Those clauses are about management for protection and safety on the part of the Responsible Person and are cross-referenced in Appendix 1 of RPS C-1 to IAEA GSR Part 3 Requirements 5 and 7.</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Clause 3.2.7 is derived from IAEA GSR Part 3 para 5.13. </w:t>
            </w:r>
            <w:proofErr w:type="gramStart"/>
            <w:r w:rsidRPr="00D27467">
              <w:rPr>
                <w:rFonts w:eastAsia="Calibri"/>
                <w:sz w:val="18"/>
                <w:szCs w:val="18"/>
              </w:rPr>
              <w:t>which</w:t>
            </w:r>
            <w:proofErr w:type="gramEnd"/>
            <w:r w:rsidRPr="00D27467">
              <w:rPr>
                <w:rFonts w:eastAsia="Calibri"/>
                <w:sz w:val="18"/>
                <w:szCs w:val="18"/>
              </w:rPr>
              <w:t xml:space="preserve"> says “The regulatory body, in accordance with para. 2.29, or other relevant authority shall take responsibility, in particular for</w:t>
            </w:r>
            <w:proofErr w:type="gramStart"/>
            <w:r w:rsidRPr="00D27467">
              <w:rPr>
                <w:rFonts w:eastAsia="Calibri"/>
                <w:sz w:val="18"/>
                <w:szCs w:val="18"/>
              </w:rPr>
              <w:t>:.....</w:t>
            </w:r>
            <w:proofErr w:type="gramEnd"/>
            <w:r w:rsidRPr="00D27467">
              <w:rPr>
                <w:rFonts w:eastAsia="Calibri"/>
                <w:sz w:val="18"/>
                <w:szCs w:val="18"/>
              </w:rPr>
              <w:t>”</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IAEA GSR Part 3 para 2.29. </w:t>
            </w:r>
            <w:proofErr w:type="gramStart"/>
            <w:r w:rsidRPr="00D27467">
              <w:rPr>
                <w:rFonts w:eastAsia="Calibri"/>
                <w:sz w:val="18"/>
                <w:szCs w:val="18"/>
              </w:rPr>
              <w:t>says</w:t>
            </w:r>
            <w:proofErr w:type="gramEnd"/>
            <w:r w:rsidRPr="00D27467">
              <w:rPr>
                <w:rFonts w:eastAsia="Calibri"/>
                <w:sz w:val="18"/>
                <w:szCs w:val="18"/>
              </w:rPr>
              <w:t xml:space="preserve"> “The regulatory body shall establish requirements for the application of the principles of radiation protection </w:t>
            </w:r>
            <w:r w:rsidRPr="00D27467">
              <w:rPr>
                <w:rFonts w:eastAsia="Calibri"/>
                <w:sz w:val="18"/>
                <w:szCs w:val="18"/>
              </w:rPr>
              <w:lastRenderedPageBreak/>
              <w:t>specified in paras 2.8–2.12 for all exposure situations and shall establish or adopt regulations and guides for protection and  safety.”  .</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IAEA GSR Part 3, para 2.29 is an item under </w:t>
            </w:r>
            <w:proofErr w:type="gramStart"/>
            <w:r w:rsidRPr="00D27467">
              <w:rPr>
                <w:rFonts w:eastAsia="Calibri"/>
                <w:sz w:val="18"/>
                <w:szCs w:val="18"/>
              </w:rPr>
              <w:t>Requirement  3</w:t>
            </w:r>
            <w:proofErr w:type="gramEnd"/>
            <w:r w:rsidRPr="00D27467">
              <w:rPr>
                <w:rFonts w:eastAsia="Calibri"/>
                <w:sz w:val="18"/>
                <w:szCs w:val="18"/>
              </w:rPr>
              <w:t>: Responsibility of the regulatory authority, and paras 2.8 – 2.12 fall under Requirement 1: Application of the principles of radiation protection.</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It would be simpler to commence Clause 3.2.7 with the words “The relevant authority should take responsibility </w:t>
            </w:r>
            <w:proofErr w:type="gramStart"/>
            <w:r w:rsidRPr="00D27467">
              <w:rPr>
                <w:rFonts w:eastAsia="Calibri"/>
                <w:sz w:val="18"/>
                <w:szCs w:val="18"/>
              </w:rPr>
              <w:t>for :</w:t>
            </w:r>
            <w:proofErr w:type="gramEnd"/>
            <w:r w:rsidRPr="00D27467">
              <w:rPr>
                <w:rFonts w:eastAsia="Calibri"/>
                <w:sz w:val="18"/>
                <w:szCs w:val="18"/>
              </w:rPr>
              <w:t>”.</w:t>
            </w:r>
          </w:p>
          <w:p w:rsidR="00460079" w:rsidRPr="00D27467" w:rsidRDefault="00460079" w:rsidP="008970CA">
            <w:pPr>
              <w:spacing w:before="0" w:after="0"/>
              <w:ind w:left="34"/>
              <w:jc w:val="left"/>
              <w:rPr>
                <w:rFonts w:eastAsia="Calibri"/>
                <w:sz w:val="18"/>
                <w:szCs w:val="18"/>
              </w:rPr>
            </w:pPr>
            <w:proofErr w:type="gramStart"/>
            <w:r w:rsidRPr="00D27467">
              <w:rPr>
                <w:rFonts w:eastAsia="Calibri"/>
                <w:sz w:val="18"/>
                <w:szCs w:val="18"/>
              </w:rPr>
              <w:t>for</w:t>
            </w:r>
            <w:proofErr w:type="gramEnd"/>
            <w:r w:rsidRPr="00D27467">
              <w:rPr>
                <w:rFonts w:eastAsia="Calibri"/>
                <w:sz w:val="18"/>
                <w:szCs w:val="18"/>
              </w:rPr>
              <w:t xml:space="preserve"> Protection and Safety, not requirements under Planned Exposure Situations.</w:t>
            </w:r>
          </w:p>
        </w:tc>
        <w:tc>
          <w:tcPr>
            <w:tcW w:w="2269" w:type="dxa"/>
            <w:tcBorders>
              <w:right w:val="triple" w:sz="4" w:space="0" w:color="4E1A74"/>
            </w:tcBorders>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In RPS C-1 there is no equivalent clause to IAEA GSR Part 3 para 2.29.  Note that Requirement 3 is not cross-referenced in Appendix 1 of RPS C-1 and the cross-reference to Requirement 1 (Clause 3.1.2) applies only to the Responsible Person.</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also no equivalent clause in RPS F-1.</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jc w:val="left"/>
              <w:rPr>
                <w:rFonts w:eastAsia="Calibri"/>
                <w:sz w:val="18"/>
                <w:szCs w:val="18"/>
              </w:rPr>
            </w:pPr>
            <w:r w:rsidRPr="00D27467">
              <w:rPr>
                <w:rFonts w:eastAsia="Calibri"/>
                <w:sz w:val="18"/>
                <w:szCs w:val="18"/>
              </w:rPr>
              <w:t xml:space="preserve">In any case, having responsibilities in an existing exposure situation in accordance with the Planned Exposure Code does not make sense.   IAEA GSR Part 3 does not do this </w:t>
            </w:r>
            <w:r w:rsidRPr="00D27467">
              <w:rPr>
                <w:rFonts w:eastAsia="Calibri"/>
                <w:sz w:val="18"/>
                <w:szCs w:val="18"/>
              </w:rPr>
              <w:lastRenderedPageBreak/>
              <w:t>– its para 5.13 is related to General Requirement</w:t>
            </w: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lastRenderedPageBreak/>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99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318</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Who should provide the assurance mentioned here?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Noted. This is a Guide and following the endorsed RHC Nov 2016 minutes, ARPANSA cannot assign responsibilities onto jurisdictions.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321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 think the reference should be to Section 4.2.</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327</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Who should establish the action plan mentioned here?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Noted. This is a Guide and following the endorsed RHC Nov 2016 minutes, ARPANSA cannot assign responsibilities onto jurisdictions.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341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Who assigns the responsibility mentioned here?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Noted. This is a Guide and following the endorsed RHC Nov </w:t>
            </w:r>
            <w:r w:rsidRPr="00D27467">
              <w:rPr>
                <w:rFonts w:eastAsia="Calibri"/>
                <w:sz w:val="18"/>
                <w:szCs w:val="18"/>
              </w:rPr>
              <w:lastRenderedPageBreak/>
              <w:t>2016 minutes, ARPANSA cannot assign responsibilities onto jurisdictions.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103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350</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text “must typically” ought to be “should typically”.</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389-390</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sentence seems incomplete or incorrect.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390</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 think the reference should be to Section 4.3.</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391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If lines 389-390 are somewhat correct, then an assessment has already been deemed to be warranted.</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in line 127 has been modified and therefore lines 389-390 are now clarified.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397-398</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“clauses 3.1.1-8” should be “clauses 3.3.1-8”</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402</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“3.3.9” should be “3.3.8”</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109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441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If this sentence is not a direct quotation then, since this is the Australian context, drop the word “national”.</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National has been removed from text.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485</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“reach to” should be “to reach”</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Comment accepted with modifications. </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Text has been modified.</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111</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498</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term “operating managers” is used here.  Elsewhere, the term “employer” is used as the responsible person.  For consistency, either change “operating managers” to “employers”, or remove it.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112</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508-509, 527-528, 529-531</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The sentences that say “the requirements for existing exposure situation apply, irrespective of activity concentrations” (508-509 &amp; 527-528) is at odds with the </w:t>
            </w:r>
            <w:r w:rsidRPr="00D27467">
              <w:rPr>
                <w:rFonts w:eastAsia="Calibri"/>
                <w:sz w:val="18"/>
                <w:szCs w:val="18"/>
              </w:rPr>
              <w:lastRenderedPageBreak/>
              <w:t>statement that says clauses from the planned exposure code RPS C-1 apply to material containing radionuclides of natural origin where the activity concentration of any radionuclide in the U-238 or Th-232 decay series exceeds 1Bq.g-1, or if the activity concentration of K-40 exceeds 10Bq.g-1 (529-531).</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Guide is aligned with GSR Part 3.</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113</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51-520</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Who should develop and implement the protection strategy mentioned here?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Text has been modified in line 520-521</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114</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592</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reference level of 10m.Sv.y-1 is already established – it is not a matter of a reference level “to be selected by operating managers”.  The text “to be selected by operating managers” should be removed.</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 with modifications.</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has been modified to read ‘to be </w:t>
            </w:r>
            <w:r w:rsidRPr="00D27467">
              <w:rPr>
                <w:rFonts w:eastAsia="Calibri"/>
                <w:color w:val="FF0000"/>
                <w:sz w:val="18"/>
                <w:szCs w:val="18"/>
              </w:rPr>
              <w:t>endorsed</w:t>
            </w:r>
            <w:r w:rsidRPr="00D27467">
              <w:rPr>
                <w:rFonts w:eastAsia="Calibri"/>
                <w:sz w:val="18"/>
                <w:szCs w:val="18"/>
              </w:rPr>
              <w:t xml:space="preserve"> by employers’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115</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788</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 “Graded approach” is not mentioned in the guide so it can be removed from the glossary.</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116</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793</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 xml:space="preserve"> “Health authority” is not mentioned in the guide so it can be removed from the glossary.</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117</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Line 917, 923 &amp; elsewhere</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term “regulatory body” is used in Appendix 2 and the glossary.</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terms “regulatory authority”, “relevant regulatory body”, “relevant regulatory authority”, and “relevant radiation regulatory authority” are only used in the glossary.</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 main text of the guide uses the term “relevant authority”.</w:t>
            </w:r>
          </w:p>
          <w:p w:rsidR="00460079" w:rsidRPr="00D27467" w:rsidRDefault="00460079" w:rsidP="008970CA">
            <w:pPr>
              <w:spacing w:before="0" w:after="0"/>
              <w:ind w:left="34"/>
              <w:jc w:val="left"/>
              <w:rPr>
                <w:rFonts w:eastAsia="Calibri"/>
                <w:sz w:val="18"/>
                <w:szCs w:val="18"/>
              </w:rPr>
            </w:pPr>
          </w:p>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Can a single term be chosen and used throughout?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Comment not adopted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not adopted.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Consistent with ARPANSA RPS C-1. </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118</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Section 4.1</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 discussion about areas with residual radioactive material is not structured in a similar wary to the discussion of other existing exposure situations.</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In sections 4.2 to 4.4 the guide has an introductory discussion about exposure of persons to radon, cosmic rays, and radionuclides in commodities and bulk materials.  It then provides guidance for situations in which exposure are above the relevant reference level (see lines 565, 583, 638, and 643).</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is not the case with exposures due to contamination of areas by residual radioactive material - the discussion goes directly to the remediation of these areas (an action carried out if the relevant reference level is exceeded).</w:t>
            </w:r>
          </w:p>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no discussion about habitation of land with residual radioactive material in a situation where the reference level is not exceeded and remediation has not, and need not, be carried out.  In these situations the option may be to do nothing at all, or to have in place a management plan that for example, leaves in place the extant natural or built environment so that exposure does not increase (note that this is not the same as remediation which is meant to reduce an existing exposure).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Not Accepted</w:t>
            </w: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Text in Section 2.2 has been added to clarify if action needs to occur. Figure 2.2 has been edited to clarify if remediation is required. </w:t>
            </w:r>
          </w:p>
          <w:p w:rsidR="00460079" w:rsidRPr="00D27467" w:rsidRDefault="00460079" w:rsidP="00B403B5">
            <w:pPr>
              <w:spacing w:before="0" w:after="0"/>
              <w:jc w:val="left"/>
              <w:rPr>
                <w:rFonts w:eastAsia="Calibri"/>
                <w:sz w:val="18"/>
                <w:szCs w:val="18"/>
              </w:rPr>
            </w:pPr>
            <w:r w:rsidRPr="00D27467">
              <w:rPr>
                <w:rFonts w:eastAsia="Calibri"/>
                <w:sz w:val="18"/>
                <w:szCs w:val="18"/>
              </w:rPr>
              <w:t>Section 4 also states the following “A decision should then be made as to what management or intervening action may be required, taking full account of the costs and benefits of the action. The outcome of the initial assessment should help guide the decision–making process.”</w:t>
            </w: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lastRenderedPageBreak/>
              <w:t>119</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Section 4.4</w:t>
            </w: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This clause says a protection strategy should be developed by the employers in conjunction with the relevant regulatory authority.  However, this type of exposure is only addressed under Section 3 – Guidance for public exposure, so is an “employer” necessarily a relevant person here?</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Noted. </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Any protection strategy should be developed in conjunction with the relevant regulatory authority. </w:t>
            </w:r>
          </w:p>
          <w:p w:rsidR="00460079" w:rsidRPr="00D27467" w:rsidRDefault="00460079" w:rsidP="00B403B5">
            <w:pPr>
              <w:spacing w:before="0" w:after="0"/>
              <w:jc w:val="left"/>
              <w:rPr>
                <w:rFonts w:eastAsia="Calibri"/>
                <w:sz w:val="18"/>
                <w:szCs w:val="18"/>
              </w:rPr>
            </w:pPr>
          </w:p>
        </w:tc>
      </w:tr>
      <w:tr w:rsidR="00460079" w:rsidRPr="00D27467" w:rsidTr="00E96E7F">
        <w:trPr>
          <w:trHeight w:val="20"/>
        </w:trPr>
        <w:tc>
          <w:tcPr>
            <w:tcW w:w="562" w:type="dxa"/>
            <w:tcMar>
              <w:left w:w="0" w:type="dxa"/>
              <w:right w:w="0" w:type="dxa"/>
            </w:tcMar>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120</w:t>
            </w:r>
          </w:p>
        </w:tc>
        <w:tc>
          <w:tcPr>
            <w:tcW w:w="1417" w:type="dxa"/>
            <w:vAlign w:val="top"/>
          </w:tcPr>
          <w:p w:rsidR="00460079" w:rsidRPr="00D27467" w:rsidRDefault="00460079" w:rsidP="008970CA">
            <w:pPr>
              <w:spacing w:before="0" w:after="0"/>
              <w:ind w:left="34"/>
              <w:jc w:val="left"/>
              <w:rPr>
                <w:rFonts w:eastAsia="Calibri"/>
                <w:sz w:val="18"/>
                <w:szCs w:val="18"/>
              </w:rPr>
            </w:pPr>
          </w:p>
        </w:tc>
        <w:tc>
          <w:tcPr>
            <w:tcW w:w="1134"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General</w:t>
            </w:r>
          </w:p>
          <w:p w:rsidR="00460079" w:rsidRPr="00D27467" w:rsidRDefault="00460079" w:rsidP="008970CA">
            <w:pPr>
              <w:spacing w:before="0" w:after="0"/>
              <w:ind w:left="34"/>
              <w:jc w:val="left"/>
              <w:rPr>
                <w:rFonts w:eastAsia="Calibri"/>
                <w:sz w:val="18"/>
                <w:szCs w:val="18"/>
              </w:rPr>
            </w:pPr>
          </w:p>
        </w:tc>
        <w:tc>
          <w:tcPr>
            <w:tcW w:w="2977" w:type="dxa"/>
            <w:vAlign w:val="top"/>
          </w:tcPr>
          <w:p w:rsidR="00460079" w:rsidRPr="00D27467" w:rsidRDefault="00460079" w:rsidP="008970CA">
            <w:pPr>
              <w:spacing w:before="0" w:after="0"/>
              <w:ind w:left="34"/>
              <w:jc w:val="left"/>
              <w:rPr>
                <w:rFonts w:eastAsia="Calibri"/>
                <w:sz w:val="18"/>
                <w:szCs w:val="18"/>
              </w:rPr>
            </w:pPr>
            <w:r w:rsidRPr="00D27467">
              <w:rPr>
                <w:rFonts w:eastAsia="Calibri"/>
                <w:sz w:val="18"/>
                <w:szCs w:val="18"/>
              </w:rPr>
              <w:t>There is a lot of material in Part 3 which states what a legal and regulatory framework should include which effectively, I think, is similar to stating what a code or guide should include.  If this is the case then why include it in the guide?  Instead of saying what should be included, just simply include it.</w:t>
            </w:r>
          </w:p>
        </w:tc>
        <w:tc>
          <w:tcPr>
            <w:tcW w:w="2269" w:type="dxa"/>
            <w:tcBorders>
              <w:right w:val="triple" w:sz="4" w:space="0" w:color="4E1A74"/>
            </w:tcBorders>
            <w:vAlign w:val="top"/>
          </w:tcPr>
          <w:p w:rsidR="00460079" w:rsidRPr="00D27467" w:rsidRDefault="00460079" w:rsidP="008970CA">
            <w:pPr>
              <w:spacing w:before="0" w:after="0"/>
              <w:jc w:val="left"/>
              <w:rPr>
                <w:rFonts w:eastAsia="Calibri"/>
                <w:sz w:val="18"/>
                <w:szCs w:val="18"/>
              </w:rPr>
            </w:pPr>
          </w:p>
        </w:tc>
        <w:tc>
          <w:tcPr>
            <w:tcW w:w="992" w:type="dxa"/>
            <w:tcBorders>
              <w:left w:val="triple" w:sz="4" w:space="0" w:color="4E1A74"/>
            </w:tcBorders>
            <w:vAlign w:val="top"/>
          </w:tcPr>
          <w:p w:rsidR="00460079" w:rsidRPr="00D27467" w:rsidRDefault="00460079" w:rsidP="008970CA">
            <w:pPr>
              <w:spacing w:before="0" w:after="0"/>
              <w:jc w:val="left"/>
              <w:rPr>
                <w:rFonts w:eastAsia="Calibri"/>
                <w:sz w:val="18"/>
                <w:szCs w:val="18"/>
              </w:rPr>
            </w:pPr>
            <w:r w:rsidRPr="00D27467">
              <w:rPr>
                <w:rFonts w:eastAsia="Calibri"/>
                <w:sz w:val="18"/>
                <w:szCs w:val="18"/>
              </w:rPr>
              <w:t>Accepted</w:t>
            </w:r>
          </w:p>
        </w:tc>
        <w:tc>
          <w:tcPr>
            <w:tcW w:w="1276" w:type="dxa"/>
            <w:vAlign w:val="top"/>
          </w:tcPr>
          <w:p w:rsidR="00460079" w:rsidRPr="00D27467" w:rsidRDefault="00460079" w:rsidP="008970CA">
            <w:pPr>
              <w:spacing w:before="0" w:after="0"/>
              <w:jc w:val="left"/>
              <w:rPr>
                <w:rFonts w:eastAsia="Calibri"/>
                <w:sz w:val="18"/>
                <w:szCs w:val="18"/>
              </w:rPr>
            </w:pPr>
          </w:p>
        </w:tc>
        <w:tc>
          <w:tcPr>
            <w:tcW w:w="1275" w:type="dxa"/>
            <w:vAlign w:val="top"/>
          </w:tcPr>
          <w:p w:rsidR="00460079" w:rsidRPr="00D27467" w:rsidRDefault="00460079" w:rsidP="008970CA">
            <w:pPr>
              <w:spacing w:before="0" w:after="0"/>
              <w:jc w:val="left"/>
              <w:rPr>
                <w:rFonts w:eastAsia="Calibri"/>
                <w:sz w:val="18"/>
                <w:szCs w:val="18"/>
              </w:rPr>
            </w:pPr>
          </w:p>
        </w:tc>
        <w:tc>
          <w:tcPr>
            <w:tcW w:w="2693" w:type="dxa"/>
            <w:vAlign w:val="top"/>
          </w:tcPr>
          <w:p w:rsidR="00460079" w:rsidRPr="00D27467" w:rsidRDefault="00460079" w:rsidP="00B403B5">
            <w:pPr>
              <w:spacing w:before="0" w:after="0"/>
              <w:jc w:val="left"/>
              <w:rPr>
                <w:rFonts w:eastAsia="Calibri"/>
                <w:sz w:val="18"/>
                <w:szCs w:val="18"/>
              </w:rPr>
            </w:pPr>
            <w:r w:rsidRPr="00D27467">
              <w:rPr>
                <w:rFonts w:eastAsia="Calibri"/>
                <w:sz w:val="18"/>
                <w:szCs w:val="18"/>
              </w:rPr>
              <w:t>Comment accepted.</w:t>
            </w:r>
          </w:p>
          <w:p w:rsidR="00460079" w:rsidRPr="00D27467" w:rsidRDefault="00460079" w:rsidP="00B403B5">
            <w:pPr>
              <w:spacing w:before="0" w:after="0"/>
              <w:jc w:val="left"/>
              <w:rPr>
                <w:rFonts w:eastAsia="Calibri"/>
                <w:sz w:val="18"/>
                <w:szCs w:val="18"/>
              </w:rPr>
            </w:pPr>
          </w:p>
          <w:p w:rsidR="00460079" w:rsidRPr="00D27467" w:rsidRDefault="00460079" w:rsidP="00B403B5">
            <w:pPr>
              <w:spacing w:before="0" w:after="0"/>
              <w:jc w:val="left"/>
              <w:rPr>
                <w:rFonts w:eastAsia="Calibri"/>
                <w:sz w:val="18"/>
                <w:szCs w:val="18"/>
              </w:rPr>
            </w:pPr>
            <w:r w:rsidRPr="00D27467">
              <w:rPr>
                <w:rFonts w:eastAsia="Calibri"/>
                <w:sz w:val="18"/>
                <w:szCs w:val="18"/>
              </w:rPr>
              <w:t xml:space="preserve">Noted. </w:t>
            </w:r>
          </w:p>
        </w:tc>
      </w:tr>
    </w:tbl>
    <w:p w:rsidR="00460079" w:rsidRDefault="00460079" w:rsidP="00460079"/>
    <w:p w:rsidR="005E6663" w:rsidRDefault="005E6663" w:rsidP="005E6663"/>
    <w:sectPr w:rsidR="005E6663" w:rsidSect="00460079">
      <w:footerReference w:type="default" r:id="rId8"/>
      <w:headerReference w:type="first" r:id="rId9"/>
      <w:footerReference w:type="first" r:id="rId10"/>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7F" w:rsidRDefault="00E96E7F" w:rsidP="00037687">
      <w:r>
        <w:separator/>
      </w:r>
    </w:p>
  </w:endnote>
  <w:endnote w:type="continuationSeparator" w:id="0">
    <w:p w:rsidR="00E96E7F" w:rsidRDefault="00E96E7F"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F" w:rsidRPr="00C0764F" w:rsidRDefault="00E96E7F" w:rsidP="00460079">
    <w:pPr>
      <w:pStyle w:val="Title"/>
      <w:tabs>
        <w:tab w:val="right" w:pos="14572"/>
      </w:tabs>
      <w:spacing w:before="120"/>
      <w:jc w:val="left"/>
      <w:rPr>
        <w:sz w:val="16"/>
      </w:rPr>
    </w:pPr>
    <w:r w:rsidRPr="00C0764F">
      <w:rPr>
        <w:b w:val="0"/>
        <w:noProof/>
        <w:color w:val="444444"/>
        <w:sz w:val="18"/>
        <w:szCs w:val="20"/>
        <w:lang w:eastAsia="en-AU"/>
      </w:rPr>
      <w:drawing>
        <wp:anchor distT="0" distB="0" distL="114300" distR="114300" simplePos="0" relativeHeight="251663360" behindDoc="0" locked="0" layoutInCell="1" allowOverlap="1" wp14:anchorId="11D264E7" wp14:editId="4F75A17F">
          <wp:simplePos x="0" y="0"/>
          <wp:positionH relativeFrom="column">
            <wp:posOffset>-3810</wp:posOffset>
          </wp:positionH>
          <wp:positionV relativeFrom="paragraph">
            <wp:posOffset>27485</wp:posOffset>
          </wp:positionV>
          <wp:extent cx="9252000" cy="53975"/>
          <wp:effectExtent l="0" t="0" r="635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b w:val="0"/>
        <w:noProof/>
        <w:color w:val="444444"/>
        <w:sz w:val="18"/>
        <w:szCs w:val="20"/>
        <w:lang w:eastAsia="en-AU"/>
      </w:rPr>
      <w:t>Summary of submissions and responses</w:t>
    </w:r>
    <w:r w:rsidRPr="00C0764F">
      <w:rPr>
        <w:b w:val="0"/>
        <w:color w:val="444444"/>
        <w:sz w:val="18"/>
        <w:szCs w:val="20"/>
      </w:rPr>
      <w:t xml:space="preserve"> </w:t>
    </w:r>
    <w:r>
      <w:rPr>
        <w:b w:val="0"/>
        <w:color w:val="444444"/>
        <w:sz w:val="18"/>
        <w:szCs w:val="20"/>
      </w:rPr>
      <w:t xml:space="preserve">- </w:t>
    </w:r>
    <w:r w:rsidRPr="00460079">
      <w:rPr>
        <w:b w:val="0"/>
        <w:i/>
        <w:color w:val="444444"/>
        <w:sz w:val="18"/>
        <w:szCs w:val="20"/>
      </w:rPr>
      <w:t>Guide for Radiation Protection in Existing Exposure Situations (RPS G-2)</w:t>
    </w:r>
    <w:r w:rsidRPr="00C0764F">
      <w:rPr>
        <w:b w:val="0"/>
        <w:color w:val="444444"/>
        <w:sz w:val="18"/>
        <w:szCs w:val="20"/>
      </w:rPr>
      <w:tab/>
    </w:r>
    <w:r w:rsidRPr="00C0764F">
      <w:rPr>
        <w:b w:val="0"/>
        <w:color w:val="444444"/>
        <w:sz w:val="18"/>
        <w:szCs w:val="20"/>
      </w:rPr>
      <w:fldChar w:fldCharType="begin"/>
    </w:r>
    <w:r w:rsidRPr="00C0764F">
      <w:rPr>
        <w:b w:val="0"/>
        <w:color w:val="444444"/>
        <w:sz w:val="18"/>
        <w:szCs w:val="20"/>
      </w:rPr>
      <w:instrText xml:space="preserve"> PAGE  \* Arabic  \* MERGEFORMAT </w:instrText>
    </w:r>
    <w:r w:rsidRPr="00C0764F">
      <w:rPr>
        <w:b w:val="0"/>
        <w:color w:val="444444"/>
        <w:sz w:val="18"/>
        <w:szCs w:val="20"/>
      </w:rPr>
      <w:fldChar w:fldCharType="separate"/>
    </w:r>
    <w:r w:rsidR="00C84946">
      <w:rPr>
        <w:b w:val="0"/>
        <w:noProof/>
        <w:color w:val="444444"/>
        <w:sz w:val="18"/>
        <w:szCs w:val="20"/>
      </w:rPr>
      <w:t>2</w:t>
    </w:r>
    <w:r w:rsidRPr="00C0764F">
      <w:rPr>
        <w:b w:val="0"/>
        <w:color w:val="444444"/>
        <w:sz w:val="18"/>
        <w:szCs w:val="20"/>
      </w:rPr>
      <w:fldChar w:fldCharType="end"/>
    </w:r>
    <w:r w:rsidRPr="00C0764F">
      <w:rPr>
        <w:b w:val="0"/>
        <w:color w:val="444444"/>
        <w:sz w:val="18"/>
        <w:szCs w:val="20"/>
      </w:rPr>
      <w:t xml:space="preserve"> of </w:t>
    </w:r>
    <w:r w:rsidRPr="00C0764F">
      <w:rPr>
        <w:b w:val="0"/>
        <w:color w:val="444444"/>
        <w:sz w:val="18"/>
        <w:szCs w:val="20"/>
      </w:rPr>
      <w:fldChar w:fldCharType="begin"/>
    </w:r>
    <w:r w:rsidRPr="00C0764F">
      <w:rPr>
        <w:b w:val="0"/>
        <w:color w:val="444444"/>
        <w:sz w:val="18"/>
        <w:szCs w:val="20"/>
      </w:rPr>
      <w:instrText xml:space="preserve"> NUMPAGES  \* Arabic  \* MERGEFORMAT </w:instrText>
    </w:r>
    <w:r w:rsidRPr="00C0764F">
      <w:rPr>
        <w:b w:val="0"/>
        <w:color w:val="444444"/>
        <w:sz w:val="18"/>
        <w:szCs w:val="20"/>
      </w:rPr>
      <w:fldChar w:fldCharType="separate"/>
    </w:r>
    <w:r w:rsidR="00C84946">
      <w:rPr>
        <w:b w:val="0"/>
        <w:noProof/>
        <w:color w:val="444444"/>
        <w:sz w:val="18"/>
        <w:szCs w:val="20"/>
      </w:rPr>
      <w:t>34</w:t>
    </w:r>
    <w:r w:rsidRPr="00C0764F">
      <w:rPr>
        <w:b w:val="0"/>
        <w:color w:val="444444"/>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F" w:rsidRPr="002356D6" w:rsidRDefault="00E96E7F" w:rsidP="00460079">
    <w:pPr>
      <w:tabs>
        <w:tab w:val="left" w:pos="6237"/>
        <w:tab w:val="right" w:pos="14601"/>
      </w:tabs>
      <w:spacing w:before="120"/>
      <w:rPr>
        <w:sz w:val="16"/>
      </w:rPr>
    </w:pPr>
    <w:r w:rsidRPr="002356D6">
      <w:rPr>
        <w:noProof/>
        <w:sz w:val="16"/>
        <w:lang w:eastAsia="en-AU"/>
      </w:rPr>
      <w:drawing>
        <wp:anchor distT="0" distB="0" distL="114300" distR="114300" simplePos="0" relativeHeight="251661312" behindDoc="0" locked="1" layoutInCell="1" allowOverlap="0" wp14:anchorId="2F00AA0A" wp14:editId="47880358">
          <wp:simplePos x="0" y="0"/>
          <wp:positionH relativeFrom="margin">
            <wp:posOffset>6824</wp:posOffset>
          </wp:positionH>
          <wp:positionV relativeFrom="page">
            <wp:posOffset>6762115</wp:posOffset>
          </wp:positionV>
          <wp:extent cx="9252000" cy="54000"/>
          <wp:effectExtent l="0" t="0" r="0"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9252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t>38–40 Urunga Parade, Miranda NSW 2228</w:t>
    </w:r>
    <w:r w:rsidRPr="002356D6">
      <w:rPr>
        <w:sz w:val="16"/>
      </w:rPr>
      <w:tab/>
      <w:t>info@arpansa.gov.au</w:t>
    </w:r>
    <w:r w:rsidRPr="002356D6">
      <w:rPr>
        <w:sz w:val="16"/>
      </w:rPr>
      <w:br/>
      <w:t>+61 3 94</w:t>
    </w:r>
    <w:r>
      <w:rPr>
        <w:sz w:val="16"/>
      </w:rPr>
      <w:t>33 2211</w:t>
    </w:r>
    <w:r>
      <w:rPr>
        <w:sz w:val="16"/>
      </w:rPr>
      <w:tab/>
      <w:t>PO Box 655, Miranda NSW 1490</w:t>
    </w:r>
    <w:r w:rsidRPr="002356D6">
      <w:rPr>
        <w:sz w:val="16"/>
      </w:rPr>
      <w:tab/>
      <w:t>arpansa.gov.au</w:t>
    </w:r>
    <w:r w:rsidRPr="002356D6">
      <w:rPr>
        <w:sz w:val="16"/>
      </w:rPr>
      <w:br/>
    </w:r>
    <w:r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7F" w:rsidRDefault="00E96E7F" w:rsidP="00037687">
      <w:r>
        <w:separator/>
      </w:r>
    </w:p>
  </w:footnote>
  <w:footnote w:type="continuationSeparator" w:id="0">
    <w:p w:rsidR="00E96E7F" w:rsidRDefault="00E96E7F"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F" w:rsidRDefault="00E96E7F">
    <w:pPr>
      <w:pStyle w:val="Header"/>
    </w:pPr>
    <w:r>
      <w:rPr>
        <w:noProof/>
        <w:lang w:eastAsia="en-AU"/>
      </w:rPr>
      <w:drawing>
        <wp:inline distT="0" distB="0" distL="0" distR="0">
          <wp:extent cx="9251950" cy="731520"/>
          <wp:effectExtent l="0" t="0" r="635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lansdscape NEW-MAR17.jpg"/>
                  <pic:cNvPicPr/>
                </pic:nvPicPr>
                <pic:blipFill>
                  <a:blip r:embed="rId1">
                    <a:extLst>
                      <a:ext uri="{28A0092B-C50C-407E-A947-70E740481C1C}">
                        <a14:useLocalDpi xmlns:a14="http://schemas.microsoft.com/office/drawing/2010/main" val="0"/>
                      </a:ext>
                    </a:extLst>
                  </a:blip>
                  <a:stretch>
                    <a:fillRect/>
                  </a:stretch>
                </pic:blipFill>
                <pic:spPr>
                  <a:xfrm>
                    <a:off x="0" y="0"/>
                    <a:ext cx="9251950" cy="731520"/>
                  </a:xfrm>
                  <a:prstGeom prst="rect">
                    <a:avLst/>
                  </a:prstGeom>
                </pic:spPr>
              </pic:pic>
            </a:graphicData>
          </a:graphic>
        </wp:inline>
      </w:drawing>
    </w:r>
  </w:p>
  <w:p w:rsidR="00E96E7F" w:rsidRDefault="00E9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75D"/>
    <w:multiLevelType w:val="multilevel"/>
    <w:tmpl w:val="02C49AFB"/>
    <w:lvl w:ilvl="0">
      <w:start w:val="1"/>
      <w:numFmt w:val="bullet"/>
      <w:pStyle w:val="RPSdotpointbodytext"/>
      <w:lvlText w:val=""/>
      <w:lvlJc w:val="left"/>
      <w:pPr>
        <w:ind w:left="360" w:hanging="360"/>
      </w:pPr>
      <w:rPr>
        <w:rFonts w:ascii="Symbol" w:eastAsia="Symbol" w:hAnsi="Symbol"/>
        <w:sz w:val="18"/>
      </w:rPr>
    </w:lvl>
    <w:lvl w:ilvl="1">
      <w:start w:val="1"/>
      <w:numFmt w:val="bullet"/>
      <w:lvlText w:val="o"/>
      <w:lvlJc w:val="left"/>
      <w:pPr>
        <w:ind w:left="873" w:hanging="360"/>
      </w:pPr>
      <w:rPr>
        <w:rFonts w:ascii="Courier New" w:eastAsia="Courier New" w:hAnsi="Courier New"/>
      </w:rPr>
    </w:lvl>
    <w:lvl w:ilvl="2">
      <w:start w:val="1"/>
      <w:numFmt w:val="bullet"/>
      <w:lvlText w:val=""/>
      <w:lvlJc w:val="left"/>
      <w:pPr>
        <w:ind w:left="1593" w:hanging="360"/>
      </w:pPr>
      <w:rPr>
        <w:rFonts w:ascii="Wingdings" w:eastAsia="Wingdings" w:hAnsi="Wingdings"/>
      </w:rPr>
    </w:lvl>
    <w:lvl w:ilvl="3">
      <w:start w:val="1"/>
      <w:numFmt w:val="bullet"/>
      <w:lvlText w:val=""/>
      <w:lvlJc w:val="left"/>
      <w:pPr>
        <w:ind w:left="2313" w:hanging="360"/>
      </w:pPr>
      <w:rPr>
        <w:rFonts w:ascii="Symbol" w:eastAsia="Symbol" w:hAnsi="Symbol"/>
      </w:rPr>
    </w:lvl>
    <w:lvl w:ilvl="4">
      <w:start w:val="1"/>
      <w:numFmt w:val="bullet"/>
      <w:lvlText w:val="o"/>
      <w:lvlJc w:val="left"/>
      <w:pPr>
        <w:ind w:left="3033" w:hanging="360"/>
      </w:pPr>
      <w:rPr>
        <w:rFonts w:ascii="Courier New" w:eastAsia="Courier New" w:hAnsi="Courier New"/>
      </w:rPr>
    </w:lvl>
    <w:lvl w:ilvl="5">
      <w:start w:val="1"/>
      <w:numFmt w:val="bullet"/>
      <w:lvlText w:val=""/>
      <w:lvlJc w:val="left"/>
      <w:pPr>
        <w:ind w:left="3753" w:hanging="360"/>
      </w:pPr>
      <w:rPr>
        <w:rFonts w:ascii="Wingdings" w:eastAsia="Wingdings" w:hAnsi="Wingdings"/>
      </w:rPr>
    </w:lvl>
    <w:lvl w:ilvl="6">
      <w:start w:val="1"/>
      <w:numFmt w:val="bullet"/>
      <w:lvlText w:val=""/>
      <w:lvlJc w:val="left"/>
      <w:pPr>
        <w:ind w:left="4473" w:hanging="360"/>
      </w:pPr>
      <w:rPr>
        <w:rFonts w:ascii="Symbol" w:eastAsia="Symbol" w:hAnsi="Symbol"/>
      </w:rPr>
    </w:lvl>
    <w:lvl w:ilvl="7">
      <w:start w:val="1"/>
      <w:numFmt w:val="bullet"/>
      <w:lvlText w:val="o"/>
      <w:lvlJc w:val="left"/>
      <w:pPr>
        <w:ind w:left="5193" w:hanging="360"/>
      </w:pPr>
      <w:rPr>
        <w:rFonts w:ascii="Courier New" w:eastAsia="Courier New" w:hAnsi="Courier New"/>
      </w:rPr>
    </w:lvl>
    <w:lvl w:ilvl="8">
      <w:start w:val="1"/>
      <w:numFmt w:val="bullet"/>
      <w:lvlText w:val=""/>
      <w:lvlJc w:val="left"/>
      <w:pPr>
        <w:ind w:left="5913" w:hanging="360"/>
      </w:pPr>
      <w:rPr>
        <w:rFonts w:ascii="Wingdings" w:eastAsia="Wingdings" w:hAnsi="Wingdings"/>
      </w:rPr>
    </w:lvl>
  </w:abstractNum>
  <w:abstractNum w:abstractNumId="1" w15:restartNumberingAfterBreak="0">
    <w:nsid w:val="1B2F2001"/>
    <w:multiLevelType w:val="hybridMultilevel"/>
    <w:tmpl w:val="02002FA0"/>
    <w:lvl w:ilvl="0" w:tplc="58369874">
      <w:numFmt w:val="bullet"/>
      <w:lvlText w:val="•"/>
      <w:lvlJc w:val="left"/>
      <w:pPr>
        <w:ind w:left="724" w:hanging="690"/>
      </w:pPr>
      <w:rPr>
        <w:rFonts w:ascii="Calibri" w:eastAsia="Calibri" w:hAnsi="Calibri" w:cstheme="minorBidi"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 w15:restartNumberingAfterBreak="0">
    <w:nsid w:val="278A14D0"/>
    <w:multiLevelType w:val="multilevel"/>
    <w:tmpl w:val="03086985"/>
    <w:lvl w:ilvl="0">
      <w:start w:val="1"/>
      <w:numFmt w:val="decimal"/>
      <w:lvlText w:val="%1."/>
      <w:lvlJc w:val="left"/>
      <w:pPr>
        <w:ind w:left="414" w:hanging="360"/>
      </w:pPr>
      <w:rPr>
        <w:rFonts w:ascii="Georgia" w:eastAsia="Georgia" w:hAnsi="Georgia"/>
        <w:b/>
        <w:i w:val="0"/>
        <w:sz w:val="36"/>
      </w:rPr>
    </w:lvl>
    <w:lvl w:ilvl="1">
      <w:start w:val="1"/>
      <w:numFmt w:val="decimal"/>
      <w:pStyle w:val="RPSSectionHeading2"/>
      <w:lvlText w:val="%1.%2"/>
      <w:lvlJc w:val="left"/>
      <w:pPr>
        <w:ind w:left="846" w:hanging="792"/>
      </w:pPr>
      <w:rPr>
        <w:rFonts w:ascii="Georgia" w:eastAsia="Georgia" w:hAnsi="Georgia"/>
        <w:b/>
        <w:i w:val="0"/>
        <w:sz w:val="24"/>
      </w:rPr>
    </w:lvl>
    <w:lvl w:ilvl="2">
      <w:start w:val="1"/>
      <w:numFmt w:val="decimal"/>
      <w:pStyle w:val="RPSBodyText"/>
      <w:lvlText w:val="%1.%2.%3"/>
      <w:lvlJc w:val="left"/>
      <w:pPr>
        <w:ind w:left="848" w:hanging="794"/>
      </w:pPr>
      <w:rPr>
        <w:rFonts w:ascii="Georgia" w:eastAsia="Georgia" w:hAnsi="Georgia"/>
        <w:b w:val="0"/>
        <w:i w:val="0"/>
        <w:sz w:val="24"/>
      </w:rPr>
    </w:lvl>
    <w:lvl w:ilvl="3">
      <w:start w:val="1"/>
      <w:numFmt w:val="lowerLetter"/>
      <w:lvlText w:val="(%4)"/>
      <w:lvlJc w:val="left"/>
      <w:pPr>
        <w:ind w:left="1418" w:hanging="284"/>
      </w:pPr>
      <w:rPr>
        <w:b w:val="0"/>
        <w:i w:val="0"/>
        <w:sz w:val="22"/>
      </w:rPr>
    </w:lvl>
    <w:lvl w:ilvl="4">
      <w:start w:val="1"/>
      <w:numFmt w:val="lowerRoman"/>
      <w:pStyle w:val="RPSBodyTextroman"/>
      <w:lvlText w:val="(%5)"/>
      <w:lvlJc w:val="left"/>
      <w:pPr>
        <w:ind w:left="2286" w:hanging="792"/>
      </w:pPr>
      <w:rPr>
        <w:b w:val="0"/>
        <w:i w:val="0"/>
        <w:sz w:val="22"/>
      </w:rPr>
    </w:lvl>
    <w:lvl w:ilvl="5">
      <w:start w:val="1"/>
      <w:numFmt w:val="decimal"/>
      <w:lvlText w:val="%1.%2.%3.%4.%5.%6."/>
      <w:lvlJc w:val="left"/>
      <w:pPr>
        <w:ind w:left="2790" w:hanging="936"/>
      </w:pPr>
    </w:lvl>
    <w:lvl w:ilvl="6">
      <w:start w:val="1"/>
      <w:numFmt w:val="decimal"/>
      <w:lvlText w:val="%1.%2.%3.%4.%5.%6.%7."/>
      <w:lvlJc w:val="left"/>
      <w:pPr>
        <w:ind w:left="3294" w:hanging="1080"/>
      </w:pPr>
    </w:lvl>
    <w:lvl w:ilvl="7">
      <w:start w:val="1"/>
      <w:numFmt w:val="decimal"/>
      <w:lvlText w:val="%1.%2.%3.%4.%5.%6.%7.%8."/>
      <w:lvlJc w:val="left"/>
      <w:pPr>
        <w:ind w:left="3798" w:hanging="1224"/>
      </w:pPr>
    </w:lvl>
    <w:lvl w:ilvl="8">
      <w:start w:val="1"/>
      <w:numFmt w:val="decimal"/>
      <w:lvlText w:val="%1.%2.%3.%4.%5.%6.%7.%8.%9."/>
      <w:lvlJc w:val="left"/>
      <w:pPr>
        <w:ind w:left="4374" w:hanging="1440"/>
      </w:pPr>
    </w:lvl>
  </w:abstractNum>
  <w:abstractNum w:abstractNumId="3" w15:restartNumberingAfterBreak="0">
    <w:nsid w:val="2FB435C9"/>
    <w:multiLevelType w:val="multilevel"/>
    <w:tmpl w:val="02F47C69"/>
    <w:lvl w:ilvl="0">
      <w:start w:val="1"/>
      <w:numFmt w:val="decimal"/>
      <w:pStyle w:val="RPSSectionHeading"/>
      <w:lvlText w:val="%1."/>
      <w:lvlJc w:val="left"/>
      <w:pPr>
        <w:ind w:left="851" w:hanging="851"/>
      </w:pPr>
      <w:rPr>
        <w:rFonts w:ascii="Georgia" w:eastAsia="Georgia" w:hAnsi="Georgia"/>
        <w:b/>
        <w:i w:val="0"/>
        <w:sz w:val="36"/>
      </w:rPr>
    </w:lvl>
    <w:lvl w:ilvl="1">
      <w:start w:val="1"/>
      <w:numFmt w:val="decimal"/>
      <w:pStyle w:val="CoPRPSSectionHeading2"/>
      <w:lvlText w:val="%1.%2"/>
      <w:lvlJc w:val="left"/>
      <w:pPr>
        <w:ind w:left="851" w:hanging="851"/>
      </w:pPr>
      <w:rPr>
        <w:rFonts w:ascii="Georgia" w:eastAsia="Georgia" w:hAnsi="Georgia"/>
        <w:b/>
        <w:i w:val="0"/>
        <w:sz w:val="28"/>
      </w:rPr>
    </w:lvl>
    <w:lvl w:ilvl="2">
      <w:start w:val="1"/>
      <w:numFmt w:val="decimal"/>
      <w:pStyle w:val="CoPRPSBodyTextnumeric"/>
      <w:lvlText w:val="%1.%2.%3"/>
      <w:lvlJc w:val="left"/>
      <w:pPr>
        <w:ind w:left="851" w:hanging="851"/>
      </w:pPr>
      <w:rPr>
        <w:rFonts w:ascii="Georgia" w:eastAsia="Georgia" w:hAnsi="Georgia"/>
        <w:b w:val="0"/>
        <w:i w:val="0"/>
        <w:caps w:val="0"/>
        <w:vanish w:val="0"/>
        <w:sz w:val="24"/>
      </w:rPr>
    </w:lvl>
    <w:lvl w:ilvl="3">
      <w:start w:val="1"/>
      <w:numFmt w:val="lowerLetter"/>
      <w:pStyle w:val="RPSBodyTextalpha"/>
      <w:lvlText w:val="(%4)"/>
      <w:lvlJc w:val="left"/>
      <w:pPr>
        <w:ind w:left="1418" w:hanging="567"/>
      </w:pPr>
      <w:rPr>
        <w:rFonts w:ascii="Georgia" w:eastAsia="Georgia" w:hAnsi="Georgia"/>
        <w:b w:val="0"/>
        <w:i w:val="0"/>
        <w:sz w:val="24"/>
      </w:rPr>
    </w:lvl>
    <w:lvl w:ilvl="4">
      <w:start w:val="1"/>
      <w:numFmt w:val="lowerRoman"/>
      <w:lvlText w:val="(%5)"/>
      <w:lvlJc w:val="left"/>
      <w:pPr>
        <w:ind w:left="1985"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6" w15:restartNumberingAfterBreak="0">
    <w:nsid w:val="589E7122"/>
    <w:multiLevelType w:val="multilevel"/>
    <w:tmpl w:val="032CB8A3"/>
    <w:lvl w:ilvl="0">
      <w:start w:val="1"/>
      <w:numFmt w:val="lowerLetter"/>
      <w:lvlText w:val="(%1)"/>
      <w:lvlJc w:val="left"/>
      <w:pPr>
        <w:ind w:left="851" w:hanging="851"/>
      </w:pPr>
      <w:rPr>
        <w:rFonts w:ascii="Georgia" w:eastAsia="Georgia" w:hAnsi="Georgia"/>
        <w:b w:val="0"/>
        <w:i w:val="0"/>
        <w:sz w:val="22"/>
      </w:rPr>
    </w:lvl>
    <w:lvl w:ilvl="1">
      <w:start w:val="1"/>
      <w:numFmt w:val="lowerRoman"/>
      <w:pStyle w:val="RPSAppendixText"/>
      <w:lvlText w:val="(%2)"/>
      <w:lvlJc w:val="left"/>
      <w:pPr>
        <w:ind w:left="851" w:hanging="851"/>
      </w:pPr>
      <w:rPr>
        <w:rFonts w:ascii="Georgia" w:eastAsia="Georgia" w:hAnsi="Georgia"/>
        <w:b w:val="0"/>
        <w:i w:val="0"/>
        <w:sz w:val="22"/>
      </w:rPr>
    </w:lvl>
    <w:lvl w:ilvl="2">
      <w:start w:val="1"/>
      <w:numFmt w:val="lowerLetter"/>
      <w:pStyle w:val="RPSSchedAnnexText"/>
      <w:lvlText w:val="(%3)"/>
      <w:lvlJc w:val="left"/>
      <w:pPr>
        <w:ind w:left="1418" w:hanging="567"/>
      </w:pPr>
      <w:rPr>
        <w:rFonts w:ascii="Georgia" w:eastAsia="Georgia" w:hAnsi="Georgia"/>
        <w:b w:val="0"/>
        <w:i w:val="0"/>
        <w:sz w:val="22"/>
      </w:rPr>
    </w:lvl>
    <w:lvl w:ilvl="3">
      <w:start w:val="1"/>
      <w:numFmt w:val="lowerRoman"/>
      <w:lvlText w:val="(%4)"/>
      <w:lvlJc w:val="left"/>
      <w:pPr>
        <w:ind w:left="1985" w:hanging="567"/>
      </w:pPr>
      <w:rPr>
        <w:rFonts w:ascii="Georgia" w:eastAsia="Georgia" w:hAnsi="Georgia"/>
        <w:b w:val="0"/>
        <w:i w:val="0"/>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83D2A16"/>
    <w:multiLevelType w:val="multilevel"/>
    <w:tmpl w:val="01B1FE84"/>
    <w:lvl w:ilvl="0">
      <w:start w:val="1"/>
      <w:numFmt w:val="decimal"/>
      <w:lvlText w:val="%1."/>
      <w:lvlJc w:val="left"/>
      <w:pPr>
        <w:ind w:left="680" w:hanging="680"/>
      </w:pPr>
      <w:rPr>
        <w:rFonts w:ascii="Georgia" w:eastAsia="Georgia" w:hAnsi="Georgia"/>
        <w:b/>
        <w:i w:val="0"/>
        <w:sz w:val="32"/>
      </w:rPr>
    </w:lvl>
    <w:lvl w:ilvl="1">
      <w:start w:val="1"/>
      <w:numFmt w:val="decimal"/>
      <w:lvlText w:val="%1.%2"/>
      <w:lvlJc w:val="left"/>
      <w:pPr>
        <w:ind w:left="680" w:hanging="680"/>
      </w:pPr>
      <w:rPr>
        <w:rFonts w:ascii="Georgia" w:eastAsia="Georgia" w:hAnsi="Georgia"/>
        <w:b/>
        <w:i w:val="0"/>
        <w:sz w:val="28"/>
      </w:rPr>
    </w:lvl>
    <w:lvl w:ilvl="2">
      <w:start w:val="1"/>
      <w:numFmt w:val="decimal"/>
      <w:pStyle w:val="RPSBodyTextNumbered"/>
      <w:lvlText w:val="%1.%2.%3"/>
      <w:lvlJc w:val="left"/>
      <w:pPr>
        <w:ind w:left="794" w:hanging="794"/>
      </w:pPr>
      <w:rPr>
        <w:rFonts w:ascii="Georgia" w:eastAsia="Georgia" w:hAnsi="Georgia"/>
        <w:b w:val="0"/>
        <w:i w:val="0"/>
        <w:sz w:val="24"/>
      </w:rPr>
    </w:lvl>
    <w:lvl w:ilvl="3">
      <w:start w:val="1"/>
      <w:numFmt w:val="lowerLetter"/>
      <w:lvlText w:val="(%4)"/>
      <w:lvlJc w:val="left"/>
      <w:pPr>
        <w:ind w:left="1588" w:hanging="794"/>
      </w:pPr>
    </w:lvl>
    <w:lvl w:ilvl="4">
      <w:start w:val="1"/>
      <w:numFmt w:val="lowerRoman"/>
      <w:lvlText w:val="(%5)"/>
      <w:lvlJc w:val="left"/>
      <w:pPr>
        <w:ind w:left="2268" w:hanging="68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5"/>
  </w:num>
  <w:num w:numId="3">
    <w:abstractNumId w:val="7"/>
  </w:num>
  <w:num w:numId="4">
    <w:abstractNumId w:val="2"/>
  </w:num>
  <w:num w:numId="5">
    <w:abstractNumId w:val="3"/>
  </w:num>
  <w:num w:numId="6">
    <w:abstractNumId w:val="6"/>
  </w:num>
  <w:num w:numId="7">
    <w:abstractNumId w:val="0"/>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59"/>
    <w:rsid w:val="00037687"/>
    <w:rsid w:val="00066B27"/>
    <w:rsid w:val="000917AA"/>
    <w:rsid w:val="000A7DCD"/>
    <w:rsid w:val="000C29FD"/>
    <w:rsid w:val="000D27C8"/>
    <w:rsid w:val="000F3AB1"/>
    <w:rsid w:val="000F73FB"/>
    <w:rsid w:val="0010348D"/>
    <w:rsid w:val="00192A8D"/>
    <w:rsid w:val="001A11CB"/>
    <w:rsid w:val="001E0959"/>
    <w:rsid w:val="00211B48"/>
    <w:rsid w:val="002356D6"/>
    <w:rsid w:val="003014F6"/>
    <w:rsid w:val="00327077"/>
    <w:rsid w:val="00362A36"/>
    <w:rsid w:val="00370113"/>
    <w:rsid w:val="003939E0"/>
    <w:rsid w:val="00395BCC"/>
    <w:rsid w:val="003B0414"/>
    <w:rsid w:val="003B798D"/>
    <w:rsid w:val="003C4F61"/>
    <w:rsid w:val="003D2646"/>
    <w:rsid w:val="003F1D8A"/>
    <w:rsid w:val="00412CF8"/>
    <w:rsid w:val="00434381"/>
    <w:rsid w:val="004577AE"/>
    <w:rsid w:val="00460079"/>
    <w:rsid w:val="004E27E0"/>
    <w:rsid w:val="004E4746"/>
    <w:rsid w:val="0050307E"/>
    <w:rsid w:val="00504EB8"/>
    <w:rsid w:val="0054455D"/>
    <w:rsid w:val="00561136"/>
    <w:rsid w:val="00570B3E"/>
    <w:rsid w:val="00586DAE"/>
    <w:rsid w:val="005B28E2"/>
    <w:rsid w:val="005B31A8"/>
    <w:rsid w:val="005E6663"/>
    <w:rsid w:val="00621F3A"/>
    <w:rsid w:val="00667D88"/>
    <w:rsid w:val="00675E49"/>
    <w:rsid w:val="0069639D"/>
    <w:rsid w:val="006A2301"/>
    <w:rsid w:val="006E59E8"/>
    <w:rsid w:val="00751131"/>
    <w:rsid w:val="00787C08"/>
    <w:rsid w:val="00790BF5"/>
    <w:rsid w:val="00841065"/>
    <w:rsid w:val="00841911"/>
    <w:rsid w:val="008970CA"/>
    <w:rsid w:val="00900292"/>
    <w:rsid w:val="009550D4"/>
    <w:rsid w:val="0096408E"/>
    <w:rsid w:val="009C1D7C"/>
    <w:rsid w:val="00A82050"/>
    <w:rsid w:val="00A847BC"/>
    <w:rsid w:val="00A8520D"/>
    <w:rsid w:val="00AB6DA9"/>
    <w:rsid w:val="00AD2D61"/>
    <w:rsid w:val="00B403B5"/>
    <w:rsid w:val="00B54750"/>
    <w:rsid w:val="00BE6683"/>
    <w:rsid w:val="00C0356F"/>
    <w:rsid w:val="00C0764F"/>
    <w:rsid w:val="00C47DA8"/>
    <w:rsid w:val="00C84946"/>
    <w:rsid w:val="00C90747"/>
    <w:rsid w:val="00CC1541"/>
    <w:rsid w:val="00D22F8B"/>
    <w:rsid w:val="00D24A37"/>
    <w:rsid w:val="00D27467"/>
    <w:rsid w:val="00D402E5"/>
    <w:rsid w:val="00D70D97"/>
    <w:rsid w:val="00D770E7"/>
    <w:rsid w:val="00D87798"/>
    <w:rsid w:val="00E25BD4"/>
    <w:rsid w:val="00E32A56"/>
    <w:rsid w:val="00E54D3A"/>
    <w:rsid w:val="00E82C38"/>
    <w:rsid w:val="00E96E7F"/>
    <w:rsid w:val="00EA5F29"/>
    <w:rsid w:val="00EB79CB"/>
    <w:rsid w:val="00F2243E"/>
    <w:rsid w:val="00F30B42"/>
    <w:rsid w:val="00F45236"/>
    <w:rsid w:val="00F87EA5"/>
    <w:rsid w:val="00FB0F28"/>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B6D9748-816E-44A8-A91A-11B93179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48"/>
  </w:style>
  <w:style w:type="paragraph" w:styleId="Heading1">
    <w:name w:val="heading 1"/>
    <w:basedOn w:val="Normal"/>
    <w:next w:val="Normal"/>
    <w:link w:val="Heading1Char"/>
    <w:uiPriority w:val="9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paragraph" w:styleId="Heading7">
    <w:name w:val="heading 7"/>
    <w:basedOn w:val="Normal"/>
    <w:next w:val="Normal"/>
    <w:link w:val="Heading7Char"/>
    <w:uiPriority w:val="9"/>
    <w:unhideWhenUsed/>
    <w:qFormat/>
    <w:rsid w:val="00460079"/>
    <w:pPr>
      <w:keepNext/>
      <w:keepLines/>
      <w:spacing w:before="200" w:line="276" w:lineRule="auto"/>
      <w:ind w:left="1296" w:hanging="1296"/>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unhideWhenUsed/>
    <w:qFormat/>
    <w:rsid w:val="00460079"/>
    <w:pPr>
      <w:keepNext/>
      <w:keepLines/>
      <w:spacing w:before="200" w:line="276" w:lineRule="auto"/>
      <w:ind w:left="1440" w:hanging="1440"/>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uiPriority w:val="9"/>
    <w:unhideWhenUsed/>
    <w:qFormat/>
    <w:rsid w:val="00460079"/>
    <w:pPr>
      <w:keepNext/>
      <w:keepLines/>
      <w:spacing w:before="200" w:line="276" w:lineRule="auto"/>
      <w:ind w:left="1584" w:hanging="1584"/>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nhideWhenUsed/>
    <w:rsid w:val="00066B27"/>
    <w:pPr>
      <w:tabs>
        <w:tab w:val="right" w:leader="dot" w:pos="9628"/>
      </w:tabs>
    </w:pPr>
    <w:rPr>
      <w:b/>
      <w:color w:val="4E1A74"/>
    </w:rPr>
  </w:style>
  <w:style w:type="paragraph" w:styleId="TOC2">
    <w:name w:val="toc 2"/>
    <w:basedOn w:val="Normal"/>
    <w:next w:val="Normal"/>
    <w:autoRedefine/>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Heading13">
    <w:name w:val="Heading 13"/>
    <w:basedOn w:val="Normal"/>
    <w:next w:val="Normal"/>
    <w:uiPriority w:val="99"/>
    <w:qFormat/>
    <w:rsid w:val="00460079"/>
    <w:pPr>
      <w:keepNext/>
      <w:spacing w:before="0" w:line="240" w:lineRule="atLeast"/>
      <w:ind w:left="318" w:hanging="284"/>
      <w:outlineLvl w:val="1"/>
    </w:pPr>
    <w:rPr>
      <w:rFonts w:ascii="Verdana" w:eastAsia="Verdana" w:hAnsi="Verdana" w:cs="Times New Roman"/>
      <w:b/>
      <w:color w:val="auto"/>
      <w:sz w:val="16"/>
      <w:szCs w:val="20"/>
      <w:lang w:eastAsia="en-AU"/>
    </w:rPr>
  </w:style>
  <w:style w:type="paragraph" w:customStyle="1" w:styleId="Heading12">
    <w:name w:val="Heading 12"/>
    <w:basedOn w:val="Normal"/>
    <w:next w:val="Normal"/>
    <w:qFormat/>
    <w:rsid w:val="00460079"/>
    <w:pPr>
      <w:keepNext/>
      <w:spacing w:after="60" w:line="240" w:lineRule="auto"/>
      <w:ind w:left="318" w:hanging="284"/>
      <w:outlineLvl w:val="2"/>
    </w:pPr>
    <w:rPr>
      <w:rFonts w:ascii="Arial" w:eastAsia="Arial" w:hAnsi="Arial" w:cs="Times New Roman"/>
      <w:b/>
      <w:color w:val="auto"/>
      <w:sz w:val="26"/>
      <w:szCs w:val="20"/>
      <w:lang w:eastAsia="en-AU"/>
    </w:rPr>
  </w:style>
  <w:style w:type="paragraph" w:customStyle="1" w:styleId="Heading11">
    <w:name w:val="Heading 11"/>
    <w:basedOn w:val="Normal"/>
    <w:next w:val="Normal"/>
    <w:qFormat/>
    <w:rsid w:val="00460079"/>
    <w:pPr>
      <w:keepNext/>
      <w:spacing w:after="60" w:line="240" w:lineRule="auto"/>
      <w:ind w:left="318" w:hanging="284"/>
      <w:outlineLvl w:val="3"/>
    </w:pPr>
    <w:rPr>
      <w:rFonts w:ascii="Times New Roman" w:eastAsia="Times New Roman" w:hAnsi="Times New Roman" w:cs="Times New Roman"/>
      <w:b/>
      <w:color w:val="auto"/>
      <w:sz w:val="28"/>
      <w:szCs w:val="20"/>
      <w:lang w:eastAsia="en-AU"/>
    </w:rPr>
  </w:style>
  <w:style w:type="character" w:customStyle="1" w:styleId="Heading7Char">
    <w:name w:val="Heading 7 Char"/>
    <w:basedOn w:val="DefaultParagraphFont"/>
    <w:link w:val="Heading7"/>
    <w:uiPriority w:val="9"/>
    <w:rsid w:val="00460079"/>
    <w:rPr>
      <w:rFonts w:ascii="Cambria" w:eastAsia="Times New Roman" w:hAnsi="Cambria" w:cs="Times New Roman"/>
      <w:i/>
      <w:iCs/>
      <w:color w:val="404040"/>
      <w:lang w:eastAsia="en-AU"/>
    </w:rPr>
  </w:style>
  <w:style w:type="character" w:customStyle="1" w:styleId="Heading8Char">
    <w:name w:val="Heading 8 Char"/>
    <w:basedOn w:val="DefaultParagraphFont"/>
    <w:link w:val="Heading8"/>
    <w:uiPriority w:val="9"/>
    <w:rsid w:val="00460079"/>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rsid w:val="00460079"/>
    <w:rPr>
      <w:rFonts w:ascii="Cambria" w:eastAsia="Times New Roman" w:hAnsi="Cambria" w:cs="Times New Roman"/>
      <w:i/>
      <w:iCs/>
      <w:color w:val="404040"/>
      <w:sz w:val="20"/>
      <w:szCs w:val="20"/>
      <w:lang w:eastAsia="en-AU"/>
    </w:rPr>
  </w:style>
  <w:style w:type="paragraph" w:customStyle="1" w:styleId="Default">
    <w:name w:val="Default"/>
    <w:rsid w:val="00460079"/>
    <w:pPr>
      <w:widowControl w:val="0"/>
      <w:spacing w:before="0" w:line="240" w:lineRule="auto"/>
      <w:ind w:left="318" w:hanging="284"/>
    </w:pPr>
    <w:rPr>
      <w:rFonts w:ascii="Times New Roman" w:eastAsia="Times New Roman" w:hAnsi="Times New Roman" w:cs="Times New Roman"/>
      <w:color w:val="000000"/>
      <w:sz w:val="24"/>
      <w:szCs w:val="20"/>
      <w:lang w:eastAsia="en-AU"/>
    </w:rPr>
  </w:style>
  <w:style w:type="paragraph" w:customStyle="1" w:styleId="HTMLBody">
    <w:name w:val="HTML Body"/>
    <w:rsid w:val="00460079"/>
    <w:pPr>
      <w:spacing w:before="0" w:line="240" w:lineRule="auto"/>
      <w:ind w:left="318" w:hanging="284"/>
    </w:pPr>
    <w:rPr>
      <w:rFonts w:ascii="Arial" w:eastAsia="Arial" w:hAnsi="Arial" w:cs="Times New Roman"/>
      <w:color w:val="auto"/>
      <w:sz w:val="24"/>
      <w:szCs w:val="20"/>
      <w:lang w:eastAsia="en-AU"/>
    </w:rPr>
  </w:style>
  <w:style w:type="paragraph" w:customStyle="1" w:styleId="TableHeading">
    <w:name w:val="_TableHeading"/>
    <w:basedOn w:val="Normal"/>
    <w:rsid w:val="00460079"/>
    <w:pPr>
      <w:keepNext/>
      <w:tabs>
        <w:tab w:val="left" w:pos="284"/>
      </w:tabs>
      <w:spacing w:before="60" w:after="60" w:line="260" w:lineRule="atLeast"/>
    </w:pPr>
    <w:rPr>
      <w:rFonts w:ascii="Arial" w:eastAsia="Arial" w:hAnsi="Arial" w:cs="Times New Roman"/>
      <w:b/>
      <w:color w:val="495F70"/>
      <w:sz w:val="18"/>
      <w:szCs w:val="20"/>
      <w:lang w:eastAsia="en-AU"/>
    </w:rPr>
  </w:style>
  <w:style w:type="paragraph" w:customStyle="1" w:styleId="Footer0">
    <w:name w:val="_Footer"/>
    <w:basedOn w:val="Normal"/>
    <w:rsid w:val="00460079"/>
    <w:pPr>
      <w:spacing w:before="20" w:line="240" w:lineRule="auto"/>
    </w:pPr>
    <w:rPr>
      <w:rFonts w:ascii="Arial" w:eastAsia="Arial" w:hAnsi="Arial" w:cs="Times New Roman"/>
      <w:color w:val="auto"/>
      <w:sz w:val="16"/>
      <w:szCs w:val="20"/>
      <w:lang w:eastAsia="en-AU"/>
    </w:rPr>
  </w:style>
  <w:style w:type="paragraph" w:customStyle="1" w:styleId="section1">
    <w:name w:val="section1"/>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customStyle="1" w:styleId="h5">
    <w:name w:val="h5"/>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customStyle="1" w:styleId="RPSdotpointbodytext">
    <w:name w:val="RPS dot point body text"/>
    <w:basedOn w:val="Normal"/>
    <w:rsid w:val="00460079"/>
    <w:pPr>
      <w:numPr>
        <w:numId w:val="7"/>
      </w:numPr>
      <w:spacing w:before="0" w:line="240" w:lineRule="auto"/>
    </w:pPr>
    <w:rPr>
      <w:rFonts w:ascii="Times New Roman" w:eastAsia="Times New Roman" w:hAnsi="Times New Roman" w:cs="Times New Roman"/>
      <w:color w:val="auto"/>
      <w:sz w:val="24"/>
      <w:szCs w:val="20"/>
      <w:lang w:eastAsia="en-AU"/>
    </w:rPr>
  </w:style>
  <w:style w:type="paragraph" w:customStyle="1" w:styleId="CoPRPSBodyTextnumeric">
    <w:name w:val="CoP RPS Body Text numeric"/>
    <w:basedOn w:val="Normal"/>
    <w:rsid w:val="00460079"/>
    <w:pPr>
      <w:numPr>
        <w:ilvl w:val="2"/>
        <w:numId w:val="5"/>
      </w:numPr>
      <w:spacing w:line="240" w:lineRule="auto"/>
      <w:jc w:val="both"/>
    </w:pPr>
    <w:rPr>
      <w:rFonts w:ascii="Georgia" w:eastAsia="Georgia" w:hAnsi="Georgia" w:cs="Times New Roman"/>
      <w:color w:val="auto"/>
      <w:sz w:val="24"/>
      <w:szCs w:val="20"/>
      <w:lang w:eastAsia="en-AU"/>
    </w:rPr>
  </w:style>
  <w:style w:type="paragraph" w:customStyle="1" w:styleId="CoPRPSSectionHeading2">
    <w:name w:val="CoP RPS Section Heading 2"/>
    <w:basedOn w:val="Normal"/>
    <w:rsid w:val="00460079"/>
    <w:pPr>
      <w:numPr>
        <w:ilvl w:val="1"/>
        <w:numId w:val="5"/>
      </w:numPr>
      <w:spacing w:line="240" w:lineRule="auto"/>
    </w:pPr>
    <w:rPr>
      <w:rFonts w:ascii="Georgia" w:eastAsia="Georgia" w:hAnsi="Georgia" w:cs="Times New Roman"/>
      <w:b/>
      <w:color w:val="auto"/>
      <w:sz w:val="28"/>
      <w:szCs w:val="20"/>
      <w:lang w:eastAsia="en-AU"/>
    </w:rPr>
  </w:style>
  <w:style w:type="paragraph" w:styleId="Index1">
    <w:name w:val="index 1"/>
    <w:basedOn w:val="Normal"/>
    <w:next w:val="Normal"/>
    <w:rsid w:val="00460079"/>
    <w:pPr>
      <w:spacing w:before="0" w:line="240" w:lineRule="auto"/>
      <w:ind w:left="240" w:hanging="240"/>
    </w:pPr>
    <w:rPr>
      <w:rFonts w:ascii="Times New Roman" w:eastAsia="Times New Roman" w:hAnsi="Times New Roman" w:cs="Times New Roman"/>
      <w:color w:val="auto"/>
      <w:sz w:val="20"/>
      <w:szCs w:val="20"/>
      <w:lang w:eastAsia="en-AU"/>
    </w:rPr>
  </w:style>
  <w:style w:type="paragraph" w:styleId="IndexHeading">
    <w:name w:val="index heading"/>
    <w:basedOn w:val="Normal"/>
    <w:next w:val="Index1"/>
    <w:rsid w:val="00460079"/>
    <w:pPr>
      <w:spacing w:before="120" w:after="120" w:line="240" w:lineRule="auto"/>
      <w:ind w:left="318" w:hanging="284"/>
    </w:pPr>
    <w:rPr>
      <w:rFonts w:ascii="Times New Roman" w:eastAsia="Times New Roman" w:hAnsi="Times New Roman" w:cs="Times New Roman"/>
      <w:b/>
      <w:i/>
      <w:color w:val="auto"/>
      <w:sz w:val="20"/>
      <w:szCs w:val="20"/>
      <w:lang w:eastAsia="en-AU"/>
    </w:rPr>
  </w:style>
  <w:style w:type="paragraph" w:customStyle="1" w:styleId="RPSAppendixText">
    <w:name w:val="RPS Appendix Text"/>
    <w:basedOn w:val="Normal"/>
    <w:rsid w:val="00460079"/>
    <w:pPr>
      <w:numPr>
        <w:ilvl w:val="1"/>
        <w:numId w:val="6"/>
      </w:numPr>
      <w:spacing w:before="0" w:line="240" w:lineRule="auto"/>
    </w:pPr>
    <w:rPr>
      <w:rFonts w:ascii="Georgia" w:eastAsia="Georgia" w:hAnsi="Georgia" w:cs="Times New Roman"/>
      <w:color w:val="auto"/>
      <w:szCs w:val="20"/>
      <w:lang w:eastAsia="en-AU"/>
    </w:rPr>
  </w:style>
  <w:style w:type="paragraph" w:styleId="CommentText">
    <w:name w:val="annotation text"/>
    <w:basedOn w:val="Normal"/>
    <w:link w:val="CommentTextChar"/>
    <w:rsid w:val="00460079"/>
    <w:pPr>
      <w:spacing w:before="0" w:line="240" w:lineRule="auto"/>
      <w:ind w:left="318" w:hanging="284"/>
    </w:pPr>
    <w:rPr>
      <w:rFonts w:ascii="Georgia" w:eastAsia="Georgia" w:hAnsi="Georgia" w:cs="Times New Roman"/>
      <w:color w:val="auto"/>
      <w:sz w:val="24"/>
      <w:szCs w:val="20"/>
      <w:lang w:eastAsia="en-AU"/>
    </w:rPr>
  </w:style>
  <w:style w:type="character" w:customStyle="1" w:styleId="CommentTextChar">
    <w:name w:val="Comment Text Char"/>
    <w:basedOn w:val="DefaultParagraphFont"/>
    <w:link w:val="CommentText"/>
    <w:rsid w:val="00460079"/>
    <w:rPr>
      <w:rFonts w:ascii="Georgia" w:eastAsia="Georgia" w:hAnsi="Georgia" w:cs="Times New Roman"/>
      <w:color w:val="auto"/>
      <w:sz w:val="24"/>
      <w:szCs w:val="20"/>
      <w:lang w:eastAsia="en-AU"/>
    </w:rPr>
  </w:style>
  <w:style w:type="paragraph" w:customStyle="1" w:styleId="RPSPublications">
    <w:name w:val="RPS Publications"/>
    <w:basedOn w:val="Normal"/>
    <w:rsid w:val="00460079"/>
    <w:pPr>
      <w:spacing w:before="0" w:line="240" w:lineRule="auto"/>
      <w:ind w:left="318" w:hanging="284"/>
    </w:pPr>
    <w:rPr>
      <w:rFonts w:ascii="Georgia" w:eastAsia="Georgia" w:hAnsi="Georgia" w:cs="Times New Roman"/>
      <w:color w:val="auto"/>
      <w:sz w:val="24"/>
      <w:szCs w:val="20"/>
      <w:lang w:eastAsia="en-AU"/>
    </w:rPr>
  </w:style>
  <w:style w:type="paragraph" w:customStyle="1" w:styleId="CM4">
    <w:name w:val="CM4"/>
    <w:basedOn w:val="Normal"/>
    <w:next w:val="Normal"/>
    <w:rsid w:val="00460079"/>
    <w:pPr>
      <w:widowControl w:val="0"/>
      <w:spacing w:before="0" w:line="276" w:lineRule="atLeast"/>
      <w:ind w:left="318" w:hanging="284"/>
    </w:pPr>
    <w:rPr>
      <w:rFonts w:ascii="Arial" w:eastAsia="Arial" w:hAnsi="Arial" w:cs="Times New Roman"/>
      <w:color w:val="auto"/>
      <w:sz w:val="24"/>
      <w:szCs w:val="20"/>
      <w:lang w:eastAsia="en-AU"/>
    </w:rPr>
  </w:style>
  <w:style w:type="paragraph" w:customStyle="1" w:styleId="RPSTitle">
    <w:name w:val="RPS Title"/>
    <w:basedOn w:val="Normal"/>
    <w:next w:val="Title"/>
    <w:rsid w:val="00460079"/>
    <w:pPr>
      <w:spacing w:before="0" w:line="240" w:lineRule="auto"/>
      <w:ind w:left="318" w:hanging="284"/>
      <w:jc w:val="right"/>
    </w:pPr>
    <w:rPr>
      <w:rFonts w:ascii="Arial Black" w:eastAsia="Arial Black" w:hAnsi="Arial Black" w:cs="Times New Roman"/>
      <w:color w:val="auto"/>
      <w:sz w:val="48"/>
      <w:szCs w:val="20"/>
      <w:lang w:eastAsia="en-AU"/>
    </w:rPr>
  </w:style>
  <w:style w:type="paragraph" w:styleId="HTMLPreformatted">
    <w:name w:val="HTML Preformatted"/>
    <w:basedOn w:val="Normal"/>
    <w:link w:val="HTMLPreformattedChar"/>
    <w:rsid w:val="00460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318" w:hanging="284"/>
    </w:pPr>
    <w:rPr>
      <w:rFonts w:ascii="Courier New" w:eastAsia="Courier New" w:hAnsi="Courier New" w:cs="Times New Roman"/>
      <w:color w:val="auto"/>
      <w:sz w:val="20"/>
      <w:szCs w:val="20"/>
      <w:lang w:eastAsia="en-AU"/>
    </w:rPr>
  </w:style>
  <w:style w:type="character" w:customStyle="1" w:styleId="HTMLPreformattedChar">
    <w:name w:val="HTML Preformatted Char"/>
    <w:basedOn w:val="DefaultParagraphFont"/>
    <w:link w:val="HTMLPreformatted"/>
    <w:rsid w:val="00460079"/>
    <w:rPr>
      <w:rFonts w:ascii="Courier New" w:eastAsia="Courier New" w:hAnsi="Courier New" w:cs="Times New Roman"/>
      <w:color w:val="auto"/>
      <w:sz w:val="20"/>
      <w:szCs w:val="20"/>
      <w:lang w:eastAsia="en-AU"/>
    </w:rPr>
  </w:style>
  <w:style w:type="paragraph" w:customStyle="1" w:styleId="CM2">
    <w:name w:val="CM2"/>
    <w:basedOn w:val="Normal"/>
    <w:next w:val="Normal"/>
    <w:rsid w:val="00460079"/>
    <w:pPr>
      <w:widowControl w:val="0"/>
      <w:spacing w:before="0" w:line="240" w:lineRule="atLeast"/>
      <w:ind w:left="318" w:hanging="284"/>
    </w:pPr>
    <w:rPr>
      <w:rFonts w:ascii="Times New Roman" w:eastAsia="Times New Roman" w:hAnsi="Times New Roman" w:cs="Times New Roman"/>
      <w:color w:val="auto"/>
      <w:sz w:val="24"/>
      <w:szCs w:val="20"/>
      <w:lang w:eastAsia="en-AU"/>
    </w:rPr>
  </w:style>
  <w:style w:type="paragraph" w:customStyle="1" w:styleId="CM5">
    <w:name w:val="CM5"/>
    <w:basedOn w:val="Normal"/>
    <w:next w:val="Normal"/>
    <w:rsid w:val="00460079"/>
    <w:pPr>
      <w:widowControl w:val="0"/>
      <w:spacing w:before="0" w:after="245" w:line="240" w:lineRule="auto"/>
      <w:ind w:left="318" w:hanging="284"/>
    </w:pPr>
    <w:rPr>
      <w:rFonts w:ascii="Times New Roman" w:eastAsia="Times New Roman" w:hAnsi="Times New Roman" w:cs="Times New Roman"/>
      <w:color w:val="auto"/>
      <w:sz w:val="24"/>
      <w:szCs w:val="20"/>
      <w:lang w:eastAsia="en-AU"/>
    </w:rPr>
  </w:style>
  <w:style w:type="paragraph" w:styleId="NormalWeb">
    <w:name w:val="Normal (Web)"/>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styleId="BodyText2">
    <w:name w:val="Body Text 2"/>
    <w:basedOn w:val="Normal"/>
    <w:link w:val="BodyText2Char"/>
    <w:rsid w:val="00460079"/>
    <w:pPr>
      <w:spacing w:before="0" w:line="240" w:lineRule="atLeast"/>
      <w:ind w:left="318" w:hanging="284"/>
    </w:pPr>
    <w:rPr>
      <w:rFonts w:ascii="Courier" w:eastAsia="Courier" w:hAnsi="Courier" w:cs="Times New Roman"/>
      <w:color w:val="000000"/>
      <w:sz w:val="18"/>
      <w:szCs w:val="20"/>
      <w:lang w:eastAsia="en-AU"/>
    </w:rPr>
  </w:style>
  <w:style w:type="character" w:customStyle="1" w:styleId="BodyText2Char">
    <w:name w:val="Body Text 2 Char"/>
    <w:basedOn w:val="DefaultParagraphFont"/>
    <w:link w:val="BodyText2"/>
    <w:rsid w:val="00460079"/>
    <w:rPr>
      <w:rFonts w:ascii="Courier" w:eastAsia="Courier" w:hAnsi="Courier" w:cs="Times New Roman"/>
      <w:color w:val="000000"/>
      <w:sz w:val="18"/>
      <w:szCs w:val="20"/>
      <w:lang w:eastAsia="en-AU"/>
    </w:rPr>
  </w:style>
  <w:style w:type="paragraph" w:styleId="BodyTextIndent3">
    <w:name w:val="Body Text Indent 3"/>
    <w:basedOn w:val="Normal"/>
    <w:link w:val="BodyTextIndent3Char"/>
    <w:rsid w:val="00460079"/>
    <w:pPr>
      <w:tabs>
        <w:tab w:val="left" w:pos="34"/>
        <w:tab w:val="left" w:pos="1026"/>
      </w:tabs>
      <w:spacing w:before="0" w:line="240" w:lineRule="auto"/>
      <w:ind w:left="34" w:hanging="34"/>
    </w:pPr>
    <w:rPr>
      <w:rFonts w:ascii="Times New Roman" w:eastAsia="Times New Roman" w:hAnsi="Times New Roman" w:cs="Times New Roman"/>
      <w:color w:val="auto"/>
      <w:sz w:val="20"/>
      <w:szCs w:val="20"/>
      <w:lang w:eastAsia="en-AU"/>
    </w:rPr>
  </w:style>
  <w:style w:type="character" w:customStyle="1" w:styleId="BodyTextIndent3Char">
    <w:name w:val="Body Text Indent 3 Char"/>
    <w:basedOn w:val="DefaultParagraphFont"/>
    <w:link w:val="BodyTextIndent3"/>
    <w:rsid w:val="00460079"/>
    <w:rPr>
      <w:rFonts w:ascii="Times New Roman" w:eastAsia="Times New Roman" w:hAnsi="Times New Roman" w:cs="Times New Roman"/>
      <w:color w:val="auto"/>
      <w:sz w:val="20"/>
      <w:szCs w:val="20"/>
      <w:lang w:eastAsia="en-AU"/>
    </w:rPr>
  </w:style>
  <w:style w:type="paragraph" w:styleId="BodyTextIndent2">
    <w:name w:val="Body Text Indent 2"/>
    <w:basedOn w:val="Normal"/>
    <w:link w:val="BodyTextIndent2Char"/>
    <w:rsid w:val="00460079"/>
    <w:pPr>
      <w:tabs>
        <w:tab w:val="left" w:pos="1440"/>
      </w:tabs>
      <w:spacing w:before="0" w:line="240" w:lineRule="auto"/>
      <w:ind w:left="601" w:hanging="601"/>
    </w:pPr>
    <w:rPr>
      <w:rFonts w:ascii="Times New Roman" w:eastAsia="Times New Roman" w:hAnsi="Times New Roman" w:cs="Times New Roman"/>
      <w:color w:val="auto"/>
      <w:sz w:val="20"/>
      <w:szCs w:val="20"/>
      <w:lang w:eastAsia="en-AU"/>
    </w:rPr>
  </w:style>
  <w:style w:type="character" w:customStyle="1" w:styleId="BodyTextIndent2Char">
    <w:name w:val="Body Text Indent 2 Char"/>
    <w:basedOn w:val="DefaultParagraphFont"/>
    <w:link w:val="BodyTextIndent2"/>
    <w:rsid w:val="00460079"/>
    <w:rPr>
      <w:rFonts w:ascii="Times New Roman" w:eastAsia="Times New Roman" w:hAnsi="Times New Roman" w:cs="Times New Roman"/>
      <w:color w:val="auto"/>
      <w:sz w:val="20"/>
      <w:szCs w:val="20"/>
      <w:lang w:eastAsia="en-AU"/>
    </w:rPr>
  </w:style>
  <w:style w:type="paragraph" w:styleId="BlockText">
    <w:name w:val="Block Text"/>
    <w:basedOn w:val="Normal"/>
    <w:rsid w:val="00460079"/>
    <w:pPr>
      <w:tabs>
        <w:tab w:val="left" w:pos="1440"/>
      </w:tabs>
      <w:spacing w:before="0" w:line="240" w:lineRule="auto"/>
      <w:ind w:left="720" w:right="2304" w:firstLine="432"/>
    </w:pPr>
    <w:rPr>
      <w:rFonts w:ascii="Times New Roman" w:eastAsia="Times New Roman" w:hAnsi="Times New Roman" w:cs="Times New Roman"/>
      <w:color w:val="auto"/>
      <w:sz w:val="20"/>
      <w:szCs w:val="20"/>
      <w:lang w:eastAsia="en-AU"/>
    </w:rPr>
  </w:style>
  <w:style w:type="paragraph" w:styleId="BodyTextIndent">
    <w:name w:val="Body Text Indent"/>
    <w:basedOn w:val="Normal"/>
    <w:link w:val="BodyTextIndentChar"/>
    <w:rsid w:val="00460079"/>
    <w:pPr>
      <w:spacing w:before="0" w:line="240" w:lineRule="auto"/>
      <w:ind w:left="1418" w:hanging="1418"/>
    </w:pPr>
    <w:rPr>
      <w:rFonts w:ascii="Times New Roman" w:eastAsia="Times New Roman" w:hAnsi="Times New Roman" w:cs="Times New Roman"/>
      <w:color w:val="auto"/>
      <w:sz w:val="20"/>
      <w:szCs w:val="20"/>
      <w:lang w:eastAsia="en-AU"/>
    </w:rPr>
  </w:style>
  <w:style w:type="character" w:customStyle="1" w:styleId="BodyTextIndentChar">
    <w:name w:val="Body Text Indent Char"/>
    <w:basedOn w:val="DefaultParagraphFont"/>
    <w:link w:val="BodyTextIndent"/>
    <w:rsid w:val="00460079"/>
    <w:rPr>
      <w:rFonts w:ascii="Times New Roman" w:eastAsia="Times New Roman" w:hAnsi="Times New Roman" w:cs="Times New Roman"/>
      <w:color w:val="auto"/>
      <w:sz w:val="20"/>
      <w:szCs w:val="20"/>
      <w:lang w:eastAsia="en-AU"/>
    </w:rPr>
  </w:style>
  <w:style w:type="paragraph" w:customStyle="1" w:styleId="OmniPage520">
    <w:name w:val="OmniPage #520"/>
    <w:basedOn w:val="Normal"/>
    <w:rsid w:val="00460079"/>
    <w:pPr>
      <w:tabs>
        <w:tab w:val="right" w:pos="3656"/>
      </w:tabs>
      <w:spacing w:before="0" w:line="240" w:lineRule="auto"/>
      <w:ind w:left="1695" w:hanging="284"/>
    </w:pPr>
    <w:rPr>
      <w:rFonts w:ascii="Arial" w:eastAsia="Arial" w:hAnsi="Arial" w:cs="Times New Roman"/>
      <w:color w:val="auto"/>
      <w:sz w:val="20"/>
      <w:szCs w:val="20"/>
      <w:lang w:eastAsia="en-AU"/>
    </w:rPr>
  </w:style>
  <w:style w:type="paragraph" w:customStyle="1" w:styleId="OmniPage519">
    <w:name w:val="OmniPage #519"/>
    <w:basedOn w:val="Normal"/>
    <w:rsid w:val="00460079"/>
    <w:pPr>
      <w:tabs>
        <w:tab w:val="right" w:pos="2231"/>
      </w:tabs>
      <w:spacing w:before="0" w:line="240" w:lineRule="auto"/>
      <w:ind w:left="1695" w:hanging="284"/>
      <w:jc w:val="center"/>
    </w:pPr>
    <w:rPr>
      <w:rFonts w:ascii="Arial" w:eastAsia="Arial" w:hAnsi="Arial" w:cs="Times New Roman"/>
      <w:color w:val="auto"/>
      <w:sz w:val="20"/>
      <w:szCs w:val="20"/>
      <w:lang w:eastAsia="en-AU"/>
    </w:rPr>
  </w:style>
  <w:style w:type="paragraph" w:customStyle="1" w:styleId="OmniPage518">
    <w:name w:val="OmniPage #518"/>
    <w:basedOn w:val="Normal"/>
    <w:rsid w:val="00460079"/>
    <w:pPr>
      <w:tabs>
        <w:tab w:val="right" w:pos="2321"/>
      </w:tabs>
      <w:spacing w:before="0" w:line="240" w:lineRule="auto"/>
      <w:ind w:left="1695" w:hanging="284"/>
      <w:jc w:val="center"/>
    </w:pPr>
    <w:rPr>
      <w:rFonts w:ascii="Arial" w:eastAsia="Arial" w:hAnsi="Arial" w:cs="Times New Roman"/>
      <w:color w:val="auto"/>
      <w:sz w:val="20"/>
      <w:szCs w:val="20"/>
      <w:lang w:eastAsia="en-AU"/>
    </w:rPr>
  </w:style>
  <w:style w:type="paragraph" w:customStyle="1" w:styleId="OmniPage516">
    <w:name w:val="OmniPage #516"/>
    <w:basedOn w:val="Normal"/>
    <w:rsid w:val="00460079"/>
    <w:pPr>
      <w:tabs>
        <w:tab w:val="right" w:pos="1916"/>
      </w:tabs>
      <w:spacing w:before="0" w:line="240" w:lineRule="auto"/>
      <w:ind w:left="1680" w:hanging="284"/>
      <w:jc w:val="center"/>
    </w:pPr>
    <w:rPr>
      <w:rFonts w:ascii="Arial" w:eastAsia="Arial" w:hAnsi="Arial" w:cs="Times New Roman"/>
      <w:color w:val="auto"/>
      <w:sz w:val="20"/>
      <w:szCs w:val="20"/>
      <w:lang w:eastAsia="en-AU"/>
    </w:rPr>
  </w:style>
  <w:style w:type="paragraph" w:customStyle="1" w:styleId="OmniPage266">
    <w:name w:val="OmniPage #266"/>
    <w:basedOn w:val="Normal"/>
    <w:rsid w:val="00460079"/>
    <w:pPr>
      <w:tabs>
        <w:tab w:val="right" w:pos="1057"/>
      </w:tabs>
      <w:spacing w:before="0" w:line="240" w:lineRule="auto"/>
      <w:ind w:left="1695" w:hanging="284"/>
    </w:pPr>
    <w:rPr>
      <w:rFonts w:ascii="Arial" w:eastAsia="Arial" w:hAnsi="Arial" w:cs="Times New Roman"/>
      <w:color w:val="auto"/>
      <w:sz w:val="20"/>
      <w:szCs w:val="20"/>
      <w:lang w:eastAsia="en-AU"/>
    </w:rPr>
  </w:style>
  <w:style w:type="paragraph" w:customStyle="1" w:styleId="OmniPage257">
    <w:name w:val="OmniPage #257"/>
    <w:basedOn w:val="Normal"/>
    <w:rsid w:val="00460079"/>
    <w:pPr>
      <w:spacing w:before="0" w:line="240" w:lineRule="auto"/>
      <w:ind w:left="1620" w:right="45" w:hanging="284"/>
      <w:jc w:val="both"/>
    </w:pPr>
    <w:rPr>
      <w:rFonts w:ascii="Arial" w:eastAsia="Arial" w:hAnsi="Arial" w:cs="Times New Roman"/>
      <w:color w:val="auto"/>
      <w:sz w:val="20"/>
      <w:szCs w:val="20"/>
      <w:lang w:eastAsia="en-AU"/>
    </w:rPr>
  </w:style>
  <w:style w:type="paragraph" w:customStyle="1" w:styleId="OmniPage12">
    <w:name w:val="OmniPage #12"/>
    <w:basedOn w:val="Normal"/>
    <w:rsid w:val="00460079"/>
    <w:pPr>
      <w:tabs>
        <w:tab w:val="left" w:pos="795"/>
        <w:tab w:val="right" w:pos="8589"/>
      </w:tabs>
      <w:spacing w:before="0" w:line="240" w:lineRule="auto"/>
      <w:ind w:left="2055" w:hanging="284"/>
      <w:jc w:val="both"/>
    </w:pPr>
    <w:rPr>
      <w:rFonts w:ascii="Arial" w:eastAsia="Arial" w:hAnsi="Arial" w:cs="Times New Roman"/>
      <w:color w:val="auto"/>
      <w:sz w:val="20"/>
      <w:szCs w:val="20"/>
      <w:lang w:eastAsia="en-AU"/>
    </w:rPr>
  </w:style>
  <w:style w:type="paragraph" w:customStyle="1" w:styleId="OmniPage11">
    <w:name w:val="OmniPage #11"/>
    <w:basedOn w:val="Normal"/>
    <w:rsid w:val="00460079"/>
    <w:pPr>
      <w:tabs>
        <w:tab w:val="left" w:pos="830"/>
      </w:tabs>
      <w:spacing w:before="0" w:line="240" w:lineRule="auto"/>
      <w:ind w:left="2400" w:right="45" w:hanging="345"/>
      <w:jc w:val="both"/>
    </w:pPr>
    <w:rPr>
      <w:rFonts w:ascii="Arial" w:eastAsia="Arial" w:hAnsi="Arial" w:cs="Times New Roman"/>
      <w:color w:val="auto"/>
      <w:sz w:val="20"/>
      <w:szCs w:val="20"/>
      <w:lang w:eastAsia="en-AU"/>
    </w:rPr>
  </w:style>
  <w:style w:type="paragraph" w:customStyle="1" w:styleId="OmniPage10">
    <w:name w:val="OmniPage #10"/>
    <w:basedOn w:val="Normal"/>
    <w:rsid w:val="00460079"/>
    <w:pPr>
      <w:tabs>
        <w:tab w:val="left" w:pos="780"/>
        <w:tab w:val="right" w:pos="8574"/>
      </w:tabs>
      <w:spacing w:before="0" w:line="240" w:lineRule="auto"/>
      <w:ind w:left="2070" w:hanging="284"/>
      <w:jc w:val="both"/>
    </w:pPr>
    <w:rPr>
      <w:rFonts w:ascii="Arial" w:eastAsia="Arial" w:hAnsi="Arial" w:cs="Times New Roman"/>
      <w:color w:val="auto"/>
      <w:sz w:val="20"/>
      <w:szCs w:val="20"/>
      <w:lang w:eastAsia="en-AU"/>
    </w:rPr>
  </w:style>
  <w:style w:type="paragraph" w:customStyle="1" w:styleId="OmniPage7">
    <w:name w:val="OmniPage #7"/>
    <w:basedOn w:val="Normal"/>
    <w:rsid w:val="00460079"/>
    <w:pPr>
      <w:tabs>
        <w:tab w:val="right" w:pos="3024"/>
      </w:tabs>
      <w:spacing w:before="0" w:line="240" w:lineRule="auto"/>
      <w:ind w:left="1695" w:hanging="284"/>
    </w:pPr>
    <w:rPr>
      <w:rFonts w:ascii="Arial" w:eastAsia="Arial" w:hAnsi="Arial" w:cs="Times New Roman"/>
      <w:color w:val="auto"/>
      <w:sz w:val="20"/>
      <w:szCs w:val="20"/>
      <w:lang w:eastAsia="en-AU"/>
    </w:rPr>
  </w:style>
  <w:style w:type="paragraph" w:customStyle="1" w:styleId="OmniPage5">
    <w:name w:val="OmniPage #5"/>
    <w:basedOn w:val="Normal"/>
    <w:rsid w:val="00460079"/>
    <w:pPr>
      <w:tabs>
        <w:tab w:val="right" w:pos="3024"/>
      </w:tabs>
      <w:spacing w:before="0" w:line="240" w:lineRule="auto"/>
      <w:ind w:left="1680" w:hanging="284"/>
    </w:pPr>
    <w:rPr>
      <w:rFonts w:ascii="Arial" w:eastAsia="Arial" w:hAnsi="Arial" w:cs="Times New Roman"/>
      <w:color w:val="auto"/>
      <w:sz w:val="20"/>
      <w:szCs w:val="20"/>
      <w:lang w:eastAsia="en-AU"/>
    </w:rPr>
  </w:style>
  <w:style w:type="paragraph" w:customStyle="1" w:styleId="OmniPage4">
    <w:name w:val="OmniPage #4"/>
    <w:basedOn w:val="Normal"/>
    <w:rsid w:val="00460079"/>
    <w:pPr>
      <w:spacing w:before="0" w:line="240" w:lineRule="auto"/>
      <w:ind w:left="1620" w:right="45" w:hanging="284"/>
      <w:jc w:val="both"/>
    </w:pPr>
    <w:rPr>
      <w:rFonts w:ascii="Arial" w:eastAsia="Arial" w:hAnsi="Arial" w:cs="Times New Roman"/>
      <w:color w:val="auto"/>
      <w:sz w:val="20"/>
      <w:szCs w:val="20"/>
      <w:lang w:eastAsia="en-AU"/>
    </w:rPr>
  </w:style>
  <w:style w:type="paragraph" w:customStyle="1" w:styleId="OmniPage3">
    <w:name w:val="OmniPage #3"/>
    <w:basedOn w:val="Normal"/>
    <w:rsid w:val="00460079"/>
    <w:pPr>
      <w:spacing w:before="0" w:line="240" w:lineRule="auto"/>
      <w:ind w:left="1620" w:right="180" w:hanging="284"/>
    </w:pPr>
    <w:rPr>
      <w:rFonts w:ascii="Arial" w:eastAsia="Arial" w:hAnsi="Arial" w:cs="Times New Roman"/>
      <w:color w:val="auto"/>
      <w:sz w:val="20"/>
      <w:szCs w:val="20"/>
      <w:lang w:eastAsia="en-AU"/>
    </w:rPr>
  </w:style>
  <w:style w:type="paragraph" w:styleId="BodyText">
    <w:name w:val="Body Text"/>
    <w:basedOn w:val="Normal"/>
    <w:link w:val="BodyTextChar"/>
    <w:rsid w:val="00460079"/>
    <w:pPr>
      <w:spacing w:before="0" w:line="240" w:lineRule="auto"/>
      <w:ind w:left="318" w:hanging="284"/>
      <w:jc w:val="both"/>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rsid w:val="00460079"/>
    <w:rPr>
      <w:rFonts w:ascii="Times New Roman" w:eastAsia="Times New Roman" w:hAnsi="Times New Roman" w:cs="Times New Roman"/>
      <w:color w:val="auto"/>
      <w:szCs w:val="20"/>
      <w:lang w:eastAsia="en-AU"/>
    </w:rPr>
  </w:style>
  <w:style w:type="paragraph" w:styleId="PlainText">
    <w:name w:val="Plain Text"/>
    <w:basedOn w:val="Normal"/>
    <w:link w:val="PlainTextChar"/>
    <w:rsid w:val="00460079"/>
    <w:pPr>
      <w:spacing w:before="0" w:line="240" w:lineRule="auto"/>
      <w:ind w:left="318" w:hanging="284"/>
    </w:pPr>
    <w:rPr>
      <w:rFonts w:ascii="Courier New" w:eastAsia="Courier New" w:hAnsi="Courier New" w:cs="Times New Roman"/>
      <w:color w:val="auto"/>
      <w:sz w:val="20"/>
      <w:szCs w:val="20"/>
      <w:lang w:eastAsia="en-AU"/>
    </w:rPr>
  </w:style>
  <w:style w:type="character" w:customStyle="1" w:styleId="PlainTextChar">
    <w:name w:val="Plain Text Char"/>
    <w:basedOn w:val="DefaultParagraphFont"/>
    <w:link w:val="PlainText"/>
    <w:rsid w:val="00460079"/>
    <w:rPr>
      <w:rFonts w:ascii="Courier New" w:eastAsia="Courier New" w:hAnsi="Courier New" w:cs="Times New Roman"/>
      <w:color w:val="auto"/>
      <w:sz w:val="20"/>
      <w:szCs w:val="20"/>
      <w:lang w:eastAsia="en-AU"/>
    </w:rPr>
  </w:style>
  <w:style w:type="paragraph" w:customStyle="1" w:styleId="CM1">
    <w:name w:val="CM1"/>
    <w:basedOn w:val="Default"/>
    <w:next w:val="Default"/>
    <w:rsid w:val="00460079"/>
    <w:pPr>
      <w:spacing w:line="276" w:lineRule="atLeast"/>
    </w:pPr>
    <w:rPr>
      <w:color w:val="auto"/>
    </w:rPr>
  </w:style>
  <w:style w:type="paragraph" w:customStyle="1" w:styleId="CM3">
    <w:name w:val="CM3"/>
    <w:basedOn w:val="Default"/>
    <w:next w:val="Default"/>
    <w:rsid w:val="00460079"/>
    <w:pPr>
      <w:spacing w:after="278"/>
    </w:pPr>
    <w:rPr>
      <w:color w:val="auto"/>
    </w:rPr>
  </w:style>
  <w:style w:type="paragraph" w:styleId="CommentSubject">
    <w:name w:val="annotation subject"/>
    <w:basedOn w:val="CommentText"/>
    <w:next w:val="CommentText"/>
    <w:link w:val="CommentSubjectChar"/>
    <w:rsid w:val="00460079"/>
    <w:rPr>
      <w:rFonts w:ascii="Times New Roman" w:eastAsia="Times New Roman" w:hAnsi="Times New Roman"/>
      <w:b/>
      <w:sz w:val="20"/>
    </w:rPr>
  </w:style>
  <w:style w:type="character" w:customStyle="1" w:styleId="CommentSubjectChar">
    <w:name w:val="Comment Subject Char"/>
    <w:basedOn w:val="CommentTextChar"/>
    <w:link w:val="CommentSubject"/>
    <w:rsid w:val="00460079"/>
    <w:rPr>
      <w:rFonts w:ascii="Times New Roman" w:eastAsia="Times New Roman" w:hAnsi="Times New Roman" w:cs="Times New Roman"/>
      <w:b/>
      <w:color w:val="auto"/>
      <w:sz w:val="20"/>
      <w:szCs w:val="20"/>
      <w:lang w:eastAsia="en-AU"/>
    </w:rPr>
  </w:style>
  <w:style w:type="paragraph" w:customStyle="1" w:styleId="RPSSchedAnnexText">
    <w:name w:val="RPS Sched/Annex Text"/>
    <w:basedOn w:val="RPSPublications"/>
    <w:rsid w:val="00460079"/>
    <w:pPr>
      <w:numPr>
        <w:ilvl w:val="2"/>
        <w:numId w:val="6"/>
      </w:numPr>
      <w:spacing w:before="120"/>
      <w:jc w:val="both"/>
    </w:pPr>
    <w:rPr>
      <w:sz w:val="22"/>
    </w:rPr>
  </w:style>
  <w:style w:type="paragraph" w:customStyle="1" w:styleId="RPSBodyText">
    <w:name w:val="RPS Body Text"/>
    <w:basedOn w:val="RPSPublications"/>
    <w:next w:val="BodyText"/>
    <w:rsid w:val="00460079"/>
    <w:pPr>
      <w:numPr>
        <w:ilvl w:val="2"/>
        <w:numId w:val="4"/>
      </w:numPr>
      <w:spacing w:before="240"/>
      <w:jc w:val="both"/>
    </w:pPr>
  </w:style>
  <w:style w:type="paragraph" w:customStyle="1" w:styleId="RPSSectionHeading2">
    <w:name w:val="RPS Section Heading 2"/>
    <w:basedOn w:val="RPSPublications"/>
    <w:next w:val="TOC2"/>
    <w:rsid w:val="00460079"/>
    <w:pPr>
      <w:keepNext/>
      <w:keepLines/>
      <w:numPr>
        <w:ilvl w:val="1"/>
        <w:numId w:val="4"/>
      </w:numPr>
      <w:spacing w:before="240"/>
      <w:jc w:val="both"/>
    </w:pPr>
    <w:rPr>
      <w:b/>
      <w:sz w:val="28"/>
    </w:rPr>
  </w:style>
  <w:style w:type="paragraph" w:customStyle="1" w:styleId="RPSSectionHeading">
    <w:name w:val="RPS Section Heading"/>
    <w:basedOn w:val="RPSPublications"/>
    <w:next w:val="TOC1"/>
    <w:rsid w:val="00460079"/>
    <w:pPr>
      <w:numPr>
        <w:numId w:val="5"/>
      </w:numPr>
      <w:jc w:val="both"/>
    </w:pPr>
    <w:rPr>
      <w:b/>
      <w:sz w:val="32"/>
    </w:rPr>
  </w:style>
  <w:style w:type="paragraph" w:customStyle="1" w:styleId="RPSForewordHeading">
    <w:name w:val="RPS Foreword Heading"/>
    <w:basedOn w:val="RPSPublications"/>
    <w:rsid w:val="00460079"/>
    <w:rPr>
      <w:b/>
      <w:sz w:val="32"/>
    </w:rPr>
  </w:style>
  <w:style w:type="paragraph" w:customStyle="1" w:styleId="RPSImprintPageText">
    <w:name w:val="RPS Imprint Page Text"/>
    <w:basedOn w:val="RPSPublications"/>
    <w:rsid w:val="00460079"/>
  </w:style>
  <w:style w:type="paragraph" w:customStyle="1" w:styleId="RPSTitlePageText">
    <w:name w:val="RPS Title Page Text"/>
    <w:basedOn w:val="RPSPublications"/>
    <w:rsid w:val="00460079"/>
    <w:pPr>
      <w:jc w:val="right"/>
    </w:pPr>
  </w:style>
  <w:style w:type="paragraph" w:customStyle="1" w:styleId="RPSTitlePubNo">
    <w:name w:val="RPS Title Pub No"/>
    <w:basedOn w:val="RPSPublications"/>
    <w:rsid w:val="00460079"/>
    <w:pPr>
      <w:jc w:val="right"/>
    </w:pPr>
    <w:rPr>
      <w:rFonts w:ascii="Arial Black" w:eastAsia="Arial Black" w:hAnsi="Arial Black"/>
      <w:sz w:val="32"/>
    </w:rPr>
  </w:style>
  <w:style w:type="paragraph" w:customStyle="1" w:styleId="ParaIndent">
    <w:name w:val="_ParaIndent"/>
    <w:basedOn w:val="BodyText"/>
    <w:link w:val="ParaIndentChar"/>
    <w:rsid w:val="00460079"/>
    <w:pPr>
      <w:spacing w:after="240" w:line="260" w:lineRule="atLeast"/>
      <w:ind w:left="1134" w:firstLine="0"/>
      <w:jc w:val="left"/>
    </w:pPr>
    <w:rPr>
      <w:rFonts w:ascii="Arial" w:eastAsia="Arial" w:hAnsi="Arial"/>
      <w:sz w:val="20"/>
    </w:rPr>
  </w:style>
  <w:style w:type="paragraph" w:customStyle="1" w:styleId="RPSBodyTextNumbered">
    <w:name w:val="RPS Body Text Numbered"/>
    <w:basedOn w:val="BodyText"/>
    <w:rsid w:val="00460079"/>
    <w:pPr>
      <w:numPr>
        <w:ilvl w:val="2"/>
        <w:numId w:val="3"/>
      </w:numPr>
      <w:spacing w:after="120"/>
    </w:pPr>
    <w:rPr>
      <w:rFonts w:ascii="Georgia" w:eastAsia="Georgia" w:hAnsi="Georgia"/>
      <w:sz w:val="24"/>
    </w:rPr>
  </w:style>
  <w:style w:type="paragraph" w:customStyle="1" w:styleId="RPSScheduleAnnexTextnonumbering">
    <w:name w:val="RPS Schedule Annex Text no numbering"/>
    <w:basedOn w:val="RPSSchedAnnexText"/>
    <w:rsid w:val="00460079"/>
    <w:pPr>
      <w:spacing w:before="240"/>
    </w:pPr>
    <w:rPr>
      <w:sz w:val="24"/>
    </w:rPr>
  </w:style>
  <w:style w:type="paragraph" w:customStyle="1" w:styleId="RPSBodytext-tables">
    <w:name w:val="RPS Body text  - tables"/>
    <w:basedOn w:val="RPSBodyText"/>
    <w:rsid w:val="00460079"/>
    <w:pPr>
      <w:spacing w:before="0"/>
      <w:jc w:val="left"/>
    </w:pPr>
    <w:rPr>
      <w:sz w:val="22"/>
    </w:rPr>
  </w:style>
  <w:style w:type="paragraph" w:customStyle="1" w:styleId="RPSBodyTextroman">
    <w:name w:val="RPS Body Text roman"/>
    <w:basedOn w:val="RPSBodyText"/>
    <w:rsid w:val="00460079"/>
    <w:pPr>
      <w:numPr>
        <w:ilvl w:val="4"/>
      </w:numPr>
      <w:spacing w:before="60"/>
    </w:pPr>
  </w:style>
  <w:style w:type="paragraph" w:customStyle="1" w:styleId="RPSBodyTextalpha">
    <w:name w:val="RPS Body Text alpha"/>
    <w:basedOn w:val="RPSBodyText"/>
    <w:rsid w:val="00460079"/>
    <w:pPr>
      <w:numPr>
        <w:ilvl w:val="3"/>
        <w:numId w:val="5"/>
      </w:numPr>
      <w:spacing w:before="120"/>
    </w:pPr>
  </w:style>
  <w:style w:type="paragraph" w:customStyle="1" w:styleId="RPSBodyText-nonumber">
    <w:name w:val="RPS Body Text - no number"/>
    <w:basedOn w:val="RPSBodyText"/>
    <w:rsid w:val="00460079"/>
  </w:style>
  <w:style w:type="paragraph" w:customStyle="1" w:styleId="SGHeading2">
    <w:name w:val="SG Heading 2"/>
    <w:basedOn w:val="RPSSectionHeading2"/>
    <w:next w:val="RPSSectionHeading2"/>
    <w:rsid w:val="00460079"/>
    <w:pPr>
      <w:tabs>
        <w:tab w:val="left" w:pos="851"/>
      </w:tabs>
      <w:ind w:left="851" w:hanging="851"/>
      <w:jc w:val="left"/>
    </w:pPr>
    <w:rPr>
      <w:sz w:val="24"/>
    </w:rPr>
  </w:style>
  <w:style w:type="paragraph" w:customStyle="1" w:styleId="SGSectionHeading">
    <w:name w:val="SG Section Heading"/>
    <w:basedOn w:val="RPSSectionHeading"/>
    <w:rsid w:val="00460079"/>
    <w:rPr>
      <w:sz w:val="24"/>
    </w:rPr>
  </w:style>
  <w:style w:type="paragraph" w:customStyle="1" w:styleId="RPSSchedAnnexHeading">
    <w:name w:val="RPS Sched/Annex Heading"/>
    <w:basedOn w:val="RPSForewordHeading"/>
    <w:rsid w:val="00460079"/>
    <w:pPr>
      <w:ind w:left="720" w:hanging="720"/>
      <w:jc w:val="both"/>
    </w:pPr>
    <w:rPr>
      <w:sz w:val="24"/>
    </w:rPr>
  </w:style>
  <w:style w:type="paragraph" w:customStyle="1" w:styleId="RPSContentsHeading">
    <w:name w:val="RPS Contents Heading"/>
    <w:basedOn w:val="RPSForewordHeading"/>
    <w:rsid w:val="00460079"/>
    <w:rPr>
      <w:sz w:val="24"/>
    </w:rPr>
  </w:style>
  <w:style w:type="paragraph" w:customStyle="1" w:styleId="ScheduleHeading2">
    <w:name w:val="Schedule Heading 2"/>
    <w:basedOn w:val="SGHeading2"/>
    <w:rsid w:val="00460079"/>
  </w:style>
  <w:style w:type="paragraph" w:customStyle="1" w:styleId="StyleSGSectionHeading12ptSmallcapsLeft0cmHanging1">
    <w:name w:val="Style SG Section Heading + 12 pt Small caps Left:  0 cm Hanging:...1"/>
    <w:basedOn w:val="SGSectionHeading"/>
    <w:rsid w:val="00460079"/>
    <w:pPr>
      <w:spacing w:before="240"/>
      <w:ind w:left="720" w:hanging="720"/>
    </w:pPr>
  </w:style>
  <w:style w:type="character" w:styleId="LineNumber">
    <w:name w:val="line number"/>
    <w:rsid w:val="00460079"/>
    <w:rPr>
      <w:sz w:val="24"/>
    </w:rPr>
  </w:style>
  <w:style w:type="character" w:styleId="Emphasis">
    <w:name w:val="Emphasis"/>
    <w:qFormat/>
    <w:rsid w:val="00460079"/>
    <w:rPr>
      <w:i/>
      <w:sz w:val="24"/>
    </w:rPr>
  </w:style>
  <w:style w:type="character" w:styleId="Strong">
    <w:name w:val="Strong"/>
    <w:qFormat/>
    <w:rsid w:val="00460079"/>
    <w:rPr>
      <w:b/>
      <w:sz w:val="24"/>
    </w:rPr>
  </w:style>
  <w:style w:type="character" w:styleId="CommentReference">
    <w:name w:val="annotation reference"/>
    <w:rsid w:val="00460079"/>
    <w:rPr>
      <w:sz w:val="16"/>
    </w:rPr>
  </w:style>
  <w:style w:type="character" w:customStyle="1" w:styleId="RPSPublicationsChar">
    <w:name w:val="RPS Publications Char"/>
    <w:rsid w:val="00460079"/>
    <w:rPr>
      <w:rFonts w:ascii="Georgia" w:eastAsia="Georgia" w:hAnsi="Georgia"/>
      <w:sz w:val="24"/>
    </w:rPr>
  </w:style>
  <w:style w:type="character" w:customStyle="1" w:styleId="RPSSchedAnnexTextChar">
    <w:name w:val="RPS Sched/Annex Text Char"/>
    <w:rsid w:val="00460079"/>
    <w:rPr>
      <w:rFonts w:ascii="Georgia" w:eastAsia="Georgia" w:hAnsi="Georgia"/>
      <w:sz w:val="22"/>
    </w:rPr>
  </w:style>
  <w:style w:type="character" w:customStyle="1" w:styleId="ParaIndentChar">
    <w:name w:val="_ParaIndent Char"/>
    <w:link w:val="ParaIndent"/>
    <w:rsid w:val="00460079"/>
    <w:rPr>
      <w:rFonts w:ascii="Arial" w:eastAsia="Arial" w:hAnsi="Arial" w:cs="Times New Roman"/>
      <w:color w:val="auto"/>
      <w:sz w:val="20"/>
      <w:szCs w:val="20"/>
      <w:lang w:eastAsia="en-AU"/>
    </w:rPr>
  </w:style>
  <w:style w:type="character" w:customStyle="1" w:styleId="apple-converted-space">
    <w:name w:val="apple-converted-space"/>
    <w:rsid w:val="00460079"/>
    <w:rPr>
      <w:sz w:val="24"/>
    </w:rPr>
  </w:style>
  <w:style w:type="character" w:styleId="PageNumber">
    <w:name w:val="page number"/>
    <w:rsid w:val="00460079"/>
    <w:rPr>
      <w:sz w:val="24"/>
    </w:rPr>
  </w:style>
  <w:style w:type="table" w:customStyle="1" w:styleId="TableNormal1">
    <w:name w:val="Table Normal1"/>
    <w:rsid w:val="00460079"/>
    <w:pPr>
      <w:spacing w:before="0" w:line="240" w:lineRule="auto"/>
    </w:pPr>
    <w:rPr>
      <w:rFonts w:ascii="Times New Roman" w:eastAsia="Times New Roman" w:hAnsi="Times New Roman" w:cs="Times New Roman"/>
      <w:color w:val="auto"/>
      <w:sz w:val="24"/>
      <w:szCs w:val="20"/>
      <w:lang w:eastAsia="en-AU"/>
    </w:rPr>
    <w:tblPr>
      <w:tblCellMar>
        <w:top w:w="0" w:type="dxa"/>
        <w:left w:w="108" w:type="dxa"/>
        <w:bottom w:w="0" w:type="dxa"/>
        <w:right w:w="108" w:type="dxa"/>
      </w:tblCellMar>
    </w:tblPr>
  </w:style>
  <w:style w:type="paragraph" w:styleId="Revision">
    <w:name w:val="Revision"/>
    <w:hidden/>
    <w:uiPriority w:val="99"/>
    <w:semiHidden/>
    <w:rsid w:val="00460079"/>
    <w:pPr>
      <w:spacing w:before="0" w:line="240" w:lineRule="auto"/>
    </w:pPr>
    <w:rPr>
      <w:rFonts w:ascii="Times New Roman" w:eastAsia="Times New Roman" w:hAnsi="Times New Roman" w:cs="Times New Roman"/>
      <w:color w:val="auto"/>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3F21149-BD98-4665-A339-5E1DE794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8595</Words>
  <Characters>45644</Characters>
  <Application>Microsoft Office Word</Application>
  <DocSecurity>0</DocSecurity>
  <Lines>3260</Lines>
  <Paragraphs>1084</Paragraphs>
  <ScaleCrop>false</ScaleCrop>
  <HeadingPairs>
    <vt:vector size="2" baseType="variant">
      <vt:variant>
        <vt:lpstr>Title</vt:lpstr>
      </vt:variant>
      <vt:variant>
        <vt:i4>1</vt:i4>
      </vt:variant>
    </vt:vector>
  </HeadingPairs>
  <TitlesOfParts>
    <vt:vector size="1" baseType="lpstr">
      <vt:lpstr>Resolution of comments from stakeholder submissions</vt:lpstr>
    </vt:vector>
  </TitlesOfParts>
  <Company>ARPANSA</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from stakeholder submissions</dc:title>
  <dc:subject>Guide for Radiation Protection in Existing Exposure Situations (RPS G-2)</dc:subject>
  <dc:creator>ARPANSA</dc:creator>
  <cp:lastModifiedBy>Lisa Sforcina</cp:lastModifiedBy>
  <cp:revision>2</cp:revision>
  <cp:lastPrinted>2017-07-06T01:41:00Z</cp:lastPrinted>
  <dcterms:created xsi:type="dcterms:W3CDTF">2017-08-01T00:16:00Z</dcterms:created>
  <dcterms:modified xsi:type="dcterms:W3CDTF">2017-08-01T00:16:00Z</dcterms:modified>
</cp:coreProperties>
</file>