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832D" w14:textId="2CE3D22C" w:rsidR="008E5976" w:rsidRDefault="00C057E0" w:rsidP="007B1AAF">
      <w:pPr>
        <w:tabs>
          <w:tab w:val="left" w:pos="3057"/>
        </w:tabs>
        <w:sectPr w:rsidR="008E5976" w:rsidSect="001E2F4E">
          <w:headerReference w:type="default" r:id="rId8"/>
          <w:footerReference w:type="default" r:id="rId9"/>
          <w:pgSz w:w="11906" w:h="16838" w:code="9"/>
          <w:pgMar w:top="1134" w:right="1134" w:bottom="1134" w:left="1134" w:header="567" w:footer="567" w:gutter="0"/>
          <w:pgNumType w:start="1"/>
          <w:cols w:space="708"/>
          <w:docGrid w:linePitch="360"/>
        </w:sectPr>
      </w:pPr>
      <w:bookmarkStart w:id="0" w:name="_GoBack"/>
      <w:bookmarkEnd w:id="0"/>
      <w:r>
        <w:rPr>
          <w:noProof/>
          <w:lang w:eastAsia="en-AU"/>
        </w:rPr>
        <w:drawing>
          <wp:anchor distT="0" distB="0" distL="114300" distR="114300" simplePos="0" relativeHeight="251660288" behindDoc="1" locked="0" layoutInCell="1" allowOverlap="1" wp14:anchorId="19CADCE3" wp14:editId="3B02AF9C">
            <wp:simplePos x="0" y="0"/>
            <wp:positionH relativeFrom="page">
              <wp:align>right</wp:align>
            </wp:positionH>
            <wp:positionV relativeFrom="paragraph">
              <wp:posOffset>-871855</wp:posOffset>
            </wp:positionV>
            <wp:extent cx="7558828" cy="106920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183 - 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828" cy="10692000"/>
                    </a:xfrm>
                    <a:prstGeom prst="rect">
                      <a:avLst/>
                    </a:prstGeom>
                  </pic:spPr>
                </pic:pic>
              </a:graphicData>
            </a:graphic>
            <wp14:sizeRelH relativeFrom="page">
              <wp14:pctWidth>0</wp14:pctWidth>
            </wp14:sizeRelH>
            <wp14:sizeRelV relativeFrom="page">
              <wp14:pctHeight>0</wp14:pctHeight>
            </wp14:sizeRelV>
          </wp:anchor>
        </w:drawing>
      </w:r>
      <w:r w:rsidR="005E0453">
        <w:tab/>
      </w:r>
      <w:r w:rsidR="000967FD">
        <w:t xml:space="preserve"> </w:t>
      </w:r>
    </w:p>
    <w:p w14:paraId="7ED9C6C3" w14:textId="3E32E525" w:rsidR="00937076" w:rsidRDefault="00937076" w:rsidP="007B1AAF">
      <w:pPr>
        <w:tabs>
          <w:tab w:val="left" w:pos="3057"/>
        </w:tabs>
      </w:pPr>
    </w:p>
    <w:p w14:paraId="03AB307D" w14:textId="77777777" w:rsidR="00385BA4" w:rsidRDefault="00385BA4" w:rsidP="00385BA4">
      <w:pPr>
        <w:pStyle w:val="Title"/>
      </w:pPr>
    </w:p>
    <w:p w14:paraId="596FD272" w14:textId="77777777" w:rsidR="00385BA4" w:rsidRDefault="00385BA4" w:rsidP="00385BA4">
      <w:pPr>
        <w:pStyle w:val="Title"/>
      </w:pPr>
    </w:p>
    <w:p w14:paraId="31E9519B" w14:textId="77777777" w:rsidR="00385BA4" w:rsidRDefault="00385BA4" w:rsidP="00385BA4">
      <w:pPr>
        <w:pStyle w:val="Title"/>
      </w:pPr>
    </w:p>
    <w:p w14:paraId="5EEC7A41" w14:textId="77777777" w:rsidR="007B1AAF" w:rsidRPr="00DE2A1D" w:rsidRDefault="007B1AAF" w:rsidP="007B1AAF">
      <w:pPr>
        <w:pStyle w:val="Title"/>
      </w:pPr>
      <w:r w:rsidRPr="00DE2A1D">
        <w:t>Australasian Gamma-ray Spectrometry</w:t>
      </w:r>
      <w:r w:rsidRPr="00DE2A1D">
        <w:br/>
        <w:t xml:space="preserve">Capability Exercise </w:t>
      </w:r>
      <w:r>
        <w:t>–</w:t>
      </w:r>
      <w:r w:rsidRPr="00DE2A1D">
        <w:t xml:space="preserve"> 201</w:t>
      </w:r>
      <w:r>
        <w:t>8</w:t>
      </w:r>
    </w:p>
    <w:p w14:paraId="311AEC60" w14:textId="77777777" w:rsidR="00385BA4" w:rsidRDefault="00385BA4" w:rsidP="00385BA4">
      <w:pPr>
        <w:pStyle w:val="Title"/>
      </w:pPr>
    </w:p>
    <w:p w14:paraId="70EAF3C4" w14:textId="77777777" w:rsidR="00385BA4" w:rsidRDefault="00385BA4" w:rsidP="00385BA4">
      <w:pPr>
        <w:pStyle w:val="Title"/>
      </w:pPr>
    </w:p>
    <w:p w14:paraId="00969EB1" w14:textId="0761AB0E" w:rsidR="007D2E1F" w:rsidRPr="007D2E1F" w:rsidRDefault="007D2E1F" w:rsidP="007D2E1F">
      <w:pPr>
        <w:jc w:val="center"/>
        <w:rPr>
          <w:sz w:val="28"/>
          <w:szCs w:val="28"/>
        </w:rPr>
      </w:pPr>
      <w:r w:rsidRPr="009D00AD">
        <w:rPr>
          <w:sz w:val="28"/>
          <w:szCs w:val="28"/>
        </w:rPr>
        <w:t xml:space="preserve">Technical Report </w:t>
      </w:r>
      <w:r w:rsidR="009D00AD" w:rsidRPr="009D00AD">
        <w:rPr>
          <w:sz w:val="28"/>
          <w:szCs w:val="28"/>
        </w:rPr>
        <w:t>183</w:t>
      </w:r>
    </w:p>
    <w:p w14:paraId="2D52A2C6" w14:textId="77777777" w:rsidR="007D2E1F" w:rsidRPr="007D2E1F" w:rsidRDefault="007D2E1F" w:rsidP="007D2E1F">
      <w:pPr>
        <w:jc w:val="center"/>
        <w:rPr>
          <w:sz w:val="28"/>
          <w:szCs w:val="28"/>
        </w:rPr>
      </w:pPr>
    </w:p>
    <w:p w14:paraId="563B61CB" w14:textId="5DE561C1" w:rsidR="00385BA4" w:rsidRPr="007D2E1F" w:rsidRDefault="009D00AD" w:rsidP="007D2E1F">
      <w:pPr>
        <w:jc w:val="center"/>
        <w:rPr>
          <w:sz w:val="28"/>
          <w:szCs w:val="28"/>
        </w:rPr>
      </w:pPr>
      <w:r>
        <w:rPr>
          <w:sz w:val="28"/>
          <w:szCs w:val="28"/>
        </w:rPr>
        <w:t>December 2019</w:t>
      </w:r>
    </w:p>
    <w:p w14:paraId="3F238240" w14:textId="77777777" w:rsidR="00385BA4" w:rsidRPr="007D2E1F" w:rsidRDefault="00385BA4" w:rsidP="007D2E1F">
      <w:pPr>
        <w:rPr>
          <w:sz w:val="28"/>
          <w:szCs w:val="28"/>
        </w:rPr>
      </w:pPr>
    </w:p>
    <w:p w14:paraId="504896C8" w14:textId="7BD8FCD0" w:rsidR="00D263AC" w:rsidRPr="004A23B3" w:rsidRDefault="007B1AAF" w:rsidP="007D2E1F">
      <w:pPr>
        <w:jc w:val="center"/>
        <w:rPr>
          <w:sz w:val="28"/>
          <w:szCs w:val="28"/>
          <w:vertAlign w:val="superscript"/>
        </w:rPr>
      </w:pPr>
      <w:r>
        <w:rPr>
          <w:sz w:val="28"/>
          <w:szCs w:val="28"/>
        </w:rPr>
        <w:t>S. Marks</w:t>
      </w:r>
      <w:r w:rsidR="00FA104F">
        <w:rPr>
          <w:sz w:val="28"/>
          <w:szCs w:val="28"/>
        </w:rPr>
        <w:t xml:space="preserve"> and</w:t>
      </w:r>
      <w:r w:rsidR="00385BA4" w:rsidRPr="007D2E1F">
        <w:rPr>
          <w:sz w:val="28"/>
          <w:szCs w:val="28"/>
        </w:rPr>
        <w:t xml:space="preserve"> </w:t>
      </w:r>
      <w:r>
        <w:rPr>
          <w:sz w:val="28"/>
          <w:szCs w:val="28"/>
        </w:rPr>
        <w:t>S</w:t>
      </w:r>
      <w:r w:rsidR="00385BA4" w:rsidRPr="007D2E1F">
        <w:rPr>
          <w:sz w:val="28"/>
          <w:szCs w:val="28"/>
        </w:rPr>
        <w:t xml:space="preserve">. </w:t>
      </w:r>
      <w:r>
        <w:rPr>
          <w:sz w:val="28"/>
          <w:szCs w:val="28"/>
        </w:rPr>
        <w:t>Long</w:t>
      </w:r>
    </w:p>
    <w:p w14:paraId="0BCD6614" w14:textId="77777777" w:rsidR="00415A85" w:rsidRDefault="00415A85" w:rsidP="00415A85">
      <w:pPr>
        <w:spacing w:before="0"/>
        <w:jc w:val="center"/>
        <w:rPr>
          <w:szCs w:val="28"/>
          <w:vertAlign w:val="superscript"/>
        </w:rPr>
      </w:pPr>
    </w:p>
    <w:p w14:paraId="0511870E" w14:textId="77777777" w:rsidR="00685BBF" w:rsidRDefault="00685BBF" w:rsidP="009A0E2E">
      <w:pPr>
        <w:sectPr w:rsidR="00685BBF" w:rsidSect="001E2F4E">
          <w:headerReference w:type="default" r:id="rId11"/>
          <w:footerReference w:type="default" r:id="rId12"/>
          <w:pgSz w:w="11906" w:h="16838" w:code="9"/>
          <w:pgMar w:top="1134" w:right="1134" w:bottom="1134" w:left="1134" w:header="567" w:footer="567" w:gutter="0"/>
          <w:pgNumType w:start="1"/>
          <w:cols w:space="708"/>
          <w:docGrid w:linePitch="360"/>
        </w:sectPr>
      </w:pPr>
    </w:p>
    <w:tbl>
      <w:tblPr>
        <w:tblStyle w:val="TableGrid"/>
        <w:tblW w:w="5000" w:type="pct"/>
        <w:tblLook w:val="04A0" w:firstRow="1" w:lastRow="0" w:firstColumn="1" w:lastColumn="0" w:noHBand="0" w:noVBand="1"/>
      </w:tblPr>
      <w:tblGrid>
        <w:gridCol w:w="9628"/>
      </w:tblGrid>
      <w:tr w:rsidR="00685BBF" w14:paraId="3A5210DE" w14:textId="77777777" w:rsidTr="004A7D9F">
        <w:tc>
          <w:tcPr>
            <w:tcW w:w="9520" w:type="dxa"/>
          </w:tcPr>
          <w:p w14:paraId="02EFEA83" w14:textId="77777777" w:rsidR="00685BBF" w:rsidRDefault="00685BBF" w:rsidP="004A7D9F">
            <w:pPr>
              <w:pStyle w:val="Text"/>
              <w:spacing w:before="0" w:after="0" w:line="240" w:lineRule="auto"/>
              <w:rPr>
                <w:sz w:val="18"/>
                <w:szCs w:val="18"/>
                <w:lang w:eastAsia="en-US"/>
              </w:rPr>
            </w:pPr>
          </w:p>
          <w:p w14:paraId="49044BAD" w14:textId="77777777" w:rsidR="00685BBF" w:rsidRPr="00F55D63" w:rsidRDefault="00685BBF" w:rsidP="004A7D9F">
            <w:pPr>
              <w:pStyle w:val="Text"/>
              <w:spacing w:before="0" w:after="0" w:line="240" w:lineRule="auto"/>
              <w:rPr>
                <w:sz w:val="18"/>
                <w:szCs w:val="18"/>
              </w:rPr>
            </w:pPr>
            <w:r w:rsidRPr="00F55D63">
              <w:rPr>
                <w:sz w:val="18"/>
                <w:szCs w:val="18"/>
                <w:lang w:eastAsia="en-US"/>
              </w:rPr>
              <w:t>© Commonwealth of Australia 201</w:t>
            </w:r>
            <w:r>
              <w:rPr>
                <w:sz w:val="18"/>
                <w:szCs w:val="18"/>
                <w:lang w:eastAsia="en-US"/>
              </w:rPr>
              <w:t>9</w:t>
            </w:r>
          </w:p>
          <w:p w14:paraId="44D80C82" w14:textId="77777777" w:rsidR="00685BBF" w:rsidRPr="00F55D63" w:rsidRDefault="00685BBF" w:rsidP="004A7D9F">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2F64ADD8" w14:textId="77777777" w:rsidR="00685BBF" w:rsidRPr="00F55D63" w:rsidRDefault="00685BBF" w:rsidP="004A7D9F">
            <w:pPr>
              <w:pStyle w:val="Text"/>
              <w:spacing w:before="0" w:after="0" w:line="240" w:lineRule="auto"/>
              <w:rPr>
                <w:sz w:val="18"/>
                <w:szCs w:val="18"/>
              </w:rPr>
            </w:pPr>
          </w:p>
          <w:p w14:paraId="1CAB8037" w14:textId="77777777" w:rsidR="00685BBF" w:rsidRPr="00F55D63" w:rsidRDefault="00685BBF" w:rsidP="004A7D9F">
            <w:pPr>
              <w:pStyle w:val="Text"/>
              <w:spacing w:before="0" w:after="0" w:line="240" w:lineRule="auto"/>
              <w:rPr>
                <w:sz w:val="18"/>
                <w:szCs w:val="18"/>
              </w:rPr>
            </w:pPr>
          </w:p>
          <w:p w14:paraId="7A6287B5" w14:textId="77777777" w:rsidR="00685BBF" w:rsidRPr="00F55D63" w:rsidRDefault="00685BBF" w:rsidP="004A7D9F">
            <w:pPr>
              <w:pStyle w:val="Text"/>
              <w:spacing w:before="0" w:after="0" w:line="240" w:lineRule="auto"/>
              <w:rPr>
                <w:sz w:val="18"/>
                <w:szCs w:val="18"/>
              </w:rPr>
            </w:pPr>
            <w:r w:rsidRPr="00F55D63">
              <w:rPr>
                <w:noProof/>
                <w:sz w:val="18"/>
                <w:szCs w:val="18"/>
                <w:lang w:val="en-AU"/>
              </w:rPr>
              <w:drawing>
                <wp:inline distT="0" distB="0" distL="0" distR="0" wp14:anchorId="5B848B44" wp14:editId="06DF8C2B">
                  <wp:extent cx="760095" cy="264160"/>
                  <wp:effectExtent l="0" t="0" r="190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30FD20C4" w14:textId="77777777" w:rsidR="00685BBF" w:rsidRPr="00F55D63" w:rsidRDefault="00685BBF" w:rsidP="004A7D9F">
            <w:pPr>
              <w:pStyle w:val="Text"/>
              <w:spacing w:before="0" w:after="0" w:line="240" w:lineRule="auto"/>
              <w:rPr>
                <w:sz w:val="18"/>
                <w:szCs w:val="18"/>
              </w:rPr>
            </w:pPr>
          </w:p>
          <w:p w14:paraId="79DEDC56" w14:textId="77777777" w:rsidR="00685BBF" w:rsidRPr="00F55D63" w:rsidRDefault="00685BBF" w:rsidP="004A7D9F">
            <w:pPr>
              <w:pStyle w:val="Text"/>
              <w:spacing w:before="0" w:after="0" w:line="240" w:lineRule="auto"/>
              <w:rPr>
                <w:b/>
                <w:sz w:val="18"/>
                <w:szCs w:val="18"/>
              </w:rPr>
            </w:pPr>
            <w:r w:rsidRPr="00F55D63">
              <w:rPr>
                <w:b/>
                <w:sz w:val="18"/>
                <w:szCs w:val="18"/>
              </w:rPr>
              <w:t>Creative Commons</w:t>
            </w:r>
          </w:p>
          <w:p w14:paraId="75B7C6FA" w14:textId="77777777" w:rsidR="00685BBF" w:rsidRPr="00F55D63" w:rsidRDefault="00685BBF" w:rsidP="004A7D9F">
            <w:pPr>
              <w:pStyle w:val="Text"/>
              <w:spacing w:before="0" w:after="0" w:line="240" w:lineRule="auto"/>
              <w:rPr>
                <w:sz w:val="18"/>
                <w:szCs w:val="18"/>
              </w:rPr>
            </w:pPr>
          </w:p>
          <w:p w14:paraId="265948DA" w14:textId="333785DA" w:rsidR="00685BBF" w:rsidRPr="00F55D63" w:rsidRDefault="00685BBF" w:rsidP="004A7D9F">
            <w:pPr>
              <w:pStyle w:val="Text"/>
              <w:spacing w:before="0" w:after="0" w:line="240" w:lineRule="auto"/>
              <w:rPr>
                <w:sz w:val="18"/>
                <w:szCs w:val="18"/>
              </w:rPr>
            </w:pPr>
            <w:r w:rsidRPr="00F55D63">
              <w:rPr>
                <w:sz w:val="18"/>
                <w:szCs w:val="18"/>
              </w:rPr>
              <w:t>With the exception of the Commonwealth Coat of Arms, any ARPANSA logos and any content that is marked as being third party material, this publication</w:t>
            </w:r>
            <w:r w:rsidRPr="00057643">
              <w:rPr>
                <w:sz w:val="18"/>
                <w:szCs w:val="18"/>
              </w:rPr>
              <w:t xml:space="preserve">, </w:t>
            </w:r>
            <w:r w:rsidR="00716B3D" w:rsidRPr="00716B3D">
              <w:rPr>
                <w:i/>
                <w:sz w:val="18"/>
                <w:szCs w:val="18"/>
              </w:rPr>
              <w:t>Australasian Gamma-ray Spectrometry Capability Exercise – 2018</w:t>
            </w:r>
            <w:r w:rsidRPr="0039255A">
              <w:rPr>
                <w:sz w:val="18"/>
                <w:szCs w:val="18"/>
              </w:rPr>
              <w:t>,</w:t>
            </w:r>
            <w:r w:rsidRPr="00F55D63">
              <w:rPr>
                <w:sz w:val="18"/>
                <w:szCs w:val="18"/>
              </w:rPr>
              <w:t xml:space="preserve"> by the Australian Radiation Protection and Nuclear Safety Agency is licensed under a Creative Commons Attribution 3.0 Australia licence (to view a copy of the licence, visit </w:t>
            </w:r>
            <w:hyperlink r:id="rId14" w:history="1">
              <w:r w:rsidRPr="00067C8C">
                <w:rPr>
                  <w:rStyle w:val="Hyperlink"/>
                  <w:i/>
                  <w:iCs/>
                  <w:spacing w:val="-4"/>
                  <w:sz w:val="18"/>
                  <w:szCs w:val="18"/>
                </w:rPr>
                <w:t>http://creativecommons.org/licenses/by/3.0/au</w:t>
              </w:r>
            </w:hyperlink>
            <w:r w:rsidRPr="00067C8C">
              <w:rPr>
                <w:sz w:val="18"/>
                <w:szCs w:val="18"/>
              </w:rPr>
              <w:t>)</w:t>
            </w:r>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4A4C998D" w14:textId="77777777" w:rsidR="00685BBF" w:rsidRPr="00F55D63" w:rsidRDefault="00685BBF" w:rsidP="004A7D9F">
            <w:pPr>
              <w:pStyle w:val="Text"/>
              <w:spacing w:before="0" w:after="0" w:line="240" w:lineRule="auto"/>
              <w:rPr>
                <w:sz w:val="18"/>
                <w:szCs w:val="18"/>
              </w:rPr>
            </w:pPr>
          </w:p>
          <w:p w14:paraId="77ABA590" w14:textId="77777777" w:rsidR="00685BBF" w:rsidRPr="00F55D63" w:rsidRDefault="00685BBF" w:rsidP="004A7D9F">
            <w:pPr>
              <w:pStyle w:val="Text"/>
              <w:spacing w:before="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0EFB825F" w14:textId="77777777" w:rsidR="00685BBF" w:rsidRPr="00F55D63" w:rsidRDefault="00685BBF" w:rsidP="004A7D9F">
            <w:pPr>
              <w:pStyle w:val="Text"/>
              <w:spacing w:before="0" w:after="0" w:line="240" w:lineRule="auto"/>
              <w:rPr>
                <w:sz w:val="18"/>
                <w:szCs w:val="18"/>
              </w:rPr>
            </w:pPr>
          </w:p>
          <w:p w14:paraId="61C53021" w14:textId="77777777" w:rsidR="00685BBF" w:rsidRPr="00F55D63" w:rsidRDefault="00685BBF" w:rsidP="004A7D9F">
            <w:pPr>
              <w:pStyle w:val="Text"/>
              <w:spacing w:before="0" w:after="0" w:line="240" w:lineRule="auto"/>
              <w:rPr>
                <w:sz w:val="18"/>
                <w:szCs w:val="18"/>
              </w:rPr>
            </w:pPr>
            <w:r>
              <w:rPr>
                <w:sz w:val="18"/>
                <w:szCs w:val="18"/>
              </w:rPr>
              <w:t>‘</w:t>
            </w:r>
            <w:r w:rsidRPr="00F55D63">
              <w:rPr>
                <w:sz w:val="18"/>
                <w:szCs w:val="18"/>
              </w:rPr>
              <w:t>© Commonwealth of Australia 201</w:t>
            </w:r>
            <w:r>
              <w:rPr>
                <w:sz w:val="18"/>
                <w:szCs w:val="18"/>
              </w:rPr>
              <w:t>9</w:t>
            </w:r>
            <w:r w:rsidRPr="00F55D63">
              <w:rPr>
                <w:sz w:val="18"/>
                <w:szCs w:val="18"/>
              </w:rPr>
              <w:t>, as represented by the Australian Radiation Protection and Nuclear Safety Agency (ARPANSA)</w:t>
            </w:r>
            <w:r>
              <w:rPr>
                <w:sz w:val="18"/>
                <w:szCs w:val="18"/>
              </w:rPr>
              <w:t>’</w:t>
            </w:r>
          </w:p>
          <w:p w14:paraId="64D455FA" w14:textId="77777777" w:rsidR="00685BBF" w:rsidRPr="00F55D63" w:rsidRDefault="00685BBF" w:rsidP="004A7D9F">
            <w:pPr>
              <w:pStyle w:val="Text"/>
              <w:spacing w:before="0" w:after="0" w:line="240" w:lineRule="auto"/>
              <w:rPr>
                <w:sz w:val="18"/>
                <w:szCs w:val="18"/>
              </w:rPr>
            </w:pPr>
          </w:p>
          <w:p w14:paraId="40F3388E" w14:textId="3F1CCE00" w:rsidR="00685BBF" w:rsidRPr="00F55D63" w:rsidRDefault="00685BBF" w:rsidP="004A7D9F">
            <w:pPr>
              <w:pStyle w:val="Text"/>
              <w:spacing w:before="0" w:after="0" w:line="240" w:lineRule="auto"/>
              <w:rPr>
                <w:sz w:val="18"/>
                <w:szCs w:val="18"/>
              </w:rPr>
            </w:pPr>
            <w:r w:rsidRPr="00F55D63">
              <w:rPr>
                <w:sz w:val="18"/>
                <w:szCs w:val="18"/>
              </w:rPr>
              <w:t>The publicati</w:t>
            </w:r>
            <w:r>
              <w:rPr>
                <w:sz w:val="18"/>
                <w:szCs w:val="18"/>
              </w:rPr>
              <w:t xml:space="preserve">on should be attributed as: </w:t>
            </w:r>
            <w:r w:rsidR="00716B3D" w:rsidRPr="00716B3D">
              <w:rPr>
                <w:i/>
                <w:sz w:val="18"/>
                <w:szCs w:val="18"/>
              </w:rPr>
              <w:t>Australasian Gamma-ray Spectrometry Capability Exercise – 2018</w:t>
            </w:r>
            <w:r w:rsidRPr="00F55D63">
              <w:rPr>
                <w:sz w:val="18"/>
                <w:szCs w:val="18"/>
              </w:rPr>
              <w:t>.</w:t>
            </w:r>
          </w:p>
          <w:p w14:paraId="4DCD662B" w14:textId="77777777" w:rsidR="00685BBF" w:rsidRPr="00F55D63" w:rsidRDefault="00685BBF" w:rsidP="004A7D9F">
            <w:pPr>
              <w:pStyle w:val="Text"/>
              <w:spacing w:before="0" w:after="0" w:line="240" w:lineRule="auto"/>
              <w:rPr>
                <w:sz w:val="18"/>
                <w:szCs w:val="18"/>
              </w:rPr>
            </w:pPr>
          </w:p>
          <w:p w14:paraId="5BD55D81" w14:textId="77777777" w:rsidR="00685BBF" w:rsidRPr="004219C4" w:rsidRDefault="00685BBF" w:rsidP="004A7D9F">
            <w:pPr>
              <w:pStyle w:val="Text"/>
              <w:spacing w:before="0" w:after="0" w:line="240" w:lineRule="auto"/>
              <w:rPr>
                <w:b/>
                <w:sz w:val="18"/>
                <w:szCs w:val="18"/>
              </w:rPr>
            </w:pPr>
            <w:r w:rsidRPr="004219C4">
              <w:rPr>
                <w:b/>
                <w:sz w:val="18"/>
                <w:szCs w:val="18"/>
              </w:rPr>
              <w:t>Use of the Coat of Arms</w:t>
            </w:r>
          </w:p>
          <w:p w14:paraId="23710E8F" w14:textId="77777777" w:rsidR="00685BBF" w:rsidRPr="00F55D63" w:rsidRDefault="00685BBF" w:rsidP="004A7D9F">
            <w:pPr>
              <w:pStyle w:val="Text"/>
              <w:spacing w:before="0" w:after="0" w:line="240" w:lineRule="auto"/>
              <w:rPr>
                <w:sz w:val="18"/>
                <w:szCs w:val="18"/>
              </w:rPr>
            </w:pPr>
          </w:p>
          <w:p w14:paraId="43483E9E" w14:textId="77777777" w:rsidR="00685BBF" w:rsidRPr="00F55D63" w:rsidRDefault="00685BBF" w:rsidP="004A7D9F">
            <w:pPr>
              <w:pStyle w:val="Text"/>
              <w:spacing w:before="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5" w:history="1">
              <w:r w:rsidRPr="00067C8C">
                <w:rPr>
                  <w:rStyle w:val="Hyperlink"/>
                  <w:sz w:val="18"/>
                </w:rPr>
                <w:t>www.dpmc.gov.au/government/commonwealth-coat-arms</w:t>
              </w:r>
            </w:hyperlink>
            <w:r w:rsidRPr="00F55D63">
              <w:rPr>
                <w:sz w:val="18"/>
                <w:szCs w:val="18"/>
              </w:rPr>
              <w:t>).</w:t>
            </w:r>
          </w:p>
          <w:p w14:paraId="459715DB" w14:textId="77777777" w:rsidR="00685BBF" w:rsidRPr="00067C8C" w:rsidRDefault="00685BBF" w:rsidP="004A7D9F">
            <w:pPr>
              <w:pStyle w:val="Text"/>
              <w:spacing w:before="0" w:after="0" w:line="240" w:lineRule="auto"/>
              <w:rPr>
                <w:sz w:val="18"/>
                <w:szCs w:val="18"/>
              </w:rPr>
            </w:pPr>
          </w:p>
          <w:p w14:paraId="502E3FF5" w14:textId="77777777" w:rsidR="00685BBF" w:rsidRPr="00F55D63" w:rsidRDefault="00685BBF" w:rsidP="004A7D9F">
            <w:pPr>
              <w:pStyle w:val="Text"/>
              <w:spacing w:before="0" w:after="0" w:line="240" w:lineRule="auto"/>
              <w:rPr>
                <w:sz w:val="18"/>
                <w:szCs w:val="18"/>
              </w:rPr>
            </w:pPr>
            <w:r w:rsidRPr="00F55D63">
              <w:rPr>
                <w:sz w:val="18"/>
                <w:szCs w:val="18"/>
              </w:rPr>
              <w:t>Enquiries regarding the licence and any use of this report are welcome.</w:t>
            </w:r>
          </w:p>
          <w:p w14:paraId="19588C33" w14:textId="77777777" w:rsidR="00685BBF" w:rsidRPr="00F55D63" w:rsidRDefault="00685BBF" w:rsidP="004A7D9F">
            <w:pPr>
              <w:pStyle w:val="Text"/>
              <w:spacing w:before="0" w:after="0" w:line="240" w:lineRule="auto"/>
              <w:rPr>
                <w:sz w:val="18"/>
                <w:szCs w:val="18"/>
              </w:rPr>
            </w:pPr>
          </w:p>
          <w:p w14:paraId="75072D1B" w14:textId="77777777" w:rsidR="00685BBF" w:rsidRPr="00F55D63" w:rsidRDefault="00685BBF" w:rsidP="004A7D9F">
            <w:pPr>
              <w:pStyle w:val="Text"/>
              <w:spacing w:before="0" w:after="0" w:line="240" w:lineRule="auto"/>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2F5A67EF" w14:textId="77777777" w:rsidR="00685BBF" w:rsidRPr="0060042E" w:rsidRDefault="00685BBF" w:rsidP="004A7D9F">
            <w:pPr>
              <w:pStyle w:val="Text"/>
              <w:spacing w:before="0" w:after="0" w:line="240" w:lineRule="auto"/>
              <w:rPr>
                <w:sz w:val="18"/>
                <w:szCs w:val="18"/>
              </w:rPr>
            </w:pPr>
            <w:r w:rsidRPr="00F55D63">
              <w:rPr>
                <w:sz w:val="18"/>
                <w:szCs w:val="18"/>
              </w:rPr>
              <w:tab/>
              <w:t>Tel:   1800 022 333 (Freecall) or +61 3 9433 2211</w:t>
            </w:r>
            <w:r w:rsidRPr="00F55D63">
              <w:rPr>
                <w:sz w:val="18"/>
                <w:szCs w:val="18"/>
              </w:rPr>
              <w:br/>
            </w:r>
            <w:r w:rsidRPr="00F55D63">
              <w:rPr>
                <w:sz w:val="18"/>
                <w:szCs w:val="18"/>
              </w:rPr>
              <w:br/>
            </w:r>
            <w:r w:rsidRPr="00F55D63">
              <w:rPr>
                <w:sz w:val="18"/>
                <w:szCs w:val="18"/>
              </w:rPr>
              <w:tab/>
              <w:t xml:space="preserve">Email:  </w:t>
            </w:r>
            <w:hyperlink r:id="rId16" w:history="1">
              <w:r w:rsidRPr="00067C8C">
                <w:rPr>
                  <w:rStyle w:val="Hyperlink"/>
                  <w:sz w:val="18"/>
                  <w:szCs w:val="18"/>
                </w:rPr>
                <w:t>info@arpansa.gov.au</w:t>
              </w:r>
            </w:hyperlink>
            <w:r w:rsidRPr="00F55D63">
              <w:rPr>
                <w:sz w:val="18"/>
                <w:szCs w:val="18"/>
              </w:rPr>
              <w:br/>
            </w:r>
            <w:r w:rsidRPr="00F55D63">
              <w:rPr>
                <w:sz w:val="18"/>
                <w:szCs w:val="18"/>
              </w:rPr>
              <w:tab/>
              <w:t xml:space="preserve">Website:  </w:t>
            </w:r>
            <w:hyperlink r:id="rId17" w:history="1">
              <w:r w:rsidRPr="00067C8C">
                <w:rPr>
                  <w:rStyle w:val="Hyperlink"/>
                  <w:sz w:val="18"/>
                  <w:szCs w:val="18"/>
                </w:rPr>
                <w:t>www.arpansa.gov.au</w:t>
              </w:r>
            </w:hyperlink>
            <w:r>
              <w:rPr>
                <w:rStyle w:val="Hyperlink"/>
                <w:sz w:val="18"/>
                <w:szCs w:val="18"/>
              </w:rPr>
              <w:br/>
            </w:r>
          </w:p>
        </w:tc>
      </w:tr>
    </w:tbl>
    <w:p w14:paraId="2481985A" w14:textId="77777777" w:rsidR="00685BBF" w:rsidRPr="000E45C0" w:rsidRDefault="00685BBF" w:rsidP="00685BBF">
      <w:pPr>
        <w:spacing w:before="480"/>
        <w:rPr>
          <w:b/>
          <w:color w:val="4E1A74" w:themeColor="text2"/>
          <w:sz w:val="24"/>
          <w:szCs w:val="24"/>
        </w:rPr>
      </w:pPr>
      <w:r w:rsidRPr="000E45C0">
        <w:rPr>
          <w:b/>
          <w:color w:val="4E1A74" w:themeColor="text2"/>
          <w:sz w:val="24"/>
          <w:szCs w:val="24"/>
        </w:rPr>
        <w:t>Acknowledgement of Country</w:t>
      </w:r>
    </w:p>
    <w:p w14:paraId="1ABE6B05" w14:textId="77777777" w:rsidR="00685BBF" w:rsidRDefault="00685BBF" w:rsidP="00685BBF">
      <w:r>
        <w:t>ARPANSA respectfully acknowledges Australia’s Aboriginal and Torres Strait Islander communities and their rich culture and pays respect to their Elders past and present. We acknowledge Aboriginal and Torres Strait Islander peoples as Australia’s first peoples and as the Traditional Owners and custodians of the land and water on which we rely.</w:t>
      </w:r>
    </w:p>
    <w:p w14:paraId="7A9A4079" w14:textId="161C6CBF" w:rsidR="00685BBF" w:rsidRDefault="00685BBF" w:rsidP="00685BBF">
      <w:r>
        <w:t>We recognise and value the ongoing contribution of Aboriginal and Torres Strait Islander peoples and communities to Australian life and how this enriches us. We embrace the spirit of reconciliation, working towards the equality of outcomes and ensuring an equal voice.</w:t>
      </w:r>
    </w:p>
    <w:p w14:paraId="1B3624E7" w14:textId="0435E812" w:rsidR="00D220FC" w:rsidRPr="00685BBF" w:rsidRDefault="00685BBF" w:rsidP="00685BBF">
      <w:pPr>
        <w:tabs>
          <w:tab w:val="left" w:pos="750"/>
        </w:tabs>
        <w:sectPr w:rsidR="00D220FC" w:rsidRPr="00685BBF" w:rsidSect="00DC6048">
          <w:footerReference w:type="default" r:id="rId18"/>
          <w:pgSz w:w="11906" w:h="16838" w:code="9"/>
          <w:pgMar w:top="1134" w:right="1134" w:bottom="1134" w:left="1134" w:header="567" w:footer="567" w:gutter="0"/>
          <w:pgNumType w:fmt="lowerRoman" w:start="1"/>
          <w:cols w:space="708"/>
          <w:docGrid w:linePitch="360"/>
        </w:sectPr>
      </w:pPr>
      <w:r>
        <w:tab/>
      </w:r>
    </w:p>
    <w:p w14:paraId="219D2101" w14:textId="2D24EFDB" w:rsidR="00422D1D" w:rsidRDefault="00422D1D" w:rsidP="000765D1">
      <w:pPr>
        <w:pStyle w:val="Heading1Nonumber"/>
        <w:spacing w:before="0"/>
      </w:pPr>
      <w:bookmarkStart w:id="1" w:name="_Toc27732361"/>
      <w:r>
        <w:lastRenderedPageBreak/>
        <w:t>Contents</w:t>
      </w:r>
      <w:bookmarkEnd w:id="1"/>
    </w:p>
    <w:p w14:paraId="2D0E9BD7" w14:textId="40F39620" w:rsidR="0020449C" w:rsidRDefault="00422D1D">
      <w:pPr>
        <w:pStyle w:val="TOC1"/>
        <w:rPr>
          <w:rFonts w:eastAsiaTheme="minorEastAsia"/>
          <w:b w:val="0"/>
          <w:noProof/>
          <w:color w:val="auto"/>
          <w:lang w:eastAsia="en-AU"/>
        </w:rPr>
      </w:pPr>
      <w:r>
        <w:fldChar w:fldCharType="begin"/>
      </w:r>
      <w:r>
        <w:instrText xml:space="preserve"> TOC \o "1-2" \h \z \u </w:instrText>
      </w:r>
      <w:r>
        <w:fldChar w:fldCharType="separate"/>
      </w:r>
      <w:hyperlink w:anchor="_Toc27732361" w:history="1">
        <w:r w:rsidR="0020449C" w:rsidRPr="001B5709">
          <w:rPr>
            <w:rStyle w:val="Hyperlink"/>
            <w:noProof/>
          </w:rPr>
          <w:t>Contents</w:t>
        </w:r>
        <w:r w:rsidR="0020449C">
          <w:rPr>
            <w:noProof/>
            <w:webHidden/>
          </w:rPr>
          <w:tab/>
        </w:r>
        <w:r w:rsidR="0020449C">
          <w:rPr>
            <w:noProof/>
            <w:webHidden/>
          </w:rPr>
          <w:fldChar w:fldCharType="begin"/>
        </w:r>
        <w:r w:rsidR="0020449C">
          <w:rPr>
            <w:noProof/>
            <w:webHidden/>
          </w:rPr>
          <w:instrText xml:space="preserve"> PAGEREF _Toc27732361 \h </w:instrText>
        </w:r>
        <w:r w:rsidR="0020449C">
          <w:rPr>
            <w:noProof/>
            <w:webHidden/>
          </w:rPr>
        </w:r>
        <w:r w:rsidR="0020449C">
          <w:rPr>
            <w:noProof/>
            <w:webHidden/>
          </w:rPr>
          <w:fldChar w:fldCharType="separate"/>
        </w:r>
        <w:r w:rsidR="0020449C">
          <w:rPr>
            <w:noProof/>
            <w:webHidden/>
          </w:rPr>
          <w:t>ii</w:t>
        </w:r>
        <w:r w:rsidR="0020449C">
          <w:rPr>
            <w:noProof/>
            <w:webHidden/>
          </w:rPr>
          <w:fldChar w:fldCharType="end"/>
        </w:r>
      </w:hyperlink>
    </w:p>
    <w:p w14:paraId="247D63F2" w14:textId="667ACA9C" w:rsidR="0020449C" w:rsidRDefault="00B46160">
      <w:pPr>
        <w:pStyle w:val="TOC1"/>
        <w:rPr>
          <w:rFonts w:eastAsiaTheme="minorEastAsia"/>
          <w:b w:val="0"/>
          <w:noProof/>
          <w:color w:val="auto"/>
          <w:lang w:eastAsia="en-AU"/>
        </w:rPr>
      </w:pPr>
      <w:hyperlink w:anchor="_Toc27732362" w:history="1">
        <w:r w:rsidR="0020449C" w:rsidRPr="001B5709">
          <w:rPr>
            <w:rStyle w:val="Hyperlink"/>
            <w:noProof/>
          </w:rPr>
          <w:t>Acknowledgements</w:t>
        </w:r>
        <w:r w:rsidR="0020449C">
          <w:rPr>
            <w:noProof/>
            <w:webHidden/>
          </w:rPr>
          <w:tab/>
        </w:r>
        <w:r w:rsidR="0020449C">
          <w:rPr>
            <w:noProof/>
            <w:webHidden/>
          </w:rPr>
          <w:fldChar w:fldCharType="begin"/>
        </w:r>
        <w:r w:rsidR="0020449C">
          <w:rPr>
            <w:noProof/>
            <w:webHidden/>
          </w:rPr>
          <w:instrText xml:space="preserve"> PAGEREF _Toc27732362 \h </w:instrText>
        </w:r>
        <w:r w:rsidR="0020449C">
          <w:rPr>
            <w:noProof/>
            <w:webHidden/>
          </w:rPr>
        </w:r>
        <w:r w:rsidR="0020449C">
          <w:rPr>
            <w:noProof/>
            <w:webHidden/>
          </w:rPr>
          <w:fldChar w:fldCharType="separate"/>
        </w:r>
        <w:r w:rsidR="0020449C">
          <w:rPr>
            <w:noProof/>
            <w:webHidden/>
          </w:rPr>
          <w:t>iii</w:t>
        </w:r>
        <w:r w:rsidR="0020449C">
          <w:rPr>
            <w:noProof/>
            <w:webHidden/>
          </w:rPr>
          <w:fldChar w:fldCharType="end"/>
        </w:r>
      </w:hyperlink>
    </w:p>
    <w:p w14:paraId="796FF069" w14:textId="19FA40CD" w:rsidR="0020449C" w:rsidRDefault="00B46160">
      <w:pPr>
        <w:pStyle w:val="TOC1"/>
        <w:rPr>
          <w:rFonts w:eastAsiaTheme="minorEastAsia"/>
          <w:b w:val="0"/>
          <w:noProof/>
          <w:color w:val="auto"/>
          <w:lang w:eastAsia="en-AU"/>
        </w:rPr>
      </w:pPr>
      <w:hyperlink w:anchor="_Toc27732363" w:history="1">
        <w:r w:rsidR="0020449C" w:rsidRPr="001B5709">
          <w:rPr>
            <w:rStyle w:val="Hyperlink"/>
            <w:noProof/>
          </w:rPr>
          <w:t>Executive summary</w:t>
        </w:r>
        <w:r w:rsidR="0020449C">
          <w:rPr>
            <w:noProof/>
            <w:webHidden/>
          </w:rPr>
          <w:tab/>
        </w:r>
        <w:r w:rsidR="0020449C">
          <w:rPr>
            <w:noProof/>
            <w:webHidden/>
          </w:rPr>
          <w:fldChar w:fldCharType="begin"/>
        </w:r>
        <w:r w:rsidR="0020449C">
          <w:rPr>
            <w:noProof/>
            <w:webHidden/>
          </w:rPr>
          <w:instrText xml:space="preserve"> PAGEREF _Toc27732363 \h </w:instrText>
        </w:r>
        <w:r w:rsidR="0020449C">
          <w:rPr>
            <w:noProof/>
            <w:webHidden/>
          </w:rPr>
        </w:r>
        <w:r w:rsidR="0020449C">
          <w:rPr>
            <w:noProof/>
            <w:webHidden/>
          </w:rPr>
          <w:fldChar w:fldCharType="separate"/>
        </w:r>
        <w:r w:rsidR="0020449C">
          <w:rPr>
            <w:noProof/>
            <w:webHidden/>
          </w:rPr>
          <w:t>1</w:t>
        </w:r>
        <w:r w:rsidR="0020449C">
          <w:rPr>
            <w:noProof/>
            <w:webHidden/>
          </w:rPr>
          <w:fldChar w:fldCharType="end"/>
        </w:r>
      </w:hyperlink>
    </w:p>
    <w:p w14:paraId="5666E082" w14:textId="195CA25A" w:rsidR="0020449C" w:rsidRDefault="00B46160">
      <w:pPr>
        <w:pStyle w:val="TOC1"/>
        <w:tabs>
          <w:tab w:val="left" w:pos="567"/>
        </w:tabs>
        <w:rPr>
          <w:rFonts w:eastAsiaTheme="minorEastAsia"/>
          <w:b w:val="0"/>
          <w:noProof/>
          <w:color w:val="auto"/>
          <w:lang w:eastAsia="en-AU"/>
        </w:rPr>
      </w:pPr>
      <w:hyperlink w:anchor="_Toc27732364" w:history="1">
        <w:r w:rsidR="0020449C" w:rsidRPr="001B5709">
          <w:rPr>
            <w:rStyle w:val="Hyperlink"/>
            <w:noProof/>
          </w:rPr>
          <w:t>1.</w:t>
        </w:r>
        <w:r w:rsidR="0020449C">
          <w:rPr>
            <w:rFonts w:eastAsiaTheme="minorEastAsia"/>
            <w:b w:val="0"/>
            <w:noProof/>
            <w:color w:val="auto"/>
            <w:lang w:eastAsia="en-AU"/>
          </w:rPr>
          <w:tab/>
        </w:r>
        <w:r w:rsidR="0020449C" w:rsidRPr="001B5709">
          <w:rPr>
            <w:rStyle w:val="Hyperlink"/>
            <w:noProof/>
          </w:rPr>
          <w:t>Introduction</w:t>
        </w:r>
        <w:r w:rsidR="0020449C">
          <w:rPr>
            <w:noProof/>
            <w:webHidden/>
          </w:rPr>
          <w:tab/>
        </w:r>
        <w:r w:rsidR="0020449C">
          <w:rPr>
            <w:noProof/>
            <w:webHidden/>
          </w:rPr>
          <w:fldChar w:fldCharType="begin"/>
        </w:r>
        <w:r w:rsidR="0020449C">
          <w:rPr>
            <w:noProof/>
            <w:webHidden/>
          </w:rPr>
          <w:instrText xml:space="preserve"> PAGEREF _Toc27732364 \h </w:instrText>
        </w:r>
        <w:r w:rsidR="0020449C">
          <w:rPr>
            <w:noProof/>
            <w:webHidden/>
          </w:rPr>
        </w:r>
        <w:r w:rsidR="0020449C">
          <w:rPr>
            <w:noProof/>
            <w:webHidden/>
          </w:rPr>
          <w:fldChar w:fldCharType="separate"/>
        </w:r>
        <w:r w:rsidR="0020449C">
          <w:rPr>
            <w:noProof/>
            <w:webHidden/>
          </w:rPr>
          <w:t>2</w:t>
        </w:r>
        <w:r w:rsidR="0020449C">
          <w:rPr>
            <w:noProof/>
            <w:webHidden/>
          </w:rPr>
          <w:fldChar w:fldCharType="end"/>
        </w:r>
      </w:hyperlink>
    </w:p>
    <w:p w14:paraId="43BFB883" w14:textId="0B4ED98B" w:rsidR="0020449C" w:rsidRDefault="00B46160">
      <w:pPr>
        <w:pStyle w:val="TOC1"/>
        <w:tabs>
          <w:tab w:val="left" w:pos="567"/>
        </w:tabs>
        <w:rPr>
          <w:rFonts w:eastAsiaTheme="minorEastAsia"/>
          <w:b w:val="0"/>
          <w:noProof/>
          <w:color w:val="auto"/>
          <w:lang w:eastAsia="en-AU"/>
        </w:rPr>
      </w:pPr>
      <w:hyperlink w:anchor="_Toc27732365" w:history="1">
        <w:r w:rsidR="0020449C" w:rsidRPr="001B5709">
          <w:rPr>
            <w:rStyle w:val="Hyperlink"/>
            <w:noProof/>
          </w:rPr>
          <w:t>2.</w:t>
        </w:r>
        <w:r w:rsidR="0020449C">
          <w:rPr>
            <w:rFonts w:eastAsiaTheme="minorEastAsia"/>
            <w:b w:val="0"/>
            <w:noProof/>
            <w:color w:val="auto"/>
            <w:lang w:eastAsia="en-AU"/>
          </w:rPr>
          <w:tab/>
        </w:r>
        <w:r w:rsidR="0020449C" w:rsidRPr="001B5709">
          <w:rPr>
            <w:rStyle w:val="Hyperlink"/>
            <w:noProof/>
          </w:rPr>
          <w:t>Methods</w:t>
        </w:r>
        <w:r w:rsidR="0020449C">
          <w:rPr>
            <w:noProof/>
            <w:webHidden/>
          </w:rPr>
          <w:tab/>
        </w:r>
        <w:r w:rsidR="0020449C">
          <w:rPr>
            <w:noProof/>
            <w:webHidden/>
          </w:rPr>
          <w:fldChar w:fldCharType="begin"/>
        </w:r>
        <w:r w:rsidR="0020449C">
          <w:rPr>
            <w:noProof/>
            <w:webHidden/>
          </w:rPr>
          <w:instrText xml:space="preserve"> PAGEREF _Toc27732365 \h </w:instrText>
        </w:r>
        <w:r w:rsidR="0020449C">
          <w:rPr>
            <w:noProof/>
            <w:webHidden/>
          </w:rPr>
        </w:r>
        <w:r w:rsidR="0020449C">
          <w:rPr>
            <w:noProof/>
            <w:webHidden/>
          </w:rPr>
          <w:fldChar w:fldCharType="separate"/>
        </w:r>
        <w:r w:rsidR="0020449C">
          <w:rPr>
            <w:noProof/>
            <w:webHidden/>
          </w:rPr>
          <w:t>3</w:t>
        </w:r>
        <w:r w:rsidR="0020449C">
          <w:rPr>
            <w:noProof/>
            <w:webHidden/>
          </w:rPr>
          <w:fldChar w:fldCharType="end"/>
        </w:r>
      </w:hyperlink>
    </w:p>
    <w:p w14:paraId="2D1658E6" w14:textId="2222E6EA" w:rsidR="0020449C" w:rsidRDefault="00B46160">
      <w:pPr>
        <w:pStyle w:val="TOC2"/>
        <w:rPr>
          <w:rFonts w:eastAsiaTheme="minorEastAsia"/>
          <w:color w:val="auto"/>
          <w:lang w:eastAsia="en-AU"/>
        </w:rPr>
      </w:pPr>
      <w:hyperlink w:anchor="_Toc27732366" w:history="1">
        <w:r w:rsidR="0020449C" w:rsidRPr="001B5709">
          <w:rPr>
            <w:rStyle w:val="Hyperlink"/>
          </w:rPr>
          <w:t>2.1</w:t>
        </w:r>
        <w:r w:rsidR="0020449C">
          <w:rPr>
            <w:rFonts w:eastAsiaTheme="minorEastAsia"/>
            <w:color w:val="auto"/>
            <w:lang w:eastAsia="en-AU"/>
          </w:rPr>
          <w:tab/>
        </w:r>
        <w:r w:rsidR="0020449C" w:rsidRPr="001B5709">
          <w:rPr>
            <w:rStyle w:val="Hyperlink"/>
          </w:rPr>
          <w:t>Analysis of results</w:t>
        </w:r>
        <w:r w:rsidR="0020449C">
          <w:rPr>
            <w:webHidden/>
          </w:rPr>
          <w:tab/>
        </w:r>
        <w:r w:rsidR="0020449C">
          <w:rPr>
            <w:webHidden/>
          </w:rPr>
          <w:fldChar w:fldCharType="begin"/>
        </w:r>
        <w:r w:rsidR="0020449C">
          <w:rPr>
            <w:webHidden/>
          </w:rPr>
          <w:instrText xml:space="preserve"> PAGEREF _Toc27732366 \h </w:instrText>
        </w:r>
        <w:r w:rsidR="0020449C">
          <w:rPr>
            <w:webHidden/>
          </w:rPr>
        </w:r>
        <w:r w:rsidR="0020449C">
          <w:rPr>
            <w:webHidden/>
          </w:rPr>
          <w:fldChar w:fldCharType="separate"/>
        </w:r>
        <w:r w:rsidR="0020449C">
          <w:rPr>
            <w:webHidden/>
          </w:rPr>
          <w:t>3</w:t>
        </w:r>
        <w:r w:rsidR="0020449C">
          <w:rPr>
            <w:webHidden/>
          </w:rPr>
          <w:fldChar w:fldCharType="end"/>
        </w:r>
      </w:hyperlink>
    </w:p>
    <w:p w14:paraId="4D5D4B31" w14:textId="0C3E1DBD" w:rsidR="0020449C" w:rsidRDefault="00B46160">
      <w:pPr>
        <w:pStyle w:val="TOC1"/>
        <w:tabs>
          <w:tab w:val="left" w:pos="567"/>
        </w:tabs>
        <w:rPr>
          <w:rFonts w:eastAsiaTheme="minorEastAsia"/>
          <w:b w:val="0"/>
          <w:noProof/>
          <w:color w:val="auto"/>
          <w:lang w:eastAsia="en-AU"/>
        </w:rPr>
      </w:pPr>
      <w:hyperlink w:anchor="_Toc27732367" w:history="1">
        <w:r w:rsidR="0020449C" w:rsidRPr="001B5709">
          <w:rPr>
            <w:rStyle w:val="Hyperlink"/>
            <w:rFonts w:eastAsia="Times New Roman"/>
            <w:noProof/>
          </w:rPr>
          <w:t>3.</w:t>
        </w:r>
        <w:r w:rsidR="0020449C">
          <w:rPr>
            <w:rFonts w:eastAsiaTheme="minorEastAsia"/>
            <w:b w:val="0"/>
            <w:noProof/>
            <w:color w:val="auto"/>
            <w:lang w:eastAsia="en-AU"/>
          </w:rPr>
          <w:tab/>
        </w:r>
        <w:r w:rsidR="0020449C" w:rsidRPr="001B5709">
          <w:rPr>
            <w:rStyle w:val="Hyperlink"/>
            <w:rFonts w:eastAsia="Times New Roman"/>
            <w:noProof/>
          </w:rPr>
          <w:t>Results and discussion</w:t>
        </w:r>
        <w:r w:rsidR="0020449C">
          <w:rPr>
            <w:noProof/>
            <w:webHidden/>
          </w:rPr>
          <w:tab/>
        </w:r>
        <w:r w:rsidR="0020449C">
          <w:rPr>
            <w:noProof/>
            <w:webHidden/>
          </w:rPr>
          <w:fldChar w:fldCharType="begin"/>
        </w:r>
        <w:r w:rsidR="0020449C">
          <w:rPr>
            <w:noProof/>
            <w:webHidden/>
          </w:rPr>
          <w:instrText xml:space="preserve"> PAGEREF _Toc27732367 \h </w:instrText>
        </w:r>
        <w:r w:rsidR="0020449C">
          <w:rPr>
            <w:noProof/>
            <w:webHidden/>
          </w:rPr>
        </w:r>
        <w:r w:rsidR="0020449C">
          <w:rPr>
            <w:noProof/>
            <w:webHidden/>
          </w:rPr>
          <w:fldChar w:fldCharType="separate"/>
        </w:r>
        <w:r w:rsidR="0020449C">
          <w:rPr>
            <w:noProof/>
            <w:webHidden/>
          </w:rPr>
          <w:t>4</w:t>
        </w:r>
        <w:r w:rsidR="0020449C">
          <w:rPr>
            <w:noProof/>
            <w:webHidden/>
          </w:rPr>
          <w:fldChar w:fldCharType="end"/>
        </w:r>
      </w:hyperlink>
    </w:p>
    <w:p w14:paraId="0F1A7643" w14:textId="21575735" w:rsidR="0020449C" w:rsidRDefault="00B46160">
      <w:pPr>
        <w:pStyle w:val="TOC2"/>
        <w:rPr>
          <w:rFonts w:eastAsiaTheme="minorEastAsia"/>
          <w:color w:val="auto"/>
          <w:lang w:eastAsia="en-AU"/>
        </w:rPr>
      </w:pPr>
      <w:hyperlink w:anchor="_Toc27732368" w:history="1">
        <w:r w:rsidR="0020449C" w:rsidRPr="001B5709">
          <w:rPr>
            <w:rStyle w:val="Hyperlink"/>
          </w:rPr>
          <w:t>3.1</w:t>
        </w:r>
        <w:r w:rsidR="0020449C">
          <w:rPr>
            <w:rFonts w:eastAsiaTheme="minorEastAsia"/>
            <w:color w:val="auto"/>
            <w:lang w:eastAsia="en-AU"/>
          </w:rPr>
          <w:tab/>
        </w:r>
        <w:r w:rsidR="0020449C" w:rsidRPr="001B5709">
          <w:rPr>
            <w:rStyle w:val="Hyperlink"/>
          </w:rPr>
          <w:t>Performance relative to acceptance limits</w:t>
        </w:r>
        <w:r w:rsidR="0020449C">
          <w:rPr>
            <w:webHidden/>
          </w:rPr>
          <w:tab/>
        </w:r>
        <w:r w:rsidR="0020449C">
          <w:rPr>
            <w:webHidden/>
          </w:rPr>
          <w:fldChar w:fldCharType="begin"/>
        </w:r>
        <w:r w:rsidR="0020449C">
          <w:rPr>
            <w:webHidden/>
          </w:rPr>
          <w:instrText xml:space="preserve"> PAGEREF _Toc27732368 \h </w:instrText>
        </w:r>
        <w:r w:rsidR="0020449C">
          <w:rPr>
            <w:webHidden/>
          </w:rPr>
        </w:r>
        <w:r w:rsidR="0020449C">
          <w:rPr>
            <w:webHidden/>
          </w:rPr>
          <w:fldChar w:fldCharType="separate"/>
        </w:r>
        <w:r w:rsidR="0020449C">
          <w:rPr>
            <w:webHidden/>
          </w:rPr>
          <w:t>4</w:t>
        </w:r>
        <w:r w:rsidR="0020449C">
          <w:rPr>
            <w:webHidden/>
          </w:rPr>
          <w:fldChar w:fldCharType="end"/>
        </w:r>
      </w:hyperlink>
    </w:p>
    <w:p w14:paraId="0537AB8E" w14:textId="30ABF292" w:rsidR="0020449C" w:rsidRDefault="00B46160">
      <w:pPr>
        <w:pStyle w:val="TOC2"/>
        <w:rPr>
          <w:rFonts w:eastAsiaTheme="minorEastAsia"/>
          <w:color w:val="auto"/>
          <w:lang w:eastAsia="en-AU"/>
        </w:rPr>
      </w:pPr>
      <w:hyperlink w:anchor="_Toc27732369" w:history="1">
        <w:r w:rsidR="0020449C" w:rsidRPr="001B5709">
          <w:rPr>
            <w:rStyle w:val="Hyperlink"/>
          </w:rPr>
          <w:t>3.2</w:t>
        </w:r>
        <w:r w:rsidR="0020449C">
          <w:rPr>
            <w:rFonts w:eastAsiaTheme="minorEastAsia"/>
            <w:color w:val="auto"/>
            <w:lang w:eastAsia="en-AU"/>
          </w:rPr>
          <w:tab/>
        </w:r>
        <w:r w:rsidR="0020449C" w:rsidRPr="001B5709">
          <w:rPr>
            <w:rStyle w:val="Hyperlink"/>
          </w:rPr>
          <w:t>Performance relative to the certified activity</w:t>
        </w:r>
        <w:r w:rsidR="0020449C">
          <w:rPr>
            <w:webHidden/>
          </w:rPr>
          <w:tab/>
        </w:r>
        <w:r w:rsidR="0020449C">
          <w:rPr>
            <w:webHidden/>
          </w:rPr>
          <w:fldChar w:fldCharType="begin"/>
        </w:r>
        <w:r w:rsidR="0020449C">
          <w:rPr>
            <w:webHidden/>
          </w:rPr>
          <w:instrText xml:space="preserve"> PAGEREF _Toc27732369 \h </w:instrText>
        </w:r>
        <w:r w:rsidR="0020449C">
          <w:rPr>
            <w:webHidden/>
          </w:rPr>
        </w:r>
        <w:r w:rsidR="0020449C">
          <w:rPr>
            <w:webHidden/>
          </w:rPr>
          <w:fldChar w:fldCharType="separate"/>
        </w:r>
        <w:r w:rsidR="0020449C">
          <w:rPr>
            <w:webHidden/>
          </w:rPr>
          <w:t>4</w:t>
        </w:r>
        <w:r w:rsidR="0020449C">
          <w:rPr>
            <w:webHidden/>
          </w:rPr>
          <w:fldChar w:fldCharType="end"/>
        </w:r>
      </w:hyperlink>
    </w:p>
    <w:p w14:paraId="43BD1770" w14:textId="77011178" w:rsidR="0020449C" w:rsidRDefault="00B46160">
      <w:pPr>
        <w:pStyle w:val="TOC2"/>
        <w:rPr>
          <w:rFonts w:eastAsiaTheme="minorEastAsia"/>
          <w:color w:val="auto"/>
          <w:lang w:eastAsia="en-AU"/>
        </w:rPr>
      </w:pPr>
      <w:hyperlink w:anchor="_Toc27732370" w:history="1">
        <w:r w:rsidR="0020449C" w:rsidRPr="001B5709">
          <w:rPr>
            <w:rStyle w:val="Hyperlink"/>
          </w:rPr>
          <w:t>3.3</w:t>
        </w:r>
        <w:r w:rsidR="0020449C">
          <w:rPr>
            <w:rFonts w:eastAsiaTheme="minorEastAsia"/>
            <w:color w:val="auto"/>
            <w:lang w:eastAsia="en-AU"/>
          </w:rPr>
          <w:tab/>
        </w:r>
        <w:r w:rsidR="0020449C" w:rsidRPr="001B5709">
          <w:rPr>
            <w:rStyle w:val="Hyperlink"/>
          </w:rPr>
          <w:t>Zinc-65</w:t>
        </w:r>
        <w:r w:rsidR="0020449C">
          <w:rPr>
            <w:webHidden/>
          </w:rPr>
          <w:tab/>
        </w:r>
        <w:r w:rsidR="0020449C">
          <w:rPr>
            <w:webHidden/>
          </w:rPr>
          <w:fldChar w:fldCharType="begin"/>
        </w:r>
        <w:r w:rsidR="0020449C">
          <w:rPr>
            <w:webHidden/>
          </w:rPr>
          <w:instrText xml:space="preserve"> PAGEREF _Toc27732370 \h </w:instrText>
        </w:r>
        <w:r w:rsidR="0020449C">
          <w:rPr>
            <w:webHidden/>
          </w:rPr>
        </w:r>
        <w:r w:rsidR="0020449C">
          <w:rPr>
            <w:webHidden/>
          </w:rPr>
          <w:fldChar w:fldCharType="separate"/>
        </w:r>
        <w:r w:rsidR="0020449C">
          <w:rPr>
            <w:webHidden/>
          </w:rPr>
          <w:t>5</w:t>
        </w:r>
        <w:r w:rsidR="0020449C">
          <w:rPr>
            <w:webHidden/>
          </w:rPr>
          <w:fldChar w:fldCharType="end"/>
        </w:r>
      </w:hyperlink>
    </w:p>
    <w:p w14:paraId="48390E03" w14:textId="0CB9DDC8" w:rsidR="0020449C" w:rsidRDefault="00B46160">
      <w:pPr>
        <w:pStyle w:val="TOC2"/>
        <w:rPr>
          <w:rFonts w:eastAsiaTheme="minorEastAsia"/>
          <w:color w:val="auto"/>
          <w:lang w:eastAsia="en-AU"/>
        </w:rPr>
      </w:pPr>
      <w:hyperlink w:anchor="_Toc27732371" w:history="1">
        <w:r w:rsidR="0020449C" w:rsidRPr="001B5709">
          <w:rPr>
            <w:rStyle w:val="Hyperlink"/>
          </w:rPr>
          <w:t>3.4</w:t>
        </w:r>
        <w:r w:rsidR="0020449C">
          <w:rPr>
            <w:rFonts w:eastAsiaTheme="minorEastAsia"/>
            <w:color w:val="auto"/>
            <w:lang w:eastAsia="en-AU"/>
          </w:rPr>
          <w:tab/>
        </w:r>
        <w:r w:rsidR="0020449C" w:rsidRPr="001B5709">
          <w:rPr>
            <w:rStyle w:val="Hyperlink"/>
          </w:rPr>
          <w:t>Caesium-134</w:t>
        </w:r>
        <w:r w:rsidR="0020449C">
          <w:rPr>
            <w:webHidden/>
          </w:rPr>
          <w:tab/>
        </w:r>
        <w:r w:rsidR="0020449C">
          <w:rPr>
            <w:webHidden/>
          </w:rPr>
          <w:fldChar w:fldCharType="begin"/>
        </w:r>
        <w:r w:rsidR="0020449C">
          <w:rPr>
            <w:webHidden/>
          </w:rPr>
          <w:instrText xml:space="preserve"> PAGEREF _Toc27732371 \h </w:instrText>
        </w:r>
        <w:r w:rsidR="0020449C">
          <w:rPr>
            <w:webHidden/>
          </w:rPr>
        </w:r>
        <w:r w:rsidR="0020449C">
          <w:rPr>
            <w:webHidden/>
          </w:rPr>
          <w:fldChar w:fldCharType="separate"/>
        </w:r>
        <w:r w:rsidR="0020449C">
          <w:rPr>
            <w:webHidden/>
          </w:rPr>
          <w:t>6</w:t>
        </w:r>
        <w:r w:rsidR="0020449C">
          <w:rPr>
            <w:webHidden/>
          </w:rPr>
          <w:fldChar w:fldCharType="end"/>
        </w:r>
      </w:hyperlink>
    </w:p>
    <w:p w14:paraId="4FDB5943" w14:textId="476A3564" w:rsidR="0020449C" w:rsidRDefault="00B46160">
      <w:pPr>
        <w:pStyle w:val="TOC1"/>
        <w:tabs>
          <w:tab w:val="left" w:pos="567"/>
        </w:tabs>
        <w:rPr>
          <w:rFonts w:eastAsiaTheme="minorEastAsia"/>
          <w:b w:val="0"/>
          <w:noProof/>
          <w:color w:val="auto"/>
          <w:lang w:eastAsia="en-AU"/>
        </w:rPr>
      </w:pPr>
      <w:hyperlink w:anchor="_Toc27732372" w:history="1">
        <w:r w:rsidR="0020449C" w:rsidRPr="001B5709">
          <w:rPr>
            <w:rStyle w:val="Hyperlink"/>
            <w:rFonts w:eastAsia="Times New Roman"/>
            <w:noProof/>
          </w:rPr>
          <w:t>4.</w:t>
        </w:r>
        <w:r w:rsidR="0020449C">
          <w:rPr>
            <w:rFonts w:eastAsiaTheme="minorEastAsia"/>
            <w:b w:val="0"/>
            <w:noProof/>
            <w:color w:val="auto"/>
            <w:lang w:eastAsia="en-AU"/>
          </w:rPr>
          <w:tab/>
        </w:r>
        <w:r w:rsidR="0020449C" w:rsidRPr="001B5709">
          <w:rPr>
            <w:rStyle w:val="Hyperlink"/>
            <w:rFonts w:eastAsia="Times New Roman"/>
            <w:noProof/>
          </w:rPr>
          <w:t>Conclusion</w:t>
        </w:r>
        <w:r w:rsidR="0020449C">
          <w:rPr>
            <w:noProof/>
            <w:webHidden/>
          </w:rPr>
          <w:tab/>
        </w:r>
        <w:r w:rsidR="0020449C">
          <w:rPr>
            <w:noProof/>
            <w:webHidden/>
          </w:rPr>
          <w:fldChar w:fldCharType="begin"/>
        </w:r>
        <w:r w:rsidR="0020449C">
          <w:rPr>
            <w:noProof/>
            <w:webHidden/>
          </w:rPr>
          <w:instrText xml:space="preserve"> PAGEREF _Toc27732372 \h </w:instrText>
        </w:r>
        <w:r w:rsidR="0020449C">
          <w:rPr>
            <w:noProof/>
            <w:webHidden/>
          </w:rPr>
        </w:r>
        <w:r w:rsidR="0020449C">
          <w:rPr>
            <w:noProof/>
            <w:webHidden/>
          </w:rPr>
          <w:fldChar w:fldCharType="separate"/>
        </w:r>
        <w:r w:rsidR="0020449C">
          <w:rPr>
            <w:noProof/>
            <w:webHidden/>
          </w:rPr>
          <w:t>8</w:t>
        </w:r>
        <w:r w:rsidR="0020449C">
          <w:rPr>
            <w:noProof/>
            <w:webHidden/>
          </w:rPr>
          <w:fldChar w:fldCharType="end"/>
        </w:r>
      </w:hyperlink>
    </w:p>
    <w:p w14:paraId="2CFC46D1" w14:textId="377C4F04" w:rsidR="0020449C" w:rsidRDefault="00B46160">
      <w:pPr>
        <w:pStyle w:val="TOC1"/>
        <w:tabs>
          <w:tab w:val="left" w:pos="567"/>
        </w:tabs>
        <w:rPr>
          <w:rFonts w:eastAsiaTheme="minorEastAsia"/>
          <w:b w:val="0"/>
          <w:noProof/>
          <w:color w:val="auto"/>
          <w:lang w:eastAsia="en-AU"/>
        </w:rPr>
      </w:pPr>
      <w:hyperlink w:anchor="_Toc27732373" w:history="1">
        <w:r w:rsidR="0020449C" w:rsidRPr="001B5709">
          <w:rPr>
            <w:rStyle w:val="Hyperlink"/>
            <w:rFonts w:eastAsia="Times New Roman"/>
            <w:noProof/>
          </w:rPr>
          <w:t>5.</w:t>
        </w:r>
        <w:r w:rsidR="0020449C">
          <w:rPr>
            <w:rFonts w:eastAsiaTheme="minorEastAsia"/>
            <w:b w:val="0"/>
            <w:noProof/>
            <w:color w:val="auto"/>
            <w:lang w:eastAsia="en-AU"/>
          </w:rPr>
          <w:tab/>
        </w:r>
        <w:r w:rsidR="0020449C" w:rsidRPr="001B5709">
          <w:rPr>
            <w:rStyle w:val="Hyperlink"/>
            <w:rFonts w:eastAsia="Times New Roman"/>
            <w:noProof/>
          </w:rPr>
          <w:t>References</w:t>
        </w:r>
        <w:r w:rsidR="0020449C">
          <w:rPr>
            <w:noProof/>
            <w:webHidden/>
          </w:rPr>
          <w:tab/>
        </w:r>
        <w:r w:rsidR="0020449C">
          <w:rPr>
            <w:noProof/>
            <w:webHidden/>
          </w:rPr>
          <w:fldChar w:fldCharType="begin"/>
        </w:r>
        <w:r w:rsidR="0020449C">
          <w:rPr>
            <w:noProof/>
            <w:webHidden/>
          </w:rPr>
          <w:instrText xml:space="preserve"> PAGEREF _Toc27732373 \h </w:instrText>
        </w:r>
        <w:r w:rsidR="0020449C">
          <w:rPr>
            <w:noProof/>
            <w:webHidden/>
          </w:rPr>
        </w:r>
        <w:r w:rsidR="0020449C">
          <w:rPr>
            <w:noProof/>
            <w:webHidden/>
          </w:rPr>
          <w:fldChar w:fldCharType="separate"/>
        </w:r>
        <w:r w:rsidR="0020449C">
          <w:rPr>
            <w:noProof/>
            <w:webHidden/>
          </w:rPr>
          <w:t>9</w:t>
        </w:r>
        <w:r w:rsidR="0020449C">
          <w:rPr>
            <w:noProof/>
            <w:webHidden/>
          </w:rPr>
          <w:fldChar w:fldCharType="end"/>
        </w:r>
      </w:hyperlink>
    </w:p>
    <w:p w14:paraId="0F1840A5" w14:textId="3991E518" w:rsidR="006F0B84" w:rsidRDefault="00422D1D">
      <w:r>
        <w:fldChar w:fldCharType="end"/>
      </w:r>
    </w:p>
    <w:p w14:paraId="3074ABC5" w14:textId="77777777" w:rsidR="00422D1D" w:rsidRDefault="00422D1D" w:rsidP="006F0B84">
      <w:pPr>
        <w:pStyle w:val="Heading1Nonumber"/>
        <w:sectPr w:rsidR="00422D1D" w:rsidSect="00DC6048">
          <w:headerReference w:type="default" r:id="rId19"/>
          <w:footerReference w:type="default" r:id="rId20"/>
          <w:pgSz w:w="11906" w:h="16838" w:code="9"/>
          <w:pgMar w:top="1134" w:right="1134" w:bottom="1134" w:left="1134" w:header="567" w:footer="567" w:gutter="0"/>
          <w:pgNumType w:fmt="lowerRoman"/>
          <w:cols w:space="708"/>
          <w:docGrid w:linePitch="360"/>
        </w:sectPr>
      </w:pPr>
    </w:p>
    <w:p w14:paraId="06EE7664" w14:textId="77777777" w:rsidR="006F0B84" w:rsidRDefault="006F0B84" w:rsidP="00FB05F1">
      <w:pPr>
        <w:pStyle w:val="Heading1Nonumber"/>
        <w:spacing w:before="0"/>
      </w:pPr>
      <w:bookmarkStart w:id="2" w:name="_Toc27732362"/>
      <w:r>
        <w:lastRenderedPageBreak/>
        <w:t>Acknowledgements</w:t>
      </w:r>
      <w:bookmarkEnd w:id="2"/>
    </w:p>
    <w:p w14:paraId="05409B4B" w14:textId="77777777" w:rsidR="007B1AAF" w:rsidRDefault="007B1AAF" w:rsidP="007B1AAF">
      <w:r w:rsidRPr="00DE2A1D">
        <w:t>The author wishes to thank all of the laboratories that participated in the exercise.</w:t>
      </w:r>
    </w:p>
    <w:p w14:paraId="29CE680F" w14:textId="77777777" w:rsidR="00BE7447" w:rsidRDefault="00BE7447" w:rsidP="006F0B84">
      <w:pPr>
        <w:sectPr w:rsidR="00BE7447" w:rsidSect="00E539B5">
          <w:footerReference w:type="default" r:id="rId21"/>
          <w:pgSz w:w="11906" w:h="16838" w:code="9"/>
          <w:pgMar w:top="1134" w:right="1134" w:bottom="1134" w:left="1134" w:header="567" w:footer="567" w:gutter="0"/>
          <w:pgNumType w:fmt="lowerRoman"/>
          <w:cols w:space="708"/>
          <w:docGrid w:linePitch="360"/>
        </w:sectPr>
      </w:pPr>
    </w:p>
    <w:p w14:paraId="7A696DEF" w14:textId="35C975CB" w:rsidR="00EC5424" w:rsidRDefault="0090506F" w:rsidP="00BE7447">
      <w:pPr>
        <w:pStyle w:val="Heading1Nonumber"/>
        <w:spacing w:before="0"/>
      </w:pPr>
      <w:bookmarkStart w:id="3" w:name="_Toc27732363"/>
      <w:r>
        <w:lastRenderedPageBreak/>
        <w:t>Executive s</w:t>
      </w:r>
      <w:r w:rsidR="00EC5424">
        <w:t>ummary</w:t>
      </w:r>
      <w:bookmarkEnd w:id="3"/>
    </w:p>
    <w:p w14:paraId="27A1BCAB" w14:textId="77777777" w:rsidR="003218B4" w:rsidRDefault="003218B4" w:rsidP="005403DD">
      <w:pPr>
        <w:autoSpaceDE w:val="0"/>
        <w:autoSpaceDN w:val="0"/>
        <w:adjustRightInd w:val="0"/>
      </w:pPr>
      <w:r>
        <w:t>International experience with significant radiological incidents has shown that extensive measurement of environmental samples is required</w:t>
      </w:r>
      <w:sdt>
        <w:sdtPr>
          <w:id w:val="1510870738"/>
          <w:citation/>
        </w:sdtPr>
        <w:sdtEndPr/>
        <w:sdtContent>
          <w:r>
            <w:fldChar w:fldCharType="begin"/>
          </w:r>
          <w:r>
            <w:instrText xml:space="preserve">CITATION JMHLW13 \l 3081 </w:instrText>
          </w:r>
          <w:r>
            <w:fldChar w:fldCharType="separate"/>
          </w:r>
          <w:r>
            <w:rPr>
              <w:noProof/>
            </w:rPr>
            <w:t xml:space="preserve"> </w:t>
          </w:r>
          <w:r w:rsidRPr="00930229">
            <w:rPr>
              <w:noProof/>
            </w:rPr>
            <w:t>(Japanese Ministry of Health, Labour and Welfare, 2015)</w:t>
          </w:r>
          <w:r>
            <w:fldChar w:fldCharType="end"/>
          </w:r>
        </w:sdtContent>
      </w:sdt>
      <w:sdt>
        <w:sdtPr>
          <w:id w:val="-2023771172"/>
          <w:citation/>
        </w:sdtPr>
        <w:sdtEndPr/>
        <w:sdtContent>
          <w:r>
            <w:fldChar w:fldCharType="begin"/>
          </w:r>
          <w:r>
            <w:instrText xml:space="preserve"> CITATION IAEA88 \l 3081 </w:instrText>
          </w:r>
          <w:r>
            <w:fldChar w:fldCharType="separate"/>
          </w:r>
          <w:r>
            <w:rPr>
              <w:noProof/>
            </w:rPr>
            <w:t xml:space="preserve"> </w:t>
          </w:r>
          <w:r w:rsidRPr="002F41EB">
            <w:rPr>
              <w:noProof/>
            </w:rPr>
            <w:t>(IAEA, 1988)</w:t>
          </w:r>
          <w:r>
            <w:fldChar w:fldCharType="end"/>
          </w:r>
        </w:sdtContent>
      </w:sdt>
      <w:r>
        <w:t xml:space="preserve">. Many of these samples would require analysis by gamma-spectrometry. </w:t>
      </w:r>
      <w:r w:rsidRPr="00AF7721">
        <w:t>ARPANSA</w:t>
      </w:r>
      <w:r>
        <w:t>’s</w:t>
      </w:r>
      <w:r w:rsidRPr="00AF7721">
        <w:t xml:space="preserve"> capacity </w:t>
      </w:r>
      <w:r>
        <w:t>to analyse samples c</w:t>
      </w:r>
      <w:r w:rsidRPr="00AF7721">
        <w:t xml:space="preserve">ould be overwhelmed by the response required by a significant radiological incident. Therefore, assistance from other laboratories </w:t>
      </w:r>
      <w:r>
        <w:t>might</w:t>
      </w:r>
      <w:r w:rsidRPr="00AF7721">
        <w:t xml:space="preserve"> be required to respond to a significant radiological incident.</w:t>
      </w:r>
    </w:p>
    <w:p w14:paraId="5E018DC3" w14:textId="12F84991" w:rsidR="003218B4" w:rsidRDefault="003218B4" w:rsidP="005403DD">
      <w:r>
        <w:t xml:space="preserve">This exercise was conducted to ascertain </w:t>
      </w:r>
      <w:r w:rsidRPr="00736D52">
        <w:t>the capability of participa</w:t>
      </w:r>
      <w:r>
        <w:t xml:space="preserve">ting laboratories </w:t>
      </w:r>
      <w:r w:rsidRPr="00736D52">
        <w:t xml:space="preserve">with respect to </w:t>
      </w:r>
      <w:r>
        <w:t>the measurement of radionuclides in water by</w:t>
      </w:r>
      <w:r w:rsidRPr="00736D52">
        <w:t xml:space="preserve"> gamma-ray spectrometry</w:t>
      </w:r>
      <w:r>
        <w:t>. Th</w:t>
      </w:r>
      <w:r w:rsidR="00FA104F">
        <w:t>is exercise</w:t>
      </w:r>
      <w:r>
        <w:t xml:space="preserve"> focus</w:t>
      </w:r>
      <w:r w:rsidR="00FA104F">
        <w:t>sed</w:t>
      </w:r>
      <w:r>
        <w:t xml:space="preserve"> on testing and finalising laboratory procedures using the standard geometry for gamma spectrometry measurements. </w:t>
      </w:r>
    </w:p>
    <w:p w14:paraId="6B1209F0" w14:textId="0DB1A713" w:rsidR="003218B4" w:rsidRDefault="003218B4" w:rsidP="005403DD">
      <w:pPr>
        <w:autoSpaceDE w:val="0"/>
        <w:autoSpaceDN w:val="0"/>
        <w:adjustRightInd w:val="0"/>
      </w:pPr>
      <w:r>
        <w:t>Nine radioanalytical laboratories identified as having gamma-spectrometry capabilities, participated in this exercise</w:t>
      </w:r>
      <w:r w:rsidR="00874DCE">
        <w:t>, these labo</w:t>
      </w:r>
      <w:r w:rsidR="00974F3F">
        <w:t>ratories form the Australasian R</w:t>
      </w:r>
      <w:r w:rsidR="00874DCE">
        <w:t xml:space="preserve">adionuclide </w:t>
      </w:r>
      <w:r w:rsidR="00974F3F">
        <w:t>L</w:t>
      </w:r>
      <w:r w:rsidR="00874DCE">
        <w:t>aboratory Network (ARLN)</w:t>
      </w:r>
      <w:r>
        <w:t>.</w:t>
      </w:r>
      <w:r w:rsidRPr="0074162A">
        <w:t xml:space="preserve"> </w:t>
      </w:r>
      <w:r>
        <w:t xml:space="preserve">Participants were asked to analyse </w:t>
      </w:r>
      <w:r w:rsidR="00EA0486">
        <w:t>450</w:t>
      </w:r>
      <w:r>
        <w:t xml:space="preserve">ml of </w:t>
      </w:r>
      <w:r w:rsidR="00EA0486">
        <w:t>water</w:t>
      </w:r>
      <w:r>
        <w:t xml:space="preserve">, containing known amounts of certain radionuclides, obtained from an accredited supplier of </w:t>
      </w:r>
      <w:r w:rsidRPr="00A069A4">
        <w:t>Certified Reference Materials and Proficiency Testing products</w:t>
      </w:r>
      <w:r>
        <w:t>. The sample contained Am</w:t>
      </w:r>
      <w:r>
        <w:noBreakHyphen/>
        <w:t>241, Cs-134, Cs-137, Co-60, K-40 and Zn-65.</w:t>
      </w:r>
    </w:p>
    <w:p w14:paraId="193CD84E" w14:textId="2CF4A3F5" w:rsidR="002610DD" w:rsidRDefault="002610DD" w:rsidP="005403DD">
      <w:r>
        <w:t>There was a marked improvement in the Zn-65 results</w:t>
      </w:r>
      <w:r w:rsidR="00FA104F">
        <w:t>,</w:t>
      </w:r>
      <w:r>
        <w:t xml:space="preserve"> which the author</w:t>
      </w:r>
      <w:r w:rsidR="00FA104F">
        <w:t>s</w:t>
      </w:r>
      <w:r>
        <w:t xml:space="preserve"> </w:t>
      </w:r>
      <w:r w:rsidR="00FA104F">
        <w:t>attribute</w:t>
      </w:r>
      <w:r>
        <w:t xml:space="preserve"> to the improved calibration methods implemented by the laboratories after the 2013 exercise. All laboratories now have Zn-65 in there calibration sources, which has improved the results at higher energy. </w:t>
      </w:r>
    </w:p>
    <w:p w14:paraId="4E42F3DD" w14:textId="2482DF51" w:rsidR="002610DD" w:rsidRDefault="002610DD" w:rsidP="005403DD">
      <w:r>
        <w:t xml:space="preserve">After the 2013 exercise, all laboratories now recognise the complexities of measuring Cs-134. During this year’s exercise some laboratories </w:t>
      </w:r>
      <w:r w:rsidR="009A0A5B">
        <w:t>tested</w:t>
      </w:r>
      <w:r>
        <w:t xml:space="preserve"> new methods </w:t>
      </w:r>
      <w:r w:rsidR="00FA104F">
        <w:t>to correct for</w:t>
      </w:r>
      <w:r>
        <w:t xml:space="preserve"> true coincidence summing</w:t>
      </w:r>
      <w:r w:rsidR="00FA104F">
        <w:t>,</w:t>
      </w:r>
      <w:r>
        <w:t xml:space="preserve"> </w:t>
      </w:r>
      <w:r w:rsidR="009A0A5B">
        <w:t>with</w:t>
      </w:r>
      <w:r>
        <w:t xml:space="preserve"> mixed results. </w:t>
      </w:r>
    </w:p>
    <w:p w14:paraId="799242B8" w14:textId="27A41C52" w:rsidR="002610DD" w:rsidRDefault="002610DD" w:rsidP="005403DD">
      <w:r>
        <w:t xml:space="preserve">In almost all cases, the participants reported results that would be considered acceptable by the supplier of the samples. That is, 34 of the 35 reported results that were within the </w:t>
      </w:r>
      <w:r w:rsidRPr="00701448">
        <w:t>Performance Acceptance Limits</w:t>
      </w:r>
      <w:r>
        <w:t xml:space="preserve"> defined by the supplier. This shows that when compared on other comparable laboratories from around the world the Australasian radionuclide laboratory network can be regarded as highly capable.  </w:t>
      </w:r>
    </w:p>
    <w:p w14:paraId="7CED644B" w14:textId="729F0F72" w:rsidR="007978F9" w:rsidRDefault="007978F9" w:rsidP="007978F9">
      <w:r>
        <w:br w:type="page"/>
      </w:r>
    </w:p>
    <w:p w14:paraId="3A2D8FE0" w14:textId="77777777" w:rsidR="00EC5424" w:rsidRDefault="00EC5424" w:rsidP="007978F9">
      <w:pPr>
        <w:pStyle w:val="Heading1"/>
      </w:pPr>
      <w:bookmarkStart w:id="4" w:name="_Toc27732364"/>
      <w:r>
        <w:lastRenderedPageBreak/>
        <w:t>Introduction</w:t>
      </w:r>
      <w:bookmarkEnd w:id="4"/>
    </w:p>
    <w:p w14:paraId="00F55D52" w14:textId="77777777" w:rsidR="007B1AAF" w:rsidRDefault="007B1AAF" w:rsidP="007B1AAF">
      <w:r w:rsidRPr="00AF7721">
        <w:t>ARPANSA maintains a radio</w:t>
      </w:r>
      <w:r>
        <w:t>analytical</w:t>
      </w:r>
      <w:r w:rsidRPr="00AF7721">
        <w:t xml:space="preserve"> laboratory, in part, to respond to radiological incidents. Theoretically, this laboratory has the capacity to measure about 100 samples per day </w:t>
      </w:r>
      <w:r>
        <w:t>by gamma-spectrometry</w:t>
      </w:r>
      <w:r w:rsidRPr="00AF7721">
        <w:t xml:space="preserve">. However, even this capacity </w:t>
      </w:r>
      <w:r>
        <w:t>c</w:t>
      </w:r>
      <w:r w:rsidRPr="00AF7721">
        <w:t xml:space="preserve">ould be overwhelmed by the response required by a significant radiological incident. Therefore, assistance from other laboratories </w:t>
      </w:r>
      <w:r>
        <w:t>might</w:t>
      </w:r>
      <w:r w:rsidRPr="00AF7721">
        <w:t xml:space="preserve"> be required to respond to </w:t>
      </w:r>
      <w:r>
        <w:t>such an</w:t>
      </w:r>
      <w:r w:rsidRPr="00AF7721">
        <w:t xml:space="preserve"> incident.</w:t>
      </w:r>
    </w:p>
    <w:p w14:paraId="6009B734" w14:textId="77777777" w:rsidR="007B1AAF" w:rsidRDefault="007B1AAF" w:rsidP="007B1AAF">
      <w:r>
        <w:t xml:space="preserve">ARPANSA has identified </w:t>
      </w:r>
      <w:r w:rsidR="00DC4656">
        <w:t>nine</w:t>
      </w:r>
      <w:r>
        <w:t xml:space="preserve"> radioanalytical laboratories in Australia and New Zealand. </w:t>
      </w:r>
      <w:r w:rsidR="00DC4656">
        <w:t>This list includes three</w:t>
      </w:r>
      <w:r>
        <w:t xml:space="preserve"> laboratories run by the Australian Nuclear Science and Technology Organisation (ANSTO), ARPANSA’s own laboratory, </w:t>
      </w:r>
      <w:r w:rsidR="00DC4656">
        <w:t>two</w:t>
      </w:r>
      <w:r>
        <w:t xml:space="preserve"> </w:t>
      </w:r>
      <w:r w:rsidR="00DC4656">
        <w:t>university</w:t>
      </w:r>
      <w:r>
        <w:t xml:space="preserve"> laboratories as well as </w:t>
      </w:r>
      <w:r w:rsidR="00DC4656">
        <w:t>three</w:t>
      </w:r>
      <w:r>
        <w:t xml:space="preserve"> other state or national laboratories. However, there is c</w:t>
      </w:r>
      <w:r w:rsidRPr="00E36BF0">
        <w:t xml:space="preserve">onsiderable specialisation in the radionuclides analysed </w:t>
      </w:r>
      <w:r>
        <w:t xml:space="preserve">by these laboratories. This is because many </w:t>
      </w:r>
      <w:r w:rsidRPr="00A32D44">
        <w:t>of these laboratories exist to fulfil specific needs and are</w:t>
      </w:r>
      <w:r>
        <w:t xml:space="preserve"> </w:t>
      </w:r>
      <w:r w:rsidRPr="00A32D44">
        <w:t>not funded or specifically tasked with providing analyses in the event of general radiological incident</w:t>
      </w:r>
      <w:r>
        <w:t>. Therefore, some laboratories may not be able to provide assistance for some radiological incidents, particularly those involving the dispersion of radioactive material created in a nuclear reactor.</w:t>
      </w:r>
    </w:p>
    <w:p w14:paraId="6FC62A5E" w14:textId="63F88CF8" w:rsidR="007B1AAF" w:rsidRDefault="007B1AAF" w:rsidP="007B1AAF">
      <w:r>
        <w:t xml:space="preserve">This exercise was conducted to ascertain </w:t>
      </w:r>
      <w:r w:rsidRPr="00736D52">
        <w:t>the capability of participa</w:t>
      </w:r>
      <w:r>
        <w:t xml:space="preserve">ting laboratories </w:t>
      </w:r>
      <w:r w:rsidRPr="00736D52">
        <w:t xml:space="preserve">with respect to </w:t>
      </w:r>
      <w:r>
        <w:t xml:space="preserve">the measurement of radionuclides in </w:t>
      </w:r>
      <w:r w:rsidR="00DC4656">
        <w:t>water</w:t>
      </w:r>
      <w:r>
        <w:t xml:space="preserve"> by</w:t>
      </w:r>
      <w:r w:rsidRPr="00736D52">
        <w:t xml:space="preserve"> gamma-ray spectrometry</w:t>
      </w:r>
      <w:r>
        <w:t xml:space="preserve"> and was a follow-on from similar exercise</w:t>
      </w:r>
      <w:r w:rsidR="00FA104F">
        <w:t>s</w:t>
      </w:r>
      <w:r>
        <w:t xml:space="preserve"> conducted in 2013 </w:t>
      </w:r>
      <w:sdt>
        <w:sdtPr>
          <w:id w:val="400961233"/>
          <w:citation/>
        </w:sdtPr>
        <w:sdtEndPr/>
        <w:sdtContent>
          <w:r>
            <w:fldChar w:fldCharType="begin"/>
          </w:r>
          <w:r>
            <w:instrText xml:space="preserve"> CITATION Lon141 \l 3081 </w:instrText>
          </w:r>
          <w:r>
            <w:fldChar w:fldCharType="separate"/>
          </w:r>
          <w:r w:rsidR="008011BA">
            <w:rPr>
              <w:noProof/>
            </w:rPr>
            <w:t>(Long, 2014)</w:t>
          </w:r>
          <w:r>
            <w:fldChar w:fldCharType="end"/>
          </w:r>
        </w:sdtContent>
      </w:sdt>
      <w:r w:rsidR="008011BA">
        <w:t xml:space="preserve"> and 2015 </w:t>
      </w:r>
      <w:sdt>
        <w:sdtPr>
          <w:id w:val="-1899421949"/>
          <w:citation/>
        </w:sdtPr>
        <w:sdtEndPr/>
        <w:sdtContent>
          <w:r w:rsidR="008011BA">
            <w:fldChar w:fldCharType="begin"/>
          </w:r>
          <w:r w:rsidR="00C07D24">
            <w:instrText xml:space="preserve">CITATION SLo16 \l 3081 </w:instrText>
          </w:r>
          <w:r w:rsidR="008011BA">
            <w:fldChar w:fldCharType="separate"/>
          </w:r>
          <w:r w:rsidR="00C07D24">
            <w:rPr>
              <w:noProof/>
            </w:rPr>
            <w:t>(Long, 2016)</w:t>
          </w:r>
          <w:r w:rsidR="008011BA">
            <w:fldChar w:fldCharType="end"/>
          </w:r>
        </w:sdtContent>
      </w:sdt>
      <w:r>
        <w:t xml:space="preserve">. </w:t>
      </w:r>
    </w:p>
    <w:p w14:paraId="205453B5" w14:textId="07CFDDA7" w:rsidR="00792033" w:rsidRDefault="00792033" w:rsidP="007B1AAF">
      <w:r>
        <w:t xml:space="preserve">This year’s exercise focused on testing and finalising laboratory procedures using the standard geometry for gamma spectrometry </w:t>
      </w:r>
      <w:r w:rsidR="00176BE1">
        <w:t>measurements</w:t>
      </w:r>
      <w:r w:rsidR="00FA104F">
        <w:t>.</w:t>
      </w:r>
      <w:r w:rsidR="00176BE1">
        <w:t xml:space="preserve"> </w:t>
      </w:r>
      <w:r w:rsidR="00FA104F">
        <w:t xml:space="preserve">The standard geometry </w:t>
      </w:r>
      <w:r>
        <w:t xml:space="preserve">was agreed to after the 2013 exercise. </w:t>
      </w:r>
    </w:p>
    <w:p w14:paraId="5E1C0E75" w14:textId="72183932" w:rsidR="00E67431" w:rsidRDefault="007B1AAF" w:rsidP="007B1AAF">
      <w:r>
        <w:t xml:space="preserve">It should be noted that this was not a Proficiency Test Exercise because </w:t>
      </w:r>
      <w:r w:rsidRPr="00736D52">
        <w:t xml:space="preserve">participants </w:t>
      </w:r>
      <w:r>
        <w:t>were</w:t>
      </w:r>
      <w:r w:rsidRPr="00736D52">
        <w:t xml:space="preserve"> not judged as to the acceptability of their procedures</w:t>
      </w:r>
      <w:r>
        <w:t>. The procedures used by each laboratory are appropriate to their particular objectives. Rather, the purpose of the exercise was simply to determine whether the methods currently used by each participating laboratory produced acceptable results when used for another purpose.</w:t>
      </w:r>
    </w:p>
    <w:p w14:paraId="265733D1" w14:textId="77777777" w:rsidR="00E67431" w:rsidRDefault="00E67431">
      <w:r>
        <w:br w:type="page"/>
      </w:r>
    </w:p>
    <w:p w14:paraId="7563982F" w14:textId="77777777" w:rsidR="00EC5424" w:rsidRPr="001B27A6" w:rsidRDefault="00EC5424" w:rsidP="001B27A6">
      <w:pPr>
        <w:pStyle w:val="Heading1"/>
      </w:pPr>
      <w:bookmarkStart w:id="5" w:name="_Toc27732365"/>
      <w:r w:rsidRPr="001B27A6">
        <w:lastRenderedPageBreak/>
        <w:t> </w:t>
      </w:r>
      <w:r w:rsidRPr="001B27A6">
        <w:rPr>
          <w:rStyle w:val="Heading1Char"/>
          <w:b/>
          <w:bCs/>
        </w:rPr>
        <w:t>Methods</w:t>
      </w:r>
      <w:bookmarkEnd w:id="5"/>
    </w:p>
    <w:p w14:paraId="08D242AE" w14:textId="77777777" w:rsidR="007B1AAF" w:rsidRDefault="00DC4656" w:rsidP="007B1AAF">
      <w:r>
        <w:t>All n</w:t>
      </w:r>
      <w:r w:rsidR="007B1AAF">
        <w:t xml:space="preserve">ine </w:t>
      </w:r>
      <w:r>
        <w:t>of the</w:t>
      </w:r>
      <w:r w:rsidR="007B1AAF">
        <w:t xml:space="preserve"> known Australasian radioanalytical laboratories (including ARPANSA) agreed to participate in the exercise. </w:t>
      </w:r>
    </w:p>
    <w:p w14:paraId="0554CD94" w14:textId="45B088A7" w:rsidR="00792033" w:rsidRDefault="00792033" w:rsidP="007B1AAF">
      <w:r>
        <w:t xml:space="preserve">Before the exercise </w:t>
      </w:r>
      <w:r w:rsidR="00176BE1">
        <w:t>started,</w:t>
      </w:r>
      <w:r>
        <w:t xml:space="preserve"> a standard 450</w:t>
      </w:r>
      <w:r w:rsidR="00363423">
        <w:t xml:space="preserve"> </w:t>
      </w:r>
      <w:r>
        <w:t>ml in 500</w:t>
      </w:r>
      <w:r w:rsidR="00363423">
        <w:t xml:space="preserve"> </w:t>
      </w:r>
      <w:r>
        <w:t>ml marinelli calibration source</w:t>
      </w:r>
      <w:r w:rsidR="00176BE1">
        <w:t>,</w:t>
      </w:r>
      <w:r>
        <w:t xml:space="preserve"> purchased by ANSTO</w:t>
      </w:r>
      <w:r w:rsidR="00176BE1">
        <w:t>,</w:t>
      </w:r>
      <w:r>
        <w:t xml:space="preserve"> was made available</w:t>
      </w:r>
      <w:r w:rsidR="00176BE1">
        <w:t xml:space="preserve"> to all laboratories. This ensure</w:t>
      </w:r>
      <w:r w:rsidR="00FA104F">
        <w:t>d</w:t>
      </w:r>
      <w:r w:rsidR="00176BE1">
        <w:t xml:space="preserve"> that all laboratory had an opportunity to participate in the exercise and measure a standard geometry that is typical of an emergency response type sample. </w:t>
      </w:r>
    </w:p>
    <w:p w14:paraId="215F5B5E" w14:textId="54DFC271" w:rsidR="00DC4656" w:rsidRDefault="007B1AAF" w:rsidP="007B1AAF">
      <w:r>
        <w:t xml:space="preserve">ARPANSA purchased nine </w:t>
      </w:r>
      <w:r w:rsidR="00DC4656">
        <w:t>vials</w:t>
      </w:r>
      <w:r>
        <w:t xml:space="preserve"> of a certified reference material from an accredited supplier of such </w:t>
      </w:r>
      <w:r w:rsidRPr="00A069A4">
        <w:t>products</w:t>
      </w:r>
      <w:r>
        <w:t xml:space="preserve">. </w:t>
      </w:r>
      <w:r w:rsidRPr="00A069A4">
        <w:t xml:space="preserve">The </w:t>
      </w:r>
      <w:r w:rsidR="00DC4656">
        <w:t>water</w:t>
      </w:r>
      <w:r w:rsidRPr="00A069A4">
        <w:t xml:space="preserve"> was prepared</w:t>
      </w:r>
      <w:r>
        <w:t>, by the supplier,</w:t>
      </w:r>
      <w:r w:rsidRPr="00A069A4">
        <w:t xml:space="preserve"> by adding known amounts of </w:t>
      </w:r>
      <w:r>
        <w:t>Am</w:t>
      </w:r>
      <w:r>
        <w:noBreakHyphen/>
        <w:t>241, Cs</w:t>
      </w:r>
      <w:r>
        <w:noBreakHyphen/>
        <w:t>134, Cs-13</w:t>
      </w:r>
      <w:r w:rsidR="00DC4656">
        <w:t>7, Co-60</w:t>
      </w:r>
      <w:r>
        <w:t xml:space="preserve"> and Zn-65</w:t>
      </w:r>
      <w:r w:rsidR="00DC4656">
        <w:t xml:space="preserve"> making a standard concentrate.</w:t>
      </w:r>
      <w:r w:rsidR="00DC4656" w:rsidRPr="00DC4656">
        <w:t xml:space="preserve"> </w:t>
      </w:r>
      <w:r w:rsidR="00DC4656">
        <w:t>This concentrate was preserved with Nitric acid to pH &lt; 2</w:t>
      </w:r>
      <w:r w:rsidR="00FA104F">
        <w:t>.</w:t>
      </w:r>
    </w:p>
    <w:p w14:paraId="6240EC41" w14:textId="77777777" w:rsidR="007B1AAF" w:rsidRDefault="007B1AAF" w:rsidP="007B1AAF">
      <w:r>
        <w:t xml:space="preserve">The supplier also provided a certificate of analysis stating the certified values of the activity concentration of each radionuclide in the </w:t>
      </w:r>
      <w:r w:rsidR="00DC4656">
        <w:t>vials</w:t>
      </w:r>
      <w:r>
        <w:t>. The certificate of analysis also included Performance Acceptance Limits (PALs) approximating 95% confidence intervals of the performance that an experienced laboratory should achieve.</w:t>
      </w:r>
    </w:p>
    <w:p w14:paraId="6FB461E9" w14:textId="1D862E22" w:rsidR="007B1AAF" w:rsidRDefault="00792033" w:rsidP="007B1AAF">
      <w:r>
        <w:t xml:space="preserve">The sample concentrate was diluted by each laboratory </w:t>
      </w:r>
      <w:r w:rsidR="00FA104F">
        <w:t xml:space="preserve">by diluting </w:t>
      </w:r>
      <w:r>
        <w:t>5</w:t>
      </w:r>
      <w:r w:rsidR="00E47D83">
        <w:t xml:space="preserve"> </w:t>
      </w:r>
      <w:r>
        <w:t>ml of the concentrate to final volume of 1L with 0.1M nitric acid</w:t>
      </w:r>
      <w:r w:rsidR="009451D4" w:rsidRPr="009451D4">
        <w:t xml:space="preserve"> </w:t>
      </w:r>
      <w:r w:rsidR="009451D4">
        <w:t>using class A volumetric glassware</w:t>
      </w:r>
      <w:r>
        <w:t xml:space="preserve">. </w:t>
      </w:r>
    </w:p>
    <w:p w14:paraId="761D21D9" w14:textId="490C748E" w:rsidR="007B1AAF" w:rsidRPr="00971F22" w:rsidRDefault="007B1AAF" w:rsidP="001B27A6">
      <w:pPr>
        <w:pStyle w:val="Heading2"/>
      </w:pPr>
      <w:bookmarkStart w:id="6" w:name="_Toc379296977"/>
      <w:bookmarkStart w:id="7" w:name="_Toc379966437"/>
      <w:bookmarkStart w:id="8" w:name="_Toc380048011"/>
      <w:bookmarkStart w:id="9" w:name="_Toc380136667"/>
      <w:bookmarkStart w:id="10" w:name="_Toc380480395"/>
      <w:bookmarkStart w:id="11" w:name="_Toc380482630"/>
      <w:bookmarkStart w:id="12" w:name="_Toc380482766"/>
      <w:bookmarkStart w:id="13" w:name="_Toc441132144"/>
      <w:bookmarkStart w:id="14" w:name="_Toc441242618"/>
      <w:bookmarkStart w:id="15" w:name="_Toc441242927"/>
      <w:bookmarkStart w:id="16" w:name="_Toc444090071"/>
      <w:bookmarkStart w:id="17" w:name="_Toc447097360"/>
      <w:bookmarkStart w:id="18" w:name="_Toc379966440"/>
      <w:bookmarkStart w:id="19" w:name="_Toc380048014"/>
      <w:bookmarkStart w:id="20" w:name="_Toc380136670"/>
      <w:bookmarkStart w:id="21" w:name="_Toc380480398"/>
      <w:bookmarkStart w:id="22" w:name="_Toc380482633"/>
      <w:bookmarkStart w:id="23" w:name="_Toc380482769"/>
      <w:bookmarkStart w:id="24" w:name="_Toc441132147"/>
      <w:bookmarkStart w:id="25" w:name="_Toc441242621"/>
      <w:bookmarkStart w:id="26" w:name="_Toc441242930"/>
      <w:bookmarkStart w:id="27" w:name="_Toc444090074"/>
      <w:bookmarkStart w:id="28" w:name="_Toc447097363"/>
      <w:bookmarkStart w:id="29" w:name="_Toc453335325"/>
      <w:bookmarkStart w:id="30" w:name="_Toc2773236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971F22">
        <w:t xml:space="preserve">Analysis </w:t>
      </w:r>
      <w:bookmarkEnd w:id="29"/>
      <w:r w:rsidR="005977EE" w:rsidRPr="00971F22">
        <w:t>of</w:t>
      </w:r>
      <w:r w:rsidR="005977EE">
        <w:t xml:space="preserve"> </w:t>
      </w:r>
      <w:r w:rsidR="005977EE" w:rsidRPr="00971F22">
        <w:t>results</w:t>
      </w:r>
      <w:bookmarkEnd w:id="30"/>
    </w:p>
    <w:p w14:paraId="56A88BEC" w14:textId="77777777" w:rsidR="007B1AAF" w:rsidRDefault="007B1AAF" w:rsidP="007B1AAF">
      <w:r>
        <w:t>For each radionuclide, ARPANSA calculated the Relative Bias (</w:t>
      </w:r>
      <w:r w:rsidRPr="0039061D">
        <w:rPr>
          <w:i/>
        </w:rPr>
        <w:t>R</w:t>
      </w:r>
      <w:r>
        <w:t>) of the measured activity concentration (</w:t>
      </w:r>
      <w:r w:rsidRPr="0039061D">
        <w:rPr>
          <w:i/>
        </w:rPr>
        <w:t>M</w:t>
      </w:r>
      <w:r>
        <w:t>), relative to the certified activity concentration supplied by the manufacturer (</w:t>
      </w:r>
      <w:r w:rsidRPr="0039061D">
        <w:rPr>
          <w:i/>
        </w:rPr>
        <w:t>C</w:t>
      </w:r>
      <w:r>
        <w:t>):</w:t>
      </w:r>
    </w:p>
    <w:p w14:paraId="1B0CD3F3" w14:textId="77777777" w:rsidR="007B1AAF" w:rsidRPr="00457A5D" w:rsidRDefault="007B1AAF" w:rsidP="007B1AAF">
      <w:r w:rsidRPr="00457A5D">
        <w:t xml:space="preserve">Equation </w:t>
      </w:r>
      <w:fldSimple w:instr=" SEQ Equation \* ARABIC ">
        <w:r>
          <w:rPr>
            <w:noProof/>
          </w:rPr>
          <w:t>1</w:t>
        </w:r>
      </w:fldSimple>
      <w:r w:rsidRPr="00457A5D">
        <w:t>:</w:t>
      </w:r>
      <w:r w:rsidRPr="00457A5D">
        <w:tab/>
      </w:r>
      <w:r w:rsidRPr="00457A5D">
        <w:tab/>
      </w:r>
      <w:r w:rsidRPr="00457A5D">
        <w:tab/>
      </w:r>
      <m:oMath>
        <m:r>
          <m:rPr>
            <m:sty m:val="b"/>
          </m:rPr>
          <w:rPr>
            <w:rFonts w:ascii="Cambria Math" w:hAnsi="Cambria Math"/>
          </w:rPr>
          <m:t xml:space="preserve">R= </m:t>
        </m:r>
        <m:f>
          <m:fPr>
            <m:ctrlPr>
              <w:rPr>
                <w:rFonts w:ascii="Cambria Math" w:hAnsi="Cambria Math"/>
              </w:rPr>
            </m:ctrlPr>
          </m:fPr>
          <m:num>
            <m:r>
              <m:rPr>
                <m:sty m:val="b"/>
              </m:rPr>
              <w:rPr>
                <w:rFonts w:ascii="Cambria Math" w:hAnsi="Cambria Math"/>
              </w:rPr>
              <m:t>M-C</m:t>
            </m:r>
          </m:num>
          <m:den>
            <m:r>
              <m:rPr>
                <m:sty m:val="b"/>
              </m:rPr>
              <w:rPr>
                <w:rFonts w:ascii="Cambria Math" w:hAnsi="Cambria Math"/>
              </w:rPr>
              <m:t>C</m:t>
            </m:r>
          </m:den>
        </m:f>
        <m:r>
          <m:rPr>
            <m:sty m:val="b"/>
          </m:rPr>
          <w:rPr>
            <w:rFonts w:ascii="Cambria Math" w:hAnsi="Cambria Math"/>
          </w:rPr>
          <m:t xml:space="preserve"> ×100</m:t>
        </m:r>
      </m:oMath>
    </w:p>
    <w:p w14:paraId="562BC461" w14:textId="77777777" w:rsidR="007B1AAF" w:rsidRDefault="007B1AAF" w:rsidP="007B1AAF">
      <w:r>
        <w:t>Due to the uncertainties in both the certified value (</w:t>
      </w:r>
      <w:r w:rsidRPr="0039061D">
        <w:rPr>
          <w:i/>
        </w:rPr>
        <w:t>u</w:t>
      </w:r>
      <w:r w:rsidRPr="0039061D">
        <w:rPr>
          <w:i/>
          <w:vertAlign w:val="subscript"/>
        </w:rPr>
        <w:t>c</w:t>
      </w:r>
      <w:r>
        <w:t>) and the measured value (</w:t>
      </w:r>
      <w:r w:rsidRPr="0039061D">
        <w:rPr>
          <w:i/>
        </w:rPr>
        <w:t>u</w:t>
      </w:r>
      <w:r w:rsidRPr="0039061D">
        <w:rPr>
          <w:i/>
          <w:vertAlign w:val="subscript"/>
        </w:rPr>
        <w:t>m</w:t>
      </w:r>
      <w:r>
        <w:t>), the Relative Bias for an individual radionuclide may not be statistically significant. Therefore, ARPANSA also calculated the U-test value (</w:t>
      </w:r>
      <w:r w:rsidRPr="0039061D">
        <w:rPr>
          <w:i/>
        </w:rPr>
        <w:t>U</w:t>
      </w:r>
      <w:r>
        <w:t>):</w:t>
      </w:r>
    </w:p>
    <w:p w14:paraId="6819926E" w14:textId="77777777" w:rsidR="007B1AAF" w:rsidRPr="00457A5D" w:rsidRDefault="007B1AAF" w:rsidP="007B1AAF">
      <w:r w:rsidRPr="00457A5D">
        <w:t xml:space="preserve">Equation </w:t>
      </w:r>
      <w:fldSimple w:instr=" SEQ Equation \* ARABIC ">
        <w:r>
          <w:rPr>
            <w:noProof/>
          </w:rPr>
          <w:t>2</w:t>
        </w:r>
      </w:fldSimple>
      <w:r w:rsidRPr="00457A5D">
        <w:t>:</w:t>
      </w:r>
      <w:r w:rsidRPr="00457A5D">
        <w:tab/>
      </w:r>
      <w:r w:rsidRPr="00457A5D">
        <w:tab/>
      </w:r>
      <w:r w:rsidRPr="00457A5D">
        <w:tab/>
      </w:r>
      <m:oMath>
        <m:r>
          <m:rPr>
            <m:sty m:val="b"/>
          </m:rPr>
          <w:rPr>
            <w:rFonts w:ascii="Cambria Math" w:hAnsi="Cambria Math"/>
          </w:rPr>
          <m:t xml:space="preserve">U= </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b"/>
                      </m:rPr>
                      <w:rPr>
                        <w:rFonts w:ascii="Cambria Math" w:hAnsi="Cambria Math"/>
                      </w:rPr>
                      <m:t>(M-C)</m:t>
                    </m:r>
                  </m:e>
                  <m:sup>
                    <m:r>
                      <m:rPr>
                        <m:sty m:val="b"/>
                      </m:rPr>
                      <w:rPr>
                        <w:rFonts w:ascii="Cambria Math" w:hAnsi="Cambria Math"/>
                      </w:rPr>
                      <m:t>2</m:t>
                    </m:r>
                  </m:sup>
                </m:sSup>
              </m:e>
            </m:rad>
          </m:num>
          <m:den>
            <m:rad>
              <m:radPr>
                <m:degHide m:val="1"/>
                <m:ctrlPr>
                  <w:rPr>
                    <w:rFonts w:ascii="Cambria Math" w:hAnsi="Cambria Math"/>
                  </w:rPr>
                </m:ctrlPr>
              </m:radPr>
              <m:deg/>
              <m:e>
                <m:sSubSup>
                  <m:sSubSupPr>
                    <m:ctrlPr>
                      <w:rPr>
                        <w:rFonts w:ascii="Cambria Math" w:hAnsi="Cambria Math"/>
                      </w:rPr>
                    </m:ctrlPr>
                  </m:sSubSupPr>
                  <m:e>
                    <m:r>
                      <m:rPr>
                        <m:sty m:val="b"/>
                      </m:rPr>
                      <w:rPr>
                        <w:rFonts w:ascii="Cambria Math" w:hAnsi="Cambria Math"/>
                      </w:rPr>
                      <m:t>u</m:t>
                    </m:r>
                  </m:e>
                  <m:sub>
                    <m:r>
                      <m:rPr>
                        <m:sty m:val="b"/>
                      </m:rPr>
                      <w:rPr>
                        <w:rFonts w:ascii="Cambria Math" w:hAnsi="Cambria Math"/>
                      </w:rPr>
                      <m:t>m</m:t>
                    </m:r>
                  </m:sub>
                  <m:sup>
                    <m:r>
                      <m:rPr>
                        <m:sty m:val="b"/>
                      </m:rPr>
                      <w:rPr>
                        <w:rFonts w:ascii="Cambria Math" w:hAnsi="Cambria Math"/>
                      </w:rPr>
                      <m:t>2</m:t>
                    </m:r>
                  </m:sup>
                </m:sSubSup>
                <m:r>
                  <m:rPr>
                    <m:sty m:val="b"/>
                  </m:rPr>
                  <w:rPr>
                    <w:rFonts w:ascii="Cambria Math" w:hAnsi="Cambria Math"/>
                  </w:rPr>
                  <m:t xml:space="preserve">+ </m:t>
                </m:r>
                <m:sSubSup>
                  <m:sSubSupPr>
                    <m:ctrlPr>
                      <w:rPr>
                        <w:rFonts w:ascii="Cambria Math" w:hAnsi="Cambria Math"/>
                      </w:rPr>
                    </m:ctrlPr>
                  </m:sSubSupPr>
                  <m:e>
                    <m:r>
                      <m:rPr>
                        <m:sty m:val="b"/>
                      </m:rPr>
                      <w:rPr>
                        <w:rFonts w:ascii="Cambria Math" w:hAnsi="Cambria Math"/>
                      </w:rPr>
                      <m:t>u</m:t>
                    </m:r>
                  </m:e>
                  <m:sub>
                    <m:r>
                      <m:rPr>
                        <m:sty m:val="b"/>
                      </m:rPr>
                      <w:rPr>
                        <w:rFonts w:ascii="Cambria Math" w:hAnsi="Cambria Math"/>
                      </w:rPr>
                      <m:t>c</m:t>
                    </m:r>
                  </m:sub>
                  <m:sup>
                    <m:r>
                      <m:rPr>
                        <m:sty m:val="b"/>
                      </m:rPr>
                      <w:rPr>
                        <w:rFonts w:ascii="Cambria Math" w:hAnsi="Cambria Math"/>
                      </w:rPr>
                      <m:t>2</m:t>
                    </m:r>
                  </m:sup>
                </m:sSubSup>
              </m:e>
            </m:rad>
          </m:den>
        </m:f>
      </m:oMath>
      <w:r w:rsidRPr="00457A5D">
        <w:tab/>
      </w:r>
    </w:p>
    <w:p w14:paraId="381373F5" w14:textId="77777777" w:rsidR="007B1AAF" w:rsidRDefault="007B1AAF" w:rsidP="007B1AAF">
      <w:r>
        <w:t>The Relative Bias for an individual radionuclide is statistically significant if U &gt; 2.58 and may be statistically significant if U &gt; 1.64.</w:t>
      </w:r>
    </w:p>
    <w:p w14:paraId="5D544A5B" w14:textId="77777777" w:rsidR="007B1AAF" w:rsidRDefault="007B1AAF" w:rsidP="007B1AAF">
      <w:r>
        <w:t>If a participant under- or over-estimated the uncertainty associated with a measurement, the U-test value will over- or underestimate the statistical significance of the Relative Bias. Therefore, ARPANSA also compared the measured value to the PALs provided by the supplier of the sample.</w:t>
      </w:r>
    </w:p>
    <w:p w14:paraId="05B5626C" w14:textId="77777777" w:rsidR="007B1AAF" w:rsidRDefault="007B1AAF" w:rsidP="007B1AAF">
      <w:pPr>
        <w:keepLines/>
      </w:pPr>
      <w:r w:rsidRPr="0039061D">
        <w:t xml:space="preserve">Each participant </w:t>
      </w:r>
      <w:r>
        <w:t>was</w:t>
      </w:r>
      <w:r w:rsidRPr="0039061D">
        <w:t xml:space="preserve"> provided with an individual report detailing the Relative Bias, U-test value and comparison with t</w:t>
      </w:r>
      <w:r>
        <w:t>he PALs</w:t>
      </w:r>
      <w:r w:rsidRPr="0039061D">
        <w:t xml:space="preserve"> for each radionuclide. This report also indicate</w:t>
      </w:r>
      <w:r>
        <w:t>d</w:t>
      </w:r>
      <w:r w:rsidRPr="0039061D">
        <w:t xml:space="preserve"> if there appear</w:t>
      </w:r>
      <w:r>
        <w:t>ed</w:t>
      </w:r>
      <w:r w:rsidRPr="0039061D">
        <w:t xml:space="preserve"> to be systematic errors in the laboratory’s measured values and indicate</w:t>
      </w:r>
      <w:r>
        <w:t>d</w:t>
      </w:r>
      <w:r w:rsidRPr="0039061D">
        <w:t xml:space="preserve"> the potential sources of these errors, based on the </w:t>
      </w:r>
      <w:r>
        <w:t>results and responses from the report f</w:t>
      </w:r>
      <w:r w:rsidRPr="0039061D">
        <w:t>orm.</w:t>
      </w:r>
    </w:p>
    <w:p w14:paraId="1A8D8927" w14:textId="77777777" w:rsidR="007B1AAF" w:rsidRPr="00E0304A" w:rsidRDefault="007B1AAF" w:rsidP="007B1AAF">
      <w:r>
        <w:t xml:space="preserve">The laboratories were </w:t>
      </w:r>
      <w:r w:rsidR="00176BE1">
        <w:t>randomly designated a number</w:t>
      </w:r>
      <w:r>
        <w:t xml:space="preserve"> </w:t>
      </w:r>
      <w:r w:rsidR="00176BE1">
        <w:t xml:space="preserve">to be used throughout this report. </w:t>
      </w:r>
    </w:p>
    <w:p w14:paraId="42D34E52" w14:textId="77777777" w:rsidR="0090506F" w:rsidRDefault="0090506F" w:rsidP="00EC5424">
      <w:r>
        <w:br w:type="page"/>
      </w:r>
    </w:p>
    <w:p w14:paraId="3F707F9F" w14:textId="4DC80861" w:rsidR="007B1AAF" w:rsidRPr="0008487F" w:rsidRDefault="007B1AAF" w:rsidP="001B27A6">
      <w:pPr>
        <w:pStyle w:val="Heading1"/>
        <w:rPr>
          <w:rFonts w:eastAsia="Times New Roman"/>
        </w:rPr>
      </w:pPr>
      <w:bookmarkStart w:id="31" w:name="_Toc453335326"/>
      <w:bookmarkStart w:id="32" w:name="_Toc27732367"/>
      <w:r w:rsidRPr="0008487F">
        <w:rPr>
          <w:rFonts w:eastAsia="Times New Roman"/>
        </w:rPr>
        <w:lastRenderedPageBreak/>
        <w:t xml:space="preserve">Results and </w:t>
      </w:r>
      <w:bookmarkEnd w:id="31"/>
      <w:r w:rsidR="00E47D83">
        <w:rPr>
          <w:rFonts w:eastAsia="Times New Roman"/>
        </w:rPr>
        <w:t>d</w:t>
      </w:r>
      <w:r w:rsidR="00E47D83" w:rsidRPr="0008487F">
        <w:rPr>
          <w:rFonts w:eastAsia="Times New Roman"/>
        </w:rPr>
        <w:t>iscussion</w:t>
      </w:r>
      <w:bookmarkEnd w:id="32"/>
    </w:p>
    <w:p w14:paraId="59DCDCD0" w14:textId="7D7BF17A" w:rsidR="007B1AAF" w:rsidRDefault="007B1AAF" w:rsidP="007B1AAF">
      <w:pPr>
        <w:pStyle w:val="Heading2"/>
      </w:pPr>
      <w:bookmarkStart w:id="33" w:name="_Toc379966443"/>
      <w:bookmarkStart w:id="34" w:name="_Toc380048017"/>
      <w:bookmarkStart w:id="35" w:name="_Toc380136673"/>
      <w:bookmarkStart w:id="36" w:name="_Toc380480401"/>
      <w:bookmarkStart w:id="37" w:name="_Toc380482636"/>
      <w:bookmarkStart w:id="38" w:name="_Toc380482772"/>
      <w:bookmarkStart w:id="39" w:name="_Toc441132150"/>
      <w:bookmarkStart w:id="40" w:name="_Toc441242624"/>
      <w:bookmarkStart w:id="41" w:name="_Toc441242933"/>
      <w:bookmarkStart w:id="42" w:name="_Toc444090077"/>
      <w:bookmarkStart w:id="43" w:name="_Toc447097366"/>
      <w:bookmarkStart w:id="44" w:name="_Toc453335328"/>
      <w:bookmarkStart w:id="45" w:name="_Toc27732368"/>
      <w:bookmarkEnd w:id="33"/>
      <w:bookmarkEnd w:id="34"/>
      <w:bookmarkEnd w:id="35"/>
      <w:bookmarkEnd w:id="36"/>
      <w:bookmarkEnd w:id="37"/>
      <w:bookmarkEnd w:id="38"/>
      <w:bookmarkEnd w:id="39"/>
      <w:bookmarkEnd w:id="40"/>
      <w:bookmarkEnd w:id="41"/>
      <w:bookmarkEnd w:id="42"/>
      <w:bookmarkEnd w:id="43"/>
      <w:r>
        <w:t xml:space="preserve">Performance </w:t>
      </w:r>
      <w:r w:rsidR="00E47D83">
        <w:t xml:space="preserve">relative </w:t>
      </w:r>
      <w:r>
        <w:t xml:space="preserve">to </w:t>
      </w:r>
      <w:r w:rsidR="00E47D83">
        <w:t xml:space="preserve">acceptance </w:t>
      </w:r>
      <w:bookmarkEnd w:id="44"/>
      <w:r w:rsidR="00E47D83">
        <w:t>limits</w:t>
      </w:r>
      <w:bookmarkEnd w:id="45"/>
    </w:p>
    <w:p w14:paraId="0910008A" w14:textId="69A4D229" w:rsidR="007B1AAF" w:rsidRDefault="007B1AAF" w:rsidP="005977EE">
      <w:pPr>
        <w:spacing w:before="0" w:line="240" w:lineRule="auto"/>
      </w:pPr>
      <w:bookmarkStart w:id="46" w:name="_Ref441133273"/>
      <w:r>
        <w:t xml:space="preserve">As noted in section </w:t>
      </w:r>
      <w:r>
        <w:fldChar w:fldCharType="begin"/>
      </w:r>
      <w:r>
        <w:instrText xml:space="preserve"> REF _Ref441133247 \r \h </w:instrText>
      </w:r>
      <w:r w:rsidR="00E47D83">
        <w:instrText xml:space="preserve"> \* MERGEFORMAT </w:instrText>
      </w:r>
      <w:r>
        <w:fldChar w:fldCharType="separate"/>
      </w:r>
      <w:r>
        <w:t>2</w:t>
      </w:r>
      <w:r>
        <w:fldChar w:fldCharType="end"/>
      </w:r>
      <w:r>
        <w:t xml:space="preserve">, the certificate of analysis for each sample also included PALs approximating 95% confidence intervals of the performance that an experienced laboratory should achieve. The reported activity concentration for each radionuclide, for each laboratory, was compared to these acceptance limits. </w:t>
      </w:r>
      <w:r>
        <w:fldChar w:fldCharType="begin"/>
      </w:r>
      <w:r>
        <w:instrText xml:space="preserve"> REF _Ref453335257 \h </w:instrText>
      </w:r>
      <w:r w:rsidR="00E47D83">
        <w:instrText xml:space="preserve"> \* MERGEFORMAT </w:instrText>
      </w:r>
      <w:r>
        <w:fldChar w:fldCharType="separate"/>
      </w:r>
      <w:r w:rsidR="00EA6A6D" w:rsidRPr="001B0691">
        <w:t xml:space="preserve">Table </w:t>
      </w:r>
      <w:r w:rsidR="00EA6A6D">
        <w:rPr>
          <w:noProof/>
        </w:rPr>
        <w:t>1</w:t>
      </w:r>
      <w:r>
        <w:fldChar w:fldCharType="end"/>
      </w:r>
      <w:r>
        <w:t xml:space="preserve"> details the number of laboratories reporting results within these limits. This table also details the fraction of laboratories reporting acceptable results in the 2013 </w:t>
      </w:r>
      <w:r w:rsidR="00D46725">
        <w:t xml:space="preserve">and 2015 </w:t>
      </w:r>
      <w:r>
        <w:t>exercise</w:t>
      </w:r>
      <w:r w:rsidR="00D46725">
        <w:t>s</w:t>
      </w:r>
      <w:r>
        <w:t>.</w:t>
      </w:r>
    </w:p>
    <w:p w14:paraId="45F173F7" w14:textId="77777777" w:rsidR="007B1AAF" w:rsidRDefault="007B1AAF" w:rsidP="007B1AAF">
      <w:pPr>
        <w:spacing w:before="0" w:line="240" w:lineRule="auto"/>
        <w:jc w:val="both"/>
        <w:rPr>
          <w:b/>
          <w:bCs/>
          <w:color w:val="E3CCF4" w:themeColor="accent1"/>
          <w:sz w:val="20"/>
          <w:szCs w:val="18"/>
        </w:rPr>
      </w:pPr>
      <w:bookmarkStart w:id="47" w:name="_Ref453332725"/>
    </w:p>
    <w:p w14:paraId="5AFAAFA8" w14:textId="77777777" w:rsidR="007B1AAF" w:rsidRPr="000A59F1" w:rsidRDefault="007B1AAF" w:rsidP="007B1AAF">
      <w:pPr>
        <w:pStyle w:val="Caption"/>
      </w:pPr>
      <w:bookmarkStart w:id="48" w:name="_Ref453335257"/>
      <w:r w:rsidRPr="001B0691">
        <w:t xml:space="preserve">Table </w:t>
      </w:r>
      <w:fldSimple w:instr=" SEQ Table \* ARABIC ">
        <w:r w:rsidR="00EA6A6D">
          <w:rPr>
            <w:noProof/>
          </w:rPr>
          <w:t>1</w:t>
        </w:r>
      </w:fldSimple>
      <w:bookmarkEnd w:id="46"/>
      <w:bookmarkEnd w:id="47"/>
      <w:bookmarkEnd w:id="48"/>
      <w:r w:rsidRPr="001B0691">
        <w:t>:</w:t>
      </w:r>
      <w:r>
        <w:tab/>
      </w:r>
      <w:r w:rsidRPr="001B0691">
        <w:t>Laboratories reporting acceptable results</w:t>
      </w:r>
    </w:p>
    <w:tbl>
      <w:tblPr>
        <w:tblStyle w:val="GenericARPANSA"/>
        <w:tblW w:w="5000" w:type="pct"/>
        <w:tblInd w:w="0" w:type="dxa"/>
        <w:tblLayout w:type="fixed"/>
        <w:tblLook w:val="0420" w:firstRow="1" w:lastRow="0" w:firstColumn="0" w:lastColumn="0" w:noHBand="0" w:noVBand="1"/>
      </w:tblPr>
      <w:tblGrid>
        <w:gridCol w:w="1476"/>
        <w:gridCol w:w="1370"/>
        <w:gridCol w:w="1369"/>
        <w:gridCol w:w="1369"/>
        <w:gridCol w:w="1370"/>
        <w:gridCol w:w="1337"/>
        <w:gridCol w:w="1337"/>
      </w:tblGrid>
      <w:tr w:rsidR="00044FA4" w:rsidRPr="009B57C6" w14:paraId="709C3652" w14:textId="77777777" w:rsidTr="00DC5921">
        <w:trPr>
          <w:cnfStyle w:val="100000000000" w:firstRow="1" w:lastRow="0" w:firstColumn="0" w:lastColumn="0" w:oddVBand="0" w:evenVBand="0" w:oddHBand="0" w:evenHBand="0" w:firstRowFirstColumn="0" w:firstRowLastColumn="0" w:lastRowFirstColumn="0" w:lastRowLastColumn="0"/>
          <w:trHeight w:val="300"/>
        </w:trPr>
        <w:tc>
          <w:tcPr>
            <w:tcW w:w="1473" w:type="dxa"/>
            <w:noWrap/>
            <w:hideMark/>
          </w:tcPr>
          <w:p w14:paraId="5E31B392" w14:textId="77777777" w:rsidR="00044FA4" w:rsidRPr="00044FA4" w:rsidRDefault="00044FA4" w:rsidP="00044FA4">
            <w:pPr>
              <w:rPr>
                <w:sz w:val="20"/>
              </w:rPr>
            </w:pPr>
          </w:p>
        </w:tc>
        <w:tc>
          <w:tcPr>
            <w:tcW w:w="2736" w:type="dxa"/>
            <w:gridSpan w:val="2"/>
            <w:noWrap/>
            <w:hideMark/>
          </w:tcPr>
          <w:p w14:paraId="33C2C553" w14:textId="77777777" w:rsidR="00044FA4" w:rsidRPr="00044FA4" w:rsidRDefault="00044FA4" w:rsidP="00044FA4">
            <w:pPr>
              <w:rPr>
                <w:sz w:val="20"/>
              </w:rPr>
            </w:pPr>
            <w:r w:rsidRPr="00044FA4">
              <w:rPr>
                <w:sz w:val="20"/>
              </w:rPr>
              <w:t xml:space="preserve">2018 Exercise </w:t>
            </w:r>
            <w:r w:rsidR="0019597F">
              <w:rPr>
                <w:sz w:val="20"/>
              </w:rPr>
              <w:t>(water)</w:t>
            </w:r>
          </w:p>
        </w:tc>
        <w:tc>
          <w:tcPr>
            <w:tcW w:w="2737" w:type="dxa"/>
            <w:gridSpan w:val="2"/>
            <w:noWrap/>
            <w:hideMark/>
          </w:tcPr>
          <w:p w14:paraId="5218E076" w14:textId="77777777" w:rsidR="00044FA4" w:rsidRPr="00044FA4" w:rsidRDefault="00044FA4" w:rsidP="00044FA4">
            <w:pPr>
              <w:rPr>
                <w:sz w:val="20"/>
              </w:rPr>
            </w:pPr>
            <w:r w:rsidRPr="00044FA4">
              <w:rPr>
                <w:sz w:val="20"/>
              </w:rPr>
              <w:t>2015 Exercise</w:t>
            </w:r>
            <w:r w:rsidR="0019597F">
              <w:rPr>
                <w:sz w:val="20"/>
              </w:rPr>
              <w:t xml:space="preserve"> (vegetation)</w:t>
            </w:r>
          </w:p>
        </w:tc>
        <w:tc>
          <w:tcPr>
            <w:tcW w:w="2672" w:type="dxa"/>
            <w:gridSpan w:val="2"/>
          </w:tcPr>
          <w:p w14:paraId="1F67EA82" w14:textId="77777777" w:rsidR="00044FA4" w:rsidRPr="00044FA4" w:rsidRDefault="00044FA4" w:rsidP="00044FA4">
            <w:pPr>
              <w:rPr>
                <w:sz w:val="20"/>
              </w:rPr>
            </w:pPr>
            <w:r w:rsidRPr="00044FA4">
              <w:rPr>
                <w:sz w:val="20"/>
              </w:rPr>
              <w:t>2013 Exercise</w:t>
            </w:r>
            <w:r w:rsidR="0019597F">
              <w:rPr>
                <w:sz w:val="20"/>
              </w:rPr>
              <w:t xml:space="preserve"> (water)</w:t>
            </w:r>
          </w:p>
        </w:tc>
      </w:tr>
      <w:tr w:rsidR="00044FA4" w:rsidRPr="00744A85" w14:paraId="623D589E" w14:textId="77777777" w:rsidTr="00DC5921">
        <w:trPr>
          <w:trHeight w:val="300"/>
        </w:trPr>
        <w:tc>
          <w:tcPr>
            <w:tcW w:w="1473" w:type="dxa"/>
            <w:noWrap/>
            <w:hideMark/>
          </w:tcPr>
          <w:p w14:paraId="33DCD15D" w14:textId="77777777" w:rsidR="00044FA4" w:rsidRPr="00044FA4" w:rsidRDefault="00044FA4" w:rsidP="00044FA4">
            <w:pPr>
              <w:rPr>
                <w:sz w:val="20"/>
              </w:rPr>
            </w:pPr>
            <w:r w:rsidRPr="00044FA4">
              <w:rPr>
                <w:sz w:val="20"/>
              </w:rPr>
              <w:t>Radionuclide</w:t>
            </w:r>
          </w:p>
        </w:tc>
        <w:tc>
          <w:tcPr>
            <w:tcW w:w="1368" w:type="dxa"/>
            <w:noWrap/>
            <w:hideMark/>
          </w:tcPr>
          <w:p w14:paraId="3958B414" w14:textId="77777777" w:rsidR="00044FA4" w:rsidRPr="00044FA4" w:rsidRDefault="00044FA4" w:rsidP="00044FA4">
            <w:pPr>
              <w:rPr>
                <w:sz w:val="20"/>
              </w:rPr>
            </w:pPr>
            <w:r w:rsidRPr="00044FA4">
              <w:rPr>
                <w:sz w:val="20"/>
              </w:rPr>
              <w:t>Number</w:t>
            </w:r>
          </w:p>
        </w:tc>
        <w:tc>
          <w:tcPr>
            <w:tcW w:w="1368" w:type="dxa"/>
            <w:noWrap/>
            <w:hideMark/>
          </w:tcPr>
          <w:p w14:paraId="1B012E32" w14:textId="77777777" w:rsidR="00044FA4" w:rsidRPr="00044FA4" w:rsidRDefault="00044FA4" w:rsidP="00044FA4">
            <w:pPr>
              <w:rPr>
                <w:sz w:val="20"/>
              </w:rPr>
            </w:pPr>
            <w:r w:rsidRPr="00044FA4">
              <w:rPr>
                <w:sz w:val="20"/>
              </w:rPr>
              <w:t>Fraction</w:t>
            </w:r>
          </w:p>
        </w:tc>
        <w:tc>
          <w:tcPr>
            <w:tcW w:w="1368" w:type="dxa"/>
            <w:noWrap/>
            <w:hideMark/>
          </w:tcPr>
          <w:p w14:paraId="17560038" w14:textId="77777777" w:rsidR="00044FA4" w:rsidRPr="00044FA4" w:rsidRDefault="00044FA4" w:rsidP="00044FA4">
            <w:pPr>
              <w:rPr>
                <w:sz w:val="20"/>
              </w:rPr>
            </w:pPr>
            <w:r w:rsidRPr="00044FA4">
              <w:rPr>
                <w:sz w:val="20"/>
              </w:rPr>
              <w:t>Number</w:t>
            </w:r>
          </w:p>
        </w:tc>
        <w:tc>
          <w:tcPr>
            <w:tcW w:w="1369" w:type="dxa"/>
            <w:noWrap/>
            <w:hideMark/>
          </w:tcPr>
          <w:p w14:paraId="595325D4" w14:textId="77777777" w:rsidR="00044FA4" w:rsidRPr="00044FA4" w:rsidRDefault="00044FA4" w:rsidP="00044FA4">
            <w:pPr>
              <w:rPr>
                <w:sz w:val="20"/>
              </w:rPr>
            </w:pPr>
            <w:r w:rsidRPr="00044FA4">
              <w:rPr>
                <w:sz w:val="20"/>
              </w:rPr>
              <w:t>Fraction</w:t>
            </w:r>
          </w:p>
        </w:tc>
        <w:tc>
          <w:tcPr>
            <w:tcW w:w="1336" w:type="dxa"/>
          </w:tcPr>
          <w:p w14:paraId="65DF2CC6" w14:textId="77777777" w:rsidR="00044FA4" w:rsidRPr="00044FA4" w:rsidRDefault="00044FA4" w:rsidP="00044FA4">
            <w:pPr>
              <w:rPr>
                <w:sz w:val="20"/>
              </w:rPr>
            </w:pPr>
            <w:r w:rsidRPr="00044FA4">
              <w:rPr>
                <w:sz w:val="20"/>
              </w:rPr>
              <w:t>Number</w:t>
            </w:r>
          </w:p>
        </w:tc>
        <w:tc>
          <w:tcPr>
            <w:tcW w:w="1336" w:type="dxa"/>
          </w:tcPr>
          <w:p w14:paraId="3DC5A450" w14:textId="77777777" w:rsidR="00044FA4" w:rsidRPr="00044FA4" w:rsidRDefault="00044FA4" w:rsidP="00044FA4">
            <w:pPr>
              <w:rPr>
                <w:sz w:val="20"/>
              </w:rPr>
            </w:pPr>
            <w:r w:rsidRPr="00044FA4">
              <w:rPr>
                <w:sz w:val="20"/>
              </w:rPr>
              <w:t>Fraction</w:t>
            </w:r>
          </w:p>
        </w:tc>
      </w:tr>
      <w:tr w:rsidR="00044FA4" w:rsidRPr="00744A85" w14:paraId="73A1E107" w14:textId="77777777" w:rsidTr="00DC5921">
        <w:trPr>
          <w:cnfStyle w:val="000000010000" w:firstRow="0" w:lastRow="0" w:firstColumn="0" w:lastColumn="0" w:oddVBand="0" w:evenVBand="0" w:oddHBand="0" w:evenHBand="1" w:firstRowFirstColumn="0" w:firstRowLastColumn="0" w:lastRowFirstColumn="0" w:lastRowLastColumn="0"/>
          <w:trHeight w:val="300"/>
        </w:trPr>
        <w:tc>
          <w:tcPr>
            <w:tcW w:w="1473" w:type="dxa"/>
            <w:noWrap/>
            <w:hideMark/>
          </w:tcPr>
          <w:p w14:paraId="667D9125" w14:textId="77777777" w:rsidR="00044FA4" w:rsidRPr="00744A85" w:rsidRDefault="00044FA4" w:rsidP="00044FA4">
            <w:pPr>
              <w:rPr>
                <w:sz w:val="20"/>
              </w:rPr>
            </w:pPr>
            <w:r w:rsidRPr="00744A85">
              <w:rPr>
                <w:sz w:val="20"/>
              </w:rPr>
              <w:t>Am-241</w:t>
            </w:r>
          </w:p>
        </w:tc>
        <w:tc>
          <w:tcPr>
            <w:tcW w:w="1368" w:type="dxa"/>
            <w:noWrap/>
          </w:tcPr>
          <w:p w14:paraId="7A3619EB" w14:textId="77777777" w:rsidR="00044FA4" w:rsidRPr="00044FA4" w:rsidRDefault="00044FA4" w:rsidP="00044FA4">
            <w:pPr>
              <w:rPr>
                <w:sz w:val="20"/>
              </w:rPr>
            </w:pPr>
            <w:r w:rsidRPr="00044FA4">
              <w:rPr>
                <w:sz w:val="20"/>
              </w:rPr>
              <w:t>9</w:t>
            </w:r>
          </w:p>
        </w:tc>
        <w:tc>
          <w:tcPr>
            <w:tcW w:w="1368" w:type="dxa"/>
            <w:noWrap/>
          </w:tcPr>
          <w:p w14:paraId="088D58A4" w14:textId="77777777" w:rsidR="00044FA4" w:rsidRPr="00044FA4" w:rsidRDefault="00044FA4" w:rsidP="00044FA4">
            <w:pPr>
              <w:rPr>
                <w:sz w:val="20"/>
              </w:rPr>
            </w:pPr>
            <w:r w:rsidRPr="00044FA4">
              <w:rPr>
                <w:sz w:val="20"/>
              </w:rPr>
              <w:t>100%</w:t>
            </w:r>
          </w:p>
        </w:tc>
        <w:tc>
          <w:tcPr>
            <w:tcW w:w="1368" w:type="dxa"/>
            <w:noWrap/>
          </w:tcPr>
          <w:p w14:paraId="318E4041" w14:textId="77777777" w:rsidR="00044FA4" w:rsidRPr="00744A85" w:rsidRDefault="00044FA4" w:rsidP="00044FA4">
            <w:pPr>
              <w:rPr>
                <w:sz w:val="20"/>
              </w:rPr>
            </w:pPr>
            <w:r w:rsidRPr="00744A85">
              <w:rPr>
                <w:sz w:val="20"/>
              </w:rPr>
              <w:t>8</w:t>
            </w:r>
          </w:p>
        </w:tc>
        <w:tc>
          <w:tcPr>
            <w:tcW w:w="1369" w:type="dxa"/>
            <w:noWrap/>
          </w:tcPr>
          <w:p w14:paraId="3943CBB0" w14:textId="77777777" w:rsidR="00044FA4" w:rsidRPr="00744A85" w:rsidRDefault="00044FA4" w:rsidP="00044FA4">
            <w:pPr>
              <w:rPr>
                <w:sz w:val="20"/>
              </w:rPr>
            </w:pPr>
            <w:r w:rsidRPr="00744A85">
              <w:rPr>
                <w:sz w:val="20"/>
              </w:rPr>
              <w:t>89%</w:t>
            </w:r>
          </w:p>
        </w:tc>
        <w:tc>
          <w:tcPr>
            <w:tcW w:w="1336" w:type="dxa"/>
          </w:tcPr>
          <w:p w14:paraId="78EA031D" w14:textId="77777777" w:rsidR="00044FA4" w:rsidRPr="00744A85" w:rsidRDefault="00044FA4" w:rsidP="00044FA4">
            <w:pPr>
              <w:rPr>
                <w:sz w:val="20"/>
              </w:rPr>
            </w:pPr>
            <w:r w:rsidRPr="00744A85">
              <w:rPr>
                <w:sz w:val="20"/>
              </w:rPr>
              <w:t>5</w:t>
            </w:r>
          </w:p>
        </w:tc>
        <w:tc>
          <w:tcPr>
            <w:tcW w:w="1336" w:type="dxa"/>
          </w:tcPr>
          <w:p w14:paraId="44866A1E" w14:textId="77777777" w:rsidR="00044FA4" w:rsidRPr="00744A85" w:rsidRDefault="00044FA4" w:rsidP="00044FA4">
            <w:pPr>
              <w:rPr>
                <w:sz w:val="20"/>
              </w:rPr>
            </w:pPr>
            <w:r w:rsidRPr="00744A85">
              <w:rPr>
                <w:sz w:val="20"/>
              </w:rPr>
              <w:t>83%</w:t>
            </w:r>
          </w:p>
        </w:tc>
      </w:tr>
      <w:tr w:rsidR="00044FA4" w:rsidRPr="00744A85" w14:paraId="1ABEB49E" w14:textId="77777777" w:rsidTr="00DC5921">
        <w:trPr>
          <w:trHeight w:val="300"/>
        </w:trPr>
        <w:tc>
          <w:tcPr>
            <w:tcW w:w="1473" w:type="dxa"/>
            <w:noWrap/>
            <w:hideMark/>
          </w:tcPr>
          <w:p w14:paraId="2442CB78" w14:textId="77777777" w:rsidR="00044FA4" w:rsidRPr="00744A85" w:rsidRDefault="00044FA4" w:rsidP="00044FA4">
            <w:pPr>
              <w:rPr>
                <w:sz w:val="20"/>
              </w:rPr>
            </w:pPr>
            <w:r w:rsidRPr="00744A85">
              <w:rPr>
                <w:sz w:val="20"/>
              </w:rPr>
              <w:t>Co-60</w:t>
            </w:r>
          </w:p>
        </w:tc>
        <w:tc>
          <w:tcPr>
            <w:tcW w:w="1368" w:type="dxa"/>
            <w:noWrap/>
          </w:tcPr>
          <w:p w14:paraId="3184933C" w14:textId="77777777" w:rsidR="00044FA4" w:rsidRPr="00044FA4" w:rsidRDefault="00044FA4" w:rsidP="00044FA4">
            <w:pPr>
              <w:rPr>
                <w:sz w:val="20"/>
              </w:rPr>
            </w:pPr>
            <w:r w:rsidRPr="00044FA4">
              <w:rPr>
                <w:sz w:val="20"/>
              </w:rPr>
              <w:t>9</w:t>
            </w:r>
          </w:p>
        </w:tc>
        <w:tc>
          <w:tcPr>
            <w:tcW w:w="1368" w:type="dxa"/>
            <w:noWrap/>
          </w:tcPr>
          <w:p w14:paraId="46113A11" w14:textId="77777777" w:rsidR="00044FA4" w:rsidRPr="00044FA4" w:rsidRDefault="00044FA4" w:rsidP="00044FA4">
            <w:pPr>
              <w:rPr>
                <w:sz w:val="20"/>
              </w:rPr>
            </w:pPr>
            <w:r w:rsidRPr="00044FA4">
              <w:rPr>
                <w:sz w:val="20"/>
              </w:rPr>
              <w:t>100%</w:t>
            </w:r>
          </w:p>
        </w:tc>
        <w:tc>
          <w:tcPr>
            <w:tcW w:w="1368" w:type="dxa"/>
            <w:noWrap/>
          </w:tcPr>
          <w:p w14:paraId="1DED6CC7" w14:textId="77777777" w:rsidR="00044FA4" w:rsidRPr="00744A85" w:rsidRDefault="00044FA4" w:rsidP="00044FA4">
            <w:pPr>
              <w:rPr>
                <w:sz w:val="20"/>
              </w:rPr>
            </w:pPr>
            <w:r w:rsidRPr="00744A85">
              <w:rPr>
                <w:sz w:val="20"/>
              </w:rPr>
              <w:t>9</w:t>
            </w:r>
          </w:p>
        </w:tc>
        <w:tc>
          <w:tcPr>
            <w:tcW w:w="1369" w:type="dxa"/>
            <w:noWrap/>
          </w:tcPr>
          <w:p w14:paraId="3872D686" w14:textId="77777777" w:rsidR="00044FA4" w:rsidRPr="00744A85" w:rsidRDefault="00044FA4" w:rsidP="00044FA4">
            <w:pPr>
              <w:rPr>
                <w:sz w:val="20"/>
              </w:rPr>
            </w:pPr>
            <w:r w:rsidRPr="00744A85">
              <w:rPr>
                <w:sz w:val="20"/>
              </w:rPr>
              <w:t>100%</w:t>
            </w:r>
          </w:p>
        </w:tc>
        <w:tc>
          <w:tcPr>
            <w:tcW w:w="1336" w:type="dxa"/>
          </w:tcPr>
          <w:p w14:paraId="289CB06B" w14:textId="77777777" w:rsidR="00044FA4" w:rsidRPr="00744A85" w:rsidRDefault="00044FA4" w:rsidP="00044FA4">
            <w:pPr>
              <w:rPr>
                <w:sz w:val="20"/>
              </w:rPr>
            </w:pPr>
            <w:r w:rsidRPr="00744A85">
              <w:rPr>
                <w:sz w:val="20"/>
              </w:rPr>
              <w:t>6</w:t>
            </w:r>
          </w:p>
        </w:tc>
        <w:tc>
          <w:tcPr>
            <w:tcW w:w="1336" w:type="dxa"/>
          </w:tcPr>
          <w:p w14:paraId="1E28B544" w14:textId="77777777" w:rsidR="00044FA4" w:rsidRPr="00744A85" w:rsidRDefault="00044FA4" w:rsidP="00044FA4">
            <w:pPr>
              <w:rPr>
                <w:sz w:val="20"/>
              </w:rPr>
            </w:pPr>
            <w:r w:rsidRPr="00744A85">
              <w:rPr>
                <w:sz w:val="20"/>
              </w:rPr>
              <w:t>100%</w:t>
            </w:r>
          </w:p>
        </w:tc>
      </w:tr>
      <w:tr w:rsidR="00044FA4" w:rsidRPr="00744A85" w14:paraId="42500F72" w14:textId="77777777" w:rsidTr="00DC5921">
        <w:trPr>
          <w:cnfStyle w:val="000000010000" w:firstRow="0" w:lastRow="0" w:firstColumn="0" w:lastColumn="0" w:oddVBand="0" w:evenVBand="0" w:oddHBand="0" w:evenHBand="1" w:firstRowFirstColumn="0" w:firstRowLastColumn="0" w:lastRowFirstColumn="0" w:lastRowLastColumn="0"/>
          <w:trHeight w:val="300"/>
        </w:trPr>
        <w:tc>
          <w:tcPr>
            <w:tcW w:w="1473" w:type="dxa"/>
            <w:noWrap/>
            <w:hideMark/>
          </w:tcPr>
          <w:p w14:paraId="2123CCBE" w14:textId="77777777" w:rsidR="00044FA4" w:rsidRPr="00744A85" w:rsidRDefault="00044FA4" w:rsidP="00044FA4">
            <w:pPr>
              <w:rPr>
                <w:sz w:val="20"/>
              </w:rPr>
            </w:pPr>
            <w:r w:rsidRPr="00744A85">
              <w:rPr>
                <w:sz w:val="20"/>
              </w:rPr>
              <w:t>Cs-134</w:t>
            </w:r>
          </w:p>
        </w:tc>
        <w:tc>
          <w:tcPr>
            <w:tcW w:w="1368" w:type="dxa"/>
            <w:noWrap/>
          </w:tcPr>
          <w:p w14:paraId="75726977" w14:textId="77777777" w:rsidR="00044FA4" w:rsidRPr="00044FA4" w:rsidRDefault="00044FA4" w:rsidP="00044FA4">
            <w:pPr>
              <w:rPr>
                <w:sz w:val="20"/>
              </w:rPr>
            </w:pPr>
            <w:r w:rsidRPr="00044FA4">
              <w:rPr>
                <w:sz w:val="20"/>
              </w:rPr>
              <w:t>8</w:t>
            </w:r>
          </w:p>
        </w:tc>
        <w:tc>
          <w:tcPr>
            <w:tcW w:w="1368" w:type="dxa"/>
            <w:noWrap/>
          </w:tcPr>
          <w:p w14:paraId="4144EF45" w14:textId="77777777" w:rsidR="00044FA4" w:rsidRPr="00044FA4" w:rsidRDefault="00044FA4" w:rsidP="00044FA4">
            <w:pPr>
              <w:rPr>
                <w:sz w:val="20"/>
              </w:rPr>
            </w:pPr>
            <w:r w:rsidRPr="00044FA4">
              <w:rPr>
                <w:sz w:val="20"/>
              </w:rPr>
              <w:t>89%</w:t>
            </w:r>
          </w:p>
        </w:tc>
        <w:tc>
          <w:tcPr>
            <w:tcW w:w="1368" w:type="dxa"/>
            <w:noWrap/>
          </w:tcPr>
          <w:p w14:paraId="0C9BF96B" w14:textId="77777777" w:rsidR="00044FA4" w:rsidRPr="00744A85" w:rsidRDefault="00044FA4" w:rsidP="00044FA4">
            <w:pPr>
              <w:rPr>
                <w:sz w:val="20"/>
              </w:rPr>
            </w:pPr>
            <w:r w:rsidRPr="00744A85">
              <w:rPr>
                <w:sz w:val="20"/>
              </w:rPr>
              <w:t>8</w:t>
            </w:r>
          </w:p>
        </w:tc>
        <w:tc>
          <w:tcPr>
            <w:tcW w:w="1369" w:type="dxa"/>
            <w:noWrap/>
          </w:tcPr>
          <w:p w14:paraId="56BC3F0F" w14:textId="77777777" w:rsidR="00044FA4" w:rsidRPr="00744A85" w:rsidRDefault="00044FA4" w:rsidP="00044FA4">
            <w:pPr>
              <w:rPr>
                <w:sz w:val="20"/>
              </w:rPr>
            </w:pPr>
            <w:r w:rsidRPr="00744A85">
              <w:rPr>
                <w:sz w:val="20"/>
              </w:rPr>
              <w:t>89%</w:t>
            </w:r>
          </w:p>
        </w:tc>
        <w:tc>
          <w:tcPr>
            <w:tcW w:w="1336" w:type="dxa"/>
          </w:tcPr>
          <w:p w14:paraId="0ECBFD57" w14:textId="77777777" w:rsidR="00044FA4" w:rsidRPr="00744A85" w:rsidRDefault="00044FA4" w:rsidP="00044FA4">
            <w:pPr>
              <w:rPr>
                <w:sz w:val="20"/>
              </w:rPr>
            </w:pPr>
            <w:r w:rsidRPr="00744A85">
              <w:rPr>
                <w:sz w:val="20"/>
              </w:rPr>
              <w:t>6</w:t>
            </w:r>
          </w:p>
        </w:tc>
        <w:tc>
          <w:tcPr>
            <w:tcW w:w="1336" w:type="dxa"/>
          </w:tcPr>
          <w:p w14:paraId="42C2B2BF" w14:textId="77777777" w:rsidR="00044FA4" w:rsidRPr="00744A85" w:rsidRDefault="00044FA4" w:rsidP="00044FA4">
            <w:pPr>
              <w:rPr>
                <w:sz w:val="20"/>
              </w:rPr>
            </w:pPr>
            <w:r w:rsidRPr="00744A85">
              <w:rPr>
                <w:sz w:val="20"/>
              </w:rPr>
              <w:t>100%</w:t>
            </w:r>
          </w:p>
        </w:tc>
      </w:tr>
      <w:tr w:rsidR="00044FA4" w:rsidRPr="00744A85" w14:paraId="6586E146" w14:textId="77777777" w:rsidTr="00DC5921">
        <w:trPr>
          <w:trHeight w:val="300"/>
        </w:trPr>
        <w:tc>
          <w:tcPr>
            <w:tcW w:w="1473" w:type="dxa"/>
            <w:noWrap/>
            <w:hideMark/>
          </w:tcPr>
          <w:p w14:paraId="146D5BE3" w14:textId="77777777" w:rsidR="00044FA4" w:rsidRPr="00744A85" w:rsidRDefault="00044FA4" w:rsidP="00044FA4">
            <w:pPr>
              <w:rPr>
                <w:sz w:val="20"/>
              </w:rPr>
            </w:pPr>
            <w:r w:rsidRPr="00744A85">
              <w:rPr>
                <w:sz w:val="20"/>
              </w:rPr>
              <w:t>Cs-137</w:t>
            </w:r>
          </w:p>
        </w:tc>
        <w:tc>
          <w:tcPr>
            <w:tcW w:w="1368" w:type="dxa"/>
            <w:noWrap/>
          </w:tcPr>
          <w:p w14:paraId="426AD447" w14:textId="77777777" w:rsidR="00044FA4" w:rsidRPr="00044FA4" w:rsidRDefault="00044FA4" w:rsidP="00044FA4">
            <w:pPr>
              <w:rPr>
                <w:sz w:val="20"/>
              </w:rPr>
            </w:pPr>
            <w:r w:rsidRPr="00044FA4">
              <w:rPr>
                <w:sz w:val="20"/>
              </w:rPr>
              <w:t>9</w:t>
            </w:r>
          </w:p>
        </w:tc>
        <w:tc>
          <w:tcPr>
            <w:tcW w:w="1368" w:type="dxa"/>
            <w:noWrap/>
          </w:tcPr>
          <w:p w14:paraId="175E8635" w14:textId="77777777" w:rsidR="00044FA4" w:rsidRPr="00044FA4" w:rsidRDefault="00044FA4" w:rsidP="00044FA4">
            <w:pPr>
              <w:rPr>
                <w:sz w:val="20"/>
              </w:rPr>
            </w:pPr>
            <w:r w:rsidRPr="00044FA4">
              <w:rPr>
                <w:sz w:val="20"/>
              </w:rPr>
              <w:t>100%</w:t>
            </w:r>
          </w:p>
        </w:tc>
        <w:tc>
          <w:tcPr>
            <w:tcW w:w="1368" w:type="dxa"/>
            <w:noWrap/>
          </w:tcPr>
          <w:p w14:paraId="204F4DA3" w14:textId="77777777" w:rsidR="00044FA4" w:rsidRPr="00744A85" w:rsidRDefault="00044FA4" w:rsidP="00044FA4">
            <w:pPr>
              <w:rPr>
                <w:sz w:val="20"/>
              </w:rPr>
            </w:pPr>
            <w:r w:rsidRPr="00744A85">
              <w:rPr>
                <w:sz w:val="20"/>
              </w:rPr>
              <w:t>8</w:t>
            </w:r>
          </w:p>
        </w:tc>
        <w:tc>
          <w:tcPr>
            <w:tcW w:w="1369" w:type="dxa"/>
            <w:noWrap/>
          </w:tcPr>
          <w:p w14:paraId="1D622A67" w14:textId="77777777" w:rsidR="00044FA4" w:rsidRPr="00744A85" w:rsidRDefault="00044FA4" w:rsidP="00044FA4">
            <w:pPr>
              <w:rPr>
                <w:sz w:val="20"/>
              </w:rPr>
            </w:pPr>
            <w:r w:rsidRPr="00744A85">
              <w:rPr>
                <w:sz w:val="20"/>
              </w:rPr>
              <w:t>89%</w:t>
            </w:r>
          </w:p>
        </w:tc>
        <w:tc>
          <w:tcPr>
            <w:tcW w:w="1336" w:type="dxa"/>
          </w:tcPr>
          <w:p w14:paraId="5A017022" w14:textId="77777777" w:rsidR="00044FA4" w:rsidRPr="00744A85" w:rsidRDefault="00044FA4" w:rsidP="00044FA4">
            <w:pPr>
              <w:rPr>
                <w:sz w:val="20"/>
              </w:rPr>
            </w:pPr>
            <w:r w:rsidRPr="00744A85">
              <w:rPr>
                <w:sz w:val="20"/>
              </w:rPr>
              <w:t>6</w:t>
            </w:r>
          </w:p>
        </w:tc>
        <w:tc>
          <w:tcPr>
            <w:tcW w:w="1336" w:type="dxa"/>
          </w:tcPr>
          <w:p w14:paraId="0437A378" w14:textId="77777777" w:rsidR="00044FA4" w:rsidRPr="00744A85" w:rsidRDefault="00044FA4" w:rsidP="00044FA4">
            <w:pPr>
              <w:rPr>
                <w:sz w:val="20"/>
              </w:rPr>
            </w:pPr>
            <w:r w:rsidRPr="00744A85">
              <w:rPr>
                <w:sz w:val="20"/>
              </w:rPr>
              <w:t>100%</w:t>
            </w:r>
          </w:p>
        </w:tc>
      </w:tr>
      <w:tr w:rsidR="00044FA4" w:rsidRPr="00744A85" w14:paraId="1FEB78F8" w14:textId="77777777" w:rsidTr="00DC5921">
        <w:trPr>
          <w:cnfStyle w:val="000000010000" w:firstRow="0" w:lastRow="0" w:firstColumn="0" w:lastColumn="0" w:oddVBand="0" w:evenVBand="0" w:oddHBand="0" w:evenHBand="1" w:firstRowFirstColumn="0" w:firstRowLastColumn="0" w:lastRowFirstColumn="0" w:lastRowLastColumn="0"/>
          <w:trHeight w:val="300"/>
        </w:trPr>
        <w:tc>
          <w:tcPr>
            <w:tcW w:w="1473" w:type="dxa"/>
            <w:noWrap/>
            <w:hideMark/>
          </w:tcPr>
          <w:p w14:paraId="027D1A7E" w14:textId="77777777" w:rsidR="00044FA4" w:rsidRPr="00744A85" w:rsidRDefault="00044FA4" w:rsidP="00044FA4">
            <w:pPr>
              <w:rPr>
                <w:sz w:val="20"/>
              </w:rPr>
            </w:pPr>
            <w:r w:rsidRPr="00744A85">
              <w:rPr>
                <w:sz w:val="20"/>
              </w:rPr>
              <w:t>Zn-65</w:t>
            </w:r>
          </w:p>
        </w:tc>
        <w:tc>
          <w:tcPr>
            <w:tcW w:w="1368" w:type="dxa"/>
            <w:noWrap/>
          </w:tcPr>
          <w:p w14:paraId="146E0202" w14:textId="77777777" w:rsidR="00044FA4" w:rsidRPr="00044FA4" w:rsidRDefault="00044FA4" w:rsidP="00044FA4">
            <w:pPr>
              <w:rPr>
                <w:sz w:val="20"/>
              </w:rPr>
            </w:pPr>
            <w:r w:rsidRPr="00044FA4">
              <w:rPr>
                <w:sz w:val="20"/>
              </w:rPr>
              <w:t>9</w:t>
            </w:r>
          </w:p>
        </w:tc>
        <w:tc>
          <w:tcPr>
            <w:tcW w:w="1368" w:type="dxa"/>
            <w:noWrap/>
          </w:tcPr>
          <w:p w14:paraId="5B4FBCFA" w14:textId="77777777" w:rsidR="00044FA4" w:rsidRPr="00044FA4" w:rsidRDefault="00044FA4" w:rsidP="00044FA4">
            <w:pPr>
              <w:rPr>
                <w:sz w:val="20"/>
              </w:rPr>
            </w:pPr>
            <w:r w:rsidRPr="00044FA4">
              <w:rPr>
                <w:sz w:val="20"/>
              </w:rPr>
              <w:t>100%</w:t>
            </w:r>
          </w:p>
        </w:tc>
        <w:tc>
          <w:tcPr>
            <w:tcW w:w="1368" w:type="dxa"/>
            <w:noWrap/>
          </w:tcPr>
          <w:p w14:paraId="1D11A0C8" w14:textId="77777777" w:rsidR="00044FA4" w:rsidRPr="00744A85" w:rsidRDefault="00044FA4" w:rsidP="00044FA4">
            <w:pPr>
              <w:rPr>
                <w:sz w:val="20"/>
              </w:rPr>
            </w:pPr>
            <w:r w:rsidRPr="00744A85">
              <w:rPr>
                <w:sz w:val="20"/>
              </w:rPr>
              <w:t>3</w:t>
            </w:r>
          </w:p>
        </w:tc>
        <w:tc>
          <w:tcPr>
            <w:tcW w:w="1369" w:type="dxa"/>
            <w:noWrap/>
          </w:tcPr>
          <w:p w14:paraId="4851E9F4" w14:textId="77777777" w:rsidR="00044FA4" w:rsidRPr="00744A85" w:rsidRDefault="00044FA4" w:rsidP="00044FA4">
            <w:pPr>
              <w:rPr>
                <w:sz w:val="20"/>
              </w:rPr>
            </w:pPr>
            <w:r w:rsidRPr="00744A85">
              <w:rPr>
                <w:sz w:val="20"/>
              </w:rPr>
              <w:t>33%</w:t>
            </w:r>
          </w:p>
        </w:tc>
        <w:tc>
          <w:tcPr>
            <w:tcW w:w="1336" w:type="dxa"/>
          </w:tcPr>
          <w:p w14:paraId="0989128E" w14:textId="77777777" w:rsidR="00044FA4" w:rsidRPr="00744A85" w:rsidRDefault="00044FA4" w:rsidP="00044FA4">
            <w:pPr>
              <w:rPr>
                <w:sz w:val="20"/>
              </w:rPr>
            </w:pPr>
            <w:r w:rsidRPr="00744A85">
              <w:rPr>
                <w:sz w:val="20"/>
              </w:rPr>
              <w:t>5</w:t>
            </w:r>
          </w:p>
        </w:tc>
        <w:tc>
          <w:tcPr>
            <w:tcW w:w="1336" w:type="dxa"/>
          </w:tcPr>
          <w:p w14:paraId="6A998E0D" w14:textId="77777777" w:rsidR="00044FA4" w:rsidRPr="00744A85" w:rsidRDefault="00044FA4" w:rsidP="00044FA4">
            <w:pPr>
              <w:rPr>
                <w:sz w:val="20"/>
              </w:rPr>
            </w:pPr>
            <w:r w:rsidRPr="00744A85">
              <w:rPr>
                <w:sz w:val="20"/>
              </w:rPr>
              <w:t>83%</w:t>
            </w:r>
          </w:p>
        </w:tc>
      </w:tr>
    </w:tbl>
    <w:p w14:paraId="278C7951" w14:textId="77777777" w:rsidR="007B1AAF" w:rsidRDefault="007B1AAF" w:rsidP="007B1AAF">
      <w:r>
        <w:t>As was the case in the 2013</w:t>
      </w:r>
      <w:r w:rsidR="0060587C">
        <w:t xml:space="preserve"> and 2015</w:t>
      </w:r>
      <w:r>
        <w:t xml:space="preserve"> exercise</w:t>
      </w:r>
      <w:r w:rsidR="0060587C">
        <w:t>s</w:t>
      </w:r>
      <w:r>
        <w:t xml:space="preserve">, most laboratories reported acceptable results for most radionuclides. This indicates that the methods currently used by each participating laboratory produced acceptable results when used for another purpose. </w:t>
      </w:r>
    </w:p>
    <w:p w14:paraId="5316ED3E" w14:textId="1E1CD551" w:rsidR="00044FA4" w:rsidRDefault="0019597F" w:rsidP="007B1AAF">
      <w:r>
        <w:t xml:space="preserve">Please note that the Zn-65 measurement in 2015 was </w:t>
      </w:r>
      <w:r w:rsidR="009451D4">
        <w:t xml:space="preserve">particularly </w:t>
      </w:r>
      <w:r>
        <w:t>difficult due to the low activity in that sample</w:t>
      </w:r>
      <w:r w:rsidR="009451D4">
        <w:t>.</w:t>
      </w:r>
      <w:r>
        <w:t xml:space="preserve"> </w:t>
      </w:r>
      <w:r w:rsidR="009451D4">
        <w:t>S</w:t>
      </w:r>
      <w:r>
        <w:t xml:space="preserve">o </w:t>
      </w:r>
      <w:r w:rsidR="009451D4">
        <w:t xml:space="preserve">the </w:t>
      </w:r>
      <w:r>
        <w:t>comparison between exercises</w:t>
      </w:r>
      <w:r w:rsidR="009451D4" w:rsidRPr="009451D4">
        <w:t xml:space="preserve"> </w:t>
      </w:r>
      <w:r w:rsidR="009451D4">
        <w:t>may not be a fair for this radionuclide</w:t>
      </w:r>
      <w:r>
        <w:t xml:space="preserve">. </w:t>
      </w:r>
    </w:p>
    <w:p w14:paraId="3198550A" w14:textId="77777777" w:rsidR="007B1AAF" w:rsidRDefault="007B1AAF" w:rsidP="007B1AAF">
      <w:pPr>
        <w:pStyle w:val="Heading2"/>
      </w:pPr>
      <w:bookmarkStart w:id="49" w:name="_Toc453335329"/>
      <w:bookmarkStart w:id="50" w:name="_Toc27732369"/>
      <w:r>
        <w:t>Performance relative to the certified activity</w:t>
      </w:r>
      <w:bookmarkEnd w:id="49"/>
      <w:bookmarkEnd w:id="50"/>
    </w:p>
    <w:p w14:paraId="3C034197" w14:textId="708921B1" w:rsidR="007B1AAF" w:rsidRDefault="007B1AAF" w:rsidP="007B1AAF">
      <w:r>
        <w:t>The comparison with manufacturer-defined acceptance limits indicates that the procedures used by each laboratory are equivalent to those used by their peers world-wide. However, these acceptance limits accommodate common analysis errors, such as the failure to correct for T</w:t>
      </w:r>
      <w:r w:rsidR="00974F3F">
        <w:t xml:space="preserve">rue Coincidence </w:t>
      </w:r>
      <w:r>
        <w:t>S</w:t>
      </w:r>
      <w:r w:rsidR="00974F3F">
        <w:t>umming (TCS)</w:t>
      </w:r>
      <w:r>
        <w:t>.</w:t>
      </w:r>
    </w:p>
    <w:p w14:paraId="63F81957" w14:textId="77777777" w:rsidR="007B1AAF" w:rsidRDefault="007B1AAF" w:rsidP="007B1AAF">
      <w:r>
        <w:t>Highly capable laboratories should produce a result that is commensurate with the certified value. The usual method to test whether a reported result is not significantly different to a certified value is the U-test (see equation 2). This test compares the measured result with the certified result in a way that accounts for the uncertainty in both values.</w:t>
      </w:r>
    </w:p>
    <w:p w14:paraId="3FF1167E" w14:textId="77777777" w:rsidR="007B1AAF" w:rsidRDefault="007B1AAF" w:rsidP="007B1AAF">
      <w:r>
        <w:t xml:space="preserve">The U-test values for each radionuclide and each laboratory are shown in </w:t>
      </w:r>
      <w:r>
        <w:fldChar w:fldCharType="begin"/>
      </w:r>
      <w:r>
        <w:instrText xml:space="preserve"> REF _Ref379899705 \h </w:instrText>
      </w:r>
      <w:r>
        <w:fldChar w:fldCharType="separate"/>
      </w:r>
      <w:r w:rsidRPr="00244871">
        <w:t xml:space="preserve">Figure </w:t>
      </w:r>
      <w:r>
        <w:rPr>
          <w:noProof/>
        </w:rPr>
        <w:t>2</w:t>
      </w:r>
      <w:r>
        <w:fldChar w:fldCharType="end"/>
      </w:r>
      <w:r>
        <w:t xml:space="preserve">. In the figure, the </w:t>
      </w:r>
      <w:r w:rsidR="00467B08">
        <w:t>purple</w:t>
      </w:r>
      <w:r>
        <w:t xml:space="preserve"> line indicates a U</w:t>
      </w:r>
      <w:r>
        <w:noBreakHyphen/>
        <w:t>test value of 1.64. Results with a U</w:t>
      </w:r>
      <w:r>
        <w:noBreakHyphen/>
        <w:t xml:space="preserve">test value below 1.64 are not statistically different from the certified value and are, therefore, consistent. The </w:t>
      </w:r>
      <w:r w:rsidR="00467B08">
        <w:t>green</w:t>
      </w:r>
      <w:r>
        <w:t xml:space="preserve"> line in the figure indicates a U</w:t>
      </w:r>
      <w:r>
        <w:noBreakHyphen/>
        <w:t>test value of 2.58. Results with a U</w:t>
      </w:r>
      <w:r>
        <w:noBreakHyphen/>
        <w:t>test value greater than 2.58 are statistically different from the certified value. That is, those results with a U</w:t>
      </w:r>
      <w:r>
        <w:noBreakHyphen/>
        <w:t xml:space="preserve">test value greater than 2.58 are discrepant and indicate a significant error in the analysis. </w:t>
      </w:r>
    </w:p>
    <w:p w14:paraId="1EF8AB3B" w14:textId="77777777" w:rsidR="007B1AAF" w:rsidRDefault="000F0719" w:rsidP="00567DCE">
      <w:pPr>
        <w:jc w:val="center"/>
      </w:pPr>
      <w:r>
        <w:rPr>
          <w:noProof/>
          <w:lang w:eastAsia="en-AU"/>
        </w:rPr>
        <w:lastRenderedPageBreak/>
        <w:drawing>
          <wp:inline distT="0" distB="0" distL="0" distR="0" wp14:anchorId="0E434841" wp14:editId="4637AB12">
            <wp:extent cx="6120130" cy="2676525"/>
            <wp:effectExtent l="0" t="0" r="1397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CDA68A" w14:textId="77777777" w:rsidR="007B1AAF" w:rsidRPr="00244871" w:rsidRDefault="007B1AAF" w:rsidP="007B1AAF">
      <w:pPr>
        <w:pStyle w:val="Caption"/>
      </w:pPr>
      <w:bookmarkStart w:id="51" w:name="_Ref379899705"/>
      <w:bookmarkStart w:id="52" w:name="_Ref441069976"/>
      <w:r w:rsidRPr="00244871">
        <w:t xml:space="preserve">Figure </w:t>
      </w:r>
      <w:fldSimple w:instr=" SEQ Figure \* ARABIC ">
        <w:r w:rsidR="004E7083">
          <w:rPr>
            <w:noProof/>
          </w:rPr>
          <w:t>1</w:t>
        </w:r>
      </w:fldSimple>
      <w:bookmarkEnd w:id="51"/>
      <w:r w:rsidRPr="00244871">
        <w:t>:</w:t>
      </w:r>
      <w:r w:rsidRPr="00244871">
        <w:tab/>
        <w:t>U-test values for each radionuclide and each laboratory.</w:t>
      </w:r>
      <w:bookmarkEnd w:id="52"/>
    </w:p>
    <w:p w14:paraId="207AC723" w14:textId="6B3A7D13" w:rsidR="007B1AAF" w:rsidRDefault="007B1AAF" w:rsidP="007B1AAF">
      <w:r>
        <w:fldChar w:fldCharType="begin"/>
      </w:r>
      <w:r w:rsidRPr="003F2630">
        <w:instrText xml:space="preserve"> REF _Ref379899705 \h </w:instrText>
      </w:r>
      <w:r>
        <w:instrText xml:space="preserve"> \* MERGEFORMAT </w:instrText>
      </w:r>
      <w:r>
        <w:fldChar w:fldCharType="separate"/>
      </w:r>
      <w:r w:rsidR="00467B08" w:rsidRPr="00244871">
        <w:t xml:space="preserve">Figure </w:t>
      </w:r>
      <w:r w:rsidR="00467B08">
        <w:rPr>
          <w:noProof/>
        </w:rPr>
        <w:t>1</w:t>
      </w:r>
      <w:r>
        <w:fldChar w:fldCharType="end"/>
      </w:r>
      <w:r w:rsidR="0019597F">
        <w:t xml:space="preserve"> indicates that laboratories</w:t>
      </w:r>
      <w:r w:rsidR="007B0951">
        <w:t xml:space="preserve"> 3</w:t>
      </w:r>
      <w:r w:rsidR="00E47D83">
        <w:t>–</w:t>
      </w:r>
      <w:r w:rsidR="007B0951">
        <w:t>7</w:t>
      </w:r>
      <w:r w:rsidR="0019597F">
        <w:t xml:space="preserve"> </w:t>
      </w:r>
      <w:r>
        <w:t>provided excellent results because all of their reported values were cons</w:t>
      </w:r>
      <w:r w:rsidR="00774AC1">
        <w:t xml:space="preserve">istent with the reference value.   </w:t>
      </w:r>
    </w:p>
    <w:p w14:paraId="21365CBD" w14:textId="3D17DC5B" w:rsidR="00774AC1" w:rsidRDefault="007B1AAF" w:rsidP="007B1AAF">
      <w:r>
        <w:fldChar w:fldCharType="begin"/>
      </w:r>
      <w:r w:rsidRPr="003F2630">
        <w:instrText xml:space="preserve"> REF _Ref379899705 \h  \* MERGEFORMAT </w:instrText>
      </w:r>
      <w:r>
        <w:fldChar w:fldCharType="separate"/>
      </w:r>
      <w:r w:rsidR="00467B08" w:rsidRPr="00244871">
        <w:t xml:space="preserve">Figure </w:t>
      </w:r>
      <w:r w:rsidR="00467B08">
        <w:rPr>
          <w:noProof/>
        </w:rPr>
        <w:t>1</w:t>
      </w:r>
      <w:r>
        <w:fldChar w:fldCharType="end"/>
      </w:r>
      <w:r>
        <w:t xml:space="preserve"> also </w:t>
      </w:r>
      <w:r w:rsidR="00774AC1">
        <w:t xml:space="preserve">shows that </w:t>
      </w:r>
      <w:r>
        <w:t>l</w:t>
      </w:r>
      <w:r w:rsidR="00774AC1">
        <w:t xml:space="preserve">aboratories 2 and 9 </w:t>
      </w:r>
      <w:r>
        <w:t>each produced results with U</w:t>
      </w:r>
      <w:r>
        <w:noBreakHyphen/>
        <w:t>test values greater than 2.58</w:t>
      </w:r>
      <w:r w:rsidR="00974F3F">
        <w:t xml:space="preserve"> for Cs-134</w:t>
      </w:r>
      <w:r>
        <w:t>. This indicates that significant errors were made by each of these laboratories when analysing the sample</w:t>
      </w:r>
      <w:r w:rsidR="009451D4">
        <w:t xml:space="preserve"> for this </w:t>
      </w:r>
      <w:r w:rsidR="009E2AA6">
        <w:t>radionuclide</w:t>
      </w:r>
      <w:r>
        <w:t xml:space="preserve">. </w:t>
      </w:r>
    </w:p>
    <w:p w14:paraId="4DF7F4F5" w14:textId="19C08220" w:rsidR="00102F29" w:rsidRPr="00102F29" w:rsidRDefault="00774AC1">
      <w:r>
        <w:t>Laboratory 1</w:t>
      </w:r>
      <w:r w:rsidR="007B0951">
        <w:t xml:space="preserve"> and 8</w:t>
      </w:r>
      <w:r w:rsidR="007B1AAF">
        <w:t xml:space="preserve"> provided one result with a U</w:t>
      </w:r>
      <w:r w:rsidR="007B1AAF">
        <w:noBreakHyphen/>
        <w:t>test value greater than 1.64:</w:t>
      </w:r>
      <w:r>
        <w:t xml:space="preserve"> that for Cs-137</w:t>
      </w:r>
      <w:r w:rsidR="007B0951">
        <w:t xml:space="preserve"> and Am-241 respectively</w:t>
      </w:r>
      <w:r w:rsidR="007B1AAF">
        <w:t>. While this indicates that an error in the analysis might have been made, this value could also be due t</w:t>
      </w:r>
      <w:bookmarkStart w:id="53" w:name="_Ref441070654"/>
      <w:bookmarkStart w:id="54" w:name="_Ref441070831"/>
      <w:bookmarkStart w:id="55" w:name="_Toc453335327"/>
      <w:r w:rsidR="00102F29">
        <w:t>o simple statistical variation.</w:t>
      </w:r>
    </w:p>
    <w:p w14:paraId="6AF2E950" w14:textId="28EAACE7" w:rsidR="00044FA4" w:rsidRDefault="00044FA4" w:rsidP="00044FA4">
      <w:pPr>
        <w:pStyle w:val="Heading2"/>
      </w:pPr>
      <w:bookmarkStart w:id="56" w:name="_Toc27732370"/>
      <w:r>
        <w:t>Zinc-65</w:t>
      </w:r>
      <w:bookmarkEnd w:id="53"/>
      <w:bookmarkEnd w:id="54"/>
      <w:bookmarkEnd w:id="55"/>
      <w:bookmarkEnd w:id="56"/>
    </w:p>
    <w:p w14:paraId="03ED9AED" w14:textId="34FD7975" w:rsidR="004E7083" w:rsidRDefault="00974F3F" w:rsidP="0088112A">
      <w:r>
        <w:fldChar w:fldCharType="begin"/>
      </w:r>
      <w:r>
        <w:instrText xml:space="preserve"> REF _Ref17444283 \h </w:instrText>
      </w:r>
      <w:r>
        <w:fldChar w:fldCharType="separate"/>
      </w:r>
      <w:r>
        <w:t xml:space="preserve">Figure </w:t>
      </w:r>
      <w:r>
        <w:rPr>
          <w:noProof/>
        </w:rPr>
        <w:t>2</w:t>
      </w:r>
      <w:r>
        <w:fldChar w:fldCharType="end"/>
      </w:r>
      <w:r>
        <w:t xml:space="preserve"> shows that w</w:t>
      </w:r>
      <w:r w:rsidR="00A15C36">
        <w:t>hen compared to the previous exercise using a water matrix</w:t>
      </w:r>
      <w:r w:rsidR="00323D4B">
        <w:t xml:space="preserve"> (2013)</w:t>
      </w:r>
      <w:r w:rsidR="00A15C36">
        <w:t xml:space="preserve"> the results have improved significantly</w:t>
      </w:r>
      <w:r w:rsidR="004E7083">
        <w:fldChar w:fldCharType="begin"/>
      </w:r>
      <w:r w:rsidR="004E7083">
        <w:instrText xml:space="preserve"> REF _Ref17444271 \h </w:instrText>
      </w:r>
      <w:r w:rsidR="004E7083">
        <w:fldChar w:fldCharType="end"/>
      </w:r>
      <w:r w:rsidR="00A15C36">
        <w:t xml:space="preserve">. This improvement can be attributed to the </w:t>
      </w:r>
      <w:r w:rsidR="00323D4B">
        <w:t>enhanced</w:t>
      </w:r>
      <w:r w:rsidR="00A15C36">
        <w:t xml:space="preserve"> calibration procedures implemented by the laboratories after the 2013 exercise. In </w:t>
      </w:r>
      <w:r w:rsidR="00C05C65">
        <w:t>2013,</w:t>
      </w:r>
      <w:r w:rsidR="00A15C36">
        <w:t xml:space="preserve"> only </w:t>
      </w:r>
      <w:r w:rsidR="00C05C65">
        <w:t>three</w:t>
      </w:r>
      <w:r w:rsidR="00A15C36">
        <w:t xml:space="preserve"> laboratories had Zn-65 in </w:t>
      </w:r>
      <w:r>
        <w:t>their</w:t>
      </w:r>
      <w:r w:rsidR="00A15C36">
        <w:t xml:space="preserve"> calibration source or corrected the calibration curve for </w:t>
      </w:r>
      <w:r>
        <w:t>TCS</w:t>
      </w:r>
      <w:r w:rsidR="00A15C36">
        <w:t>.</w:t>
      </w:r>
    </w:p>
    <w:p w14:paraId="67174C04" w14:textId="220297A1" w:rsidR="00974F3F" w:rsidRDefault="00974F3F" w:rsidP="00974F3F">
      <w:r>
        <w:t xml:space="preserve">In this year’s exercise, three of the laboratories corrected for TCS and the remainder had Zn-65 in there calibration curve. Having Zn-65 in the calibration curve improves the results for the higher energy radionuclides but doesn’t solve it completely as the Y-88 and Co-60 calibration lines still dominate the high energies. This can be seen in </w:t>
      </w:r>
      <w:r>
        <w:fldChar w:fldCharType="begin"/>
      </w:r>
      <w:r>
        <w:instrText xml:space="preserve"> REF _Ref17444283 \h </w:instrText>
      </w:r>
      <w:r>
        <w:fldChar w:fldCharType="separate"/>
      </w:r>
      <w:r>
        <w:t xml:space="preserve">Figure </w:t>
      </w:r>
      <w:r>
        <w:rPr>
          <w:noProof/>
        </w:rPr>
        <w:t>2</w:t>
      </w:r>
      <w:r>
        <w:fldChar w:fldCharType="end"/>
      </w:r>
      <w:r>
        <w:t xml:space="preserve"> by the clear positive bias of results amongst laboratories when compared to the reference value. The </w:t>
      </w:r>
      <w:r w:rsidR="00610057">
        <w:t>provider</w:t>
      </w:r>
      <w:r w:rsidR="0041590C">
        <w:t>’</w:t>
      </w:r>
      <w:r w:rsidR="00610057">
        <w:t xml:space="preserve">s </w:t>
      </w:r>
      <w:r>
        <w:t>acceptance criteria for Zn-65 also has a positive bias to account for this common calibration error</w:t>
      </w:r>
      <w:r w:rsidR="00D82E52">
        <w:t>,</w:t>
      </w:r>
      <w:r>
        <w:t xml:space="preserve"> </w:t>
      </w:r>
      <w:r w:rsidR="00D82E52">
        <w:t>so,</w:t>
      </w:r>
      <w:r>
        <w:t xml:space="preserve"> all laboratories passed this test</w:t>
      </w:r>
      <w:r w:rsidR="00D82E52">
        <w:t>.</w:t>
      </w:r>
      <w:r>
        <w:t xml:space="preserve"> </w:t>
      </w:r>
      <w:r w:rsidR="00D82E52">
        <w:t>I</w:t>
      </w:r>
      <w:r>
        <w:t>f we were to ignore this positive bias</w:t>
      </w:r>
      <w:r w:rsidR="00610057">
        <w:t>,</w:t>
      </w:r>
      <w:r>
        <w:t xml:space="preserve"> one of laboratories would have failed. Given that this is a known error is highly recommended that all laboratories investigate methods for correcting for TCS to remove any bias from future results. </w:t>
      </w:r>
    </w:p>
    <w:p w14:paraId="4D5D2920" w14:textId="532B49CF" w:rsidR="004E7083" w:rsidRDefault="004E7083" w:rsidP="00B5380C">
      <w:r>
        <w:rPr>
          <w:noProof/>
          <w:lang w:eastAsia="en-AU"/>
        </w:rPr>
        <w:lastRenderedPageBreak/>
        <w:drawing>
          <wp:inline distT="0" distB="0" distL="0" distR="0" wp14:anchorId="60AAB9FD" wp14:editId="2B4C5B10">
            <wp:extent cx="5667375" cy="274320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28AC48" w14:textId="1B358620" w:rsidR="00102F29" w:rsidRPr="00102F29" w:rsidRDefault="004E7083" w:rsidP="00102F29">
      <w:pPr>
        <w:pStyle w:val="Caption"/>
      </w:pPr>
      <w:bookmarkStart w:id="57" w:name="_Ref17444283"/>
      <w:bookmarkStart w:id="58" w:name="_Ref17444271"/>
      <w:r>
        <w:t xml:space="preserve">Figure </w:t>
      </w:r>
      <w:fldSimple w:instr=" SEQ Figure \* ARABIC ">
        <w:r>
          <w:rPr>
            <w:noProof/>
          </w:rPr>
          <w:t>2</w:t>
        </w:r>
      </w:fldSimple>
      <w:bookmarkEnd w:id="57"/>
      <w:r>
        <w:t xml:space="preserve">: Zn-65 </w:t>
      </w:r>
      <w:r>
        <w:rPr>
          <w:noProof/>
        </w:rPr>
        <w:t>relative activity concentration</w:t>
      </w:r>
      <w:bookmarkEnd w:id="58"/>
    </w:p>
    <w:p w14:paraId="35D90241" w14:textId="4284C28E" w:rsidR="00044FA4" w:rsidRDefault="00044FA4" w:rsidP="00044FA4">
      <w:pPr>
        <w:pStyle w:val="Heading2"/>
      </w:pPr>
      <w:bookmarkStart w:id="59" w:name="_Toc27732371"/>
      <w:r>
        <w:t>Caesium-134</w:t>
      </w:r>
      <w:bookmarkEnd w:id="59"/>
    </w:p>
    <w:p w14:paraId="0E60D0CC" w14:textId="0FC0D0B5" w:rsidR="00610057" w:rsidRDefault="00B35690" w:rsidP="00610057">
      <w:r>
        <w:t xml:space="preserve">If we strictly compare the results with the 2013 we observe a slightly decline in the accepted values but this can once again be attributed TCS effects and the way the material provider sets its acceptance criteria. Cs-134 has large TCS effects, which </w:t>
      </w:r>
      <w:r w:rsidR="009451D4">
        <w:t xml:space="preserve">contributes </w:t>
      </w:r>
      <w:r w:rsidR="00D82E52">
        <w:t xml:space="preserve">to a </w:t>
      </w:r>
      <w:r w:rsidR="00361F90">
        <w:t>reduction</w:t>
      </w:r>
      <w:r w:rsidR="00D82E52">
        <w:t xml:space="preserve"> of</w:t>
      </w:r>
      <w:r w:rsidR="00361F90">
        <w:t xml:space="preserve"> </w:t>
      </w:r>
      <w:r w:rsidR="00D82E52">
        <w:t xml:space="preserve">approximately 15% </w:t>
      </w:r>
      <w:r w:rsidR="00361F90">
        <w:t>in the net peak area of the nuclides</w:t>
      </w:r>
      <w:r w:rsidR="009451D4">
        <w:t>’</w:t>
      </w:r>
      <w:r w:rsidR="00361F90">
        <w:t xml:space="preserve"> lines for a typical geometry</w:t>
      </w:r>
      <w:r w:rsidR="00BB698D">
        <w:t xml:space="preserve"> </w:t>
      </w:r>
      <w:r w:rsidR="009451D4">
        <w:t>and</w:t>
      </w:r>
      <w:r w:rsidR="00361F90">
        <w:t xml:space="preserve"> detector. In </w:t>
      </w:r>
      <w:r w:rsidR="0077724A">
        <w:t>2013,</w:t>
      </w:r>
      <w:r w:rsidR="00361F90">
        <w:t xml:space="preserve"> the </w:t>
      </w:r>
      <w:r w:rsidR="0077724A">
        <w:t>three</w:t>
      </w:r>
      <w:r w:rsidR="00361F90">
        <w:t xml:space="preserve"> of the laboratories corrected for this and the other </w:t>
      </w:r>
      <w:r w:rsidR="0077724A">
        <w:t>three</w:t>
      </w:r>
      <w:r w:rsidR="00361F90">
        <w:t xml:space="preserve"> did not</w:t>
      </w:r>
      <w:r w:rsidR="00610057">
        <w:t xml:space="preserve">. </w:t>
      </w:r>
      <w:r w:rsidR="00361F90">
        <w:t xml:space="preserve"> </w:t>
      </w:r>
      <w:r w:rsidR="00610057">
        <w:t xml:space="preserve">The performance acceptance limits however allows a </w:t>
      </w:r>
      <w:r w:rsidR="00361F90">
        <w:t xml:space="preserve">negative bias to take this into account </w:t>
      </w:r>
      <w:r w:rsidR="00610057">
        <w:t>errors due to TCS, which allowed them to pass in 2013.</w:t>
      </w:r>
      <w:r w:rsidR="0049514A">
        <w:t xml:space="preserve"> </w:t>
      </w:r>
    </w:p>
    <w:p w14:paraId="6138587E" w14:textId="61C401DD" w:rsidR="004E7083" w:rsidRPr="004E7083" w:rsidRDefault="00610057" w:rsidP="004E7083">
      <w:r>
        <w:t xml:space="preserve">In 2018 the three laboratories that </w:t>
      </w:r>
      <w:r w:rsidR="009451D4">
        <w:t xml:space="preserve">hadn’t </w:t>
      </w:r>
      <w:r>
        <w:t xml:space="preserve">make any correction </w:t>
      </w:r>
      <w:r w:rsidR="009451D4">
        <w:t xml:space="preserve">in 2013 </w:t>
      </w:r>
      <w:r>
        <w:t>attempted to rectify this problem by using a separate calibration</w:t>
      </w:r>
      <w:r w:rsidR="00C31BD9">
        <w:t>,</w:t>
      </w:r>
      <w:r>
        <w:t xml:space="preserve"> using</w:t>
      </w:r>
      <w:r w:rsidR="00C31BD9">
        <w:t xml:space="preserve"> an uncertified Cs-134 source</w:t>
      </w:r>
      <w:r w:rsidR="009451D4">
        <w:t>. This procedure produced</w:t>
      </w:r>
      <w:r w:rsidR="00C31BD9">
        <w:t xml:space="preserve"> mixed results</w:t>
      </w:r>
      <w:r w:rsidR="005977EE">
        <w:t xml:space="preserve"> </w:t>
      </w:r>
      <w:r w:rsidR="005977EE">
        <w:fldChar w:fldCharType="begin"/>
      </w:r>
      <w:r w:rsidR="005977EE">
        <w:instrText xml:space="preserve"> REF _Ref27728251 \h </w:instrText>
      </w:r>
      <w:r w:rsidR="005977EE">
        <w:fldChar w:fldCharType="separate"/>
      </w:r>
      <w:r w:rsidR="005977EE">
        <w:t xml:space="preserve">Figure </w:t>
      </w:r>
      <w:r w:rsidR="005977EE">
        <w:rPr>
          <w:noProof/>
        </w:rPr>
        <w:t>3</w:t>
      </w:r>
      <w:r w:rsidR="005977EE">
        <w:fldChar w:fldCharType="end"/>
      </w:r>
      <w:r w:rsidR="00C31BD9">
        <w:t>.</w:t>
      </w:r>
      <w:r>
        <w:t xml:space="preserve"> </w:t>
      </w:r>
      <w:r w:rsidR="009451D4">
        <w:t xml:space="preserve">The result from </w:t>
      </w:r>
      <w:r w:rsidR="00C31BD9">
        <w:t>L</w:t>
      </w:r>
      <w:r>
        <w:t>aboratory 7</w:t>
      </w:r>
      <w:r w:rsidR="00C31BD9">
        <w:t xml:space="preserve"> </w:t>
      </w:r>
      <w:r w:rsidR="009451D4">
        <w:t xml:space="preserve">was outside </w:t>
      </w:r>
      <w:r w:rsidR="00C31BD9">
        <w:t xml:space="preserve">the performance </w:t>
      </w:r>
      <w:r>
        <w:t xml:space="preserve">acceptance </w:t>
      </w:r>
      <w:r w:rsidR="00C31BD9">
        <w:t>limit</w:t>
      </w:r>
      <w:r w:rsidR="00C07EE8">
        <w:t>s</w:t>
      </w:r>
      <w:r>
        <w:t xml:space="preserve"> </w:t>
      </w:r>
      <w:r w:rsidR="00C07EE8">
        <w:t>because they over-corrected for TCS</w:t>
      </w:r>
      <w:r>
        <w:t xml:space="preserve">. Generally, calibrating using a separate source for a specific radionuclide would be an accepted method for the calibration of the activity but the error occurred due to the use of an uncertified source that is not traceable to a known radiological standard. Once again, it is highly recommended that all laboratories investigate methods for correcting for TCS as a more robust method for accounting for TCS corrections in the reference material and the calibration sources. </w:t>
      </w:r>
    </w:p>
    <w:p w14:paraId="49A7D4A8" w14:textId="77777777" w:rsidR="004E7083" w:rsidRDefault="0049514A" w:rsidP="00C05FDE">
      <w:pPr>
        <w:keepNext/>
      </w:pPr>
      <w:r>
        <w:rPr>
          <w:noProof/>
          <w:lang w:eastAsia="en-AU"/>
        </w:rPr>
        <w:lastRenderedPageBreak/>
        <mc:AlternateContent>
          <mc:Choice Requires="wps">
            <w:drawing>
              <wp:anchor distT="0" distB="0" distL="114300" distR="114300" simplePos="0" relativeHeight="251659264" behindDoc="0" locked="0" layoutInCell="1" allowOverlap="1" wp14:anchorId="7E5D61B6" wp14:editId="29C7CF59">
                <wp:simplePos x="0" y="0"/>
                <wp:positionH relativeFrom="column">
                  <wp:posOffset>1156335</wp:posOffset>
                </wp:positionH>
                <wp:positionV relativeFrom="paragraph">
                  <wp:posOffset>1040765</wp:posOffset>
                </wp:positionV>
                <wp:extent cx="285750" cy="561975"/>
                <wp:effectExtent l="0" t="0" r="19050" b="28575"/>
                <wp:wrapNone/>
                <wp:docPr id="25" name="Oval 25"/>
                <wp:cNvGraphicFramePr/>
                <a:graphic xmlns:a="http://schemas.openxmlformats.org/drawingml/2006/main">
                  <a:graphicData uri="http://schemas.microsoft.com/office/word/2010/wordprocessingShape">
                    <wps:wsp>
                      <wps:cNvSpPr/>
                      <wps:spPr>
                        <a:xfrm>
                          <a:off x="0" y="0"/>
                          <a:ext cx="285750" cy="56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4DE02" id="Oval 25" o:spid="_x0000_s1026" style="position:absolute;margin-left:91.05pt;margin-top:81.95pt;width:2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" filled="f" strokecolor="#7927b7 [1604]" strokeweight="2pt"/>
            </w:pict>
          </mc:Fallback>
        </mc:AlternateContent>
      </w:r>
      <w:r w:rsidR="00EA6A6D">
        <w:rPr>
          <w:noProof/>
          <w:lang w:eastAsia="en-AU"/>
        </w:rPr>
        <w:drawing>
          <wp:inline distT="0" distB="0" distL="0" distR="0" wp14:anchorId="77C24CEA" wp14:editId="7612278A">
            <wp:extent cx="6010275" cy="28670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FCAB83" w14:textId="7E0254A8" w:rsidR="00A9673B" w:rsidRDefault="004E7083" w:rsidP="00102F29">
      <w:pPr>
        <w:pStyle w:val="Caption"/>
      </w:pPr>
      <w:bookmarkStart w:id="60" w:name="_Ref27728251"/>
      <w:r>
        <w:t xml:space="preserve">Figure </w:t>
      </w:r>
      <w:fldSimple w:instr=" SEQ Figure \* ARABIC ">
        <w:r>
          <w:rPr>
            <w:noProof/>
          </w:rPr>
          <w:t>3</w:t>
        </w:r>
      </w:fldSimple>
      <w:bookmarkEnd w:id="60"/>
      <w:r>
        <w:t>: Cs-134 relative activity concentration</w:t>
      </w:r>
      <w:bookmarkStart w:id="61" w:name="_Toc453335330"/>
    </w:p>
    <w:p w14:paraId="3A76A4B9" w14:textId="77777777" w:rsidR="00A9673B" w:rsidRDefault="00A9673B">
      <w:pPr>
        <w:rPr>
          <w:b/>
          <w:bCs/>
          <w:color w:val="4E1A74"/>
          <w:sz w:val="20"/>
          <w:szCs w:val="18"/>
        </w:rPr>
      </w:pPr>
      <w:r>
        <w:br w:type="page"/>
      </w:r>
    </w:p>
    <w:p w14:paraId="20B51E9A" w14:textId="0FEE445F" w:rsidR="007B1AAF" w:rsidRPr="0008487F" w:rsidRDefault="007B1AAF" w:rsidP="007B1AAF">
      <w:pPr>
        <w:pStyle w:val="Heading1"/>
        <w:ind w:left="431" w:hanging="431"/>
        <w:rPr>
          <w:rFonts w:eastAsia="Times New Roman"/>
        </w:rPr>
      </w:pPr>
      <w:bookmarkStart w:id="62" w:name="_Toc27732372"/>
      <w:r w:rsidRPr="0008487F">
        <w:rPr>
          <w:rFonts w:eastAsia="Times New Roman"/>
        </w:rPr>
        <w:lastRenderedPageBreak/>
        <w:t>Conclusion</w:t>
      </w:r>
      <w:bookmarkEnd w:id="61"/>
      <w:bookmarkEnd w:id="62"/>
    </w:p>
    <w:p w14:paraId="5F63CB17" w14:textId="5F5139F2" w:rsidR="007B1AAF" w:rsidRDefault="007B1AAF" w:rsidP="007B1AAF">
      <w:r>
        <w:t xml:space="preserve">This exercise was conducted to ascertain </w:t>
      </w:r>
      <w:r w:rsidRPr="00736D52">
        <w:t>the capability of participa</w:t>
      </w:r>
      <w:r>
        <w:t xml:space="preserve">ting laboratories </w:t>
      </w:r>
      <w:r w:rsidRPr="00736D52">
        <w:t xml:space="preserve">with respect to </w:t>
      </w:r>
      <w:r>
        <w:t xml:space="preserve">the measurement of radionuclides in </w:t>
      </w:r>
      <w:r w:rsidR="00874DCE">
        <w:t>water</w:t>
      </w:r>
      <w:r>
        <w:t xml:space="preserve"> by</w:t>
      </w:r>
      <w:r w:rsidRPr="00736D52">
        <w:t xml:space="preserve"> gamma-ray spectrometry</w:t>
      </w:r>
      <w:r>
        <w:t>. It should be noted the purpose of the exercise was simply to determine whether the methods currently used by each participating laboratory produced acceptable results when applied to a sample containing radionuclides created in a nuclear reactor.</w:t>
      </w:r>
    </w:p>
    <w:p w14:paraId="0E9CA0B4" w14:textId="30343E55" w:rsidR="00EA0486" w:rsidRDefault="007B1AAF" w:rsidP="007B1AAF">
      <w:r>
        <w:t xml:space="preserve">Nine of radioanalytical laboratories </w:t>
      </w:r>
      <w:r w:rsidR="00874DCE">
        <w:t>in the Australasian radionuclide laboratory network</w:t>
      </w:r>
      <w:r>
        <w:t xml:space="preserve"> participated in this exercise. </w:t>
      </w:r>
      <w:r w:rsidR="00EA0486">
        <w:t xml:space="preserve">There was a marked improvement in the </w:t>
      </w:r>
      <w:r w:rsidR="00701448">
        <w:t xml:space="preserve">Zn-65 </w:t>
      </w:r>
      <w:r w:rsidR="00EA0486">
        <w:t xml:space="preserve">results which the author put down to the improved calibration methods implemented by the laboratories after the 2013 exercise. All laboratories now have </w:t>
      </w:r>
      <w:r w:rsidR="00701448">
        <w:t xml:space="preserve">Zn-65 </w:t>
      </w:r>
      <w:r w:rsidR="00EA0486">
        <w:t xml:space="preserve">in there calibration sources, which has improved the results at higher energy. </w:t>
      </w:r>
      <w:r w:rsidR="00701448">
        <w:t>These results</w:t>
      </w:r>
      <w:r w:rsidR="00EA0486">
        <w:t xml:space="preserve"> could be improved further if all laboratori</w:t>
      </w:r>
      <w:r w:rsidR="00701448">
        <w:t xml:space="preserve">es applied corrections for the effects true coincidence </w:t>
      </w:r>
      <w:r w:rsidR="00D82E52">
        <w:t xml:space="preserve">summing </w:t>
      </w:r>
      <w:r w:rsidR="00701448">
        <w:t xml:space="preserve">of Co-60 and Y-88, which dominate the high energy of the calibration sources. Nonetheless, the improvement </w:t>
      </w:r>
      <w:r w:rsidR="00D82E52">
        <w:t xml:space="preserve">over time in the results reported </w:t>
      </w:r>
      <w:r w:rsidR="00701448">
        <w:t>the laboratories shows the importance and worth these exercises.</w:t>
      </w:r>
    </w:p>
    <w:p w14:paraId="6FDF3DD0" w14:textId="19977CC7" w:rsidR="00053CC8" w:rsidRDefault="00053CC8" w:rsidP="00874DCE">
      <w:r>
        <w:t xml:space="preserve">After the 2013 exercise, all laboratories now recognise the complexities of measuring </w:t>
      </w:r>
      <w:r w:rsidR="00874DCE">
        <w:t>Cs-134</w:t>
      </w:r>
      <w:r>
        <w:t xml:space="preserve">. During this year’s exercise some laboratories </w:t>
      </w:r>
      <w:r w:rsidR="00F55BDD">
        <w:t xml:space="preserve">tested </w:t>
      </w:r>
      <w:r>
        <w:t>new methods for accounting of true coincidence summing</w:t>
      </w:r>
      <w:r w:rsidR="00D82E52">
        <w:t>,</w:t>
      </w:r>
      <w:r>
        <w:t xml:space="preserve"> </w:t>
      </w:r>
      <w:r w:rsidR="00D82E52">
        <w:t xml:space="preserve">with </w:t>
      </w:r>
      <w:r>
        <w:t>mixed results.</w:t>
      </w:r>
      <w:r w:rsidR="0015529D">
        <w:t xml:space="preserve"> </w:t>
      </w:r>
      <w:r w:rsidR="00F55BDD">
        <w:t>S</w:t>
      </w:r>
      <w:r w:rsidR="0015529D">
        <w:t>ix</w:t>
      </w:r>
      <w:r>
        <w:t xml:space="preserve"> laboratories passes all tests for Cs-134</w:t>
      </w:r>
      <w:r w:rsidR="00D82E52">
        <w:t>,</w:t>
      </w:r>
      <w:r>
        <w:t xml:space="preserve"> but </w:t>
      </w:r>
      <w:r w:rsidR="0015529D">
        <w:t xml:space="preserve">there is still more work to be done for the other three laboratories. </w:t>
      </w:r>
    </w:p>
    <w:p w14:paraId="2CAC0F02" w14:textId="1BAFA8A2" w:rsidR="007B1AAF" w:rsidRDefault="007B1AAF" w:rsidP="007B1AAF">
      <w:r>
        <w:t xml:space="preserve">In almost all cases, the participants reported results that would be considered acceptable by the supplier of the samples. That is, </w:t>
      </w:r>
      <w:r w:rsidR="00701448">
        <w:t>34 of the 35</w:t>
      </w:r>
      <w:r>
        <w:t xml:space="preserve"> reported results that were within the </w:t>
      </w:r>
      <w:r w:rsidR="00701448" w:rsidRPr="00701448">
        <w:t>Performance Acceptance Limits</w:t>
      </w:r>
      <w:r w:rsidR="006E78B0">
        <w:t xml:space="preserve"> (PALs)</w:t>
      </w:r>
      <w:r w:rsidR="00701448" w:rsidRPr="00701448">
        <w:t xml:space="preserve"> </w:t>
      </w:r>
      <w:r>
        <w:t>defined by the supplier.</w:t>
      </w:r>
      <w:r w:rsidR="006E78B0">
        <w:t xml:space="preserve"> This shows that when compared </w:t>
      </w:r>
      <w:r w:rsidR="00D82E52">
        <w:t xml:space="preserve">to </w:t>
      </w:r>
      <w:r w:rsidR="006E78B0">
        <w:t xml:space="preserve">other laboratories from around </w:t>
      </w:r>
      <w:r w:rsidR="00874DCE">
        <w:t>the world</w:t>
      </w:r>
      <w:r w:rsidR="00D82E52">
        <w:t>,</w:t>
      </w:r>
      <w:r w:rsidR="00874DCE">
        <w:t xml:space="preserve"> the Australasian radionuclide laboratory network can be regarded as highly capable.  </w:t>
      </w:r>
    </w:p>
    <w:p w14:paraId="5FC87DFE" w14:textId="7422A74B" w:rsidR="00A9673B" w:rsidRDefault="007B1AAF" w:rsidP="007B1AAF">
      <w:r>
        <w:t xml:space="preserve">However, the PALs tolerate common errors made by laboratories, such as the failure to correct for TCS effects. Therefore, the reported results were also compared with the reference value given by the supplier. This analysis showed that only </w:t>
      </w:r>
      <w:r w:rsidR="006E78B0">
        <w:t>five</w:t>
      </w:r>
      <w:r>
        <w:t xml:space="preserve"> of the nine laboratories were able to provide results that were consistent with the reference value, for all radionuclides. </w:t>
      </w:r>
    </w:p>
    <w:p w14:paraId="7078E1B4" w14:textId="77777777" w:rsidR="00A9673B" w:rsidRDefault="00A9673B">
      <w:r>
        <w:br w:type="page"/>
      </w:r>
    </w:p>
    <w:p w14:paraId="06ABF4F6" w14:textId="77777777" w:rsidR="007B1AAF" w:rsidRPr="0008487F" w:rsidRDefault="007B1AAF" w:rsidP="007B1AAF">
      <w:pPr>
        <w:pStyle w:val="Heading1"/>
        <w:ind w:left="431" w:hanging="431"/>
        <w:rPr>
          <w:rFonts w:eastAsia="Times New Roman"/>
        </w:rPr>
      </w:pPr>
      <w:bookmarkStart w:id="63" w:name="_Toc453335331"/>
      <w:bookmarkStart w:id="64" w:name="_Toc27732373"/>
      <w:r w:rsidRPr="0008487F">
        <w:rPr>
          <w:rFonts w:eastAsia="Times New Roman"/>
        </w:rPr>
        <w:lastRenderedPageBreak/>
        <w:t>References</w:t>
      </w:r>
      <w:bookmarkEnd w:id="63"/>
      <w:bookmarkEnd w:id="64"/>
    </w:p>
    <w:p w14:paraId="0DE138D1" w14:textId="77777777" w:rsidR="00C07D24" w:rsidRPr="0069682F" w:rsidRDefault="007B1AAF" w:rsidP="00C07D24">
      <w:pPr>
        <w:pStyle w:val="Bibliography"/>
        <w:rPr>
          <w:noProof/>
          <w:color w:val="444444"/>
          <w:sz w:val="24"/>
          <w:szCs w:val="24"/>
        </w:rPr>
      </w:pPr>
      <w:r w:rsidRPr="0069682F">
        <w:rPr>
          <w:color w:val="444444"/>
        </w:rPr>
        <w:fldChar w:fldCharType="begin"/>
      </w:r>
      <w:r w:rsidRPr="0069682F">
        <w:rPr>
          <w:color w:val="444444"/>
        </w:rPr>
        <w:instrText xml:space="preserve"> BIBLIOGRAPHY  \l 3081 </w:instrText>
      </w:r>
      <w:r w:rsidRPr="0069682F">
        <w:rPr>
          <w:color w:val="444444"/>
        </w:rPr>
        <w:fldChar w:fldCharType="separate"/>
      </w:r>
      <w:r w:rsidR="00C07D24" w:rsidRPr="0069682F">
        <w:rPr>
          <w:b/>
          <w:bCs/>
          <w:noProof/>
          <w:color w:val="444444"/>
        </w:rPr>
        <w:t>IAEA</w:t>
      </w:r>
      <w:r w:rsidR="00C07D24" w:rsidRPr="0069682F">
        <w:rPr>
          <w:noProof/>
          <w:color w:val="444444"/>
        </w:rPr>
        <w:t xml:space="preserve"> The Radiological Incident in Goiania [Report]. - Vienna : International Atomic Energy Agency, 1988.</w:t>
      </w:r>
    </w:p>
    <w:p w14:paraId="144D6D4A" w14:textId="77777777" w:rsidR="00C07D24" w:rsidRPr="0069682F" w:rsidRDefault="00C07D24" w:rsidP="00C07D24">
      <w:pPr>
        <w:pStyle w:val="Bibliography"/>
        <w:rPr>
          <w:noProof/>
          <w:color w:val="444444"/>
        </w:rPr>
      </w:pPr>
      <w:r w:rsidRPr="0069682F">
        <w:rPr>
          <w:b/>
          <w:bCs/>
          <w:noProof/>
          <w:color w:val="444444"/>
        </w:rPr>
        <w:t>Japanese Ministry of Health, Labour and Welfare</w:t>
      </w:r>
      <w:r w:rsidRPr="0069682F">
        <w:rPr>
          <w:noProof/>
          <w:color w:val="444444"/>
        </w:rPr>
        <w:t xml:space="preserve"> Levels of Radioactive Contaminants in Foods Tested in Respective Prefectures [Online]. - 2015. - 14 August 2015. - http://www.mhlw.go.jp/english/topics/2011eq/index_food_radioactive.html.</w:t>
      </w:r>
    </w:p>
    <w:p w14:paraId="79666EAB" w14:textId="77777777" w:rsidR="00C07D24" w:rsidRPr="0069682F" w:rsidRDefault="00C07D24" w:rsidP="00C07D24">
      <w:pPr>
        <w:pStyle w:val="Bibliography"/>
        <w:rPr>
          <w:noProof/>
          <w:color w:val="444444"/>
        </w:rPr>
      </w:pPr>
      <w:r w:rsidRPr="0069682F">
        <w:rPr>
          <w:b/>
          <w:bCs/>
          <w:noProof/>
          <w:color w:val="444444"/>
        </w:rPr>
        <w:t>Long S.</w:t>
      </w:r>
      <w:r w:rsidRPr="0069682F">
        <w:rPr>
          <w:noProof/>
          <w:color w:val="444444"/>
        </w:rPr>
        <w:t xml:space="preserve"> Australasian Gamma-ray spectrometry Capability Exercise - 2013 [Report]. - Melbourne : ARPANSA, 2014.</w:t>
      </w:r>
    </w:p>
    <w:p w14:paraId="69B09E90" w14:textId="77777777" w:rsidR="00C07D24" w:rsidRPr="0069682F" w:rsidRDefault="00C07D24" w:rsidP="00C07D24">
      <w:pPr>
        <w:pStyle w:val="Bibliography"/>
        <w:rPr>
          <w:noProof/>
          <w:color w:val="444444"/>
        </w:rPr>
      </w:pPr>
      <w:r w:rsidRPr="0069682F">
        <w:rPr>
          <w:b/>
          <w:bCs/>
          <w:noProof/>
          <w:color w:val="444444"/>
        </w:rPr>
        <w:t>Long S.</w:t>
      </w:r>
      <w:r w:rsidRPr="0069682F">
        <w:rPr>
          <w:noProof/>
          <w:color w:val="444444"/>
        </w:rPr>
        <w:t xml:space="preserve"> Australasian Gamma-ray Spectrometry Capability Exercise - 2015 [Report]. - Melbourne : ARPANSA, 2016.</w:t>
      </w:r>
    </w:p>
    <w:p w14:paraId="37BFF1AD" w14:textId="77777777" w:rsidR="00262C77" w:rsidRPr="007B1AAF" w:rsidRDefault="007B1AAF" w:rsidP="00C07D24">
      <w:pPr>
        <w:pStyle w:val="Heading4"/>
        <w:numPr>
          <w:ilvl w:val="0"/>
          <w:numId w:val="0"/>
        </w:numPr>
        <w:spacing w:before="0" w:line="240" w:lineRule="auto"/>
        <w:ind w:left="1701" w:hanging="1701"/>
        <w:rPr>
          <w:rFonts w:ascii="Courier New" w:eastAsia="Calibri" w:hAnsi="Courier New" w:cs="Courier New"/>
          <w:sz w:val="18"/>
          <w:szCs w:val="18"/>
          <w:lang w:val="en-US" w:eastAsia="en-AU"/>
        </w:rPr>
      </w:pPr>
      <w:r w:rsidRPr="0069682F">
        <w:rPr>
          <w:color w:val="444444"/>
        </w:rPr>
        <w:fldChar w:fldCharType="end"/>
      </w:r>
    </w:p>
    <w:p w14:paraId="59A73AE2" w14:textId="77777777" w:rsidR="00262C77" w:rsidRPr="00262C77" w:rsidRDefault="00262C77" w:rsidP="00262C77">
      <w:pPr>
        <w:spacing w:before="0" w:line="240" w:lineRule="auto"/>
        <w:rPr>
          <w:rFonts w:ascii="Courier New" w:eastAsia="Calibri" w:hAnsi="Courier New" w:cs="Courier New"/>
          <w:sz w:val="18"/>
          <w:szCs w:val="18"/>
          <w:lang w:val="en-US" w:eastAsia="en-AU"/>
        </w:rPr>
      </w:pPr>
    </w:p>
    <w:p w14:paraId="7F8AE36A" w14:textId="77777777" w:rsidR="00B7659B" w:rsidRPr="00B7659B" w:rsidRDefault="00B7659B" w:rsidP="00B7659B"/>
    <w:sectPr w:rsidR="00B7659B" w:rsidRPr="00B7659B" w:rsidSect="005F3B66">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56AA" w14:textId="77777777" w:rsidR="00B46160" w:rsidRDefault="00B46160" w:rsidP="00037687">
      <w:r>
        <w:separator/>
      </w:r>
    </w:p>
  </w:endnote>
  <w:endnote w:type="continuationSeparator" w:id="0">
    <w:p w14:paraId="04482F1A" w14:textId="77777777" w:rsidR="00B46160" w:rsidRDefault="00B46160"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8DCA" w14:textId="40B28CF9" w:rsidR="00567DCE" w:rsidRPr="00906A5C" w:rsidRDefault="00567DCE" w:rsidP="00906A5C">
    <w:pPr>
      <w:pStyle w:val="Footer"/>
      <w:tabs>
        <w:tab w:val="clear" w:pos="4513"/>
        <w:tab w:val="clear" w:pos="9026"/>
        <w:tab w:val="left" w:pos="3686"/>
        <w:tab w:val="right" w:pos="9639"/>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5FB6" w14:textId="71455A1B" w:rsidR="008E5976" w:rsidRPr="00906A5C" w:rsidRDefault="008E5976" w:rsidP="001036B2">
    <w:pPr>
      <w:pStyle w:val="Footer"/>
      <w:tabs>
        <w:tab w:val="clear" w:pos="4513"/>
        <w:tab w:val="clear" w:pos="9026"/>
        <w:tab w:val="left" w:pos="4253"/>
        <w:tab w:val="right" w:pos="9639"/>
      </w:tabs>
      <w:spacing w:before="120"/>
      <w:rPr>
        <w:sz w:val="16"/>
        <w:szCs w:val="16"/>
      </w:rPr>
    </w:pPr>
    <w:r w:rsidRPr="00FF6AB9">
      <w:rPr>
        <w:noProof/>
        <w:sz w:val="18"/>
        <w:lang w:eastAsia="en-AU"/>
      </w:rPr>
      <w:drawing>
        <wp:anchor distT="0" distB="0" distL="114300" distR="114300" simplePos="0" relativeHeight="251683840" behindDoc="0" locked="0" layoutInCell="1" allowOverlap="1" wp14:anchorId="325FB3BE" wp14:editId="1C7F45B6">
          <wp:simplePos x="0" y="0"/>
          <wp:positionH relativeFrom="column">
            <wp:posOffset>0</wp:posOffset>
          </wp:positionH>
          <wp:positionV relativeFrom="paragraph">
            <wp:posOffset>114490</wp:posOffset>
          </wp:positionV>
          <wp:extent cx="6120000" cy="54000"/>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F4DCB">
      <w:rPr>
        <w:sz w:val="16"/>
        <w:szCs w:val="16"/>
      </w:rPr>
      <w:t>619 Lower Plenty Road, Yallambie VIC 3085</w:t>
    </w:r>
    <w:r w:rsidRPr="00197595">
      <w:rPr>
        <w:color w:val="3275CB" w:themeColor="text1" w:themeTint="A6"/>
        <w:sz w:val="16"/>
      </w:rPr>
      <w:tab/>
    </w:r>
    <w:r w:rsidR="009D00AD">
      <w:rPr>
        <w:sz w:val="16"/>
        <w:szCs w:val="16"/>
      </w:rPr>
      <w:t>PO Box 655, Miranda 1490</w:t>
    </w:r>
    <w:r w:rsidRPr="00197595">
      <w:rPr>
        <w:color w:val="3275CB" w:themeColor="text1" w:themeTint="A6"/>
        <w:sz w:val="16"/>
      </w:rPr>
      <w:tab/>
    </w:r>
    <w:r w:rsidRPr="009F4DCB">
      <w:rPr>
        <w:sz w:val="16"/>
        <w:szCs w:val="16"/>
      </w:rPr>
      <w:t>info@arpansa.gov.au</w:t>
    </w:r>
    <w:r w:rsidRPr="00197595">
      <w:rPr>
        <w:color w:val="3275CB" w:themeColor="text1" w:themeTint="A6"/>
        <w:sz w:val="16"/>
      </w:rPr>
      <w:br/>
    </w:r>
    <w:r w:rsidRPr="009F4DCB">
      <w:rPr>
        <w:sz w:val="16"/>
        <w:szCs w:val="16"/>
      </w:rPr>
      <w:t>+61 3 9433 2211</w:t>
    </w:r>
    <w:r w:rsidRPr="00197595">
      <w:rPr>
        <w:color w:val="3275CB" w:themeColor="text1" w:themeTint="A6"/>
        <w:sz w:val="16"/>
        <w:szCs w:val="18"/>
      </w:rPr>
      <w:tab/>
    </w:r>
    <w:r w:rsidR="009D00AD" w:rsidRPr="009F4DCB">
      <w:rPr>
        <w:sz w:val="16"/>
        <w:szCs w:val="16"/>
      </w:rPr>
      <w:t>+61 2 9541 8333</w:t>
    </w:r>
    <w:r w:rsidRPr="00197595">
      <w:rPr>
        <w:color w:val="3275CB" w:themeColor="text1" w:themeTint="A6"/>
        <w:sz w:val="16"/>
        <w:szCs w:val="18"/>
      </w:rPr>
      <w:tab/>
    </w:r>
    <w:r w:rsidR="009D00AD">
      <w:rPr>
        <w:sz w:val="16"/>
        <w:szCs w:val="16"/>
      </w:rPr>
      <w:t>arpansa.gov.au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2393" w14:textId="3712F64A" w:rsidR="001036B2" w:rsidRPr="001036B2" w:rsidRDefault="001036B2" w:rsidP="001036B2">
    <w:pPr>
      <w:pStyle w:val="Footer"/>
      <w:tabs>
        <w:tab w:val="clear" w:pos="9026"/>
        <w:tab w:val="right" w:pos="9639"/>
      </w:tabs>
      <w:spacing w:before="120"/>
      <w:rPr>
        <w:sz w:val="18"/>
      </w:rPr>
    </w:pPr>
    <w:r w:rsidRPr="000765D1">
      <w:rPr>
        <w:noProof/>
        <w:sz w:val="18"/>
        <w:lang w:eastAsia="en-AU"/>
      </w:rPr>
      <w:drawing>
        <wp:anchor distT="0" distB="0" distL="114300" distR="114300" simplePos="0" relativeHeight="251685888" behindDoc="0" locked="0" layoutInCell="1" allowOverlap="1" wp14:anchorId="433FC564" wp14:editId="0084734F">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0765D1">
      <w:rPr>
        <w:sz w:val="18"/>
      </w:rPr>
      <w:t>Australasian Gamma-ray Spectrometry Capability Exercise – 2018</w:t>
    </w:r>
    <w:r w:rsidRPr="000765D1">
      <w:rPr>
        <w:sz w:val="18"/>
      </w:rPr>
      <w:tab/>
    </w:r>
    <w:r w:rsidRPr="000765D1">
      <w:rPr>
        <w:sz w:val="18"/>
      </w:rPr>
      <w:fldChar w:fldCharType="begin"/>
    </w:r>
    <w:r w:rsidRPr="000765D1">
      <w:rPr>
        <w:sz w:val="18"/>
      </w:rPr>
      <w:instrText xml:space="preserve"> PAGE   \* MERGEFORMAT </w:instrText>
    </w:r>
    <w:r w:rsidRPr="000765D1">
      <w:rPr>
        <w:sz w:val="18"/>
      </w:rPr>
      <w:fldChar w:fldCharType="separate"/>
    </w:r>
    <w:r w:rsidR="005E3025">
      <w:rPr>
        <w:noProof/>
        <w:sz w:val="18"/>
      </w:rPr>
      <w:t>i</w:t>
    </w:r>
    <w:r w:rsidRPr="000765D1">
      <w:rPr>
        <w:sz w:val="18"/>
      </w:rPr>
      <w:fldChar w:fldCharType="end"/>
    </w:r>
    <w:r w:rsidRPr="000765D1">
      <w:rPr>
        <w:sz w:val="18"/>
      </w:rPr>
      <w:br/>
      <w:t>Technical Report 183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9F7F" w14:textId="47DAE361" w:rsidR="00567DCE" w:rsidRPr="00E93087" w:rsidRDefault="00567DCE" w:rsidP="00D161D4">
    <w:pPr>
      <w:pStyle w:val="Footer"/>
      <w:tabs>
        <w:tab w:val="clear" w:pos="9026"/>
        <w:tab w:val="right" w:pos="9638"/>
      </w:tabs>
      <w:spacing w:before="120"/>
      <w:rPr>
        <w:sz w:val="18"/>
      </w:rPr>
    </w:pPr>
    <w:r w:rsidRPr="000765D1">
      <w:rPr>
        <w:noProof/>
        <w:sz w:val="18"/>
        <w:lang w:eastAsia="en-AU"/>
      </w:rPr>
      <w:drawing>
        <wp:anchor distT="0" distB="0" distL="114300" distR="114300" simplePos="0" relativeHeight="251677696" behindDoc="0" locked="0" layoutInCell="1" allowOverlap="1" wp14:anchorId="463FE437" wp14:editId="1C22EBD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0765D1">
      <w:rPr>
        <w:sz w:val="18"/>
      </w:rPr>
      <w:t>Australasian Gamma-ray Spectrometry Capability Exercise – 2018</w:t>
    </w:r>
    <w:r w:rsidRPr="000765D1">
      <w:rPr>
        <w:sz w:val="18"/>
      </w:rPr>
      <w:tab/>
    </w:r>
    <w:r w:rsidRPr="000765D1">
      <w:rPr>
        <w:sz w:val="18"/>
      </w:rPr>
      <w:fldChar w:fldCharType="begin"/>
    </w:r>
    <w:r w:rsidRPr="000765D1">
      <w:rPr>
        <w:sz w:val="18"/>
      </w:rPr>
      <w:instrText xml:space="preserve"> PAGE   \* MERGEFORMAT </w:instrText>
    </w:r>
    <w:r w:rsidRPr="000765D1">
      <w:rPr>
        <w:sz w:val="18"/>
      </w:rPr>
      <w:fldChar w:fldCharType="separate"/>
    </w:r>
    <w:r w:rsidR="005E3025">
      <w:rPr>
        <w:noProof/>
        <w:sz w:val="18"/>
      </w:rPr>
      <w:t>ii</w:t>
    </w:r>
    <w:r w:rsidRPr="000765D1">
      <w:rPr>
        <w:sz w:val="18"/>
      </w:rPr>
      <w:fldChar w:fldCharType="end"/>
    </w:r>
    <w:r w:rsidRPr="000765D1">
      <w:rPr>
        <w:sz w:val="18"/>
      </w:rPr>
      <w:br/>
    </w:r>
    <w:r w:rsidR="000765D1" w:rsidRPr="000765D1">
      <w:rPr>
        <w:sz w:val="18"/>
      </w:rPr>
      <w:t>Technical Report 183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2B52" w14:textId="6D91C9B2" w:rsidR="00E539B5" w:rsidRPr="00E93087" w:rsidRDefault="00E539B5" w:rsidP="00D161D4">
    <w:pPr>
      <w:pStyle w:val="Footer"/>
      <w:tabs>
        <w:tab w:val="clear" w:pos="9026"/>
        <w:tab w:val="right" w:pos="9638"/>
      </w:tabs>
      <w:spacing w:before="120"/>
      <w:rPr>
        <w:sz w:val="18"/>
      </w:rPr>
    </w:pPr>
    <w:r w:rsidRPr="000765D1">
      <w:rPr>
        <w:noProof/>
        <w:sz w:val="18"/>
        <w:lang w:eastAsia="en-AU"/>
      </w:rPr>
      <w:drawing>
        <wp:anchor distT="0" distB="0" distL="114300" distR="114300" simplePos="0" relativeHeight="251687936" behindDoc="0" locked="0" layoutInCell="1" allowOverlap="1" wp14:anchorId="7DE9D49B" wp14:editId="0E8E4D20">
          <wp:simplePos x="0" y="0"/>
          <wp:positionH relativeFrom="column">
            <wp:posOffset>0</wp:posOffset>
          </wp:positionH>
          <wp:positionV relativeFrom="paragraph">
            <wp:posOffset>175895</wp:posOffset>
          </wp:positionV>
          <wp:extent cx="6120000" cy="54000"/>
          <wp:effectExtent l="0" t="0" r="0" b="3175"/>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0765D1">
      <w:rPr>
        <w:sz w:val="18"/>
      </w:rPr>
      <w:t>Australasian Gamma-ray Spectrometry Capability Exercise – 2018</w:t>
    </w:r>
    <w:r w:rsidRPr="000765D1">
      <w:rPr>
        <w:sz w:val="18"/>
      </w:rPr>
      <w:tab/>
    </w:r>
    <w:r w:rsidRPr="000765D1">
      <w:rPr>
        <w:sz w:val="18"/>
      </w:rPr>
      <w:fldChar w:fldCharType="begin"/>
    </w:r>
    <w:r w:rsidRPr="000765D1">
      <w:rPr>
        <w:sz w:val="18"/>
      </w:rPr>
      <w:instrText xml:space="preserve"> PAGE   \* MERGEFORMAT </w:instrText>
    </w:r>
    <w:r w:rsidRPr="000765D1">
      <w:rPr>
        <w:sz w:val="18"/>
      </w:rPr>
      <w:fldChar w:fldCharType="separate"/>
    </w:r>
    <w:r w:rsidR="005E3025">
      <w:rPr>
        <w:noProof/>
        <w:sz w:val="18"/>
      </w:rPr>
      <w:t>1</w:t>
    </w:r>
    <w:r w:rsidRPr="000765D1">
      <w:rPr>
        <w:sz w:val="18"/>
      </w:rPr>
      <w:fldChar w:fldCharType="end"/>
    </w:r>
    <w:r w:rsidRPr="000765D1">
      <w:rPr>
        <w:sz w:val="18"/>
      </w:rPr>
      <w:br/>
      <w:t>Technical Report 183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3B9F" w14:textId="77777777" w:rsidR="00B46160" w:rsidRDefault="00B46160" w:rsidP="00037687">
      <w:r>
        <w:separator/>
      </w:r>
    </w:p>
  </w:footnote>
  <w:footnote w:type="continuationSeparator" w:id="0">
    <w:p w14:paraId="061916E8" w14:textId="77777777" w:rsidR="00B46160" w:rsidRDefault="00B46160"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0ABF" w14:textId="77777777" w:rsidR="00567DCE" w:rsidRDefault="00567DCE">
    <w:pPr>
      <w:pStyle w:val="Header"/>
    </w:pPr>
  </w:p>
  <w:p w14:paraId="20B01B61" w14:textId="1D932C79" w:rsidR="00567DCE" w:rsidRDefault="00567DCE">
    <w:pPr>
      <w:pStyle w:val="Header"/>
    </w:pPr>
  </w:p>
  <w:p w14:paraId="1F17117C" w14:textId="77777777" w:rsidR="00567DCE" w:rsidRDefault="00567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3C0" w14:textId="77777777" w:rsidR="008E5976" w:rsidRDefault="008E5976">
    <w:pPr>
      <w:pStyle w:val="Header"/>
    </w:pPr>
  </w:p>
  <w:p w14:paraId="438F0DDB" w14:textId="2E17E9A9" w:rsidR="008E5976" w:rsidRDefault="008E5976">
    <w:pPr>
      <w:pStyle w:val="Header"/>
    </w:pPr>
  </w:p>
  <w:p w14:paraId="621373FB" w14:textId="77777777" w:rsidR="008E5976" w:rsidRDefault="008E5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5138" w14:textId="77777777" w:rsidR="00567DCE" w:rsidRDefault="00567D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7A9480"/>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30D34"/>
    <w:multiLevelType w:val="multilevel"/>
    <w:tmpl w:val="7B38710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D7ABD"/>
    <w:multiLevelType w:val="multilevel"/>
    <w:tmpl w:val="06F646AE"/>
    <w:lvl w:ilvl="0">
      <w:numFmt w:val="bullet"/>
      <w:lvlText w:val="•"/>
      <w:lvlJc w:val="left"/>
      <w:pPr>
        <w:ind w:left="454" w:hanging="45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10AA7"/>
    <w:multiLevelType w:val="hybridMultilevel"/>
    <w:tmpl w:val="D4FE9CCE"/>
    <w:lvl w:ilvl="0" w:tplc="0C090001">
      <w:start w:val="1"/>
      <w:numFmt w:val="bullet"/>
      <w:lvlText w:val=""/>
      <w:lvlJc w:val="left"/>
      <w:pPr>
        <w:ind w:left="720" w:hanging="360"/>
      </w:pPr>
      <w:rPr>
        <w:rFonts w:ascii="Symbol" w:hAnsi="Symbol" w:hint="default"/>
      </w:rPr>
    </w:lvl>
    <w:lvl w:ilvl="1" w:tplc="0C090003" w:tentative="1">
      <w:start w:val="1"/>
      <w:numFmt w:val="bullet"/>
      <w:pStyle w:val="Style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81829"/>
    <w:multiLevelType w:val="multilevel"/>
    <w:tmpl w:val="A2D4164A"/>
    <w:lvl w:ilvl="0">
      <w:start w:val="1"/>
      <w:numFmt w:val="decimal"/>
      <w:lvlText w:val="%1."/>
      <w:lvlJc w:val="left"/>
      <w:pPr>
        <w:ind w:left="432" w:hanging="432"/>
      </w:pPr>
      <w:rPr>
        <w:rFonts w:ascii="Calibri" w:hAnsi="Calibri" w:hint="default"/>
        <w:b/>
        <w:i w:val="0"/>
        <w:sz w:val="32"/>
      </w:rPr>
    </w:lvl>
    <w:lvl w:ilvl="1">
      <w:start w:val="1"/>
      <w:numFmt w:val="decimal"/>
      <w:lvlText w:val="%1.%2"/>
      <w:lvlJc w:val="left"/>
      <w:pPr>
        <w:ind w:left="737" w:hanging="737"/>
      </w:pPr>
      <w:rPr>
        <w:rFonts w:ascii="Calibri" w:hAnsi="Calibri" w:hint="default"/>
        <w:b/>
        <w:i w:val="0"/>
        <w:sz w:val="28"/>
      </w:rPr>
    </w:lvl>
    <w:lvl w:ilvl="2">
      <w:start w:val="1"/>
      <w:numFmt w:val="decimal"/>
      <w:lvlText w:val="%1.%2.%3"/>
      <w:lvlJc w:val="left"/>
      <w:pPr>
        <w:tabs>
          <w:tab w:val="num" w:pos="964"/>
        </w:tabs>
        <w:ind w:left="964" w:hanging="964"/>
      </w:pPr>
      <w:rPr>
        <w:rFonts w:cs="Times New Roman" w:hint="default"/>
        <w:b/>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DC78DE"/>
    <w:multiLevelType w:val="hybridMultilevel"/>
    <w:tmpl w:val="1A407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07EF2"/>
    <w:multiLevelType w:val="hybridMultilevel"/>
    <w:tmpl w:val="8A020CAC"/>
    <w:lvl w:ilvl="0" w:tplc="3FAC20AA">
      <w:start w:val="14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250A81"/>
    <w:multiLevelType w:val="hybridMultilevel"/>
    <w:tmpl w:val="60225BDE"/>
    <w:lvl w:ilvl="0" w:tplc="F6605932">
      <w:start w:val="1"/>
      <w:numFmt w:val="decimal"/>
      <w:pStyle w:val="ListNumb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9F75A29"/>
    <w:multiLevelType w:val="hybridMultilevel"/>
    <w:tmpl w:val="3940B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64F22"/>
    <w:multiLevelType w:val="hybridMultilevel"/>
    <w:tmpl w:val="8B9A187C"/>
    <w:lvl w:ilvl="0" w:tplc="F0E89E9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51BB2"/>
    <w:multiLevelType w:val="hybridMultilevel"/>
    <w:tmpl w:val="57D2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2A897858"/>
    <w:multiLevelType w:val="hybridMultilevel"/>
    <w:tmpl w:val="B6686BE6"/>
    <w:lvl w:ilvl="0" w:tplc="DC1495F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957A82"/>
    <w:multiLevelType w:val="multilevel"/>
    <w:tmpl w:val="94F4E32C"/>
    <w:lvl w:ilvl="0">
      <w:start w:val="1"/>
      <w:numFmt w:val="decimal"/>
      <w:pStyle w:val="AppendixHeading"/>
      <w:lvlText w:val="Appendix %1"/>
      <w:lvlJc w:val="left"/>
      <w:pPr>
        <w:ind w:left="432" w:hanging="432"/>
      </w:pPr>
      <w:rPr>
        <w:rFonts w:hint="default"/>
      </w:rPr>
    </w:lvl>
    <w:lvl w:ilvl="1">
      <w:start w:val="1"/>
      <w:numFmt w:val="decimal"/>
      <w:pStyle w:val="Appendixheading2"/>
      <w:lvlText w:val="A%1.%2"/>
      <w:lvlJc w:val="left"/>
      <w:pPr>
        <w:ind w:left="653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FC9722B"/>
    <w:multiLevelType w:val="hybridMultilevel"/>
    <w:tmpl w:val="4188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5721A"/>
    <w:multiLevelType w:val="hybridMultilevel"/>
    <w:tmpl w:val="1F0A0590"/>
    <w:lvl w:ilvl="0" w:tplc="BEBCDC9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D50B7"/>
    <w:multiLevelType w:val="hybridMultilevel"/>
    <w:tmpl w:val="1A1CEFC0"/>
    <w:lvl w:ilvl="0" w:tplc="3770167A">
      <w:start w:val="1"/>
      <w:numFmt w:val="bullet"/>
      <w:pStyle w:val="ListBullet2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A735B"/>
    <w:multiLevelType w:val="hybridMultilevel"/>
    <w:tmpl w:val="2126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191928"/>
    <w:multiLevelType w:val="multilevel"/>
    <w:tmpl w:val="7E1096F8"/>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Appendix %4:"/>
      <w:lvlJc w:val="left"/>
      <w:pPr>
        <w:tabs>
          <w:tab w:val="num" w:pos="1701"/>
        </w:tabs>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6" w15:restartNumberingAfterBreak="0">
    <w:nsid w:val="4C912340"/>
    <w:multiLevelType w:val="hybridMultilevel"/>
    <w:tmpl w:val="B12C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8" w15:restartNumberingAfterBreak="0">
    <w:nsid w:val="4EC060D9"/>
    <w:multiLevelType w:val="hybridMultilevel"/>
    <w:tmpl w:val="80C4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D5324C"/>
    <w:multiLevelType w:val="hybridMultilevel"/>
    <w:tmpl w:val="DFE63DC2"/>
    <w:lvl w:ilvl="0" w:tplc="39AAB9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31" w15:restartNumberingAfterBreak="0">
    <w:nsid w:val="59414912"/>
    <w:multiLevelType w:val="multilevel"/>
    <w:tmpl w:val="46D60CEA"/>
    <w:lvl w:ilvl="0">
      <w:start w:val="1"/>
      <w:numFmt w:val="decimal"/>
      <w:pStyle w:val="StyleReferenceLeft0cmFirstline0cm"/>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3" w15:restartNumberingAfterBreak="0">
    <w:nsid w:val="709E1E36"/>
    <w:multiLevelType w:val="hybridMultilevel"/>
    <w:tmpl w:val="EA80B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C1BC3"/>
    <w:multiLevelType w:val="hybridMultilevel"/>
    <w:tmpl w:val="645A3CB4"/>
    <w:lvl w:ilvl="0" w:tplc="23025D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6374B"/>
    <w:multiLevelType w:val="hybridMultilevel"/>
    <w:tmpl w:val="5F4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94B67"/>
    <w:multiLevelType w:val="hybridMultilevel"/>
    <w:tmpl w:val="B5E4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2"/>
  </w:num>
  <w:num w:numId="4">
    <w:abstractNumId w:val="18"/>
  </w:num>
  <w:num w:numId="5">
    <w:abstractNumId w:val="20"/>
  </w:num>
  <w:num w:numId="6">
    <w:abstractNumId w:val="3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30"/>
  </w:num>
  <w:num w:numId="8">
    <w:abstractNumId w:val="1"/>
  </w:num>
  <w:num w:numId="9">
    <w:abstractNumId w:val="32"/>
  </w:num>
  <w:num w:numId="10">
    <w:abstractNumId w:val="13"/>
  </w:num>
  <w:num w:numId="11">
    <w:abstractNumId w:val="25"/>
  </w:num>
  <w:num w:numId="12">
    <w:abstractNumId w:val="27"/>
  </w:num>
  <w:num w:numId="13">
    <w:abstractNumId w:val="4"/>
  </w:num>
  <w:num w:numId="14">
    <w:abstractNumId w:val="34"/>
  </w:num>
  <w:num w:numId="15">
    <w:abstractNumId w:val="3"/>
  </w:num>
  <w:num w:numId="16">
    <w:abstractNumId w:val="35"/>
  </w:num>
  <w:num w:numId="17">
    <w:abstractNumId w:val="24"/>
  </w:num>
  <w:num w:numId="18">
    <w:abstractNumId w:val="14"/>
  </w:num>
  <w:num w:numId="19">
    <w:abstractNumId w:val="0"/>
  </w:num>
  <w:num w:numId="20">
    <w:abstractNumId w:val="21"/>
  </w:num>
  <w:num w:numId="21">
    <w:abstractNumId w:val="8"/>
  </w:num>
  <w:num w:numId="22">
    <w:abstractNumId w:val="31"/>
  </w:num>
  <w:num w:numId="23">
    <w:abstractNumId w:val="5"/>
  </w:num>
  <w:num w:numId="24">
    <w:abstractNumId w:val="15"/>
  </w:num>
  <w:num w:numId="25">
    <w:abstractNumId w:val="28"/>
  </w:num>
  <w:num w:numId="26">
    <w:abstractNumId w:val="29"/>
  </w:num>
  <w:num w:numId="27">
    <w:abstractNumId w:val="26"/>
  </w:num>
  <w:num w:numId="28">
    <w:abstractNumId w:val="23"/>
  </w:num>
  <w:num w:numId="29">
    <w:abstractNumId w:val="36"/>
  </w:num>
  <w:num w:numId="30">
    <w:abstractNumId w:val="33"/>
  </w:num>
  <w:num w:numId="31">
    <w:abstractNumId w:val="2"/>
  </w:num>
  <w:num w:numId="32">
    <w:abstractNumId w:val="12"/>
  </w:num>
  <w:num w:numId="33">
    <w:abstractNumId w:val="6"/>
  </w:num>
  <w:num w:numId="34">
    <w:abstractNumId w:val="17"/>
  </w:num>
  <w:num w:numId="35">
    <w:abstractNumId w:val="9"/>
  </w:num>
  <w:num w:numId="36">
    <w:abstractNumId w:val="10"/>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8C"/>
    <w:rsid w:val="00005264"/>
    <w:rsid w:val="00012D6C"/>
    <w:rsid w:val="00016D4F"/>
    <w:rsid w:val="00017747"/>
    <w:rsid w:val="00030E7C"/>
    <w:rsid w:val="000328D1"/>
    <w:rsid w:val="00037687"/>
    <w:rsid w:val="000377A3"/>
    <w:rsid w:val="00043F41"/>
    <w:rsid w:val="00044FA4"/>
    <w:rsid w:val="00050AA7"/>
    <w:rsid w:val="00050AFD"/>
    <w:rsid w:val="00051729"/>
    <w:rsid w:val="00053873"/>
    <w:rsid w:val="00053CC8"/>
    <w:rsid w:val="00054BE5"/>
    <w:rsid w:val="00066B27"/>
    <w:rsid w:val="00067C8C"/>
    <w:rsid w:val="000765D1"/>
    <w:rsid w:val="000774B4"/>
    <w:rsid w:val="00082E26"/>
    <w:rsid w:val="000917AA"/>
    <w:rsid w:val="000943E5"/>
    <w:rsid w:val="000967FD"/>
    <w:rsid w:val="000A11C4"/>
    <w:rsid w:val="000A645D"/>
    <w:rsid w:val="000B70F6"/>
    <w:rsid w:val="000C415A"/>
    <w:rsid w:val="000C509B"/>
    <w:rsid w:val="000D27C8"/>
    <w:rsid w:val="000D2BCD"/>
    <w:rsid w:val="000F0719"/>
    <w:rsid w:val="000F0CF9"/>
    <w:rsid w:val="000F3AB1"/>
    <w:rsid w:val="000F73FB"/>
    <w:rsid w:val="00101AFF"/>
    <w:rsid w:val="00102E49"/>
    <w:rsid w:val="00102F29"/>
    <w:rsid w:val="00103071"/>
    <w:rsid w:val="0010348D"/>
    <w:rsid w:val="001036B2"/>
    <w:rsid w:val="00110B46"/>
    <w:rsid w:val="00113833"/>
    <w:rsid w:val="0011435A"/>
    <w:rsid w:val="001226A9"/>
    <w:rsid w:val="001364CF"/>
    <w:rsid w:val="001404CB"/>
    <w:rsid w:val="00142DA4"/>
    <w:rsid w:val="0015529D"/>
    <w:rsid w:val="0016551D"/>
    <w:rsid w:val="001660B9"/>
    <w:rsid w:val="00166742"/>
    <w:rsid w:val="0017059A"/>
    <w:rsid w:val="0017646F"/>
    <w:rsid w:val="001765AC"/>
    <w:rsid w:val="00176BE1"/>
    <w:rsid w:val="0017747B"/>
    <w:rsid w:val="00180E7F"/>
    <w:rsid w:val="0018331B"/>
    <w:rsid w:val="00183D00"/>
    <w:rsid w:val="00192A8D"/>
    <w:rsid w:val="0019597F"/>
    <w:rsid w:val="001A11CB"/>
    <w:rsid w:val="001A4C9B"/>
    <w:rsid w:val="001A6C0A"/>
    <w:rsid w:val="001B1CC0"/>
    <w:rsid w:val="001B27A6"/>
    <w:rsid w:val="001B68AA"/>
    <w:rsid w:val="001C1801"/>
    <w:rsid w:val="001C4340"/>
    <w:rsid w:val="001C7475"/>
    <w:rsid w:val="001D180B"/>
    <w:rsid w:val="001D1830"/>
    <w:rsid w:val="001D740A"/>
    <w:rsid w:val="001E20BB"/>
    <w:rsid w:val="001E2F4E"/>
    <w:rsid w:val="001E4B07"/>
    <w:rsid w:val="001F2F6A"/>
    <w:rsid w:val="001F39A5"/>
    <w:rsid w:val="001F3E7D"/>
    <w:rsid w:val="001F5B95"/>
    <w:rsid w:val="001F75E5"/>
    <w:rsid w:val="002029C7"/>
    <w:rsid w:val="0020449C"/>
    <w:rsid w:val="0020771C"/>
    <w:rsid w:val="00211B48"/>
    <w:rsid w:val="00212947"/>
    <w:rsid w:val="0021393D"/>
    <w:rsid w:val="002165DD"/>
    <w:rsid w:val="00216857"/>
    <w:rsid w:val="00216F84"/>
    <w:rsid w:val="0023539A"/>
    <w:rsid w:val="002356D6"/>
    <w:rsid w:val="00236C2B"/>
    <w:rsid w:val="00244A6C"/>
    <w:rsid w:val="00244EFF"/>
    <w:rsid w:val="0024614E"/>
    <w:rsid w:val="00257596"/>
    <w:rsid w:val="002610DD"/>
    <w:rsid w:val="00262C77"/>
    <w:rsid w:val="00264C51"/>
    <w:rsid w:val="00265738"/>
    <w:rsid w:val="00267144"/>
    <w:rsid w:val="0027234D"/>
    <w:rsid w:val="00275A1E"/>
    <w:rsid w:val="00276782"/>
    <w:rsid w:val="0028367F"/>
    <w:rsid w:val="0029357C"/>
    <w:rsid w:val="002956ED"/>
    <w:rsid w:val="002B30A1"/>
    <w:rsid w:val="002C42B5"/>
    <w:rsid w:val="002C49A9"/>
    <w:rsid w:val="002D1E77"/>
    <w:rsid w:val="002D6FC2"/>
    <w:rsid w:val="002E450D"/>
    <w:rsid w:val="002F0DEC"/>
    <w:rsid w:val="002F6208"/>
    <w:rsid w:val="003014F6"/>
    <w:rsid w:val="00310092"/>
    <w:rsid w:val="003153F7"/>
    <w:rsid w:val="0031653E"/>
    <w:rsid w:val="003218B4"/>
    <w:rsid w:val="00323D4B"/>
    <w:rsid w:val="00327077"/>
    <w:rsid w:val="003319F2"/>
    <w:rsid w:val="00333E22"/>
    <w:rsid w:val="00341853"/>
    <w:rsid w:val="00341FBC"/>
    <w:rsid w:val="00343BB8"/>
    <w:rsid w:val="00354AD7"/>
    <w:rsid w:val="003564D8"/>
    <w:rsid w:val="00361F90"/>
    <w:rsid w:val="0036270A"/>
    <w:rsid w:val="00362AB9"/>
    <w:rsid w:val="00363423"/>
    <w:rsid w:val="00365483"/>
    <w:rsid w:val="00370113"/>
    <w:rsid w:val="00377ED1"/>
    <w:rsid w:val="00383E82"/>
    <w:rsid w:val="00385BA4"/>
    <w:rsid w:val="003939E0"/>
    <w:rsid w:val="003A5A21"/>
    <w:rsid w:val="003B0414"/>
    <w:rsid w:val="003B5B19"/>
    <w:rsid w:val="003D2646"/>
    <w:rsid w:val="003D265D"/>
    <w:rsid w:val="003D4E62"/>
    <w:rsid w:val="003E5659"/>
    <w:rsid w:val="003F2A22"/>
    <w:rsid w:val="0040455E"/>
    <w:rsid w:val="0041095A"/>
    <w:rsid w:val="00411119"/>
    <w:rsid w:val="00412CF8"/>
    <w:rsid w:val="004146A5"/>
    <w:rsid w:val="0041590C"/>
    <w:rsid w:val="00415A85"/>
    <w:rsid w:val="004163B9"/>
    <w:rsid w:val="00420926"/>
    <w:rsid w:val="00420EE6"/>
    <w:rsid w:val="004219C4"/>
    <w:rsid w:val="00422D1D"/>
    <w:rsid w:val="00425610"/>
    <w:rsid w:val="00425F03"/>
    <w:rsid w:val="00434381"/>
    <w:rsid w:val="004344C4"/>
    <w:rsid w:val="0043602E"/>
    <w:rsid w:val="00445311"/>
    <w:rsid w:val="0045392C"/>
    <w:rsid w:val="004577AE"/>
    <w:rsid w:val="004641DB"/>
    <w:rsid w:val="004656D0"/>
    <w:rsid w:val="00466E30"/>
    <w:rsid w:val="00467B08"/>
    <w:rsid w:val="0047377A"/>
    <w:rsid w:val="00482C02"/>
    <w:rsid w:val="0048308D"/>
    <w:rsid w:val="004909EF"/>
    <w:rsid w:val="00492386"/>
    <w:rsid w:val="00494B2E"/>
    <w:rsid w:val="0049514A"/>
    <w:rsid w:val="004A23B3"/>
    <w:rsid w:val="004C7DF3"/>
    <w:rsid w:val="004D036C"/>
    <w:rsid w:val="004D0AE0"/>
    <w:rsid w:val="004D5370"/>
    <w:rsid w:val="004D5AD0"/>
    <w:rsid w:val="004E4746"/>
    <w:rsid w:val="004E7083"/>
    <w:rsid w:val="0050060A"/>
    <w:rsid w:val="00500646"/>
    <w:rsid w:val="00504F6E"/>
    <w:rsid w:val="005062BA"/>
    <w:rsid w:val="00512946"/>
    <w:rsid w:val="00512C62"/>
    <w:rsid w:val="005227F2"/>
    <w:rsid w:val="00526CCB"/>
    <w:rsid w:val="00530B7B"/>
    <w:rsid w:val="00534D5D"/>
    <w:rsid w:val="005403DD"/>
    <w:rsid w:val="0054455D"/>
    <w:rsid w:val="005507E9"/>
    <w:rsid w:val="00551C1B"/>
    <w:rsid w:val="005607D3"/>
    <w:rsid w:val="00560E55"/>
    <w:rsid w:val="00561136"/>
    <w:rsid w:val="00567DCE"/>
    <w:rsid w:val="00570B3E"/>
    <w:rsid w:val="0057736D"/>
    <w:rsid w:val="00585B10"/>
    <w:rsid w:val="00586DAE"/>
    <w:rsid w:val="00594604"/>
    <w:rsid w:val="005977EE"/>
    <w:rsid w:val="005A0946"/>
    <w:rsid w:val="005A5E5B"/>
    <w:rsid w:val="005A7DF6"/>
    <w:rsid w:val="005B28E2"/>
    <w:rsid w:val="005B6933"/>
    <w:rsid w:val="005C1901"/>
    <w:rsid w:val="005C6BE7"/>
    <w:rsid w:val="005C6D5F"/>
    <w:rsid w:val="005D1773"/>
    <w:rsid w:val="005D4848"/>
    <w:rsid w:val="005E0453"/>
    <w:rsid w:val="005E1AA8"/>
    <w:rsid w:val="005E3025"/>
    <w:rsid w:val="005E75E1"/>
    <w:rsid w:val="005F11FA"/>
    <w:rsid w:val="005F3B66"/>
    <w:rsid w:val="005F49D2"/>
    <w:rsid w:val="005F53BD"/>
    <w:rsid w:val="0060042E"/>
    <w:rsid w:val="006045BC"/>
    <w:rsid w:val="0060587C"/>
    <w:rsid w:val="0060725C"/>
    <w:rsid w:val="00610057"/>
    <w:rsid w:val="00617A39"/>
    <w:rsid w:val="00621F3A"/>
    <w:rsid w:val="006265C8"/>
    <w:rsid w:val="0063012F"/>
    <w:rsid w:val="00635C4E"/>
    <w:rsid w:val="0063770C"/>
    <w:rsid w:val="006408AA"/>
    <w:rsid w:val="0065151F"/>
    <w:rsid w:val="00671878"/>
    <w:rsid w:val="00675E49"/>
    <w:rsid w:val="00676262"/>
    <w:rsid w:val="0068013F"/>
    <w:rsid w:val="00680733"/>
    <w:rsid w:val="00681C90"/>
    <w:rsid w:val="00685BBF"/>
    <w:rsid w:val="0069682F"/>
    <w:rsid w:val="006A0496"/>
    <w:rsid w:val="006A3CC4"/>
    <w:rsid w:val="006B34E9"/>
    <w:rsid w:val="006D05FC"/>
    <w:rsid w:val="006D370F"/>
    <w:rsid w:val="006D5B79"/>
    <w:rsid w:val="006E59E8"/>
    <w:rsid w:val="006E78B0"/>
    <w:rsid w:val="006F0867"/>
    <w:rsid w:val="006F0B84"/>
    <w:rsid w:val="006F1654"/>
    <w:rsid w:val="006F5FF6"/>
    <w:rsid w:val="00701448"/>
    <w:rsid w:val="0070337C"/>
    <w:rsid w:val="00703759"/>
    <w:rsid w:val="007062C3"/>
    <w:rsid w:val="0071126C"/>
    <w:rsid w:val="007136BB"/>
    <w:rsid w:val="00716B3D"/>
    <w:rsid w:val="00722793"/>
    <w:rsid w:val="007230F2"/>
    <w:rsid w:val="007428FA"/>
    <w:rsid w:val="00751131"/>
    <w:rsid w:val="00751F07"/>
    <w:rsid w:val="00765282"/>
    <w:rsid w:val="00773742"/>
    <w:rsid w:val="00774AC1"/>
    <w:rsid w:val="00775F35"/>
    <w:rsid w:val="0077724A"/>
    <w:rsid w:val="00780575"/>
    <w:rsid w:val="00783C13"/>
    <w:rsid w:val="00787C08"/>
    <w:rsid w:val="00790753"/>
    <w:rsid w:val="00791EF5"/>
    <w:rsid w:val="00792033"/>
    <w:rsid w:val="00796EDC"/>
    <w:rsid w:val="007978F9"/>
    <w:rsid w:val="007A0993"/>
    <w:rsid w:val="007A0F82"/>
    <w:rsid w:val="007A275C"/>
    <w:rsid w:val="007A43C7"/>
    <w:rsid w:val="007B0951"/>
    <w:rsid w:val="007B1AAF"/>
    <w:rsid w:val="007B254E"/>
    <w:rsid w:val="007C1274"/>
    <w:rsid w:val="007C565E"/>
    <w:rsid w:val="007D2E1F"/>
    <w:rsid w:val="007D5789"/>
    <w:rsid w:val="007D6CEC"/>
    <w:rsid w:val="007E2F99"/>
    <w:rsid w:val="008011BA"/>
    <w:rsid w:val="0080375A"/>
    <w:rsid w:val="008039BF"/>
    <w:rsid w:val="0080578C"/>
    <w:rsid w:val="00813D94"/>
    <w:rsid w:val="00824EAE"/>
    <w:rsid w:val="0082535C"/>
    <w:rsid w:val="00825752"/>
    <w:rsid w:val="00827F4E"/>
    <w:rsid w:val="00834080"/>
    <w:rsid w:val="00840214"/>
    <w:rsid w:val="00841065"/>
    <w:rsid w:val="0085227D"/>
    <w:rsid w:val="00860817"/>
    <w:rsid w:val="0086109D"/>
    <w:rsid w:val="00866693"/>
    <w:rsid w:val="00874DCE"/>
    <w:rsid w:val="0088112A"/>
    <w:rsid w:val="008861A9"/>
    <w:rsid w:val="008A29C6"/>
    <w:rsid w:val="008A3AA1"/>
    <w:rsid w:val="008B0273"/>
    <w:rsid w:val="008D1556"/>
    <w:rsid w:val="008D18E7"/>
    <w:rsid w:val="008D55A1"/>
    <w:rsid w:val="008E0FF2"/>
    <w:rsid w:val="008E1997"/>
    <w:rsid w:val="008E4181"/>
    <w:rsid w:val="008E54D9"/>
    <w:rsid w:val="008E5976"/>
    <w:rsid w:val="008E70B5"/>
    <w:rsid w:val="008E73DF"/>
    <w:rsid w:val="008F02A9"/>
    <w:rsid w:val="008F653B"/>
    <w:rsid w:val="0090450B"/>
    <w:rsid w:val="0090506F"/>
    <w:rsid w:val="00905907"/>
    <w:rsid w:val="00906A5C"/>
    <w:rsid w:val="00910F99"/>
    <w:rsid w:val="0091238E"/>
    <w:rsid w:val="0092469A"/>
    <w:rsid w:val="009328AC"/>
    <w:rsid w:val="00937076"/>
    <w:rsid w:val="009446B3"/>
    <w:rsid w:val="009451D4"/>
    <w:rsid w:val="009534E3"/>
    <w:rsid w:val="0095702F"/>
    <w:rsid w:val="00961583"/>
    <w:rsid w:val="00966B6B"/>
    <w:rsid w:val="00966FA5"/>
    <w:rsid w:val="009709E4"/>
    <w:rsid w:val="009733D1"/>
    <w:rsid w:val="00974F3F"/>
    <w:rsid w:val="00983496"/>
    <w:rsid w:val="00983E7C"/>
    <w:rsid w:val="00984E2E"/>
    <w:rsid w:val="00991953"/>
    <w:rsid w:val="00995CDC"/>
    <w:rsid w:val="00996795"/>
    <w:rsid w:val="009A0A5B"/>
    <w:rsid w:val="009A0CC1"/>
    <w:rsid w:val="009A0E2E"/>
    <w:rsid w:val="009A2305"/>
    <w:rsid w:val="009A3DE8"/>
    <w:rsid w:val="009B67A2"/>
    <w:rsid w:val="009D00AD"/>
    <w:rsid w:val="009D22F8"/>
    <w:rsid w:val="009D3197"/>
    <w:rsid w:val="009E14EA"/>
    <w:rsid w:val="009E1869"/>
    <w:rsid w:val="009E2AA6"/>
    <w:rsid w:val="009F0C69"/>
    <w:rsid w:val="00A01284"/>
    <w:rsid w:val="00A15C36"/>
    <w:rsid w:val="00A2096C"/>
    <w:rsid w:val="00A26A74"/>
    <w:rsid w:val="00A45204"/>
    <w:rsid w:val="00A505FB"/>
    <w:rsid w:val="00A56E90"/>
    <w:rsid w:val="00A675B6"/>
    <w:rsid w:val="00A7617D"/>
    <w:rsid w:val="00A84298"/>
    <w:rsid w:val="00A847BC"/>
    <w:rsid w:val="00A8504C"/>
    <w:rsid w:val="00A8520D"/>
    <w:rsid w:val="00A91A4D"/>
    <w:rsid w:val="00A934EF"/>
    <w:rsid w:val="00A9673B"/>
    <w:rsid w:val="00A97754"/>
    <w:rsid w:val="00AA185E"/>
    <w:rsid w:val="00AB42B1"/>
    <w:rsid w:val="00AB6DA9"/>
    <w:rsid w:val="00AB77C3"/>
    <w:rsid w:val="00AC07C6"/>
    <w:rsid w:val="00AC40B0"/>
    <w:rsid w:val="00AD2909"/>
    <w:rsid w:val="00AD297B"/>
    <w:rsid w:val="00AD2D61"/>
    <w:rsid w:val="00AD3A71"/>
    <w:rsid w:val="00AD6E36"/>
    <w:rsid w:val="00AD719F"/>
    <w:rsid w:val="00AF6790"/>
    <w:rsid w:val="00B0688C"/>
    <w:rsid w:val="00B1306F"/>
    <w:rsid w:val="00B141F7"/>
    <w:rsid w:val="00B17F8F"/>
    <w:rsid w:val="00B32517"/>
    <w:rsid w:val="00B35690"/>
    <w:rsid w:val="00B41D4C"/>
    <w:rsid w:val="00B43D3A"/>
    <w:rsid w:val="00B46160"/>
    <w:rsid w:val="00B46A42"/>
    <w:rsid w:val="00B5380C"/>
    <w:rsid w:val="00B54750"/>
    <w:rsid w:val="00B60FD9"/>
    <w:rsid w:val="00B624FB"/>
    <w:rsid w:val="00B627D5"/>
    <w:rsid w:val="00B64836"/>
    <w:rsid w:val="00B6741E"/>
    <w:rsid w:val="00B72049"/>
    <w:rsid w:val="00B7659B"/>
    <w:rsid w:val="00B80F28"/>
    <w:rsid w:val="00B9640B"/>
    <w:rsid w:val="00B97CE7"/>
    <w:rsid w:val="00BA0110"/>
    <w:rsid w:val="00BA3922"/>
    <w:rsid w:val="00BB08F2"/>
    <w:rsid w:val="00BB54FF"/>
    <w:rsid w:val="00BB698D"/>
    <w:rsid w:val="00BB73C6"/>
    <w:rsid w:val="00BC1637"/>
    <w:rsid w:val="00BC2BB1"/>
    <w:rsid w:val="00BC387F"/>
    <w:rsid w:val="00BC698C"/>
    <w:rsid w:val="00BC72FD"/>
    <w:rsid w:val="00BD1A38"/>
    <w:rsid w:val="00BE5CF0"/>
    <w:rsid w:val="00BE6683"/>
    <w:rsid w:val="00BE7447"/>
    <w:rsid w:val="00BF1FC5"/>
    <w:rsid w:val="00C00CDB"/>
    <w:rsid w:val="00C02923"/>
    <w:rsid w:val="00C057E0"/>
    <w:rsid w:val="00C05C65"/>
    <w:rsid w:val="00C05FDE"/>
    <w:rsid w:val="00C07D24"/>
    <w:rsid w:val="00C07E84"/>
    <w:rsid w:val="00C07EE8"/>
    <w:rsid w:val="00C145D3"/>
    <w:rsid w:val="00C239D8"/>
    <w:rsid w:val="00C25661"/>
    <w:rsid w:val="00C31BD9"/>
    <w:rsid w:val="00C33FFB"/>
    <w:rsid w:val="00C461F3"/>
    <w:rsid w:val="00C46C27"/>
    <w:rsid w:val="00C5694A"/>
    <w:rsid w:val="00C60655"/>
    <w:rsid w:val="00C61FD2"/>
    <w:rsid w:val="00C70958"/>
    <w:rsid w:val="00C86EB9"/>
    <w:rsid w:val="00C90747"/>
    <w:rsid w:val="00C92FAD"/>
    <w:rsid w:val="00CA6956"/>
    <w:rsid w:val="00CC1541"/>
    <w:rsid w:val="00CC35B5"/>
    <w:rsid w:val="00CC69CF"/>
    <w:rsid w:val="00CD014B"/>
    <w:rsid w:val="00CE3176"/>
    <w:rsid w:val="00CE3FCC"/>
    <w:rsid w:val="00CF2264"/>
    <w:rsid w:val="00CF5BB6"/>
    <w:rsid w:val="00D14234"/>
    <w:rsid w:val="00D151E0"/>
    <w:rsid w:val="00D154A7"/>
    <w:rsid w:val="00D161D4"/>
    <w:rsid w:val="00D217E0"/>
    <w:rsid w:val="00D220FC"/>
    <w:rsid w:val="00D22F8B"/>
    <w:rsid w:val="00D24A37"/>
    <w:rsid w:val="00D263AC"/>
    <w:rsid w:val="00D26636"/>
    <w:rsid w:val="00D37BA3"/>
    <w:rsid w:val="00D46725"/>
    <w:rsid w:val="00D509B1"/>
    <w:rsid w:val="00D57C49"/>
    <w:rsid w:val="00D6081F"/>
    <w:rsid w:val="00D61646"/>
    <w:rsid w:val="00D64761"/>
    <w:rsid w:val="00D64EC3"/>
    <w:rsid w:val="00D70B3D"/>
    <w:rsid w:val="00D70D97"/>
    <w:rsid w:val="00D71E52"/>
    <w:rsid w:val="00D770E7"/>
    <w:rsid w:val="00D77377"/>
    <w:rsid w:val="00D77706"/>
    <w:rsid w:val="00D82E52"/>
    <w:rsid w:val="00D84B85"/>
    <w:rsid w:val="00D87798"/>
    <w:rsid w:val="00D93332"/>
    <w:rsid w:val="00DA7178"/>
    <w:rsid w:val="00DB5BE3"/>
    <w:rsid w:val="00DB68F6"/>
    <w:rsid w:val="00DB6CFD"/>
    <w:rsid w:val="00DC0136"/>
    <w:rsid w:val="00DC23A8"/>
    <w:rsid w:val="00DC4656"/>
    <w:rsid w:val="00DC5921"/>
    <w:rsid w:val="00DC6048"/>
    <w:rsid w:val="00DC733A"/>
    <w:rsid w:val="00DD0276"/>
    <w:rsid w:val="00DD5AD4"/>
    <w:rsid w:val="00DE37C6"/>
    <w:rsid w:val="00DE4A59"/>
    <w:rsid w:val="00DE6813"/>
    <w:rsid w:val="00E00E13"/>
    <w:rsid w:val="00E018F2"/>
    <w:rsid w:val="00E036C7"/>
    <w:rsid w:val="00E07B42"/>
    <w:rsid w:val="00E21A1F"/>
    <w:rsid w:val="00E224F4"/>
    <w:rsid w:val="00E25BD4"/>
    <w:rsid w:val="00E30E7F"/>
    <w:rsid w:val="00E32A56"/>
    <w:rsid w:val="00E32AA5"/>
    <w:rsid w:val="00E35CB8"/>
    <w:rsid w:val="00E47D83"/>
    <w:rsid w:val="00E523FE"/>
    <w:rsid w:val="00E52CC1"/>
    <w:rsid w:val="00E539B5"/>
    <w:rsid w:val="00E54D3A"/>
    <w:rsid w:val="00E56FCE"/>
    <w:rsid w:val="00E649D9"/>
    <w:rsid w:val="00E653D4"/>
    <w:rsid w:val="00E67431"/>
    <w:rsid w:val="00E71CFE"/>
    <w:rsid w:val="00E74168"/>
    <w:rsid w:val="00E84E35"/>
    <w:rsid w:val="00E93087"/>
    <w:rsid w:val="00E94F00"/>
    <w:rsid w:val="00E96194"/>
    <w:rsid w:val="00EA0486"/>
    <w:rsid w:val="00EA6A6D"/>
    <w:rsid w:val="00EA7C92"/>
    <w:rsid w:val="00EC5424"/>
    <w:rsid w:val="00EC699B"/>
    <w:rsid w:val="00ED09BE"/>
    <w:rsid w:val="00ED67E9"/>
    <w:rsid w:val="00ED6D95"/>
    <w:rsid w:val="00EE37B7"/>
    <w:rsid w:val="00EE7C38"/>
    <w:rsid w:val="00F12E8B"/>
    <w:rsid w:val="00F273BB"/>
    <w:rsid w:val="00F27BB2"/>
    <w:rsid w:val="00F30AE9"/>
    <w:rsid w:val="00F30B42"/>
    <w:rsid w:val="00F375A5"/>
    <w:rsid w:val="00F40E20"/>
    <w:rsid w:val="00F55BDD"/>
    <w:rsid w:val="00F57F3C"/>
    <w:rsid w:val="00F61692"/>
    <w:rsid w:val="00F7046D"/>
    <w:rsid w:val="00F87EA5"/>
    <w:rsid w:val="00FA104F"/>
    <w:rsid w:val="00FA55C0"/>
    <w:rsid w:val="00FA7736"/>
    <w:rsid w:val="00FA7A11"/>
    <w:rsid w:val="00FB0040"/>
    <w:rsid w:val="00FB05F1"/>
    <w:rsid w:val="00FB1DD3"/>
    <w:rsid w:val="00FD1472"/>
    <w:rsid w:val="00FD26EF"/>
    <w:rsid w:val="00FD2D00"/>
    <w:rsid w:val="00FD5BDC"/>
    <w:rsid w:val="00FE33F5"/>
    <w:rsid w:val="00FE3D2B"/>
    <w:rsid w:val="00FE3DFA"/>
    <w:rsid w:val="00FE4B31"/>
    <w:rsid w:val="00FE6838"/>
    <w:rsid w:val="00FF327F"/>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AD2C"/>
  <w15:docId w15:val="{A9047175-9BF6-494C-B8BE-6F495BC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DD"/>
  </w:style>
  <w:style w:type="paragraph" w:styleId="Heading1">
    <w:name w:val="heading 1"/>
    <w:basedOn w:val="Normal"/>
    <w:next w:val="Normal"/>
    <w:link w:val="Heading1Char"/>
    <w:uiPriority w:val="9"/>
    <w:qFormat/>
    <w:rsid w:val="00082E26"/>
    <w:pPr>
      <w:keepNext/>
      <w:keepLines/>
      <w:numPr>
        <w:numId w:val="17"/>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numPr>
        <w:ilvl w:val="1"/>
        <w:numId w:val="17"/>
      </w:numPr>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17"/>
      </w:numPr>
      <w:outlineLvl w:val="2"/>
    </w:pPr>
    <w:rPr>
      <w:rFonts w:eastAsiaTheme="majorEastAsia" w:cstheme="majorBidi"/>
      <w:b/>
      <w:bCs/>
      <w:i/>
      <w:color w:val="4E1A74"/>
      <w:sz w:val="24"/>
    </w:rPr>
  </w:style>
  <w:style w:type="paragraph" w:styleId="Heading4">
    <w:name w:val="heading 4"/>
    <w:aliases w:val="Appendix"/>
    <w:basedOn w:val="Normal"/>
    <w:next w:val="Normal"/>
    <w:link w:val="Heading4Char"/>
    <w:uiPriority w:val="9"/>
    <w:unhideWhenUsed/>
    <w:qFormat/>
    <w:rsid w:val="0041095A"/>
    <w:pPr>
      <w:keepNext/>
      <w:keepLines/>
      <w:numPr>
        <w:ilvl w:val="3"/>
        <w:numId w:val="17"/>
      </w:numPr>
      <w:outlineLvl w:val="3"/>
    </w:pPr>
    <w:rPr>
      <w:rFonts w:ascii="Calibri" w:eastAsiaTheme="majorEastAsia" w:hAnsi="Calibri" w:cstheme="majorBidi"/>
      <w:b/>
      <w:bCs/>
      <w:iCs/>
      <w:color w:val="4E1A74" w:themeColor="text2"/>
      <w:sz w:val="32"/>
    </w:rPr>
  </w:style>
  <w:style w:type="paragraph" w:styleId="Heading5">
    <w:name w:val="heading 5"/>
    <w:basedOn w:val="Normal"/>
    <w:next w:val="Normal"/>
    <w:link w:val="Heading5Char"/>
    <w:uiPriority w:val="9"/>
    <w:semiHidden/>
    <w:unhideWhenUsed/>
    <w:rsid w:val="00262C77"/>
    <w:pPr>
      <w:keepNext/>
      <w:keepLines/>
      <w:spacing w:before="4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262C77"/>
    <w:pPr>
      <w:keepNext/>
      <w:keepLines/>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262C77"/>
    <w:pPr>
      <w:keepNext/>
      <w:keepLines/>
      <w:spacing w:before="4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262C77"/>
    <w:pPr>
      <w:keepNext/>
      <w:keepLines/>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262C77"/>
    <w:pPr>
      <w:keepNext/>
      <w:keepLines/>
      <w:spacing w:before="4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BB54FF"/>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BB54FF"/>
    <w:rPr>
      <w:sz w:val="18"/>
      <w:szCs w:val="20"/>
    </w:rPr>
  </w:style>
  <w:style w:type="character" w:styleId="FootnoteReference">
    <w:name w:val="footnote reference"/>
    <w:basedOn w:val="DefaultParagraphFont"/>
    <w:uiPriority w:val="99"/>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aliases w:val="Appendix Char"/>
    <w:basedOn w:val="DefaultParagraphFont"/>
    <w:link w:val="Heading4"/>
    <w:uiPriority w:val="9"/>
    <w:rsid w:val="0041095A"/>
    <w:rPr>
      <w:rFonts w:ascii="Calibri" w:eastAsiaTheme="majorEastAsia" w:hAnsi="Calibri" w:cstheme="majorBidi"/>
      <w:b/>
      <w:bCs/>
      <w:iCs/>
      <w:color w:val="4E1A74" w:themeColor="text2"/>
      <w:sz w:val="32"/>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31653E"/>
    <w:pPr>
      <w:tabs>
        <w:tab w:val="right" w:leader="dot" w:pos="9628"/>
      </w:tabs>
    </w:pPr>
    <w:rPr>
      <w:b/>
      <w:color w:val="4E1A74"/>
    </w:rPr>
  </w:style>
  <w:style w:type="paragraph" w:styleId="TOC2">
    <w:name w:val="toc 2"/>
    <w:basedOn w:val="Normal"/>
    <w:next w:val="Normal"/>
    <w:autoRedefine/>
    <w:uiPriority w:val="39"/>
    <w:unhideWhenUsed/>
    <w:rsid w:val="00422D1D"/>
    <w:pPr>
      <w:tabs>
        <w:tab w:val="left" w:pos="1100"/>
        <w:tab w:val="right" w:leader="dot" w:pos="9628"/>
      </w:tabs>
      <w:spacing w:before="100"/>
      <w:ind w:left="567"/>
    </w:pPr>
    <w:rPr>
      <w:noProof/>
    </w:rPr>
  </w:style>
  <w:style w:type="paragraph" w:styleId="TOC3">
    <w:name w:val="toc 3"/>
    <w:basedOn w:val="Normal"/>
    <w:next w:val="Normal"/>
    <w:autoRedefine/>
    <w:uiPriority w:val="39"/>
    <w:unhideWhenUsed/>
    <w:rsid w:val="0031653E"/>
    <w:pPr>
      <w:tabs>
        <w:tab w:val="left" w:pos="1134"/>
        <w:tab w:val="right" w:leader="dot" w:pos="9628"/>
      </w:tabs>
      <w:ind w:left="567" w:hanging="567"/>
    </w:pPr>
    <w:rPr>
      <w:b/>
      <w:noProof/>
      <w:color w:val="4E1A74" w:themeColor="text2"/>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067C8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customStyle="1" w:styleId="TechRep">
    <w:name w:val="Tech Rep"/>
    <w:basedOn w:val="Normal"/>
    <w:link w:val="TechRepChar"/>
    <w:qFormat/>
    <w:rsid w:val="00067C8C"/>
    <w:pPr>
      <w:spacing w:before="200" w:after="240"/>
      <w:jc w:val="both"/>
    </w:pPr>
    <w:rPr>
      <w:rFonts w:ascii="Calibri" w:eastAsia="Calibri" w:hAnsi="Calibri" w:cs="Times New Roman"/>
      <w:color w:val="22508C" w:themeColor="text1" w:themeTint="D9"/>
      <w:szCs w:val="24"/>
    </w:rPr>
  </w:style>
  <w:style w:type="character" w:customStyle="1" w:styleId="TechRepChar">
    <w:name w:val="Tech Rep Char"/>
    <w:link w:val="TechRep"/>
    <w:rsid w:val="00067C8C"/>
    <w:rPr>
      <w:rFonts w:ascii="Calibri" w:eastAsia="Calibri" w:hAnsi="Calibri" w:cs="Times New Roman"/>
      <w:color w:val="22508C" w:themeColor="text1" w:themeTint="D9"/>
      <w:szCs w:val="24"/>
    </w:rPr>
  </w:style>
  <w:style w:type="paragraph" w:customStyle="1" w:styleId="Recommendation">
    <w:name w:val="Recommendation"/>
    <w:basedOn w:val="Normal"/>
    <w:qFormat/>
    <w:rsid w:val="00FE4B31"/>
    <w:pPr>
      <w:pBdr>
        <w:top w:val="single" w:sz="4" w:space="12" w:color="F3EAFA"/>
        <w:left w:val="single" w:sz="4" w:space="12" w:color="F3EAFA"/>
        <w:bottom w:val="single" w:sz="4" w:space="12" w:color="F3EAFA"/>
        <w:right w:val="single" w:sz="4" w:space="12" w:color="F3EAFA"/>
      </w:pBdr>
      <w:shd w:val="clear" w:color="auto" w:fill="F3EAFA"/>
      <w:spacing w:before="360" w:after="360"/>
      <w:ind w:left="284" w:right="284"/>
    </w:pPr>
    <w:rPr>
      <w:b/>
      <w:color w:val="4E1A74" w:themeColor="text2"/>
      <w:sz w:val="24"/>
    </w:rPr>
  </w:style>
  <w:style w:type="character" w:styleId="IntenseReference">
    <w:name w:val="Intense Reference"/>
    <w:basedOn w:val="DefaultParagraphFont"/>
    <w:uiPriority w:val="32"/>
    <w:qFormat/>
    <w:rsid w:val="00051729"/>
    <w:rPr>
      <w:b/>
      <w:bCs/>
      <w:smallCaps/>
      <w:color w:val="2B992B" w:themeColor="accent2"/>
      <w:spacing w:val="5"/>
      <w:u w:val="single"/>
    </w:rPr>
  </w:style>
  <w:style w:type="character" w:styleId="BookTitle">
    <w:name w:val="Book Title"/>
    <w:basedOn w:val="DefaultParagraphFont"/>
    <w:uiPriority w:val="33"/>
    <w:rsid w:val="00051729"/>
    <w:rPr>
      <w:b/>
      <w:bCs/>
      <w:smallCaps/>
      <w:spacing w:val="5"/>
    </w:rPr>
  </w:style>
  <w:style w:type="paragraph" w:styleId="Quote">
    <w:name w:val="Quote"/>
    <w:basedOn w:val="Normal"/>
    <w:next w:val="Normal"/>
    <w:link w:val="QuoteChar"/>
    <w:uiPriority w:val="29"/>
    <w:qFormat/>
    <w:rsid w:val="00051729"/>
    <w:rPr>
      <w:i/>
      <w:iCs/>
      <w:color w:val="17365D" w:themeColor="text1"/>
    </w:rPr>
  </w:style>
  <w:style w:type="character" w:customStyle="1" w:styleId="QuoteChar">
    <w:name w:val="Quote Char"/>
    <w:basedOn w:val="DefaultParagraphFont"/>
    <w:link w:val="Quote"/>
    <w:uiPriority w:val="29"/>
    <w:rsid w:val="00051729"/>
    <w:rPr>
      <w:i/>
      <w:iCs/>
      <w:color w:val="17365D" w:themeColor="text1"/>
    </w:rPr>
  </w:style>
  <w:style w:type="character" w:styleId="Strong">
    <w:name w:val="Strong"/>
    <w:basedOn w:val="DefaultParagraphFont"/>
    <w:uiPriority w:val="22"/>
    <w:qFormat/>
    <w:rsid w:val="00051729"/>
    <w:rPr>
      <w:b/>
      <w:bCs/>
    </w:rPr>
  </w:style>
  <w:style w:type="paragraph" w:customStyle="1" w:styleId="Heading1Nonumber">
    <w:name w:val="Heading 1 No number"/>
    <w:basedOn w:val="Heading1"/>
    <w:qFormat/>
    <w:rsid w:val="00AD297B"/>
    <w:pPr>
      <w:numPr>
        <w:numId w:val="0"/>
      </w:numPr>
    </w:pPr>
  </w:style>
  <w:style w:type="paragraph" w:styleId="TOC4">
    <w:name w:val="toc 4"/>
    <w:basedOn w:val="Heading1"/>
    <w:next w:val="Normal"/>
    <w:autoRedefine/>
    <w:uiPriority w:val="39"/>
    <w:unhideWhenUsed/>
    <w:rsid w:val="002E450D"/>
    <w:pPr>
      <w:spacing w:after="100"/>
      <w:ind w:left="660"/>
    </w:pPr>
  </w:style>
  <w:style w:type="paragraph" w:styleId="NormalWeb">
    <w:name w:val="Normal (Web)"/>
    <w:basedOn w:val="Normal"/>
    <w:uiPriority w:val="99"/>
    <w:semiHidden/>
    <w:unhideWhenUsed/>
    <w:rsid w:val="0080578C"/>
    <w:rPr>
      <w:rFonts w:ascii="Times New Roman" w:hAnsi="Times New Roman"/>
      <w:sz w:val="24"/>
      <w:szCs w:val="24"/>
      <w:lang w:eastAsia="en-AU"/>
    </w:rPr>
  </w:style>
  <w:style w:type="paragraph" w:customStyle="1" w:styleId="Heading51">
    <w:name w:val="Heading 51"/>
    <w:basedOn w:val="Normal"/>
    <w:next w:val="Normal"/>
    <w:uiPriority w:val="9"/>
    <w:semiHidden/>
    <w:unhideWhenUsed/>
    <w:rsid w:val="00262C77"/>
    <w:pPr>
      <w:numPr>
        <w:ilvl w:val="4"/>
        <w:numId w:val="23"/>
      </w:numPr>
      <w:spacing w:after="60"/>
      <w:ind w:left="3600" w:hanging="360"/>
      <w:outlineLvl w:val="4"/>
    </w:pPr>
    <w:rPr>
      <w:rFonts w:ascii="Calibri" w:eastAsia="Times New Roman" w:hAnsi="Calibri"/>
      <w:b/>
      <w:bCs/>
      <w:i/>
      <w:iCs/>
      <w:sz w:val="26"/>
      <w:szCs w:val="26"/>
      <w:lang w:eastAsia="en-AU"/>
    </w:rPr>
  </w:style>
  <w:style w:type="paragraph" w:customStyle="1" w:styleId="Heading61">
    <w:name w:val="Heading 61"/>
    <w:basedOn w:val="Normal"/>
    <w:next w:val="Normal"/>
    <w:uiPriority w:val="9"/>
    <w:semiHidden/>
    <w:unhideWhenUsed/>
    <w:qFormat/>
    <w:rsid w:val="00262C77"/>
    <w:pPr>
      <w:keepNext/>
      <w:keepLines/>
      <w:spacing w:before="40"/>
      <w:outlineLvl w:val="5"/>
    </w:pPr>
    <w:rPr>
      <w:rFonts w:ascii="Cambria" w:eastAsia="Times New Roman" w:hAnsi="Cambria" w:cs="Times New Roman"/>
      <w:color w:val="243F60"/>
      <w:lang w:eastAsia="en-AU"/>
    </w:rPr>
  </w:style>
  <w:style w:type="paragraph" w:customStyle="1" w:styleId="Heading71">
    <w:name w:val="Heading 71"/>
    <w:basedOn w:val="Normal"/>
    <w:next w:val="Normal"/>
    <w:uiPriority w:val="9"/>
    <w:semiHidden/>
    <w:unhideWhenUsed/>
    <w:qFormat/>
    <w:rsid w:val="00262C77"/>
    <w:pPr>
      <w:keepNext/>
      <w:keepLines/>
      <w:spacing w:before="40"/>
      <w:outlineLvl w:val="6"/>
    </w:pPr>
    <w:rPr>
      <w:rFonts w:ascii="Cambria" w:eastAsia="Times New Roman" w:hAnsi="Cambria" w:cs="Times New Roman"/>
      <w:i/>
      <w:iCs/>
      <w:color w:val="243F60"/>
      <w:lang w:eastAsia="en-AU"/>
    </w:rPr>
  </w:style>
  <w:style w:type="paragraph" w:customStyle="1" w:styleId="Heading81">
    <w:name w:val="Heading 81"/>
    <w:basedOn w:val="Normal"/>
    <w:next w:val="Normal"/>
    <w:uiPriority w:val="9"/>
    <w:semiHidden/>
    <w:unhideWhenUsed/>
    <w:qFormat/>
    <w:rsid w:val="00262C77"/>
    <w:pPr>
      <w:keepNext/>
      <w:keepLines/>
      <w:spacing w:before="40"/>
      <w:outlineLvl w:val="7"/>
    </w:pPr>
    <w:rPr>
      <w:rFonts w:ascii="Cambria" w:eastAsia="Times New Roman" w:hAnsi="Cambria" w:cs="Times New Roman"/>
      <w:color w:val="272727"/>
      <w:sz w:val="21"/>
      <w:szCs w:val="21"/>
      <w:lang w:eastAsia="en-AU"/>
    </w:rPr>
  </w:style>
  <w:style w:type="paragraph" w:customStyle="1" w:styleId="Heading91">
    <w:name w:val="Heading 91"/>
    <w:basedOn w:val="Normal"/>
    <w:next w:val="Normal"/>
    <w:uiPriority w:val="9"/>
    <w:semiHidden/>
    <w:unhideWhenUsed/>
    <w:qFormat/>
    <w:rsid w:val="00262C77"/>
    <w:pPr>
      <w:keepNext/>
      <w:keepLines/>
      <w:spacing w:before="40"/>
      <w:outlineLvl w:val="8"/>
    </w:pPr>
    <w:rPr>
      <w:rFonts w:ascii="Cambria" w:eastAsia="Times New Roman" w:hAnsi="Cambria" w:cs="Times New Roman"/>
      <w:i/>
      <w:iCs/>
      <w:color w:val="272727"/>
      <w:sz w:val="21"/>
      <w:szCs w:val="21"/>
      <w:lang w:eastAsia="en-AU"/>
    </w:rPr>
  </w:style>
  <w:style w:type="character" w:customStyle="1" w:styleId="Heading5Char">
    <w:name w:val="Heading 5 Char"/>
    <w:basedOn w:val="DefaultParagraphFont"/>
    <w:link w:val="Heading5"/>
    <w:uiPriority w:val="9"/>
    <w:semiHidden/>
    <w:rsid w:val="00262C77"/>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262C77"/>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262C77"/>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262C77"/>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262C77"/>
    <w:rPr>
      <w:rFonts w:ascii="Cambria" w:eastAsia="Times New Roman" w:hAnsi="Cambria" w:cs="Times New Roman"/>
      <w:i/>
      <w:iCs/>
      <w:color w:val="272727"/>
      <w:sz w:val="21"/>
      <w:szCs w:val="21"/>
    </w:rPr>
  </w:style>
  <w:style w:type="paragraph" w:customStyle="1" w:styleId="ListBullet1">
    <w:name w:val="List Bullet1"/>
    <w:basedOn w:val="Normal"/>
    <w:next w:val="ListBullet"/>
    <w:uiPriority w:val="99"/>
    <w:unhideWhenUsed/>
    <w:rsid w:val="00262C77"/>
    <w:pPr>
      <w:numPr>
        <w:numId w:val="19"/>
      </w:numPr>
      <w:tabs>
        <w:tab w:val="clear" w:pos="360"/>
      </w:tabs>
      <w:spacing w:before="120"/>
      <w:ind w:left="357" w:hanging="357"/>
    </w:pPr>
    <w:rPr>
      <w:lang w:eastAsia="en-AU"/>
    </w:rPr>
  </w:style>
  <w:style w:type="paragraph" w:customStyle="1" w:styleId="ListBullet21">
    <w:name w:val="List Bullet 21"/>
    <w:basedOn w:val="Normal"/>
    <w:next w:val="ListBullet2"/>
    <w:uiPriority w:val="99"/>
    <w:unhideWhenUsed/>
    <w:rsid w:val="00262C77"/>
    <w:pPr>
      <w:numPr>
        <w:numId w:val="20"/>
      </w:numPr>
      <w:spacing w:before="120" w:after="100" w:afterAutospacing="1"/>
      <w:ind w:left="714" w:hanging="357"/>
    </w:pPr>
    <w:rPr>
      <w:lang w:eastAsia="en-AU"/>
    </w:rPr>
  </w:style>
  <w:style w:type="paragraph" w:customStyle="1" w:styleId="Reference">
    <w:name w:val="Reference"/>
    <w:basedOn w:val="Normal"/>
    <w:rsid w:val="00262C77"/>
    <w:pPr>
      <w:ind w:left="540" w:hanging="540"/>
    </w:pPr>
    <w:rPr>
      <w:rFonts w:eastAsia="Times New Roman"/>
      <w:szCs w:val="24"/>
      <w:lang w:eastAsia="en-AU"/>
    </w:rPr>
  </w:style>
  <w:style w:type="character" w:styleId="CommentReference">
    <w:name w:val="annotation reference"/>
    <w:basedOn w:val="DefaultParagraphFont"/>
    <w:uiPriority w:val="99"/>
    <w:semiHidden/>
    <w:unhideWhenUsed/>
    <w:rsid w:val="00262C77"/>
    <w:rPr>
      <w:sz w:val="16"/>
      <w:szCs w:val="16"/>
    </w:rPr>
  </w:style>
  <w:style w:type="paragraph" w:customStyle="1" w:styleId="CommentText1">
    <w:name w:val="Comment Text1"/>
    <w:basedOn w:val="Normal"/>
    <w:next w:val="CommentText"/>
    <w:link w:val="CommentTextChar"/>
    <w:uiPriority w:val="99"/>
    <w:semiHidden/>
    <w:unhideWhenUsed/>
    <w:rsid w:val="00262C77"/>
    <w:rPr>
      <w:sz w:val="20"/>
      <w:szCs w:val="20"/>
    </w:rPr>
  </w:style>
  <w:style w:type="character" w:customStyle="1" w:styleId="CommentTextChar">
    <w:name w:val="Comment Text Char"/>
    <w:basedOn w:val="DefaultParagraphFont"/>
    <w:link w:val="CommentText1"/>
    <w:uiPriority w:val="99"/>
    <w:semiHidden/>
    <w:rsid w:val="00262C77"/>
    <w:rPr>
      <w:sz w:val="20"/>
      <w:szCs w:val="20"/>
    </w:rPr>
  </w:style>
  <w:style w:type="paragraph" w:customStyle="1" w:styleId="CommentSubject1">
    <w:name w:val="Comment Subject1"/>
    <w:basedOn w:val="CommentText"/>
    <w:next w:val="CommentText"/>
    <w:uiPriority w:val="99"/>
    <w:semiHidden/>
    <w:unhideWhenUsed/>
    <w:rsid w:val="00262C77"/>
    <w:pPr>
      <w:spacing w:line="264" w:lineRule="auto"/>
    </w:pPr>
    <w:rPr>
      <w:b/>
      <w:bCs/>
      <w:lang w:eastAsia="en-AU"/>
    </w:rPr>
  </w:style>
  <w:style w:type="character" w:customStyle="1" w:styleId="CommentSubjectChar">
    <w:name w:val="Comment Subject Char"/>
    <w:basedOn w:val="CommentTextChar"/>
    <w:link w:val="CommentSubject"/>
    <w:uiPriority w:val="99"/>
    <w:semiHidden/>
    <w:rsid w:val="00262C77"/>
    <w:rPr>
      <w:b/>
      <w:bCs/>
      <w:sz w:val="20"/>
      <w:szCs w:val="20"/>
    </w:rPr>
  </w:style>
  <w:style w:type="table" w:customStyle="1" w:styleId="TableGrid1">
    <w:name w:val="Table Grid1"/>
    <w:basedOn w:val="TableNormal"/>
    <w:next w:val="TableGrid"/>
    <w:uiPriority w:val="59"/>
    <w:rsid w:val="00262C77"/>
    <w:rPr>
      <w:rFonts w:ascii="Georgia" w:hAnsi="Georgi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262C77"/>
  </w:style>
  <w:style w:type="paragraph" w:customStyle="1" w:styleId="Default">
    <w:name w:val="Default"/>
    <w:rsid w:val="00262C77"/>
    <w:pPr>
      <w:autoSpaceDE w:val="0"/>
      <w:autoSpaceDN w:val="0"/>
      <w:adjustRightInd w:val="0"/>
    </w:pPr>
    <w:rPr>
      <w:rFonts w:ascii="Aparajita" w:hAnsi="Aparajita" w:cs="Aparajita"/>
      <w:color w:val="000000"/>
      <w:sz w:val="24"/>
      <w:szCs w:val="24"/>
      <w:lang w:eastAsia="en-AU"/>
    </w:rPr>
  </w:style>
  <w:style w:type="paragraph" w:customStyle="1" w:styleId="TableNormal1">
    <w:name w:val="Table Normal1"/>
    <w:basedOn w:val="Normal"/>
    <w:rsid w:val="00262C77"/>
    <w:pPr>
      <w:keepNext/>
      <w:spacing w:before="60" w:after="60"/>
    </w:pPr>
    <w:rPr>
      <w:sz w:val="20"/>
      <w:lang w:eastAsia="en-AU"/>
    </w:rPr>
  </w:style>
  <w:style w:type="paragraph" w:customStyle="1" w:styleId="StyleReferenceLeft0cmFirstline0cm">
    <w:name w:val="Style Reference + Left:  0 cm First line:  0 cm"/>
    <w:basedOn w:val="Normal"/>
    <w:rsid w:val="00262C77"/>
    <w:pPr>
      <w:numPr>
        <w:numId w:val="22"/>
      </w:numPr>
      <w:tabs>
        <w:tab w:val="clear" w:pos="720"/>
      </w:tabs>
      <w:spacing w:before="0"/>
      <w:ind w:left="360" w:hanging="360"/>
    </w:pPr>
    <w:rPr>
      <w:rFonts w:eastAsia="Times New Roman"/>
      <w:szCs w:val="24"/>
      <w:lang w:eastAsia="en-AU"/>
    </w:rPr>
  </w:style>
  <w:style w:type="paragraph" w:customStyle="1" w:styleId="ListNumber1">
    <w:name w:val="List Number1"/>
    <w:basedOn w:val="Normal"/>
    <w:next w:val="ListNumber"/>
    <w:rsid w:val="00262C77"/>
    <w:pPr>
      <w:tabs>
        <w:tab w:val="num" w:pos="360"/>
      </w:tabs>
      <w:spacing w:before="0" w:after="240"/>
      <w:ind w:left="360" w:hanging="360"/>
    </w:pPr>
    <w:rPr>
      <w:rFonts w:eastAsia="Times New Roman"/>
      <w:szCs w:val="24"/>
      <w:lang w:eastAsia="en-AU"/>
    </w:rPr>
  </w:style>
  <w:style w:type="paragraph" w:customStyle="1" w:styleId="CM25">
    <w:name w:val="CM25"/>
    <w:basedOn w:val="Default"/>
    <w:next w:val="Default"/>
    <w:uiPriority w:val="99"/>
    <w:rsid w:val="00262C77"/>
    <w:pPr>
      <w:widowControl w:val="0"/>
    </w:pPr>
    <w:rPr>
      <w:rFonts w:ascii="Arial" w:eastAsia="Times New Roman" w:hAnsi="Arial" w:cs="Arial"/>
      <w:color w:val="auto"/>
    </w:rPr>
  </w:style>
  <w:style w:type="paragraph" w:customStyle="1" w:styleId="CM19">
    <w:name w:val="CM19"/>
    <w:basedOn w:val="Default"/>
    <w:next w:val="Default"/>
    <w:uiPriority w:val="99"/>
    <w:rsid w:val="00262C77"/>
    <w:pPr>
      <w:widowControl w:val="0"/>
    </w:pPr>
    <w:rPr>
      <w:rFonts w:ascii="Arial" w:eastAsia="Times New Roman" w:hAnsi="Arial" w:cs="Arial"/>
      <w:color w:val="auto"/>
    </w:rPr>
  </w:style>
  <w:style w:type="paragraph" w:customStyle="1" w:styleId="CM21">
    <w:name w:val="CM21"/>
    <w:basedOn w:val="Default"/>
    <w:next w:val="Default"/>
    <w:uiPriority w:val="99"/>
    <w:rsid w:val="00262C77"/>
    <w:pPr>
      <w:widowControl w:val="0"/>
    </w:pPr>
    <w:rPr>
      <w:rFonts w:ascii="Arial" w:eastAsia="Times New Roman" w:hAnsi="Arial" w:cs="Arial"/>
      <w:color w:val="auto"/>
    </w:rPr>
  </w:style>
  <w:style w:type="paragraph" w:customStyle="1" w:styleId="CM10">
    <w:name w:val="CM10"/>
    <w:basedOn w:val="Default"/>
    <w:next w:val="Default"/>
    <w:uiPriority w:val="99"/>
    <w:rsid w:val="00262C77"/>
    <w:pPr>
      <w:spacing w:line="206" w:lineRule="atLeast"/>
    </w:pPr>
    <w:rPr>
      <w:rFonts w:ascii="Times New Roman" w:hAnsi="Times New Roman" w:cs="Times New Roman"/>
      <w:color w:val="auto"/>
    </w:rPr>
  </w:style>
  <w:style w:type="paragraph" w:customStyle="1" w:styleId="Glossarydefinition">
    <w:name w:val="Glossary definition"/>
    <w:basedOn w:val="Normal"/>
    <w:rsid w:val="00262C77"/>
    <w:pPr>
      <w:spacing w:after="240"/>
      <w:ind w:left="357"/>
    </w:pPr>
    <w:rPr>
      <w:lang w:eastAsia="en-AU"/>
    </w:rPr>
  </w:style>
  <w:style w:type="paragraph" w:customStyle="1" w:styleId="NOTINUSE">
    <w:name w:val="NOT IN USE"/>
    <w:basedOn w:val="Heading1"/>
    <w:rsid w:val="00262C77"/>
    <w:pPr>
      <w:numPr>
        <w:numId w:val="0"/>
      </w:numPr>
      <w:spacing w:after="240"/>
      <w:ind w:left="567" w:hanging="567"/>
    </w:pPr>
    <w:rPr>
      <w:lang w:eastAsia="en-AU"/>
    </w:rPr>
  </w:style>
  <w:style w:type="paragraph" w:customStyle="1" w:styleId="AppendixHeading">
    <w:name w:val="Appendix Heading"/>
    <w:basedOn w:val="Heading1"/>
    <w:next w:val="Normal"/>
    <w:rsid w:val="00262C77"/>
    <w:pPr>
      <w:numPr>
        <w:numId w:val="24"/>
      </w:numPr>
      <w:tabs>
        <w:tab w:val="num" w:pos="692"/>
        <w:tab w:val="left" w:pos="1985"/>
      </w:tabs>
      <w:ind w:left="692" w:hanging="332"/>
    </w:pPr>
    <w:rPr>
      <w:lang w:eastAsia="en-AU"/>
    </w:rPr>
  </w:style>
  <w:style w:type="paragraph" w:customStyle="1" w:styleId="Appendixheading2">
    <w:name w:val="Appendix heading 2"/>
    <w:basedOn w:val="Heading2"/>
    <w:next w:val="Normal"/>
    <w:autoRedefine/>
    <w:rsid w:val="00262C77"/>
    <w:pPr>
      <w:numPr>
        <w:numId w:val="24"/>
      </w:numPr>
      <w:tabs>
        <w:tab w:val="left" w:pos="851"/>
        <w:tab w:val="num" w:pos="1440"/>
      </w:tabs>
      <w:ind w:left="1440" w:hanging="360"/>
    </w:pPr>
    <w:rPr>
      <w:lang w:eastAsia="en-AU"/>
    </w:rPr>
  </w:style>
  <w:style w:type="paragraph" w:customStyle="1" w:styleId="normalreference">
    <w:name w:val="normal reference"/>
    <w:basedOn w:val="Normal"/>
    <w:rsid w:val="00262C77"/>
    <w:pPr>
      <w:widowControl w:val="0"/>
      <w:autoSpaceDE w:val="0"/>
      <w:autoSpaceDN w:val="0"/>
      <w:ind w:left="397" w:hanging="397"/>
    </w:pPr>
    <w:rPr>
      <w:rFonts w:ascii="Times New Roman" w:eastAsia="Times New Roman" w:hAnsi="Times New Roman"/>
      <w:szCs w:val="24"/>
      <w:lang w:eastAsia="en-AU"/>
    </w:rPr>
  </w:style>
  <w:style w:type="paragraph" w:customStyle="1" w:styleId="EndnoteText1">
    <w:name w:val="Endnote Text1"/>
    <w:basedOn w:val="Normal"/>
    <w:next w:val="EndnoteText"/>
    <w:link w:val="EndnoteTextChar"/>
    <w:uiPriority w:val="99"/>
    <w:semiHidden/>
    <w:unhideWhenUsed/>
    <w:rsid w:val="00262C77"/>
    <w:rPr>
      <w:sz w:val="20"/>
      <w:szCs w:val="20"/>
    </w:rPr>
  </w:style>
  <w:style w:type="character" w:customStyle="1" w:styleId="EndnoteTextChar">
    <w:name w:val="Endnote Text Char"/>
    <w:basedOn w:val="DefaultParagraphFont"/>
    <w:link w:val="EndnoteText1"/>
    <w:uiPriority w:val="99"/>
    <w:semiHidden/>
    <w:rsid w:val="00262C77"/>
    <w:rPr>
      <w:sz w:val="20"/>
      <w:szCs w:val="20"/>
    </w:rPr>
  </w:style>
  <w:style w:type="character" w:styleId="EndnoteReference">
    <w:name w:val="endnote reference"/>
    <w:basedOn w:val="DefaultParagraphFont"/>
    <w:uiPriority w:val="99"/>
    <w:semiHidden/>
    <w:unhideWhenUsed/>
    <w:rsid w:val="00262C77"/>
    <w:rPr>
      <w:vertAlign w:val="superscript"/>
    </w:rPr>
  </w:style>
  <w:style w:type="paragraph" w:customStyle="1" w:styleId="Style1">
    <w:name w:val="Style1"/>
    <w:basedOn w:val="Heading2"/>
    <w:link w:val="Style1Char"/>
    <w:rsid w:val="00262C77"/>
    <w:pPr>
      <w:numPr>
        <w:numId w:val="13"/>
      </w:numPr>
    </w:pPr>
    <w:rPr>
      <w:lang w:eastAsia="en-AU"/>
    </w:rPr>
  </w:style>
  <w:style w:type="character" w:customStyle="1" w:styleId="Style1Char">
    <w:name w:val="Style1 Char"/>
    <w:basedOn w:val="Heading2Char"/>
    <w:link w:val="Style1"/>
    <w:rsid w:val="00262C77"/>
    <w:rPr>
      <w:rFonts w:ascii="Calibri" w:eastAsiaTheme="majorEastAsia" w:hAnsi="Calibri" w:cstheme="majorBidi"/>
      <w:b/>
      <w:bCs/>
      <w:color w:val="4E1A74"/>
      <w:sz w:val="26"/>
      <w:szCs w:val="26"/>
      <w:lang w:eastAsia="en-AU"/>
    </w:rPr>
  </w:style>
  <w:style w:type="paragraph" w:customStyle="1" w:styleId="Revision1">
    <w:name w:val="Revision1"/>
    <w:next w:val="Revision"/>
    <w:hidden/>
    <w:uiPriority w:val="99"/>
    <w:semiHidden/>
    <w:rsid w:val="00262C77"/>
    <w:rPr>
      <w:rFonts w:ascii="Georgia" w:hAnsi="Georgia"/>
      <w:sz w:val="24"/>
    </w:rPr>
  </w:style>
  <w:style w:type="paragraph" w:customStyle="1" w:styleId="Figure">
    <w:name w:val="Figure"/>
    <w:basedOn w:val="Caption"/>
    <w:rsid w:val="00262C77"/>
    <w:pPr>
      <w:ind w:left="993" w:hanging="993"/>
    </w:pPr>
    <w:rPr>
      <w:b w:val="0"/>
      <w:color w:val="365F91"/>
      <w:lang w:eastAsia="en-AU"/>
    </w:rPr>
  </w:style>
  <w:style w:type="paragraph" w:customStyle="1" w:styleId="Table">
    <w:name w:val="Table"/>
    <w:basedOn w:val="Figure"/>
    <w:rsid w:val="00262C77"/>
    <w:pPr>
      <w:spacing w:after="120"/>
    </w:pPr>
  </w:style>
  <w:style w:type="paragraph" w:customStyle="1" w:styleId="TableNormal2">
    <w:name w:val="Table Normal2"/>
    <w:basedOn w:val="Normal"/>
    <w:rsid w:val="00262C77"/>
    <w:pPr>
      <w:keepNext/>
      <w:spacing w:before="60" w:after="60"/>
    </w:pPr>
    <w:rPr>
      <w:sz w:val="20"/>
      <w:lang w:eastAsia="en-AU"/>
    </w:rPr>
  </w:style>
  <w:style w:type="paragraph" w:customStyle="1" w:styleId="PlainText1">
    <w:name w:val="Plain Text1"/>
    <w:basedOn w:val="Normal"/>
    <w:next w:val="PlainText"/>
    <w:link w:val="PlainTextChar"/>
    <w:uiPriority w:val="99"/>
    <w:unhideWhenUsed/>
    <w:rsid w:val="00262C77"/>
    <w:pPr>
      <w:spacing w:before="0"/>
    </w:pPr>
    <w:rPr>
      <w:rFonts w:ascii="Consolas" w:hAnsi="Consolas"/>
      <w:sz w:val="21"/>
      <w:szCs w:val="21"/>
    </w:rPr>
  </w:style>
  <w:style w:type="character" w:customStyle="1" w:styleId="PlainTextChar">
    <w:name w:val="Plain Text Char"/>
    <w:basedOn w:val="DefaultParagraphFont"/>
    <w:link w:val="PlainText1"/>
    <w:uiPriority w:val="99"/>
    <w:rsid w:val="00262C77"/>
    <w:rPr>
      <w:rFonts w:ascii="Consolas" w:hAnsi="Consolas"/>
      <w:sz w:val="21"/>
      <w:szCs w:val="21"/>
    </w:rPr>
  </w:style>
  <w:style w:type="paragraph" w:customStyle="1" w:styleId="TOC51">
    <w:name w:val="TOC 51"/>
    <w:basedOn w:val="Normal"/>
    <w:next w:val="Normal"/>
    <w:autoRedefine/>
    <w:uiPriority w:val="39"/>
    <w:unhideWhenUsed/>
    <w:rsid w:val="00262C77"/>
    <w:pPr>
      <w:tabs>
        <w:tab w:val="left" w:pos="2273"/>
        <w:tab w:val="right" w:leader="dot" w:pos="9628"/>
      </w:tabs>
      <w:spacing w:before="120"/>
      <w:ind w:left="709"/>
    </w:pPr>
    <w:rPr>
      <w:lang w:eastAsia="en-AU"/>
    </w:rPr>
  </w:style>
  <w:style w:type="paragraph" w:customStyle="1" w:styleId="GlossaryTerm">
    <w:name w:val="Glossary Term"/>
    <w:basedOn w:val="Normal"/>
    <w:rsid w:val="00262C77"/>
    <w:pPr>
      <w:tabs>
        <w:tab w:val="left" w:pos="2280"/>
      </w:tabs>
      <w:ind w:left="2280" w:hanging="2280"/>
    </w:pPr>
    <w:rPr>
      <w:b/>
      <w:lang w:eastAsia="en-AU"/>
    </w:rPr>
  </w:style>
  <w:style w:type="paragraph" w:customStyle="1" w:styleId="TOC61">
    <w:name w:val="TOC 61"/>
    <w:basedOn w:val="Normal"/>
    <w:next w:val="Normal"/>
    <w:autoRedefine/>
    <w:uiPriority w:val="39"/>
    <w:unhideWhenUsed/>
    <w:rsid w:val="00262C77"/>
    <w:pPr>
      <w:spacing w:before="0" w:line="240" w:lineRule="auto"/>
    </w:pPr>
    <w:rPr>
      <w:rFonts w:eastAsia="Times New Roman"/>
      <w:lang w:val="en-US" w:eastAsia="en-AU"/>
    </w:rPr>
  </w:style>
  <w:style w:type="paragraph" w:customStyle="1" w:styleId="TOC71">
    <w:name w:val="TOC 71"/>
    <w:basedOn w:val="Normal"/>
    <w:next w:val="Normal"/>
    <w:autoRedefine/>
    <w:uiPriority w:val="39"/>
    <w:unhideWhenUsed/>
    <w:rsid w:val="00262C77"/>
    <w:pPr>
      <w:spacing w:before="0" w:line="240" w:lineRule="auto"/>
    </w:pPr>
    <w:rPr>
      <w:rFonts w:eastAsia="Times New Roman"/>
      <w:lang w:val="en-US" w:eastAsia="en-AU"/>
    </w:rPr>
  </w:style>
  <w:style w:type="paragraph" w:customStyle="1" w:styleId="TOC81">
    <w:name w:val="TOC 81"/>
    <w:basedOn w:val="Normal"/>
    <w:next w:val="Normal"/>
    <w:autoRedefine/>
    <w:uiPriority w:val="39"/>
    <w:unhideWhenUsed/>
    <w:rsid w:val="00262C77"/>
    <w:pPr>
      <w:spacing w:before="0" w:line="240" w:lineRule="auto"/>
    </w:pPr>
    <w:rPr>
      <w:rFonts w:eastAsia="Times New Roman"/>
      <w:lang w:val="en-US" w:eastAsia="en-AU"/>
    </w:rPr>
  </w:style>
  <w:style w:type="paragraph" w:customStyle="1" w:styleId="TOC91">
    <w:name w:val="TOC 91"/>
    <w:basedOn w:val="Normal"/>
    <w:next w:val="Normal"/>
    <w:autoRedefine/>
    <w:uiPriority w:val="39"/>
    <w:unhideWhenUsed/>
    <w:rsid w:val="00262C77"/>
    <w:pPr>
      <w:spacing w:before="0" w:line="240" w:lineRule="auto"/>
    </w:pPr>
    <w:rPr>
      <w:rFonts w:eastAsia="Times New Roman"/>
      <w:lang w:val="en-US" w:eastAsia="en-AU"/>
    </w:rPr>
  </w:style>
  <w:style w:type="paragraph" w:customStyle="1" w:styleId="BodyText1">
    <w:name w:val="Body Text1"/>
    <w:next w:val="BodyText"/>
    <w:link w:val="BodyTextChar"/>
    <w:unhideWhenUsed/>
    <w:rsid w:val="00262C77"/>
    <w:pPr>
      <w:spacing w:before="120" w:after="120"/>
    </w:pPr>
    <w:rPr>
      <w:rFonts w:ascii="Arial" w:eastAsia="Times New Roman" w:hAnsi="Arial"/>
      <w:szCs w:val="24"/>
    </w:rPr>
  </w:style>
  <w:style w:type="character" w:customStyle="1" w:styleId="BodyTextChar">
    <w:name w:val="Body Text Char"/>
    <w:basedOn w:val="DefaultParagraphFont"/>
    <w:link w:val="BodyText1"/>
    <w:rsid w:val="00262C77"/>
    <w:rPr>
      <w:rFonts w:ascii="Arial" w:eastAsia="Times New Roman" w:hAnsi="Arial"/>
      <w:szCs w:val="24"/>
    </w:rPr>
  </w:style>
  <w:style w:type="paragraph" w:customStyle="1" w:styleId="AJNORMAL">
    <w:name w:val="AJ NORMAL"/>
    <w:basedOn w:val="Normal"/>
    <w:next w:val="BodyText"/>
    <w:rsid w:val="00262C77"/>
    <w:pPr>
      <w:widowControl w:val="0"/>
      <w:autoSpaceDE w:val="0"/>
      <w:autoSpaceDN w:val="0"/>
      <w:adjustRightInd w:val="0"/>
      <w:spacing w:before="0" w:line="240" w:lineRule="auto"/>
      <w:jc w:val="both"/>
    </w:pPr>
    <w:rPr>
      <w:rFonts w:ascii="Arial" w:eastAsia="Times New Roman" w:hAnsi="Arial"/>
      <w:szCs w:val="24"/>
      <w:lang w:val="en-US" w:eastAsia="en-AU"/>
    </w:rPr>
  </w:style>
  <w:style w:type="numbering" w:customStyle="1" w:styleId="NoList1">
    <w:name w:val="No List1"/>
    <w:next w:val="NoList"/>
    <w:uiPriority w:val="99"/>
    <w:semiHidden/>
    <w:unhideWhenUsed/>
    <w:rsid w:val="00262C77"/>
  </w:style>
  <w:style w:type="paragraph" w:customStyle="1" w:styleId="xl66">
    <w:name w:val="xl66"/>
    <w:basedOn w:val="Normal"/>
    <w:rsid w:val="00262C7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7">
    <w:name w:val="xl67"/>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68">
    <w:name w:val="xl68"/>
    <w:basedOn w:val="Normal"/>
    <w:rsid w:val="00262C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69">
    <w:name w:val="xl69"/>
    <w:basedOn w:val="Normal"/>
    <w:rsid w:val="00262C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0">
    <w:name w:val="xl70"/>
    <w:basedOn w:val="Normal"/>
    <w:rsid w:val="00262C77"/>
    <w:pP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71">
    <w:name w:val="xl71"/>
    <w:basedOn w:val="Normal"/>
    <w:rsid w:val="00262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2">
    <w:name w:val="xl72"/>
    <w:basedOn w:val="Normal"/>
    <w:rsid w:val="00262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3">
    <w:name w:val="xl73"/>
    <w:basedOn w:val="Normal"/>
    <w:rsid w:val="00262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74">
    <w:name w:val="xl74"/>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5">
    <w:name w:val="xl75"/>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6">
    <w:name w:val="xl76"/>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7">
    <w:name w:val="xl77"/>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78">
    <w:name w:val="xl78"/>
    <w:basedOn w:val="Normal"/>
    <w:rsid w:val="00262C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79">
    <w:name w:val="xl79"/>
    <w:basedOn w:val="Normal"/>
    <w:rsid w:val="00262C77"/>
    <w:pP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80">
    <w:name w:val="xl80"/>
    <w:basedOn w:val="Normal"/>
    <w:rsid w:val="00262C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n-AU"/>
    </w:rPr>
  </w:style>
  <w:style w:type="paragraph" w:customStyle="1" w:styleId="xl81">
    <w:name w:val="xl81"/>
    <w:basedOn w:val="Normal"/>
    <w:rsid w:val="00262C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82">
    <w:name w:val="xl82"/>
    <w:basedOn w:val="Normal"/>
    <w:rsid w:val="00262C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83">
    <w:name w:val="xl83"/>
    <w:basedOn w:val="Normal"/>
    <w:rsid w:val="00262C7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paragraph" w:customStyle="1" w:styleId="xl84">
    <w:name w:val="xl84"/>
    <w:basedOn w:val="Normal"/>
    <w:rsid w:val="00262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paragraph" w:customStyle="1" w:styleId="xl85">
    <w:name w:val="xl85"/>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paragraph" w:customStyle="1" w:styleId="xl86">
    <w:name w:val="xl86"/>
    <w:basedOn w:val="Normal"/>
    <w:rsid w:val="00262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character" w:styleId="PlaceholderText">
    <w:name w:val="Placeholder Text"/>
    <w:basedOn w:val="DefaultParagraphFont"/>
    <w:uiPriority w:val="99"/>
    <w:semiHidden/>
    <w:rsid w:val="00262C77"/>
    <w:rPr>
      <w:color w:val="808080"/>
    </w:rPr>
  </w:style>
  <w:style w:type="numbering" w:customStyle="1" w:styleId="NoList2">
    <w:name w:val="No List2"/>
    <w:next w:val="NoList"/>
    <w:uiPriority w:val="99"/>
    <w:semiHidden/>
    <w:unhideWhenUsed/>
    <w:rsid w:val="00262C77"/>
  </w:style>
  <w:style w:type="table" w:customStyle="1" w:styleId="TableGrid11">
    <w:name w:val="Table Grid11"/>
    <w:basedOn w:val="TableNormal"/>
    <w:next w:val="TableGrid"/>
    <w:uiPriority w:val="59"/>
    <w:rsid w:val="00262C77"/>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2C77"/>
  </w:style>
  <w:style w:type="table" w:customStyle="1" w:styleId="TableGrid2">
    <w:name w:val="Table Grid2"/>
    <w:basedOn w:val="TableNormal"/>
    <w:next w:val="TableGrid"/>
    <w:uiPriority w:val="59"/>
    <w:rsid w:val="00262C77"/>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62C77"/>
  </w:style>
  <w:style w:type="table" w:customStyle="1" w:styleId="TableGrid3">
    <w:name w:val="Table Grid3"/>
    <w:basedOn w:val="TableNormal"/>
    <w:next w:val="TableGrid"/>
    <w:uiPriority w:val="59"/>
    <w:rsid w:val="00262C77"/>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C77"/>
  </w:style>
  <w:style w:type="numbering" w:customStyle="1" w:styleId="NoList21">
    <w:name w:val="No List21"/>
    <w:next w:val="NoList"/>
    <w:uiPriority w:val="99"/>
    <w:semiHidden/>
    <w:unhideWhenUsed/>
    <w:rsid w:val="00262C77"/>
  </w:style>
  <w:style w:type="table" w:customStyle="1" w:styleId="TableGrid111">
    <w:name w:val="Table Grid111"/>
    <w:basedOn w:val="TableNormal"/>
    <w:next w:val="TableGrid"/>
    <w:uiPriority w:val="59"/>
    <w:rsid w:val="00262C77"/>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62C77"/>
  </w:style>
  <w:style w:type="table" w:customStyle="1" w:styleId="TableGrid21">
    <w:name w:val="Table Grid21"/>
    <w:basedOn w:val="TableNormal"/>
    <w:next w:val="TableGrid"/>
    <w:uiPriority w:val="59"/>
    <w:rsid w:val="00262C77"/>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262C77"/>
    <w:rPr>
      <w:rFonts w:asciiTheme="majorHAnsi" w:eastAsiaTheme="majorEastAsia" w:hAnsiTheme="majorHAnsi" w:cstheme="majorBidi"/>
      <w:color w:val="AF6FE0" w:themeColor="accent1" w:themeShade="BF"/>
    </w:rPr>
  </w:style>
  <w:style w:type="character" w:customStyle="1" w:styleId="Heading6Char1">
    <w:name w:val="Heading 6 Char1"/>
    <w:basedOn w:val="DefaultParagraphFont"/>
    <w:uiPriority w:val="9"/>
    <w:semiHidden/>
    <w:rsid w:val="00262C77"/>
    <w:rPr>
      <w:rFonts w:asciiTheme="majorHAnsi" w:eastAsiaTheme="majorEastAsia" w:hAnsiTheme="majorHAnsi" w:cstheme="majorBidi"/>
      <w:color w:val="7927B7" w:themeColor="accent1" w:themeShade="7F"/>
    </w:rPr>
  </w:style>
  <w:style w:type="character" w:customStyle="1" w:styleId="Heading7Char1">
    <w:name w:val="Heading 7 Char1"/>
    <w:basedOn w:val="DefaultParagraphFont"/>
    <w:uiPriority w:val="9"/>
    <w:semiHidden/>
    <w:rsid w:val="00262C77"/>
    <w:rPr>
      <w:rFonts w:asciiTheme="majorHAnsi" w:eastAsiaTheme="majorEastAsia" w:hAnsiTheme="majorHAnsi" w:cstheme="majorBidi"/>
      <w:i/>
      <w:iCs/>
      <w:color w:val="7927B7" w:themeColor="accent1" w:themeShade="7F"/>
    </w:rPr>
  </w:style>
  <w:style w:type="character" w:customStyle="1" w:styleId="Heading8Char1">
    <w:name w:val="Heading 8 Char1"/>
    <w:basedOn w:val="DefaultParagraphFont"/>
    <w:uiPriority w:val="9"/>
    <w:semiHidden/>
    <w:rsid w:val="00262C77"/>
    <w:rPr>
      <w:rFonts w:asciiTheme="majorHAnsi" w:eastAsiaTheme="majorEastAsia" w:hAnsiTheme="majorHAnsi" w:cstheme="majorBidi"/>
      <w:color w:val="23518D" w:themeColor="text1" w:themeTint="D8"/>
      <w:sz w:val="21"/>
      <w:szCs w:val="21"/>
    </w:rPr>
  </w:style>
  <w:style w:type="character" w:customStyle="1" w:styleId="Heading9Char1">
    <w:name w:val="Heading 9 Char1"/>
    <w:basedOn w:val="DefaultParagraphFont"/>
    <w:uiPriority w:val="9"/>
    <w:semiHidden/>
    <w:rsid w:val="00262C77"/>
    <w:rPr>
      <w:rFonts w:asciiTheme="majorHAnsi" w:eastAsiaTheme="majorEastAsia" w:hAnsiTheme="majorHAnsi" w:cstheme="majorBidi"/>
      <w:i/>
      <w:iCs/>
      <w:color w:val="23518D" w:themeColor="text1" w:themeTint="D8"/>
      <w:sz w:val="21"/>
      <w:szCs w:val="21"/>
    </w:rPr>
  </w:style>
  <w:style w:type="paragraph" w:styleId="ListBullet">
    <w:name w:val="List Bullet"/>
    <w:basedOn w:val="Normal"/>
    <w:uiPriority w:val="99"/>
    <w:semiHidden/>
    <w:unhideWhenUsed/>
    <w:rsid w:val="00262C77"/>
    <w:pPr>
      <w:tabs>
        <w:tab w:val="num" w:pos="360"/>
      </w:tabs>
      <w:ind w:left="360" w:hanging="360"/>
      <w:contextualSpacing/>
    </w:pPr>
  </w:style>
  <w:style w:type="paragraph" w:styleId="ListBullet2">
    <w:name w:val="List Bullet 2"/>
    <w:basedOn w:val="Normal"/>
    <w:uiPriority w:val="99"/>
    <w:semiHidden/>
    <w:unhideWhenUsed/>
    <w:rsid w:val="00262C77"/>
    <w:pPr>
      <w:ind w:left="720" w:hanging="360"/>
      <w:contextualSpacing/>
    </w:pPr>
  </w:style>
  <w:style w:type="paragraph" w:styleId="CommentText">
    <w:name w:val="annotation text"/>
    <w:basedOn w:val="Normal"/>
    <w:link w:val="CommentTextChar1"/>
    <w:uiPriority w:val="99"/>
    <w:semiHidden/>
    <w:unhideWhenUsed/>
    <w:rsid w:val="00262C77"/>
    <w:pPr>
      <w:spacing w:line="240" w:lineRule="auto"/>
    </w:pPr>
    <w:rPr>
      <w:sz w:val="20"/>
      <w:szCs w:val="20"/>
    </w:rPr>
  </w:style>
  <w:style w:type="character" w:customStyle="1" w:styleId="CommentTextChar1">
    <w:name w:val="Comment Text Char1"/>
    <w:basedOn w:val="DefaultParagraphFont"/>
    <w:link w:val="CommentText"/>
    <w:uiPriority w:val="99"/>
    <w:semiHidden/>
    <w:rsid w:val="00262C77"/>
    <w:rPr>
      <w:sz w:val="20"/>
      <w:szCs w:val="20"/>
    </w:rPr>
  </w:style>
  <w:style w:type="paragraph" w:styleId="CommentSubject">
    <w:name w:val="annotation subject"/>
    <w:basedOn w:val="CommentText"/>
    <w:next w:val="CommentText"/>
    <w:link w:val="CommentSubjectChar"/>
    <w:uiPriority w:val="99"/>
    <w:semiHidden/>
    <w:unhideWhenUsed/>
    <w:rsid w:val="00262C77"/>
    <w:rPr>
      <w:b/>
      <w:bCs/>
    </w:rPr>
  </w:style>
  <w:style w:type="character" w:customStyle="1" w:styleId="CommentSubjectChar1">
    <w:name w:val="Comment Subject Char1"/>
    <w:basedOn w:val="CommentTextChar1"/>
    <w:uiPriority w:val="99"/>
    <w:semiHidden/>
    <w:rsid w:val="00262C77"/>
    <w:rPr>
      <w:b/>
      <w:bCs/>
      <w:sz w:val="20"/>
      <w:szCs w:val="20"/>
    </w:rPr>
  </w:style>
  <w:style w:type="paragraph" w:styleId="ListNumber">
    <w:name w:val="List Number"/>
    <w:basedOn w:val="Normal"/>
    <w:uiPriority w:val="99"/>
    <w:semiHidden/>
    <w:unhideWhenUsed/>
    <w:rsid w:val="00262C77"/>
    <w:pPr>
      <w:numPr>
        <w:numId w:val="21"/>
      </w:numPr>
      <w:contextualSpacing/>
    </w:pPr>
  </w:style>
  <w:style w:type="paragraph" w:styleId="EndnoteText">
    <w:name w:val="endnote text"/>
    <w:basedOn w:val="Normal"/>
    <w:link w:val="EndnoteTextChar1"/>
    <w:uiPriority w:val="99"/>
    <w:semiHidden/>
    <w:unhideWhenUsed/>
    <w:rsid w:val="00262C77"/>
    <w:pPr>
      <w:spacing w:before="0" w:line="240" w:lineRule="auto"/>
    </w:pPr>
    <w:rPr>
      <w:sz w:val="20"/>
      <w:szCs w:val="20"/>
    </w:rPr>
  </w:style>
  <w:style w:type="character" w:customStyle="1" w:styleId="EndnoteTextChar1">
    <w:name w:val="Endnote Text Char1"/>
    <w:basedOn w:val="DefaultParagraphFont"/>
    <w:link w:val="EndnoteText"/>
    <w:uiPriority w:val="99"/>
    <w:semiHidden/>
    <w:rsid w:val="00262C77"/>
    <w:rPr>
      <w:sz w:val="20"/>
      <w:szCs w:val="20"/>
    </w:rPr>
  </w:style>
  <w:style w:type="paragraph" w:styleId="Revision">
    <w:name w:val="Revision"/>
    <w:hidden/>
    <w:uiPriority w:val="99"/>
    <w:semiHidden/>
    <w:rsid w:val="00262C77"/>
    <w:pPr>
      <w:spacing w:before="0" w:line="240" w:lineRule="auto"/>
    </w:pPr>
  </w:style>
  <w:style w:type="paragraph" w:styleId="PlainText">
    <w:name w:val="Plain Text"/>
    <w:basedOn w:val="Normal"/>
    <w:link w:val="PlainTextChar1"/>
    <w:uiPriority w:val="99"/>
    <w:semiHidden/>
    <w:unhideWhenUsed/>
    <w:rsid w:val="00262C77"/>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262C77"/>
    <w:rPr>
      <w:rFonts w:ascii="Consolas" w:hAnsi="Consolas"/>
      <w:sz w:val="21"/>
      <w:szCs w:val="21"/>
    </w:rPr>
  </w:style>
  <w:style w:type="paragraph" w:styleId="BodyText">
    <w:name w:val="Body Text"/>
    <w:basedOn w:val="Normal"/>
    <w:link w:val="BodyTextChar1"/>
    <w:uiPriority w:val="99"/>
    <w:semiHidden/>
    <w:unhideWhenUsed/>
    <w:rsid w:val="00262C77"/>
    <w:pPr>
      <w:spacing w:after="120"/>
    </w:pPr>
  </w:style>
  <w:style w:type="character" w:customStyle="1" w:styleId="BodyTextChar1">
    <w:name w:val="Body Text Char1"/>
    <w:basedOn w:val="DefaultParagraphFont"/>
    <w:link w:val="BodyText"/>
    <w:uiPriority w:val="99"/>
    <w:semiHidden/>
    <w:rsid w:val="00262C77"/>
  </w:style>
  <w:style w:type="paragraph" w:styleId="Bibliography">
    <w:name w:val="Bibliography"/>
    <w:basedOn w:val="Normal"/>
    <w:next w:val="Normal"/>
    <w:uiPriority w:val="37"/>
    <w:unhideWhenUsed/>
    <w:rsid w:val="007B1AAF"/>
    <w:pPr>
      <w:spacing w:after="100" w:afterAutospacing="1" w:line="276" w:lineRule="auto"/>
    </w:pPr>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26115087">
      <w:bodyDiv w:val="1"/>
      <w:marLeft w:val="0"/>
      <w:marRight w:val="0"/>
      <w:marTop w:val="0"/>
      <w:marBottom w:val="0"/>
      <w:divBdr>
        <w:top w:val="none" w:sz="0" w:space="0" w:color="auto"/>
        <w:left w:val="none" w:sz="0" w:space="0" w:color="auto"/>
        <w:bottom w:val="none" w:sz="0" w:space="0" w:color="auto"/>
        <w:right w:val="none" w:sz="0" w:space="0" w:color="auto"/>
      </w:divBdr>
    </w:div>
    <w:div w:id="261575888">
      <w:bodyDiv w:val="1"/>
      <w:marLeft w:val="0"/>
      <w:marRight w:val="0"/>
      <w:marTop w:val="0"/>
      <w:marBottom w:val="0"/>
      <w:divBdr>
        <w:top w:val="none" w:sz="0" w:space="0" w:color="auto"/>
        <w:left w:val="none" w:sz="0" w:space="0" w:color="auto"/>
        <w:bottom w:val="none" w:sz="0" w:space="0" w:color="auto"/>
        <w:right w:val="none" w:sz="0" w:space="0" w:color="auto"/>
      </w:divBdr>
    </w:div>
    <w:div w:id="269826475">
      <w:bodyDiv w:val="1"/>
      <w:marLeft w:val="0"/>
      <w:marRight w:val="0"/>
      <w:marTop w:val="0"/>
      <w:marBottom w:val="0"/>
      <w:divBdr>
        <w:top w:val="none" w:sz="0" w:space="0" w:color="auto"/>
        <w:left w:val="none" w:sz="0" w:space="0" w:color="auto"/>
        <w:bottom w:val="none" w:sz="0" w:space="0" w:color="auto"/>
        <w:right w:val="none" w:sz="0" w:space="0" w:color="auto"/>
      </w:divBdr>
    </w:div>
    <w:div w:id="310408306">
      <w:bodyDiv w:val="1"/>
      <w:marLeft w:val="0"/>
      <w:marRight w:val="0"/>
      <w:marTop w:val="0"/>
      <w:marBottom w:val="0"/>
      <w:divBdr>
        <w:top w:val="none" w:sz="0" w:space="0" w:color="auto"/>
        <w:left w:val="none" w:sz="0" w:space="0" w:color="auto"/>
        <w:bottom w:val="none" w:sz="0" w:space="0" w:color="auto"/>
        <w:right w:val="none" w:sz="0" w:space="0" w:color="auto"/>
      </w:divBdr>
    </w:div>
    <w:div w:id="514227742">
      <w:bodyDiv w:val="1"/>
      <w:marLeft w:val="0"/>
      <w:marRight w:val="0"/>
      <w:marTop w:val="0"/>
      <w:marBottom w:val="0"/>
      <w:divBdr>
        <w:top w:val="none" w:sz="0" w:space="0" w:color="auto"/>
        <w:left w:val="none" w:sz="0" w:space="0" w:color="auto"/>
        <w:bottom w:val="none" w:sz="0" w:space="0" w:color="auto"/>
        <w:right w:val="none" w:sz="0" w:space="0" w:color="auto"/>
      </w:divBdr>
    </w:div>
    <w:div w:id="573007158">
      <w:bodyDiv w:val="1"/>
      <w:marLeft w:val="0"/>
      <w:marRight w:val="0"/>
      <w:marTop w:val="0"/>
      <w:marBottom w:val="0"/>
      <w:divBdr>
        <w:top w:val="none" w:sz="0" w:space="0" w:color="auto"/>
        <w:left w:val="none" w:sz="0" w:space="0" w:color="auto"/>
        <w:bottom w:val="none" w:sz="0" w:space="0" w:color="auto"/>
        <w:right w:val="none" w:sz="0" w:space="0" w:color="auto"/>
      </w:divBdr>
    </w:div>
    <w:div w:id="678848063">
      <w:bodyDiv w:val="1"/>
      <w:marLeft w:val="0"/>
      <w:marRight w:val="0"/>
      <w:marTop w:val="0"/>
      <w:marBottom w:val="0"/>
      <w:divBdr>
        <w:top w:val="none" w:sz="0" w:space="0" w:color="auto"/>
        <w:left w:val="none" w:sz="0" w:space="0" w:color="auto"/>
        <w:bottom w:val="none" w:sz="0" w:space="0" w:color="auto"/>
        <w:right w:val="none" w:sz="0" w:space="0" w:color="auto"/>
      </w:divBdr>
    </w:div>
    <w:div w:id="869220166">
      <w:bodyDiv w:val="1"/>
      <w:marLeft w:val="0"/>
      <w:marRight w:val="0"/>
      <w:marTop w:val="0"/>
      <w:marBottom w:val="0"/>
      <w:divBdr>
        <w:top w:val="none" w:sz="0" w:space="0" w:color="auto"/>
        <w:left w:val="none" w:sz="0" w:space="0" w:color="auto"/>
        <w:bottom w:val="none" w:sz="0" w:space="0" w:color="auto"/>
        <w:right w:val="none" w:sz="0" w:space="0" w:color="auto"/>
      </w:divBdr>
    </w:div>
    <w:div w:id="1076167591">
      <w:bodyDiv w:val="1"/>
      <w:marLeft w:val="0"/>
      <w:marRight w:val="0"/>
      <w:marTop w:val="0"/>
      <w:marBottom w:val="0"/>
      <w:divBdr>
        <w:top w:val="none" w:sz="0" w:space="0" w:color="auto"/>
        <w:left w:val="none" w:sz="0" w:space="0" w:color="auto"/>
        <w:bottom w:val="none" w:sz="0" w:space="0" w:color="auto"/>
        <w:right w:val="none" w:sz="0" w:space="0" w:color="auto"/>
      </w:divBdr>
    </w:div>
    <w:div w:id="1080372549">
      <w:bodyDiv w:val="1"/>
      <w:marLeft w:val="0"/>
      <w:marRight w:val="0"/>
      <w:marTop w:val="0"/>
      <w:marBottom w:val="0"/>
      <w:divBdr>
        <w:top w:val="none" w:sz="0" w:space="0" w:color="auto"/>
        <w:left w:val="none" w:sz="0" w:space="0" w:color="auto"/>
        <w:bottom w:val="none" w:sz="0" w:space="0" w:color="auto"/>
        <w:right w:val="none" w:sz="0" w:space="0" w:color="auto"/>
      </w:divBdr>
    </w:div>
    <w:div w:id="1122505421">
      <w:bodyDiv w:val="1"/>
      <w:marLeft w:val="0"/>
      <w:marRight w:val="0"/>
      <w:marTop w:val="0"/>
      <w:marBottom w:val="0"/>
      <w:divBdr>
        <w:top w:val="none" w:sz="0" w:space="0" w:color="auto"/>
        <w:left w:val="none" w:sz="0" w:space="0" w:color="auto"/>
        <w:bottom w:val="none" w:sz="0" w:space="0" w:color="auto"/>
        <w:right w:val="none" w:sz="0" w:space="0" w:color="auto"/>
      </w:divBdr>
    </w:div>
    <w:div w:id="1206601924">
      <w:bodyDiv w:val="1"/>
      <w:marLeft w:val="0"/>
      <w:marRight w:val="0"/>
      <w:marTop w:val="0"/>
      <w:marBottom w:val="0"/>
      <w:divBdr>
        <w:top w:val="none" w:sz="0" w:space="0" w:color="auto"/>
        <w:left w:val="none" w:sz="0" w:space="0" w:color="auto"/>
        <w:bottom w:val="none" w:sz="0" w:space="0" w:color="auto"/>
        <w:right w:val="none" w:sz="0" w:space="0" w:color="auto"/>
      </w:divBdr>
    </w:div>
    <w:div w:id="1365593363">
      <w:bodyDiv w:val="1"/>
      <w:marLeft w:val="0"/>
      <w:marRight w:val="0"/>
      <w:marTop w:val="0"/>
      <w:marBottom w:val="0"/>
      <w:divBdr>
        <w:top w:val="none" w:sz="0" w:space="0" w:color="auto"/>
        <w:left w:val="none" w:sz="0" w:space="0" w:color="auto"/>
        <w:bottom w:val="none" w:sz="0" w:space="0" w:color="auto"/>
        <w:right w:val="none" w:sz="0" w:space="0" w:color="auto"/>
      </w:divBdr>
    </w:div>
    <w:div w:id="1803424602">
      <w:bodyDiv w:val="1"/>
      <w:marLeft w:val="0"/>
      <w:marRight w:val="0"/>
      <w:marTop w:val="0"/>
      <w:marBottom w:val="0"/>
      <w:divBdr>
        <w:top w:val="none" w:sz="0" w:space="0" w:color="auto"/>
        <w:left w:val="none" w:sz="0" w:space="0" w:color="auto"/>
        <w:bottom w:val="none" w:sz="0" w:space="0" w:color="auto"/>
        <w:right w:val="none" w:sz="0" w:space="0" w:color="auto"/>
      </w:divBdr>
    </w:div>
    <w:div w:id="1977299755">
      <w:bodyDiv w:val="1"/>
      <w:marLeft w:val="0"/>
      <w:marRight w:val="0"/>
      <w:marTop w:val="0"/>
      <w:marBottom w:val="0"/>
      <w:divBdr>
        <w:top w:val="none" w:sz="0" w:space="0" w:color="auto"/>
        <w:left w:val="none" w:sz="0" w:space="0" w:color="auto"/>
        <w:bottom w:val="none" w:sz="0" w:space="0" w:color="auto"/>
        <w:right w:val="none" w:sz="0" w:space="0" w:color="auto"/>
      </w:divBdr>
    </w:div>
    <w:div w:id="2011181123">
      <w:bodyDiv w:val="1"/>
      <w:marLeft w:val="0"/>
      <w:marRight w:val="0"/>
      <w:marTop w:val="0"/>
      <w:marBottom w:val="0"/>
      <w:divBdr>
        <w:top w:val="none" w:sz="0" w:space="0" w:color="auto"/>
        <w:left w:val="none" w:sz="0" w:space="0" w:color="auto"/>
        <w:bottom w:val="none" w:sz="0" w:space="0" w:color="auto"/>
        <w:right w:val="none" w:sz="0" w:space="0" w:color="auto"/>
      </w:divBdr>
    </w:div>
    <w:div w:id="2089035971">
      <w:bodyDiv w:val="1"/>
      <w:marLeft w:val="0"/>
      <w:marRight w:val="0"/>
      <w:marTop w:val="0"/>
      <w:marBottom w:val="0"/>
      <w:divBdr>
        <w:top w:val="none" w:sz="0" w:space="0" w:color="auto"/>
        <w:left w:val="none" w:sz="0" w:space="0" w:color="auto"/>
        <w:bottom w:val="none" w:sz="0" w:space="0" w:color="auto"/>
        <w:right w:val="none" w:sz="0" w:space="0" w:color="auto"/>
      </w:divBdr>
    </w:div>
    <w:div w:id="2089842176">
      <w:bodyDiv w:val="1"/>
      <w:marLeft w:val="0"/>
      <w:marRight w:val="0"/>
      <w:marTop w:val="0"/>
      <w:marBottom w:val="0"/>
      <w:divBdr>
        <w:top w:val="none" w:sz="0" w:space="0" w:color="auto"/>
        <w:left w:val="none" w:sz="0" w:space="0" w:color="auto"/>
        <w:bottom w:val="none" w:sz="0" w:space="0" w:color="auto"/>
        <w:right w:val="none" w:sz="0" w:space="0" w:color="auto"/>
      </w:divBdr>
    </w:div>
    <w:div w:id="2102023075">
      <w:bodyDiv w:val="1"/>
      <w:marLeft w:val="0"/>
      <w:marRight w:val="0"/>
      <w:marTop w:val="0"/>
      <w:marBottom w:val="0"/>
      <w:divBdr>
        <w:top w:val="none" w:sz="0" w:space="0" w:color="auto"/>
        <w:left w:val="none" w:sz="0" w:space="0" w:color="auto"/>
        <w:bottom w:val="none" w:sz="0" w:space="0" w:color="auto"/>
        <w:right w:val="none" w:sz="0" w:space="0" w:color="auto"/>
      </w:divBdr>
    </w:div>
    <w:div w:id="21030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rpans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pansa.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dpmc.gov.au/government/commonwealth-coat-arms" TargetMode="External"/><Relationship Id="rId23"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au" TargetMode="External"/><Relationship Id="rId22"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arpansa.local\VicData\Rad_Health\M_and_ER\04%20Projects\01%20Current\19%20Australasian%20Radioanalytical%20Laboratory%20Network\2018%20Capability%20Exercise\ARLN%202018%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975979720745367E-2"/>
          <c:y val="6.8125182268883061E-2"/>
          <c:w val="0.93802403677760304"/>
          <c:h val="0.75056687309104164"/>
        </c:manualLayout>
      </c:layout>
      <c:barChart>
        <c:barDir val="col"/>
        <c:grouping val="clustered"/>
        <c:varyColors val="0"/>
        <c:ser>
          <c:idx val="0"/>
          <c:order val="0"/>
          <c:tx>
            <c:strRef>
              <c:f>Summary!$P$66</c:f>
              <c:strCache>
                <c:ptCount val="1"/>
                <c:pt idx="0">
                  <c:v>Cs-137</c:v>
                </c:pt>
              </c:strCache>
            </c:strRef>
          </c:tx>
          <c:spPr>
            <a:solidFill>
              <a:schemeClr val="accent1"/>
            </a:solidFill>
            <a:ln>
              <a:noFill/>
            </a:ln>
            <a:effectLst/>
          </c:spPr>
          <c:invertIfNegative val="0"/>
          <c:val>
            <c:numRef>
              <c:f>Summary!$P$67:$P$75</c:f>
              <c:numCache>
                <c:formatCode>0.00</c:formatCode>
                <c:ptCount val="9"/>
                <c:pt idx="0">
                  <c:v>2.3973396943461847</c:v>
                </c:pt>
                <c:pt idx="1">
                  <c:v>0.67017037343400754</c:v>
                </c:pt>
                <c:pt idx="2">
                  <c:v>0.48381758329253038</c:v>
                </c:pt>
                <c:pt idx="3">
                  <c:v>0.31260916535951289</c:v>
                </c:pt>
                <c:pt idx="4">
                  <c:v>1.0005791099726049</c:v>
                </c:pt>
                <c:pt idx="5">
                  <c:v>0.19032798562549413</c:v>
                </c:pt>
                <c:pt idx="6">
                  <c:v>0.26846524090732843</c:v>
                </c:pt>
                <c:pt idx="7">
                  <c:v>0.15854662221738158</c:v>
                </c:pt>
                <c:pt idx="8">
                  <c:v>1.1666045350774923</c:v>
                </c:pt>
              </c:numCache>
            </c:numRef>
          </c:val>
          <c:extLst>
            <c:ext xmlns:c16="http://schemas.microsoft.com/office/drawing/2014/chart" uri="{C3380CC4-5D6E-409C-BE32-E72D297353CC}">
              <c16:uniqueId val="{00000000-5AD3-4AE4-AD0E-A96A82752F69}"/>
            </c:ext>
          </c:extLst>
        </c:ser>
        <c:ser>
          <c:idx val="1"/>
          <c:order val="1"/>
          <c:tx>
            <c:strRef>
              <c:f>Summary!$Q$66</c:f>
              <c:strCache>
                <c:ptCount val="1"/>
                <c:pt idx="0">
                  <c:v>Am-241</c:v>
                </c:pt>
              </c:strCache>
            </c:strRef>
          </c:tx>
          <c:spPr>
            <a:solidFill>
              <a:schemeClr val="accent2"/>
            </a:solidFill>
            <a:ln>
              <a:noFill/>
            </a:ln>
            <a:effectLst/>
          </c:spPr>
          <c:invertIfNegative val="0"/>
          <c:val>
            <c:numRef>
              <c:f>Summary!$Q$67:$Q$75</c:f>
              <c:numCache>
                <c:formatCode>0.00</c:formatCode>
                <c:ptCount val="9"/>
                <c:pt idx="0">
                  <c:v>0.53781663648137301</c:v>
                </c:pt>
                <c:pt idx="1">
                  <c:v>0.43729012126033401</c:v>
                </c:pt>
                <c:pt idx="2">
                  <c:v>0.72542812269228774</c:v>
                </c:pt>
                <c:pt idx="3">
                  <c:v>0.21938118070261875</c:v>
                </c:pt>
                <c:pt idx="4">
                  <c:v>0.50521061898791808</c:v>
                </c:pt>
                <c:pt idx="5">
                  <c:v>0.75030125827327654</c:v>
                </c:pt>
                <c:pt idx="6">
                  <c:v>0.64161566128323932</c:v>
                </c:pt>
                <c:pt idx="7">
                  <c:v>1.6717092541571583</c:v>
                </c:pt>
                <c:pt idx="8">
                  <c:v>0.67084587748309588</c:v>
                </c:pt>
              </c:numCache>
            </c:numRef>
          </c:val>
          <c:extLst>
            <c:ext xmlns:c16="http://schemas.microsoft.com/office/drawing/2014/chart" uri="{C3380CC4-5D6E-409C-BE32-E72D297353CC}">
              <c16:uniqueId val="{00000001-5AD3-4AE4-AD0E-A96A82752F69}"/>
            </c:ext>
          </c:extLst>
        </c:ser>
        <c:ser>
          <c:idx val="2"/>
          <c:order val="2"/>
          <c:tx>
            <c:strRef>
              <c:f>Summary!$R$66</c:f>
              <c:strCache>
                <c:ptCount val="1"/>
                <c:pt idx="0">
                  <c:v>Co-60</c:v>
                </c:pt>
              </c:strCache>
            </c:strRef>
          </c:tx>
          <c:spPr>
            <a:solidFill>
              <a:schemeClr val="accent3"/>
            </a:solidFill>
            <a:ln>
              <a:noFill/>
            </a:ln>
            <a:effectLst/>
          </c:spPr>
          <c:invertIfNegative val="0"/>
          <c:val>
            <c:numRef>
              <c:f>Summary!$R$67:$R$75</c:f>
              <c:numCache>
                <c:formatCode>0.00</c:formatCode>
                <c:ptCount val="9"/>
                <c:pt idx="0">
                  <c:v>1.0498644703137308</c:v>
                </c:pt>
                <c:pt idx="1">
                  <c:v>0.51238251127868095</c:v>
                </c:pt>
                <c:pt idx="2">
                  <c:v>0.42443240710157426</c:v>
                </c:pt>
                <c:pt idx="3">
                  <c:v>0.90691727193843086</c:v>
                </c:pt>
                <c:pt idx="4">
                  <c:v>5.7726255448061536E-2</c:v>
                </c:pt>
                <c:pt idx="5">
                  <c:v>0.42579256182323943</c:v>
                </c:pt>
                <c:pt idx="6">
                  <c:v>0.41423261890981899</c:v>
                </c:pt>
                <c:pt idx="7">
                  <c:v>0.17944327123629292</c:v>
                </c:pt>
                <c:pt idx="8">
                  <c:v>1.9718059988630472</c:v>
                </c:pt>
              </c:numCache>
            </c:numRef>
          </c:val>
          <c:extLst>
            <c:ext xmlns:c16="http://schemas.microsoft.com/office/drawing/2014/chart" uri="{C3380CC4-5D6E-409C-BE32-E72D297353CC}">
              <c16:uniqueId val="{00000002-5AD3-4AE4-AD0E-A96A82752F69}"/>
            </c:ext>
          </c:extLst>
        </c:ser>
        <c:ser>
          <c:idx val="3"/>
          <c:order val="3"/>
          <c:tx>
            <c:strRef>
              <c:f>Summary!$S$66</c:f>
              <c:strCache>
                <c:ptCount val="1"/>
                <c:pt idx="0">
                  <c:v>Cs-134</c:v>
                </c:pt>
              </c:strCache>
            </c:strRef>
          </c:tx>
          <c:spPr>
            <a:solidFill>
              <a:schemeClr val="accent4"/>
            </a:solidFill>
            <a:ln>
              <a:noFill/>
            </a:ln>
            <a:effectLst/>
          </c:spPr>
          <c:invertIfNegative val="0"/>
          <c:val>
            <c:numRef>
              <c:f>Summary!$S$67:$S$75</c:f>
              <c:numCache>
                <c:formatCode>0.00</c:formatCode>
                <c:ptCount val="9"/>
                <c:pt idx="0">
                  <c:v>0.73816050612148698</c:v>
                </c:pt>
                <c:pt idx="1">
                  <c:v>3.3714356240171455</c:v>
                </c:pt>
                <c:pt idx="2">
                  <c:v>0.89863018136528861</c:v>
                </c:pt>
                <c:pt idx="3">
                  <c:v>1.0166106506472907</c:v>
                </c:pt>
                <c:pt idx="4">
                  <c:v>0.89863018136528861</c:v>
                </c:pt>
                <c:pt idx="5">
                  <c:v>0.64027237852628904</c:v>
                </c:pt>
                <c:pt idx="6">
                  <c:v>1.5562626200505185</c:v>
                </c:pt>
                <c:pt idx="7">
                  <c:v>0</c:v>
                </c:pt>
                <c:pt idx="8">
                  <c:v>5.414713564376334</c:v>
                </c:pt>
              </c:numCache>
            </c:numRef>
          </c:val>
          <c:extLst>
            <c:ext xmlns:c16="http://schemas.microsoft.com/office/drawing/2014/chart" uri="{C3380CC4-5D6E-409C-BE32-E72D297353CC}">
              <c16:uniqueId val="{00000003-5AD3-4AE4-AD0E-A96A82752F69}"/>
            </c:ext>
          </c:extLst>
        </c:ser>
        <c:ser>
          <c:idx val="5"/>
          <c:order val="4"/>
          <c:tx>
            <c:strRef>
              <c:f>Summary!$T$66</c:f>
              <c:strCache>
                <c:ptCount val="1"/>
                <c:pt idx="0">
                  <c:v>Zn-65</c:v>
                </c:pt>
              </c:strCache>
            </c:strRef>
          </c:tx>
          <c:spPr>
            <a:solidFill>
              <a:schemeClr val="accent6"/>
            </a:solidFill>
            <a:ln>
              <a:noFill/>
            </a:ln>
            <a:effectLst/>
          </c:spPr>
          <c:invertIfNegative val="0"/>
          <c:val>
            <c:numRef>
              <c:f>Summary!$T$67:$T$75</c:f>
              <c:numCache>
                <c:formatCode>0.00</c:formatCode>
                <c:ptCount val="9"/>
                <c:pt idx="0">
                  <c:v>1.4036405174858411</c:v>
                </c:pt>
                <c:pt idx="1">
                  <c:v>1.500034551057519</c:v>
                </c:pt>
                <c:pt idx="2">
                  <c:v>0.2881363101021181</c:v>
                </c:pt>
                <c:pt idx="3">
                  <c:v>0.4626885935253971</c:v>
                </c:pt>
                <c:pt idx="4">
                  <c:v>1.1937075704230609</c:v>
                </c:pt>
                <c:pt idx="5">
                  <c:v>1.1585741412810302</c:v>
                </c:pt>
                <c:pt idx="6">
                  <c:v>0.11769353671809674</c:v>
                </c:pt>
                <c:pt idx="7">
                  <c:v>1.1315383956036842</c:v>
                </c:pt>
                <c:pt idx="8">
                  <c:v>1.0971706427021637</c:v>
                </c:pt>
              </c:numCache>
            </c:numRef>
          </c:val>
          <c:extLst xmlns:c15="http://schemas.microsoft.com/office/drawing/2012/chart">
            <c:ext xmlns:c16="http://schemas.microsoft.com/office/drawing/2014/chart" uri="{C3380CC4-5D6E-409C-BE32-E72D297353CC}">
              <c16:uniqueId val="{00000004-5AD3-4AE4-AD0E-A96A82752F69}"/>
            </c:ext>
          </c:extLst>
        </c:ser>
        <c:dLbls>
          <c:showLegendKey val="0"/>
          <c:showVal val="0"/>
          <c:showCatName val="0"/>
          <c:showSerName val="0"/>
          <c:showPercent val="0"/>
          <c:showBubbleSize val="0"/>
        </c:dLbls>
        <c:gapWidth val="150"/>
        <c:axId val="188799232"/>
        <c:axId val="188805504"/>
        <c:extLst/>
      </c:barChart>
      <c:lineChart>
        <c:grouping val="standard"/>
        <c:varyColors val="0"/>
        <c:ser>
          <c:idx val="6"/>
          <c:order val="5"/>
          <c:tx>
            <c:strRef>
              <c:f>Summary!$V$66</c:f>
              <c:strCache>
                <c:ptCount val="1"/>
                <c:pt idx="0">
                  <c:v>Consistent</c:v>
                </c:pt>
              </c:strCache>
            </c:strRef>
          </c:tx>
          <c:spPr>
            <a:ln w="28575" cap="rnd" cmpd="sng" algn="ctr">
              <a:solidFill>
                <a:schemeClr val="accent1">
                  <a:lumMod val="60000"/>
                  <a:shade val="95000"/>
                  <a:satMod val="105000"/>
                </a:schemeClr>
              </a:solidFill>
              <a:prstDash val="solid"/>
              <a:round/>
            </a:ln>
            <a:effectLst/>
          </c:spPr>
          <c:marker>
            <c:symbol val="none"/>
          </c:marker>
          <c:val>
            <c:numRef>
              <c:f>Summary!$V$67:$V$75</c:f>
              <c:numCache>
                <c:formatCode>General</c:formatCode>
                <c:ptCount val="9"/>
                <c:pt idx="0">
                  <c:v>1.64</c:v>
                </c:pt>
                <c:pt idx="1">
                  <c:v>1.64</c:v>
                </c:pt>
                <c:pt idx="2">
                  <c:v>1.64</c:v>
                </c:pt>
                <c:pt idx="3">
                  <c:v>1.64</c:v>
                </c:pt>
                <c:pt idx="4">
                  <c:v>1.64</c:v>
                </c:pt>
                <c:pt idx="5">
                  <c:v>1.64</c:v>
                </c:pt>
                <c:pt idx="6">
                  <c:v>1.64</c:v>
                </c:pt>
                <c:pt idx="7">
                  <c:v>1.64</c:v>
                </c:pt>
                <c:pt idx="8">
                  <c:v>1.64</c:v>
                </c:pt>
              </c:numCache>
            </c:numRef>
          </c:val>
          <c:smooth val="0"/>
          <c:extLst>
            <c:ext xmlns:c16="http://schemas.microsoft.com/office/drawing/2014/chart" uri="{C3380CC4-5D6E-409C-BE32-E72D297353CC}">
              <c16:uniqueId val="{00000005-5AD3-4AE4-AD0E-A96A82752F69}"/>
            </c:ext>
          </c:extLst>
        </c:ser>
        <c:ser>
          <c:idx val="7"/>
          <c:order val="6"/>
          <c:tx>
            <c:strRef>
              <c:f>Summary!$W$66</c:f>
              <c:strCache>
                <c:ptCount val="1"/>
                <c:pt idx="0">
                  <c:v>Discrepant</c:v>
                </c:pt>
              </c:strCache>
            </c:strRef>
          </c:tx>
          <c:spPr>
            <a:ln w="28575" cap="rnd" cmpd="sng" algn="ctr">
              <a:solidFill>
                <a:schemeClr val="accent2">
                  <a:lumMod val="60000"/>
                  <a:shade val="95000"/>
                  <a:satMod val="105000"/>
                </a:schemeClr>
              </a:solidFill>
              <a:prstDash val="solid"/>
              <a:round/>
            </a:ln>
            <a:effectLst/>
          </c:spPr>
          <c:marker>
            <c:symbol val="none"/>
          </c:marker>
          <c:val>
            <c:numRef>
              <c:f>Summary!$W$67:$W$75</c:f>
              <c:numCache>
                <c:formatCode>General</c:formatCode>
                <c:ptCount val="9"/>
                <c:pt idx="0">
                  <c:v>2.58</c:v>
                </c:pt>
                <c:pt idx="1">
                  <c:v>2.58</c:v>
                </c:pt>
                <c:pt idx="2">
                  <c:v>2.58</c:v>
                </c:pt>
                <c:pt idx="3">
                  <c:v>2.58</c:v>
                </c:pt>
                <c:pt idx="4">
                  <c:v>2.58</c:v>
                </c:pt>
                <c:pt idx="5">
                  <c:v>2.58</c:v>
                </c:pt>
                <c:pt idx="6">
                  <c:v>2.58</c:v>
                </c:pt>
                <c:pt idx="7">
                  <c:v>2.58</c:v>
                </c:pt>
                <c:pt idx="8">
                  <c:v>2.58</c:v>
                </c:pt>
              </c:numCache>
            </c:numRef>
          </c:val>
          <c:smooth val="0"/>
          <c:extLst>
            <c:ext xmlns:c16="http://schemas.microsoft.com/office/drawing/2014/chart" uri="{C3380CC4-5D6E-409C-BE32-E72D297353CC}">
              <c16:uniqueId val="{00000006-5AD3-4AE4-AD0E-A96A82752F69}"/>
            </c:ext>
          </c:extLst>
        </c:ser>
        <c:dLbls>
          <c:showLegendKey val="0"/>
          <c:showVal val="0"/>
          <c:showCatName val="0"/>
          <c:showSerName val="0"/>
          <c:showPercent val="0"/>
          <c:showBubbleSize val="0"/>
        </c:dLbls>
        <c:marker val="1"/>
        <c:smooth val="0"/>
        <c:axId val="188799232"/>
        <c:axId val="188805504"/>
      </c:lineChart>
      <c:catAx>
        <c:axId val="1887992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t>Laboratory Number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majorTickMark val="out"/>
        <c:minorTickMark val="none"/>
        <c:tickLblPos val="nextTo"/>
        <c:spPr>
          <a:noFill/>
          <a:ln w="15875" cap="flat" cmpd="sng" algn="ctr">
            <a:solidFill>
              <a:schemeClr val="tx1"/>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88805504"/>
        <c:crosses val="autoZero"/>
        <c:auto val="1"/>
        <c:lblAlgn val="ctr"/>
        <c:lblOffset val="100"/>
        <c:noMultiLvlLbl val="0"/>
      </c:catAx>
      <c:valAx>
        <c:axId val="188805504"/>
        <c:scaling>
          <c:orientation val="minMax"/>
          <c:max val="6"/>
          <c:min val="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t>U-test Value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15875" cap="flat" cmpd="sng" algn="ctr">
            <a:solidFill>
              <a:schemeClr val="tx1"/>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88799232"/>
        <c:crosses val="autoZero"/>
        <c:crossBetween val="between"/>
        <c:majorUnit val="1"/>
      </c:valAx>
      <c:spPr>
        <a:solidFill>
          <a:schemeClr val="bg1"/>
        </a:solidFill>
        <a:ln>
          <a:noFill/>
        </a:ln>
        <a:effectLst/>
      </c:spPr>
    </c:plotArea>
    <c:legend>
      <c:legendPos val="r"/>
      <c:layout>
        <c:manualLayout>
          <c:xMode val="edge"/>
          <c:yMode val="edge"/>
          <c:x val="0.51600358162326621"/>
          <c:y val="4.1512782432445057E-2"/>
          <c:w val="0.3846863612498766"/>
          <c:h val="0.35354330708661419"/>
        </c:manualLayout>
      </c:layout>
      <c:overlay val="0"/>
      <c:spPr>
        <a:noFill/>
        <a:ln w="15875">
          <a:solidFill>
            <a:schemeClr val="tx1"/>
          </a:solid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Zinc-65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Summary!$AK$3</c:f>
              <c:strCache>
                <c:ptCount val="1"/>
                <c:pt idx="0">
                  <c:v>2018</c:v>
                </c:pt>
              </c:strCache>
            </c:strRef>
          </c:tx>
          <c:spPr>
            <a:ln w="28575" cap="rnd">
              <a:noFill/>
              <a:round/>
            </a:ln>
            <a:effectLst/>
          </c:spPr>
          <c:marker>
            <c:symbol val="circle"/>
            <c:size val="5"/>
            <c:spPr>
              <a:solidFill>
                <a:schemeClr val="accent2"/>
              </a:solidFill>
              <a:ln w="9525">
                <a:solidFill>
                  <a:schemeClr val="accent2"/>
                </a:solidFill>
              </a:ln>
              <a:effectLst/>
            </c:spPr>
          </c:marker>
          <c:xVal>
            <c:numRef>
              <c:f>Summary!$AJ$4:$AJ$12</c:f>
              <c:numCache>
                <c:formatCode>General</c:formatCode>
                <c:ptCount val="9"/>
                <c:pt idx="0">
                  <c:v>1</c:v>
                </c:pt>
                <c:pt idx="1">
                  <c:v>2</c:v>
                </c:pt>
                <c:pt idx="2">
                  <c:v>3</c:v>
                </c:pt>
                <c:pt idx="3">
                  <c:v>4</c:v>
                </c:pt>
                <c:pt idx="4">
                  <c:v>5</c:v>
                </c:pt>
                <c:pt idx="5">
                  <c:v>6</c:v>
                </c:pt>
                <c:pt idx="6">
                  <c:v>7</c:v>
                </c:pt>
                <c:pt idx="7">
                  <c:v>8</c:v>
                </c:pt>
                <c:pt idx="8">
                  <c:v>9</c:v>
                </c:pt>
              </c:numCache>
            </c:numRef>
          </c:xVal>
          <c:yVal>
            <c:numRef>
              <c:f>Summary!$AK$4:$AK$12</c:f>
              <c:numCache>
                <c:formatCode>General</c:formatCode>
                <c:ptCount val="9"/>
                <c:pt idx="0">
                  <c:v>0.94208494208494209</c:v>
                </c:pt>
                <c:pt idx="1">
                  <c:v>1.0344401544401545</c:v>
                </c:pt>
                <c:pt idx="2">
                  <c:v>0.97297297297297303</c:v>
                </c:pt>
                <c:pt idx="3">
                  <c:v>0.98223938223938223</c:v>
                </c:pt>
                <c:pt idx="4">
                  <c:v>1.111969111969112</c:v>
                </c:pt>
                <c:pt idx="5">
                  <c:v>1.0878764478764478</c:v>
                </c:pt>
                <c:pt idx="6">
                  <c:v>0.99335907335907325</c:v>
                </c:pt>
                <c:pt idx="7">
                  <c:v>1.0718146718146719</c:v>
                </c:pt>
                <c:pt idx="8">
                  <c:v>1.0532818532818533</c:v>
                </c:pt>
              </c:numCache>
            </c:numRef>
          </c:yVal>
          <c:smooth val="0"/>
          <c:extLst>
            <c:ext xmlns:c16="http://schemas.microsoft.com/office/drawing/2014/chart" uri="{C3380CC4-5D6E-409C-BE32-E72D297353CC}">
              <c16:uniqueId val="{00000000-B8BC-46CB-8D5C-A5AD89FB92EB}"/>
            </c:ext>
          </c:extLst>
        </c:ser>
        <c:ser>
          <c:idx val="1"/>
          <c:order val="1"/>
          <c:tx>
            <c:strRef>
              <c:f>Summary!$AL$3</c:f>
              <c:strCache>
                <c:ptCount val="1"/>
                <c:pt idx="0">
                  <c:v>2013</c:v>
                </c:pt>
              </c:strCache>
            </c:strRef>
          </c:tx>
          <c:spPr>
            <a:ln w="28575" cap="rnd">
              <a:noFill/>
              <a:round/>
            </a:ln>
            <a:effectLst/>
          </c:spPr>
          <c:marker>
            <c:symbol val="circle"/>
            <c:size val="5"/>
            <c:spPr>
              <a:solidFill>
                <a:schemeClr val="accent1"/>
              </a:solidFill>
              <a:ln w="9525">
                <a:solidFill>
                  <a:schemeClr val="accent1"/>
                </a:solidFill>
              </a:ln>
              <a:effectLst/>
            </c:spPr>
          </c:marker>
          <c:xVal>
            <c:numRef>
              <c:f>Summary!$AJ$4:$AJ$12</c:f>
              <c:numCache>
                <c:formatCode>General</c:formatCode>
                <c:ptCount val="9"/>
                <c:pt idx="0">
                  <c:v>1</c:v>
                </c:pt>
                <c:pt idx="1">
                  <c:v>2</c:v>
                </c:pt>
                <c:pt idx="2">
                  <c:v>3</c:v>
                </c:pt>
                <c:pt idx="3">
                  <c:v>4</c:v>
                </c:pt>
                <c:pt idx="4">
                  <c:v>5</c:v>
                </c:pt>
                <c:pt idx="5">
                  <c:v>6</c:v>
                </c:pt>
                <c:pt idx="6">
                  <c:v>7</c:v>
                </c:pt>
                <c:pt idx="7">
                  <c:v>8</c:v>
                </c:pt>
                <c:pt idx="8">
                  <c:v>9</c:v>
                </c:pt>
              </c:numCache>
            </c:numRef>
          </c:xVal>
          <c:yVal>
            <c:numRef>
              <c:f>Summary!$AL$4:$AL$12</c:f>
              <c:numCache>
                <c:formatCode>General</c:formatCode>
                <c:ptCount val="9"/>
                <c:pt idx="0">
                  <c:v>0.9381878540757046</c:v>
                </c:pt>
                <c:pt idx="1">
                  <c:v>0.99231407642622604</c:v>
                </c:pt>
                <c:pt idx="3">
                  <c:v>1.0067477357196983</c:v>
                </c:pt>
                <c:pt idx="4">
                  <c:v>1.0955147403745535</c:v>
                </c:pt>
                <c:pt idx="5">
                  <c:v>1.143867499007686</c:v>
                </c:pt>
                <c:pt idx="6">
                  <c:v>1.2665536030022013</c:v>
                </c:pt>
              </c:numCache>
            </c:numRef>
          </c:yVal>
          <c:smooth val="0"/>
          <c:extLst>
            <c:ext xmlns:c16="http://schemas.microsoft.com/office/drawing/2014/chart" uri="{C3380CC4-5D6E-409C-BE32-E72D297353CC}">
              <c16:uniqueId val="{00000001-B8BC-46CB-8D5C-A5AD89FB92EB}"/>
            </c:ext>
          </c:extLst>
        </c:ser>
        <c:dLbls>
          <c:showLegendKey val="0"/>
          <c:showVal val="0"/>
          <c:showCatName val="0"/>
          <c:showSerName val="0"/>
          <c:showPercent val="0"/>
          <c:showBubbleSize val="0"/>
        </c:dLbls>
        <c:axId val="782745296"/>
        <c:axId val="782750544"/>
      </c:scatterChart>
      <c:scatterChart>
        <c:scatterStyle val="smoothMarker"/>
        <c:varyColors val="0"/>
        <c:ser>
          <c:idx val="2"/>
          <c:order val="2"/>
          <c:tx>
            <c:strRef>
              <c:f>Summary!$AM$3</c:f>
              <c:strCache>
                <c:ptCount val="1"/>
                <c:pt idx="0">
                  <c:v>Lower</c:v>
                </c:pt>
              </c:strCache>
            </c:strRef>
          </c:tx>
          <c:spPr>
            <a:ln w="19050" cap="rnd">
              <a:solidFill>
                <a:schemeClr val="accent3"/>
              </a:solidFill>
              <a:round/>
            </a:ln>
            <a:effectLst/>
          </c:spPr>
          <c:marker>
            <c:symbol val="none"/>
          </c:marker>
          <c:xVal>
            <c:numRef>
              <c:f>Summary!$AJ$4:$AJ$12</c:f>
              <c:numCache>
                <c:formatCode>General</c:formatCode>
                <c:ptCount val="9"/>
                <c:pt idx="0">
                  <c:v>1</c:v>
                </c:pt>
                <c:pt idx="1">
                  <c:v>2</c:v>
                </c:pt>
                <c:pt idx="2">
                  <c:v>3</c:v>
                </c:pt>
                <c:pt idx="3">
                  <c:v>4</c:v>
                </c:pt>
                <c:pt idx="4">
                  <c:v>5</c:v>
                </c:pt>
                <c:pt idx="5">
                  <c:v>6</c:v>
                </c:pt>
                <c:pt idx="6">
                  <c:v>7</c:v>
                </c:pt>
                <c:pt idx="7">
                  <c:v>8</c:v>
                </c:pt>
                <c:pt idx="8">
                  <c:v>9</c:v>
                </c:pt>
              </c:numCache>
            </c:numRef>
          </c:xVal>
          <c:yVal>
            <c:numRef>
              <c:f>Summary!$AM$4:$AM$12</c:f>
              <c:numCache>
                <c:formatCode>General</c:formatCode>
                <c:ptCount val="9"/>
                <c:pt idx="0">
                  <c:v>0.9028571428571428</c:v>
                </c:pt>
                <c:pt idx="1">
                  <c:v>0.9028571428571428</c:v>
                </c:pt>
                <c:pt idx="2">
                  <c:v>0.9028571428571428</c:v>
                </c:pt>
                <c:pt idx="3">
                  <c:v>0.9028571428571428</c:v>
                </c:pt>
                <c:pt idx="4">
                  <c:v>0.9028571428571428</c:v>
                </c:pt>
                <c:pt idx="5">
                  <c:v>0.9028571428571428</c:v>
                </c:pt>
                <c:pt idx="6">
                  <c:v>0.9028571428571428</c:v>
                </c:pt>
                <c:pt idx="7">
                  <c:v>0.9028571428571428</c:v>
                </c:pt>
                <c:pt idx="8">
                  <c:v>0.9028571428571428</c:v>
                </c:pt>
              </c:numCache>
            </c:numRef>
          </c:yVal>
          <c:smooth val="1"/>
          <c:extLst>
            <c:ext xmlns:c16="http://schemas.microsoft.com/office/drawing/2014/chart" uri="{C3380CC4-5D6E-409C-BE32-E72D297353CC}">
              <c16:uniqueId val="{00000002-B8BC-46CB-8D5C-A5AD89FB92EB}"/>
            </c:ext>
          </c:extLst>
        </c:ser>
        <c:ser>
          <c:idx val="3"/>
          <c:order val="3"/>
          <c:tx>
            <c:strRef>
              <c:f>Summary!$AN$3</c:f>
              <c:strCache>
                <c:ptCount val="1"/>
                <c:pt idx="0">
                  <c:v>Upper </c:v>
                </c:pt>
              </c:strCache>
            </c:strRef>
          </c:tx>
          <c:spPr>
            <a:ln w="19050" cap="rnd">
              <a:solidFill>
                <a:schemeClr val="accent4"/>
              </a:solidFill>
              <a:round/>
            </a:ln>
            <a:effectLst/>
          </c:spPr>
          <c:marker>
            <c:symbol val="none"/>
          </c:marker>
          <c:xVal>
            <c:numRef>
              <c:f>Summary!$AJ$4:$AJ$12</c:f>
              <c:numCache>
                <c:formatCode>General</c:formatCode>
                <c:ptCount val="9"/>
                <c:pt idx="0">
                  <c:v>1</c:v>
                </c:pt>
                <c:pt idx="1">
                  <c:v>2</c:v>
                </c:pt>
                <c:pt idx="2">
                  <c:v>3</c:v>
                </c:pt>
                <c:pt idx="3">
                  <c:v>4</c:v>
                </c:pt>
                <c:pt idx="4">
                  <c:v>5</c:v>
                </c:pt>
                <c:pt idx="5">
                  <c:v>6</c:v>
                </c:pt>
                <c:pt idx="6">
                  <c:v>7</c:v>
                </c:pt>
                <c:pt idx="7">
                  <c:v>8</c:v>
                </c:pt>
                <c:pt idx="8">
                  <c:v>9</c:v>
                </c:pt>
              </c:numCache>
            </c:numRef>
          </c:xVal>
          <c:yVal>
            <c:numRef>
              <c:f>Summary!$AN$4:$AN$12</c:f>
              <c:numCache>
                <c:formatCode>General</c:formatCode>
                <c:ptCount val="9"/>
                <c:pt idx="0">
                  <c:v>1.1885714285714284</c:v>
                </c:pt>
                <c:pt idx="1">
                  <c:v>1.1885714285714284</c:v>
                </c:pt>
                <c:pt idx="2">
                  <c:v>1.1885714285714284</c:v>
                </c:pt>
                <c:pt idx="3">
                  <c:v>1.1885714285714284</c:v>
                </c:pt>
                <c:pt idx="4">
                  <c:v>1.1885714285714284</c:v>
                </c:pt>
                <c:pt idx="5">
                  <c:v>1.1885714285714284</c:v>
                </c:pt>
                <c:pt idx="6">
                  <c:v>1.1885714285714284</c:v>
                </c:pt>
                <c:pt idx="7">
                  <c:v>1.1885714285714284</c:v>
                </c:pt>
                <c:pt idx="8">
                  <c:v>1.1885714285714284</c:v>
                </c:pt>
              </c:numCache>
            </c:numRef>
          </c:yVal>
          <c:smooth val="1"/>
          <c:extLst>
            <c:ext xmlns:c16="http://schemas.microsoft.com/office/drawing/2014/chart" uri="{C3380CC4-5D6E-409C-BE32-E72D297353CC}">
              <c16:uniqueId val="{00000003-B8BC-46CB-8D5C-A5AD89FB92EB}"/>
            </c:ext>
          </c:extLst>
        </c:ser>
        <c:ser>
          <c:idx val="4"/>
          <c:order val="4"/>
          <c:tx>
            <c:strRef>
              <c:f>Summary!$AO$3</c:f>
              <c:strCache>
                <c:ptCount val="1"/>
                <c:pt idx="0">
                  <c:v>Upper unbiased</c:v>
                </c:pt>
              </c:strCache>
            </c:strRef>
          </c:tx>
          <c:spPr>
            <a:ln w="19050" cap="rnd">
              <a:solidFill>
                <a:schemeClr val="accent4"/>
              </a:solidFill>
              <a:prstDash val="sysDash"/>
              <a:round/>
            </a:ln>
            <a:effectLst/>
          </c:spPr>
          <c:marker>
            <c:symbol val="none"/>
          </c:marker>
          <c:xVal>
            <c:numRef>
              <c:f>Summary!$AJ$4:$AJ$12</c:f>
              <c:numCache>
                <c:formatCode>General</c:formatCode>
                <c:ptCount val="9"/>
                <c:pt idx="0">
                  <c:v>1</c:v>
                </c:pt>
                <c:pt idx="1">
                  <c:v>2</c:v>
                </c:pt>
                <c:pt idx="2">
                  <c:v>3</c:v>
                </c:pt>
                <c:pt idx="3">
                  <c:v>4</c:v>
                </c:pt>
                <c:pt idx="4">
                  <c:v>5</c:v>
                </c:pt>
                <c:pt idx="5">
                  <c:v>6</c:v>
                </c:pt>
                <c:pt idx="6">
                  <c:v>7</c:v>
                </c:pt>
                <c:pt idx="7">
                  <c:v>8</c:v>
                </c:pt>
                <c:pt idx="8">
                  <c:v>9</c:v>
                </c:pt>
              </c:numCache>
            </c:numRef>
          </c:xVal>
          <c:yVal>
            <c:numRef>
              <c:f>Summary!$AO$4:$AO$12</c:f>
              <c:numCache>
                <c:formatCode>General</c:formatCode>
                <c:ptCount val="9"/>
                <c:pt idx="0">
                  <c:v>1.0971428571428572</c:v>
                </c:pt>
                <c:pt idx="1">
                  <c:v>1.0971428571428572</c:v>
                </c:pt>
                <c:pt idx="2">
                  <c:v>1.0971428571428572</c:v>
                </c:pt>
                <c:pt idx="3">
                  <c:v>1.0971428571428572</c:v>
                </c:pt>
                <c:pt idx="4">
                  <c:v>1.0971428571428572</c:v>
                </c:pt>
                <c:pt idx="5">
                  <c:v>1.0971428571428572</c:v>
                </c:pt>
                <c:pt idx="6">
                  <c:v>1.0971428571428572</c:v>
                </c:pt>
                <c:pt idx="7">
                  <c:v>1.0971428571428572</c:v>
                </c:pt>
                <c:pt idx="8">
                  <c:v>1.0971428571428572</c:v>
                </c:pt>
              </c:numCache>
            </c:numRef>
          </c:yVal>
          <c:smooth val="1"/>
          <c:extLst>
            <c:ext xmlns:c16="http://schemas.microsoft.com/office/drawing/2014/chart" uri="{C3380CC4-5D6E-409C-BE32-E72D297353CC}">
              <c16:uniqueId val="{00000004-B8BC-46CB-8D5C-A5AD89FB92EB}"/>
            </c:ext>
          </c:extLst>
        </c:ser>
        <c:dLbls>
          <c:showLegendKey val="0"/>
          <c:showVal val="0"/>
          <c:showCatName val="0"/>
          <c:showSerName val="0"/>
          <c:showPercent val="0"/>
          <c:showBubbleSize val="0"/>
        </c:dLbls>
        <c:axId val="782745296"/>
        <c:axId val="782750544"/>
      </c:scatterChart>
      <c:valAx>
        <c:axId val="782745296"/>
        <c:scaling>
          <c:orientation val="minMax"/>
          <c:max val="9"/>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Laboratories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750544"/>
        <c:crosses val="autoZero"/>
        <c:crossBetween val="midCat"/>
      </c:valAx>
      <c:valAx>
        <c:axId val="782750544"/>
        <c:scaling>
          <c:orientation val="minMax"/>
          <c:min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relative</a:t>
                </a:r>
                <a:r>
                  <a:rPr lang="en-AU" baseline="0"/>
                  <a:t> activity concentration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745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Caesium-134</a:t>
            </a:r>
            <a:r>
              <a:rPr lang="en-AU" baseline="0"/>
              <a:t>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Summary!$AE$33</c:f>
              <c:strCache>
                <c:ptCount val="1"/>
                <c:pt idx="0">
                  <c:v>2018</c:v>
                </c:pt>
              </c:strCache>
            </c:strRef>
          </c:tx>
          <c:spPr>
            <a:ln w="28575" cap="rnd">
              <a:noFill/>
              <a:round/>
            </a:ln>
            <a:effectLst/>
          </c:spPr>
          <c:marker>
            <c:symbol val="circle"/>
            <c:size val="5"/>
            <c:spPr>
              <a:solidFill>
                <a:schemeClr val="accent2"/>
              </a:solidFill>
              <a:ln w="9525">
                <a:solidFill>
                  <a:schemeClr val="accent2"/>
                </a:solidFill>
              </a:ln>
              <a:effectLst/>
            </c:spPr>
          </c:marker>
          <c:xVal>
            <c:numRef>
              <c:f>Summary!$AD$34:$AD$42</c:f>
              <c:numCache>
                <c:formatCode>General</c:formatCode>
                <c:ptCount val="9"/>
                <c:pt idx="0">
                  <c:v>1</c:v>
                </c:pt>
                <c:pt idx="1">
                  <c:v>2</c:v>
                </c:pt>
                <c:pt idx="2">
                  <c:v>3</c:v>
                </c:pt>
                <c:pt idx="3">
                  <c:v>4</c:v>
                </c:pt>
                <c:pt idx="4">
                  <c:v>5</c:v>
                </c:pt>
                <c:pt idx="5">
                  <c:v>6</c:v>
                </c:pt>
                <c:pt idx="6">
                  <c:v>7</c:v>
                </c:pt>
                <c:pt idx="7">
                  <c:v>8</c:v>
                </c:pt>
                <c:pt idx="8">
                  <c:v>9</c:v>
                </c:pt>
              </c:numCache>
            </c:numRef>
          </c:xVal>
          <c:yVal>
            <c:numRef>
              <c:f>Summary!$AE$34:$AE$42</c:f>
              <c:numCache>
                <c:formatCode>General</c:formatCode>
                <c:ptCount val="9"/>
                <c:pt idx="0">
                  <c:v>0.95559845559845569</c:v>
                </c:pt>
                <c:pt idx="1">
                  <c:v>0.93455598455598454</c:v>
                </c:pt>
                <c:pt idx="2">
                  <c:v>0.94594594594594594</c:v>
                </c:pt>
                <c:pt idx="3">
                  <c:v>0.95559845559845569</c:v>
                </c:pt>
                <c:pt idx="4">
                  <c:v>0.94594594594594594</c:v>
                </c:pt>
                <c:pt idx="5">
                  <c:v>1.0405405405405406</c:v>
                </c:pt>
                <c:pt idx="6">
                  <c:v>1.0884169884169885</c:v>
                </c:pt>
                <c:pt idx="7">
                  <c:v>1</c:v>
                </c:pt>
                <c:pt idx="8">
                  <c:v>0.85521235521235517</c:v>
                </c:pt>
              </c:numCache>
            </c:numRef>
          </c:yVal>
          <c:smooth val="0"/>
          <c:extLst>
            <c:ext xmlns:c16="http://schemas.microsoft.com/office/drawing/2014/chart" uri="{C3380CC4-5D6E-409C-BE32-E72D297353CC}">
              <c16:uniqueId val="{00000000-76F1-4DC1-A380-80D0F945B77E}"/>
            </c:ext>
          </c:extLst>
        </c:ser>
        <c:ser>
          <c:idx val="1"/>
          <c:order val="1"/>
          <c:tx>
            <c:strRef>
              <c:f>Summary!$AF$33</c:f>
              <c:strCache>
                <c:ptCount val="1"/>
                <c:pt idx="0">
                  <c:v>2013</c:v>
                </c:pt>
              </c:strCache>
            </c:strRef>
          </c:tx>
          <c:spPr>
            <a:ln w="28575" cap="rnd">
              <a:noFill/>
              <a:round/>
            </a:ln>
            <a:effectLst/>
          </c:spPr>
          <c:marker>
            <c:symbol val="circle"/>
            <c:size val="5"/>
            <c:spPr>
              <a:solidFill>
                <a:schemeClr val="accent1"/>
              </a:solidFill>
              <a:ln w="9525">
                <a:solidFill>
                  <a:schemeClr val="accent1"/>
                </a:solidFill>
              </a:ln>
              <a:effectLst/>
            </c:spPr>
          </c:marker>
          <c:xVal>
            <c:numRef>
              <c:f>Summary!$AD$34:$AD$42</c:f>
              <c:numCache>
                <c:formatCode>General</c:formatCode>
                <c:ptCount val="9"/>
                <c:pt idx="0">
                  <c:v>1</c:v>
                </c:pt>
                <c:pt idx="1">
                  <c:v>2</c:v>
                </c:pt>
                <c:pt idx="2">
                  <c:v>3</c:v>
                </c:pt>
                <c:pt idx="3">
                  <c:v>4</c:v>
                </c:pt>
                <c:pt idx="4">
                  <c:v>5</c:v>
                </c:pt>
                <c:pt idx="5">
                  <c:v>6</c:v>
                </c:pt>
                <c:pt idx="6">
                  <c:v>7</c:v>
                </c:pt>
                <c:pt idx="7">
                  <c:v>8</c:v>
                </c:pt>
                <c:pt idx="8">
                  <c:v>9</c:v>
                </c:pt>
              </c:numCache>
            </c:numRef>
          </c:xVal>
          <c:yVal>
            <c:numRef>
              <c:f>Summary!$AF$34:$AF$42</c:f>
              <c:numCache>
                <c:formatCode>General</c:formatCode>
                <c:ptCount val="9"/>
                <c:pt idx="0">
                  <c:v>1.0296010296010296</c:v>
                </c:pt>
                <c:pt idx="1">
                  <c:v>0.86539741712155516</c:v>
                </c:pt>
                <c:pt idx="3">
                  <c:v>0.99498513291616753</c:v>
                </c:pt>
                <c:pt idx="4">
                  <c:v>1.0318199973372388</c:v>
                </c:pt>
                <c:pt idx="5">
                  <c:v>0.88181777836950259</c:v>
                </c:pt>
                <c:pt idx="6">
                  <c:v>0.90090090090090102</c:v>
                </c:pt>
              </c:numCache>
            </c:numRef>
          </c:yVal>
          <c:smooth val="0"/>
          <c:extLst>
            <c:ext xmlns:c16="http://schemas.microsoft.com/office/drawing/2014/chart" uri="{C3380CC4-5D6E-409C-BE32-E72D297353CC}">
              <c16:uniqueId val="{00000001-76F1-4DC1-A380-80D0F945B77E}"/>
            </c:ext>
          </c:extLst>
        </c:ser>
        <c:dLbls>
          <c:showLegendKey val="0"/>
          <c:showVal val="0"/>
          <c:showCatName val="0"/>
          <c:showSerName val="0"/>
          <c:showPercent val="0"/>
          <c:showBubbleSize val="0"/>
        </c:dLbls>
        <c:axId val="782665904"/>
        <c:axId val="782666232"/>
      </c:scatterChart>
      <c:scatterChart>
        <c:scatterStyle val="smoothMarker"/>
        <c:varyColors val="0"/>
        <c:ser>
          <c:idx val="2"/>
          <c:order val="2"/>
          <c:tx>
            <c:strRef>
              <c:f>Summary!$AG$33</c:f>
              <c:strCache>
                <c:ptCount val="1"/>
                <c:pt idx="0">
                  <c:v>Lower unbiased</c:v>
                </c:pt>
              </c:strCache>
            </c:strRef>
          </c:tx>
          <c:spPr>
            <a:ln w="19050" cap="rnd">
              <a:solidFill>
                <a:schemeClr val="accent3"/>
              </a:solidFill>
              <a:prstDash val="dash"/>
              <a:round/>
            </a:ln>
            <a:effectLst/>
          </c:spPr>
          <c:marker>
            <c:symbol val="none"/>
          </c:marker>
          <c:xVal>
            <c:numRef>
              <c:f>Summary!$AD$34:$AD$42</c:f>
              <c:numCache>
                <c:formatCode>General</c:formatCode>
                <c:ptCount val="9"/>
                <c:pt idx="0">
                  <c:v>1</c:v>
                </c:pt>
                <c:pt idx="1">
                  <c:v>2</c:v>
                </c:pt>
                <c:pt idx="2">
                  <c:v>3</c:v>
                </c:pt>
                <c:pt idx="3">
                  <c:v>4</c:v>
                </c:pt>
                <c:pt idx="4">
                  <c:v>5</c:v>
                </c:pt>
                <c:pt idx="5">
                  <c:v>6</c:v>
                </c:pt>
                <c:pt idx="6">
                  <c:v>7</c:v>
                </c:pt>
                <c:pt idx="7">
                  <c:v>8</c:v>
                </c:pt>
                <c:pt idx="8">
                  <c:v>9</c:v>
                </c:pt>
              </c:numCache>
            </c:numRef>
          </c:xVal>
          <c:yVal>
            <c:numRef>
              <c:f>Summary!$AG$34:$AG$42</c:f>
              <c:numCache>
                <c:formatCode>General</c:formatCode>
                <c:ptCount val="9"/>
                <c:pt idx="0">
                  <c:v>0.92142857142857137</c:v>
                </c:pt>
                <c:pt idx="1">
                  <c:v>0.92142857142857137</c:v>
                </c:pt>
                <c:pt idx="2">
                  <c:v>0.92142857142857137</c:v>
                </c:pt>
                <c:pt idx="3">
                  <c:v>0.92142857142857137</c:v>
                </c:pt>
                <c:pt idx="4">
                  <c:v>0.92142857142857137</c:v>
                </c:pt>
                <c:pt idx="5">
                  <c:v>0.92142857142857137</c:v>
                </c:pt>
                <c:pt idx="6">
                  <c:v>0.92142857142857137</c:v>
                </c:pt>
                <c:pt idx="7">
                  <c:v>0.92142857142857137</c:v>
                </c:pt>
                <c:pt idx="8">
                  <c:v>0.92142857142857137</c:v>
                </c:pt>
              </c:numCache>
            </c:numRef>
          </c:yVal>
          <c:smooth val="1"/>
          <c:extLst>
            <c:ext xmlns:c16="http://schemas.microsoft.com/office/drawing/2014/chart" uri="{C3380CC4-5D6E-409C-BE32-E72D297353CC}">
              <c16:uniqueId val="{00000002-76F1-4DC1-A380-80D0F945B77E}"/>
            </c:ext>
          </c:extLst>
        </c:ser>
        <c:ser>
          <c:idx val="3"/>
          <c:order val="3"/>
          <c:tx>
            <c:strRef>
              <c:f>Summary!$AI$33</c:f>
              <c:strCache>
                <c:ptCount val="1"/>
                <c:pt idx="0">
                  <c:v>Upper </c:v>
                </c:pt>
              </c:strCache>
            </c:strRef>
          </c:tx>
          <c:spPr>
            <a:ln w="19050" cap="rnd">
              <a:solidFill>
                <a:schemeClr val="accent4"/>
              </a:solidFill>
              <a:round/>
            </a:ln>
            <a:effectLst/>
          </c:spPr>
          <c:marker>
            <c:symbol val="none"/>
          </c:marker>
          <c:xVal>
            <c:numRef>
              <c:f>Summary!$AD$34:$AD$42</c:f>
              <c:numCache>
                <c:formatCode>General</c:formatCode>
                <c:ptCount val="9"/>
                <c:pt idx="0">
                  <c:v>1</c:v>
                </c:pt>
                <c:pt idx="1">
                  <c:v>2</c:v>
                </c:pt>
                <c:pt idx="2">
                  <c:v>3</c:v>
                </c:pt>
                <c:pt idx="3">
                  <c:v>4</c:v>
                </c:pt>
                <c:pt idx="4">
                  <c:v>5</c:v>
                </c:pt>
                <c:pt idx="5">
                  <c:v>6</c:v>
                </c:pt>
                <c:pt idx="6">
                  <c:v>7</c:v>
                </c:pt>
                <c:pt idx="7">
                  <c:v>8</c:v>
                </c:pt>
                <c:pt idx="8">
                  <c:v>9</c:v>
                </c:pt>
              </c:numCache>
            </c:numRef>
          </c:xVal>
          <c:yVal>
            <c:numRef>
              <c:f>Summary!$AI$34:$AI$42</c:f>
              <c:numCache>
                <c:formatCode>General</c:formatCode>
                <c:ptCount val="9"/>
                <c:pt idx="0">
                  <c:v>1.0785714285714285</c:v>
                </c:pt>
                <c:pt idx="1">
                  <c:v>1.0785714285714285</c:v>
                </c:pt>
                <c:pt idx="2">
                  <c:v>1.0785714285714285</c:v>
                </c:pt>
                <c:pt idx="3">
                  <c:v>1.0785714285714285</c:v>
                </c:pt>
                <c:pt idx="4">
                  <c:v>1.0785714285714285</c:v>
                </c:pt>
                <c:pt idx="5">
                  <c:v>1.0785714285714285</c:v>
                </c:pt>
                <c:pt idx="6">
                  <c:v>1.0785714285714285</c:v>
                </c:pt>
                <c:pt idx="7">
                  <c:v>1.0785714285714285</c:v>
                </c:pt>
                <c:pt idx="8">
                  <c:v>1.0785714285714285</c:v>
                </c:pt>
              </c:numCache>
            </c:numRef>
          </c:yVal>
          <c:smooth val="1"/>
          <c:extLst>
            <c:ext xmlns:c16="http://schemas.microsoft.com/office/drawing/2014/chart" uri="{C3380CC4-5D6E-409C-BE32-E72D297353CC}">
              <c16:uniqueId val="{00000003-76F1-4DC1-A380-80D0F945B77E}"/>
            </c:ext>
          </c:extLst>
        </c:ser>
        <c:ser>
          <c:idx val="4"/>
          <c:order val="4"/>
          <c:tx>
            <c:strRef>
              <c:f>Summary!$AH$33</c:f>
              <c:strCache>
                <c:ptCount val="1"/>
                <c:pt idx="0">
                  <c:v>lower</c:v>
                </c:pt>
              </c:strCache>
            </c:strRef>
          </c:tx>
          <c:spPr>
            <a:ln w="19050" cap="rnd">
              <a:solidFill>
                <a:schemeClr val="accent3"/>
              </a:solidFill>
              <a:round/>
            </a:ln>
            <a:effectLst/>
          </c:spPr>
          <c:marker>
            <c:symbol val="none"/>
          </c:marker>
          <c:xVal>
            <c:numRef>
              <c:f>Summary!$AD$34:$AD$42</c:f>
              <c:numCache>
                <c:formatCode>General</c:formatCode>
                <c:ptCount val="9"/>
                <c:pt idx="0">
                  <c:v>1</c:v>
                </c:pt>
                <c:pt idx="1">
                  <c:v>2</c:v>
                </c:pt>
                <c:pt idx="2">
                  <c:v>3</c:v>
                </c:pt>
                <c:pt idx="3">
                  <c:v>4</c:v>
                </c:pt>
                <c:pt idx="4">
                  <c:v>5</c:v>
                </c:pt>
                <c:pt idx="5">
                  <c:v>6</c:v>
                </c:pt>
                <c:pt idx="6">
                  <c:v>7</c:v>
                </c:pt>
                <c:pt idx="7">
                  <c:v>8</c:v>
                </c:pt>
                <c:pt idx="8">
                  <c:v>9</c:v>
                </c:pt>
              </c:numCache>
            </c:numRef>
          </c:xVal>
          <c:yVal>
            <c:numRef>
              <c:f>Summary!$AH$34:$AH$42</c:f>
              <c:numCache>
                <c:formatCode>General</c:formatCode>
                <c:ptCount val="9"/>
                <c:pt idx="0">
                  <c:v>0.8</c:v>
                </c:pt>
                <c:pt idx="1">
                  <c:v>0.8</c:v>
                </c:pt>
                <c:pt idx="2">
                  <c:v>0.8</c:v>
                </c:pt>
                <c:pt idx="3">
                  <c:v>0.8</c:v>
                </c:pt>
                <c:pt idx="4">
                  <c:v>0.8</c:v>
                </c:pt>
                <c:pt idx="5">
                  <c:v>0.8</c:v>
                </c:pt>
                <c:pt idx="6">
                  <c:v>0.8</c:v>
                </c:pt>
                <c:pt idx="7">
                  <c:v>0.8</c:v>
                </c:pt>
                <c:pt idx="8">
                  <c:v>0.8</c:v>
                </c:pt>
              </c:numCache>
            </c:numRef>
          </c:yVal>
          <c:smooth val="1"/>
          <c:extLst>
            <c:ext xmlns:c16="http://schemas.microsoft.com/office/drawing/2014/chart" uri="{C3380CC4-5D6E-409C-BE32-E72D297353CC}">
              <c16:uniqueId val="{00000004-76F1-4DC1-A380-80D0F945B77E}"/>
            </c:ext>
          </c:extLst>
        </c:ser>
        <c:dLbls>
          <c:showLegendKey val="0"/>
          <c:showVal val="0"/>
          <c:showCatName val="0"/>
          <c:showSerName val="0"/>
          <c:showPercent val="0"/>
          <c:showBubbleSize val="0"/>
        </c:dLbls>
        <c:axId val="782665904"/>
        <c:axId val="782666232"/>
      </c:scatterChart>
      <c:valAx>
        <c:axId val="782665904"/>
        <c:scaling>
          <c:orientation val="minMax"/>
          <c:max val="9"/>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666232"/>
        <c:crosses val="autoZero"/>
        <c:crossBetween val="midCat"/>
      </c:valAx>
      <c:valAx>
        <c:axId val="782666232"/>
        <c:scaling>
          <c:orientation val="minMax"/>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Relative activity concentration</a:t>
                </a:r>
                <a:r>
                  <a:rPr lang="en-AU" baseline="0"/>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665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0.73111</cdr:x>
      <cdr:y>0.18936</cdr:y>
    </cdr:from>
    <cdr:to>
      <cdr:x>0.77866</cdr:x>
      <cdr:y>0.56478</cdr:y>
    </cdr:to>
    <cdr:sp macro="" textlink="">
      <cdr:nvSpPr>
        <cdr:cNvPr id="2" name="Oval 1"/>
        <cdr:cNvSpPr/>
      </cdr:nvSpPr>
      <cdr:spPr>
        <a:xfrm xmlns:a="http://schemas.openxmlformats.org/drawingml/2006/main">
          <a:off x="4394173" y="542912"/>
          <a:ext cx="285788" cy="1076338"/>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AU"/>
        </a:p>
      </cdr:txBody>
    </cdr:sp>
  </cdr:relSizeAnchor>
  <cdr:relSizeAnchor xmlns:cdr="http://schemas.openxmlformats.org/drawingml/2006/chartDrawing">
    <cdr:from>
      <cdr:x>0.62652</cdr:x>
      <cdr:y>0.22259</cdr:y>
    </cdr:from>
    <cdr:to>
      <cdr:x>0.67406</cdr:x>
      <cdr:y>0.56478</cdr:y>
    </cdr:to>
    <cdr:sp macro="" textlink="">
      <cdr:nvSpPr>
        <cdr:cNvPr id="3" name="Oval 2"/>
        <cdr:cNvSpPr/>
      </cdr:nvSpPr>
      <cdr:spPr>
        <a:xfrm xmlns:a="http://schemas.openxmlformats.org/drawingml/2006/main">
          <a:off x="3765542" y="638182"/>
          <a:ext cx="285729" cy="981068"/>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AU"/>
        </a:p>
      </cdr:txBody>
    </cdr:sp>
  </cdr:relSizeAnchor>
</c:userShape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b:Source>
    <b:Tag>Lon141</b:Tag>
    <b:SourceType>Report</b:SourceType>
    <b:Guid>{07008218-3D55-4D87-A061-3D1373C3B866}</b:Guid>
    <b:Title>Australasian Gamma-ray spectrometry Capability Exercise - 2013</b:Title>
    <b:Year>2014</b:Year>
    <b:City>Melbourne</b:City>
    <b:Publisher>ARPANSA</b:Publisher>
    <b:Author>
      <b:Author>
        <b:NameList>
          <b:Person>
            <b:Last>Long</b:Last>
            <b:First>S.</b:First>
          </b:Person>
        </b:NameList>
      </b:Author>
    </b:Author>
    <b:RefOrder>1</b:RefOrder>
  </b:Source>
  <b:Source>
    <b:Tag>IAEA88</b:Tag>
    <b:SourceType>Report</b:SourceType>
    <b:Guid>{3F8AF9EF-38B7-4638-B024-8FA2452A3362}</b:Guid>
    <b:Author>
      <b:Author>
        <b:Corporate>IAEA</b:Corporate>
      </b:Author>
    </b:Author>
    <b:Title>The Radiological Incident in Goiania</b:Title>
    <b:Year>1988</b:Year>
    <b:City>Vienna</b:City>
    <b:Publisher>International Atomic Energy Agency</b:Publisher>
    <b:RefOrder>3</b:RefOrder>
  </b:Source>
  <b:Source>
    <b:Tag>JMHLW13</b:Tag>
    <b:SourceType>InternetSite</b:SourceType>
    <b:Guid>{674822F6-ECF1-4495-91A8-D3DD47426BBB}</b:Guid>
    <b:Title>Levels of Radioactive Contaminants in Foods Tested in Respective Prefectures</b:Title>
    <b:Year>2015</b:Year>
    <b:Author>
      <b:Author>
        <b:Corporate>Japanese Ministry of Health, Labour and Welfare</b:Corporate>
      </b:Author>
    </b:Author>
    <b:YearAccessed>2015</b:YearAccessed>
    <b:MonthAccessed>August</b:MonthAccessed>
    <b:DayAccessed>14</b:DayAccessed>
    <b:URL>http://www.mhlw.go.jp/english/topics/2011eq/index_food_radioactive.html</b:URL>
    <b:RefOrder>4</b:RefOrder>
  </b:Source>
  <b:Source>
    <b:Tag>SLo16</b:Tag>
    <b:SourceType>Report</b:SourceType>
    <b:Guid>{6E7054A7-6AB9-4810-8E6A-099F54A8445A}</b:Guid>
    <b:Title>Australasian Gamma-ray Spectrometry Capability Exercise - 2015</b:Title>
    <b:Year>2016</b:Year>
    <b:Publisher>ARPANSA</b:Publisher>
    <b:Author>
      <b:Author>
        <b:NameList>
          <b:Person>
            <b:Last>Long</b:Last>
            <b:First>S.</b:First>
          </b:Person>
        </b:NameList>
      </b:Author>
    </b:Author>
    <b:City>Melbourne</b:City>
    <b:RefOrder>2</b:RefOrder>
  </b:Source>
</b:Sources>
</file>

<file path=customXml/itemProps1.xml><?xml version="1.0" encoding="utf-8"?>
<ds:datastoreItem xmlns:ds="http://schemas.openxmlformats.org/officeDocument/2006/customXml" ds:itemID="{65A620A6-0B6D-44DD-9B63-ADE84647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Marks</dc:creator>
  <cp:lastModifiedBy>Thomas Sammut</cp:lastModifiedBy>
  <cp:revision>2</cp:revision>
  <cp:lastPrinted>2017-04-24T05:19:00Z</cp:lastPrinted>
  <dcterms:created xsi:type="dcterms:W3CDTF">2019-12-22T23:29:00Z</dcterms:created>
  <dcterms:modified xsi:type="dcterms:W3CDTF">2019-12-22T23:29:00Z</dcterms:modified>
</cp:coreProperties>
</file>